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18, 2025</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0"/>
          </w:cols>
          <w:pgMar w:left="300" w:top="889" w:right="319" w:bottom="1440" w:gutter="0" w:footer="0" w:header="0"/>
        </w:sectPr>
      </w:pPr>
    </w:p>
    <w:p>
      <w:pPr>
        <w:spacing w:after="0" w:line="9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00"/>
          </w:cols>
          <w:pgMar w:left="300" w:top="889"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65" w:lineRule="exact"/>
        <w:rPr>
          <w:sz w:val="24"/>
          <w:szCs w:val="24"/>
          <w:color w:val="auto"/>
        </w:rPr>
      </w:pPr>
    </w:p>
    <w:p>
      <w:pPr>
        <w:sectPr>
          <w:pgSz w:w="11900" w:h="16838" w:orient="portrait"/>
          <w:cols w:equalWidth="0" w:num="2">
            <w:col w:w="6860" w:space="720"/>
            <w:col w:w="3700"/>
          </w:cols>
          <w:pgMar w:left="300" w:top="889" w:right="3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(888) 729-1206</w:t>
      </w:r>
    </w:p>
    <w:p>
      <w:pPr>
        <w:sectPr>
          <w:pgSz w:w="11900" w:h="16838" w:orient="portrait"/>
          <w:cols w:equalWidth="0" w:num="1">
            <w:col w:w="11280"/>
          </w:cols>
          <w:pgMar w:left="300" w:top="889" w:right="31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22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20" w:type="dxa"/>
            <w:vAlign w:val="bottom"/>
          </w:tcPr>
          <w:p>
            <w:pPr>
              <w:spacing w:after="0"/>
              <w:rPr>
                <w:sz w:val="12"/>
                <w:szCs w:val="12"/>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WGS</w:t>
            </w:r>
          </w:p>
        </w:tc>
        <w:tc>
          <w:tcPr>
            <w:tcW w:w="80" w:type="dxa"/>
            <w:vAlign w:val="bottom"/>
          </w:tcPr>
          <w:p>
            <w:pPr>
              <w:spacing w:after="0"/>
              <w:rPr>
                <w:sz w:val="12"/>
                <w:szCs w:val="12"/>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20" w:type="dxa"/>
            <w:vAlign w:val="bottom"/>
          </w:tcPr>
          <w:p>
            <w:pPr>
              <w:spacing w:after="0"/>
              <w:rPr>
                <w:sz w:val="13"/>
                <w:szCs w:val="13"/>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7"/>
              </w:rPr>
              <w:t>WGSWW</w:t>
            </w: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60"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February 18, 2025, GeneDx Holdings Corp. (the “Company”) issued a press release (the “Press Release”) and will hold a conference call announcing the Company's financial results for the year ended December 31, 2024. Copies of the Press Release and Earnings Presentation are furnished as Exhibits 99.1 and 99.2, respectively, to this Current Report on Form 8-K.</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420" w:type="dxa"/>
            <w:vAlign w:val="bottom"/>
            <w:vMerge w:val="restart"/>
          </w:tcPr>
          <w:p>
            <w:pPr>
              <w:spacing w:after="0"/>
              <w:rPr>
                <w:sz w:val="13"/>
                <w:szCs w:val="13"/>
                <w:color w:val="auto"/>
              </w:rPr>
            </w:pPr>
          </w:p>
        </w:tc>
        <w:tc>
          <w:tcPr>
            <w:tcW w:w="992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99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60" w:type="dxa"/>
            <w:vAlign w:val="bottom"/>
            <w:gridSpan w:val="2"/>
          </w:tcPr>
          <w:p>
            <w:pPr>
              <w:jc w:val="center"/>
              <w:ind w:left="340"/>
              <w:spacing w:after="0"/>
              <w:rPr>
                <w:sz w:val="20"/>
                <w:szCs w:val="20"/>
                <w:color w:val="auto"/>
              </w:rPr>
            </w:pPr>
            <w:r>
              <w:rPr>
                <w:rFonts w:ascii="Times New Roman" w:cs="Times New Roman" w:eastAsia="Times New Roman" w:hAnsi="Times New Roman"/>
                <w:sz w:val="12"/>
                <w:szCs w:val="12"/>
                <w:color w:val="auto"/>
                <w:w w:val="95"/>
              </w:rPr>
              <w:t>99.1</w:t>
            </w:r>
          </w:p>
        </w:tc>
        <w:tc>
          <w:tcPr>
            <w:tcW w:w="420" w:type="dxa"/>
            <w:vAlign w:val="bottom"/>
          </w:tcPr>
          <w:p>
            <w:pPr>
              <w:spacing w:after="0"/>
              <w:rPr>
                <w:sz w:val="15"/>
                <w:szCs w:val="15"/>
                <w:color w:val="auto"/>
              </w:rPr>
            </w:pPr>
          </w:p>
        </w:tc>
        <w:tc>
          <w:tcPr>
            <w:tcW w:w="5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February 18, 2025, regarding the registrant’s results for the year ended December 31, 2024</w:t>
            </w: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60" w:type="dxa"/>
            <w:vAlign w:val="bottom"/>
            <w:gridSpan w:val="2"/>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5"/>
              </w:rPr>
              <w:t>99.2</w:t>
            </w:r>
          </w:p>
        </w:tc>
        <w:tc>
          <w:tcPr>
            <w:tcW w:w="420" w:type="dxa"/>
            <w:vAlign w:val="bottom"/>
          </w:tcPr>
          <w:p>
            <w:pPr>
              <w:spacing w:after="0"/>
              <w:rPr>
                <w:sz w:val="19"/>
                <w:szCs w:val="19"/>
                <w:color w:val="auto"/>
              </w:rPr>
            </w:pPr>
          </w:p>
        </w:tc>
        <w:tc>
          <w:tcPr>
            <w:tcW w:w="2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Earnings Presentation, dated February 18, 2025</w:t>
            </w:r>
          </w:p>
        </w:tc>
        <w:tc>
          <w:tcPr>
            <w:tcW w:w="764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9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2280" w:type="dxa"/>
            <w:vAlign w:val="bottom"/>
            <w:gridSpan w:val="2"/>
          </w:tcPr>
          <w:p>
            <w:pPr>
              <w:spacing w:after="0"/>
              <w:rPr>
                <w:sz w:val="3"/>
                <w:szCs w:val="3"/>
                <w:color w:val="auto"/>
              </w:rPr>
            </w:pPr>
          </w:p>
        </w:tc>
        <w:tc>
          <w:tcPr>
            <w:tcW w:w="7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5"/>
        </w:trPr>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7040" w:type="dxa"/>
            <w:vAlign w:val="bottom"/>
            <w:gridSpan w:val="2"/>
          </w:tcPr>
          <w:p>
            <w:pPr>
              <w:ind w:left="202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18, 2025</w:t>
            </w:r>
          </w:p>
        </w:tc>
        <w:tc>
          <w:tcPr>
            <w:tcW w:w="284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3200" w:type="dxa"/>
            <w:vAlign w:val="bottom"/>
          </w:tcPr>
          <w:p>
            <w:pPr>
              <w:spacing w:after="0"/>
              <w:rPr>
                <w:sz w:val="12"/>
                <w:szCs w:val="12"/>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Name: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3200" w:type="dxa"/>
            <w:vAlign w:val="bottom"/>
          </w:tcPr>
          <w:p>
            <w:pPr>
              <w:spacing w:after="0"/>
              <w:rPr>
                <w:sz w:val="13"/>
                <w:szCs w:val="13"/>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240"/>
          </w:cols>
          <w:pgMar w:left="300" w:top="665" w:right="1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13335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Fourth Quarter and Full Year 2024 Financial Results and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Issues Guidance for Full Year 2025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Grew fourth quarter 2024 revenues</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xml:space="preserve"> to $95.3 million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Expanded fourth quarter 2024 adjusted gross margins</w:t>
      </w:r>
      <w:r>
        <w:rPr>
          <w:rFonts w:ascii="Times New Roman" w:cs="Times New Roman" w:eastAsia="Times New Roman" w:hAnsi="Times New Roman"/>
          <w:sz w:val="14"/>
          <w:szCs w:val="14"/>
          <w:b w:val="1"/>
          <w:bCs w:val="1"/>
          <w:color w:val="auto"/>
          <w:vertAlign w:val="superscript"/>
        </w:rPr>
        <w:t>1,2</w:t>
      </w:r>
      <w:r>
        <w:rPr>
          <w:rFonts w:ascii="Times New Roman" w:cs="Times New Roman" w:eastAsia="Times New Roman" w:hAnsi="Times New Roman"/>
          <w:sz w:val="11"/>
          <w:szCs w:val="11"/>
          <w:b w:val="1"/>
          <w:bCs w:val="1"/>
          <w:color w:val="auto"/>
        </w:rPr>
        <w:t xml:space="preserve"> to 70%</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Generated fourth quarter 2024 adjusted net income</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1"/>
          <w:szCs w:val="11"/>
          <w:b w:val="1"/>
          <w:bCs w:val="1"/>
          <w:color w:val="auto"/>
        </w:rPr>
        <w:t xml:space="preserve"> of $16.8 million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FY 2025 revenue guidance of $350M to $360M, exome/genome volume and revenue growth of at least 30%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GeneDx to host conference call today at 8:30 a.m. ET</w:t>
      </w:r>
    </w:p>
    <w:p>
      <w:pPr>
        <w:spacing w:after="0" w:line="3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GAITHERSBURG, Md., February 18, 2025 — </w:t>
      </w:r>
      <w:r>
        <w:rPr>
          <w:rFonts w:ascii="Times New Roman" w:cs="Times New Roman" w:eastAsia="Times New Roman" w:hAnsi="Times New Roman"/>
          <w:sz w:val="12"/>
          <w:szCs w:val="12"/>
          <w:color w:val="auto"/>
        </w:rPr>
        <w:t>GeneDx Holdings Corp. (Nasdaq: WGS), a leader in delivering improved health outcomes through genomic and clinical insights, today reported its financial results for the fourth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and full year of 2024.</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fourth quarter capped an outstanding year for GeneDx, as we work to end the diagnostic odyssey with earlier intervention using our industry-leading exome and genome testing for an ever-growing number of families. Importantly, diagnosing disease earlier with our cost-effective technology means GeneDx can help save the healthcare system valuable dollars,” said Katherine Stueland, President and Chief Executive Officer of GeneDx. “Looking ahead, we’ll introduce our testing to a larger population of patients, as we expand in the outpatient pediatric setting, the NICU, adult conditions, and eventually realize the promise of newborn screening. As we move into 2025 we have the financial strength, scale, and an incredibly talented team in place to fundamentally improve how we diagnose any genetic disease as early as possible so people can live longer, healthier lives.”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Full Year 2024 Financial Results (Unaudited)</w:t>
      </w:r>
      <w:r>
        <w:rPr>
          <w:rFonts w:ascii="Times New Roman" w:cs="Times New Roman" w:eastAsia="Times New Roman" w:hAnsi="Times New Roman"/>
          <w:sz w:val="15"/>
          <w:szCs w:val="15"/>
          <w:b w:val="1"/>
          <w:bCs w:val="1"/>
          <w:color w:val="auto"/>
          <w:vertAlign w:val="superscript"/>
        </w:rPr>
        <w:t>1,2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Fourth quarter 2024:</w:t>
      </w:r>
    </w:p>
    <w:p>
      <w:pPr>
        <w:spacing w:after="0" w:line="10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grew to $95.3 million, an increase of 64% year-over-year and 24% sequentially.</w:t>
      </w: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company GAAP revenues were $95.6 million.</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$78.8 million, an increase of 101% year-over-year and 31% sequentially.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Full year 2024:</w:t>
      </w:r>
    </w:p>
    <w:p>
      <w:pPr>
        <w:spacing w:after="0" w:line="10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Revenues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grew to $302.3 million, an increase of 56% year-over-year.</w:t>
      </w:r>
    </w:p>
    <w:p>
      <w:pPr>
        <w:ind w:left="860" w:hanging="220"/>
        <w:spacing w:after="0"/>
        <w:tabs>
          <w:tab w:leader="none" w:pos="860"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company revenues were $305.5 million.</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Exome and genome test revenue grew to $233.5 million, an increase of 88% year-over-year.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Fourth quarter 2024:</w:t>
      </w:r>
    </w:p>
    <w:p>
      <w:pPr>
        <w:spacing w:after="0" w:line="116"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results volume grew to 20,676, an increase of 32% year-over-year and 7% sequentially.</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represented 38% of all test results, up from 27% in the fourth quarter of 2023 and up from 33% in the third quarter of 2024.</w:t>
      </w:r>
    </w:p>
    <w:p>
      <w:pPr>
        <w:sectPr>
          <w:pgSz w:w="11900" w:h="16838" w:orient="portrait"/>
          <w:cols w:equalWidth="0" w:num="1">
            <w:col w:w="11300"/>
          </w:cols>
          <w:pgMar w:left="300" w:top="125"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i w:val="1"/>
          <w:iCs w:val="1"/>
          <w:color w:val="auto"/>
        </w:rPr>
        <w:t>Full year 2024:</w:t>
      </w:r>
    </w:p>
    <w:p>
      <w:pPr>
        <w:spacing w:after="0" w:line="116" w:lineRule="exact"/>
        <w:rPr>
          <w:sz w:val="20"/>
          <w:szCs w:val="20"/>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Exome and genome test results volume grew to 74,547, an increase of 51% year-over-year.</w:t>
      </w:r>
    </w:p>
    <w:p>
      <w:pPr>
        <w:spacing w:after="0" w:line="16" w:lineRule="exact"/>
        <w:rPr>
          <w:rFonts w:ascii="Times New Roman" w:cs="Times New Roman" w:eastAsia="Times New Roman" w:hAnsi="Times New Roman"/>
          <w:sz w:val="12"/>
          <w:szCs w:val="12"/>
          <w:b w:val="1"/>
          <w:bCs w:val="1"/>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Exome and genome represented 33% of all test results, up from 22% for the full year 2023.</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Fourth quarter 2024:</w:t>
      </w:r>
    </w:p>
    <w:p>
      <w:pPr>
        <w:spacing w:after="0" w:line="100" w:lineRule="exact"/>
        <w:rPr>
          <w:sz w:val="20"/>
          <w:szCs w:val="20"/>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expanded to 70%, up from 56% in the fourth quarter of 2023 and up from 64% in the third quarter of 2024.</w:t>
      </w:r>
    </w:p>
    <w:p>
      <w:pPr>
        <w:ind w:left="868" w:hanging="220"/>
        <w:spacing w:after="0"/>
        <w:tabs>
          <w:tab w:leader="none" w:pos="868"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company GAAP gross margin was 69%.</w:t>
      </w:r>
    </w:p>
    <w:p>
      <w:pPr>
        <w:spacing w:after="0" w:line="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adjusted gross margin operated in excess of 70%.</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2024:</w:t>
      </w:r>
    </w:p>
    <w:p>
      <w:pPr>
        <w:spacing w:after="0" w:line="100" w:lineRule="exact"/>
        <w:rPr>
          <w:sz w:val="20"/>
          <w:szCs w:val="20"/>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expanded to 65%, up from 45% for full year 2023.</w:t>
      </w:r>
    </w:p>
    <w:p>
      <w:pPr>
        <w:ind w:left="868" w:hanging="220"/>
        <w:spacing w:after="0"/>
        <w:tabs>
          <w:tab w:leader="none" w:pos="86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company gross margin was 64%.</w:t>
      </w:r>
    </w:p>
    <w:p>
      <w:pPr>
        <w:spacing w:after="0" w:line="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adjusted gross margin operated in excess of 70%.</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Fourth quarter 2024:</w:t>
      </w:r>
    </w:p>
    <w:p>
      <w:pPr>
        <w:spacing w:after="0" w:line="116" w:lineRule="exact"/>
        <w:rPr>
          <w:sz w:val="20"/>
          <w:szCs w:val="20"/>
          <w:color w:val="auto"/>
        </w:rPr>
      </w:pP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$49.0 million, an increase of 1% year-over-year.</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$56.6 million.</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2024:</w:t>
      </w:r>
    </w:p>
    <w:p>
      <w:pPr>
        <w:spacing w:after="0" w:line="116" w:lineRule="exact"/>
        <w:rPr>
          <w:sz w:val="20"/>
          <w:szCs w:val="20"/>
          <w:color w:val="auto"/>
        </w:rPr>
      </w:pPr>
    </w:p>
    <w:p>
      <w:pPr>
        <w:ind w:left="428" w:hanging="212"/>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$185.9 million, a decrease of 14% year-over-year.</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$214.2 million.</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Net income (loss)</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Fourth quarter 2024:</w:t>
      </w:r>
    </w:p>
    <w:p>
      <w:pPr>
        <w:spacing w:after="0" w:line="116" w:lineRule="exact"/>
        <w:rPr>
          <w:sz w:val="20"/>
          <w:szCs w:val="20"/>
          <w:color w:val="auto"/>
        </w:rPr>
      </w:pPr>
    </w:p>
    <w:p>
      <w:pPr>
        <w:ind w:left="428" w:hanging="212"/>
        <w:spacing w:after="0"/>
        <w:tabs>
          <w:tab w:leader="none" w:pos="42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of $16.8 million.</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income was $5.4 million.</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2024:</w:t>
      </w:r>
    </w:p>
    <w:p>
      <w:pPr>
        <w:spacing w:after="0" w:line="116" w:lineRule="exact"/>
        <w:rPr>
          <w:sz w:val="20"/>
          <w:szCs w:val="20"/>
          <w:color w:val="auto"/>
        </w:rPr>
      </w:pPr>
    </w:p>
    <w:p>
      <w:pPr>
        <w:ind w:left="428" w:hanging="212"/>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of $6.7 million.</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$52.3 million.</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Full year and fourth quarter 2024 revenues, gross margin and net income, all on both a GAAP and adjusted basis, includes $6.8 million of discrete benefit in connection with a multi-year appeal recovery from a single third-party payor.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fourth quarter benefit is composed of $5.8 million to exome genome revenues and $1.0 million to other test lines.</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18" w:lineRule="exact"/>
        <w:rPr>
          <w:sz w:val="20"/>
          <w:szCs w:val="20"/>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$142.2 million as of December 31, 2024.</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for the fourth quarter 2024 included:</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$12.4 million in cash generated from ordinary operations, including $6.8 million in discrete receipts in connection with a multi-year appeal recovery from a single payor; and</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$31.9 million in proceeds, net of fees, from the issuance of 406,726 shares of Class A common stock in connection with sales pursuant to our “at-the-market” offering, offset by;</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$19.6 million in scheduled payments to service previously recorded settlement liabilities of Legacy Sema4.</w:t>
      </w:r>
    </w:p>
    <w:p>
      <w:pPr>
        <w:spacing w:after="0" w:line="154"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Revenue and adjusted gross margin results from continuing operations, which excludes any revenue from the exited Legacy Sema4 diagnostic testing business.</w:t>
      </w:r>
    </w:p>
    <w:p>
      <w:pPr>
        <w:spacing w:after="0" w:line="8"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gross margin, adjusted total operating expenses and adjusted net loss are non-GAAP financial measures. See appendix for a reconciliation of GAAP to Non-GAAP figures presented.</w:t>
      </w:r>
    </w:p>
    <w:p>
      <w:pPr>
        <w:sectPr>
          <w:pgSz w:w="11900" w:h="16838" w:orient="portrait"/>
          <w:cols w:equalWidth="0" w:num="1">
            <w:col w:w="11288"/>
          </w:cols>
          <w:pgMar w:left="292" w:top="66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GeneDx Full Year 2025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Management expects GeneDx to deliver full year 2025:</w:t>
      </w:r>
    </w:p>
    <w:p>
      <w:pPr>
        <w:spacing w:after="0" w:line="114"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between $350 and $360 million and growth in exome/genome volume and revenue of at least 30%;</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margins between 65%-67%;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Profitability with adjusted net income each quarter and for full year 2025.</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Driving sustainable growth and market leadership</w:t>
      </w:r>
    </w:p>
    <w:p>
      <w:pPr>
        <w:spacing w:after="0" w:line="116" w:lineRule="exact"/>
        <w:rPr>
          <w:sz w:val="20"/>
          <w:szCs w:val="20"/>
          <w:color w:val="auto"/>
        </w:rPr>
      </w:pPr>
    </w:p>
    <w:p>
      <w:pPr>
        <w:ind w:left="420" w:hanging="212"/>
        <w:spacing w:after="0" w:line="25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Amassed a data set capturing over 750,000 clinical exomes and genomes. The data set is complemented by over 6 million expertly annotated and curated phenotypic datapoints, and nearly two-thirds of all cases within the data set represent parent-child duos/trios.</w:t>
      </w:r>
    </w:p>
    <w:p>
      <w:pPr>
        <w:spacing w:after="0" w:line="1"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Accelerated adoption of exome and genome sequencing coverage by state Medicaid programs, bringing the total states covering exome or genome sequencing in the pediatric outpatient setting to 32 and the total states covering rapid genome sequencing in the neonatal intensive care unit (NICU) to 14.</w:t>
      </w: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South Carolina – Exome and genome (December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Montana – Exome and genome (November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Florida - Genome (October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Texas – Genome (September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Indiana – Exome and genome (July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Tennessee – Genome (July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Connecticut – Genome (July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North Carolina – Exome and genome (June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York – Exome (April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South Dakota – Genome (March 2024)</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Georgia - Genome (January 2024)</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February 2025</w:t>
      </w:r>
      <w:r>
        <w:rPr>
          <w:rFonts w:ascii="Times New Roman" w:cs="Times New Roman" w:eastAsia="Times New Roman" w:hAnsi="Times New Roman"/>
          <w:sz w:val="12"/>
          <w:szCs w:val="12"/>
          <w:color w:val="auto"/>
        </w:rPr>
        <w:t>, announced ultraRapid Whole Genome Sequencing, offering accelerated, comprehensive and actionable genomic insights for neonatal and pediatric patients in the NICU and PICU in as soon as two days.</w:t>
      </w:r>
    </w:p>
    <w:p>
      <w:pPr>
        <w:spacing w:after="0" w:line="6" w:lineRule="exact"/>
        <w:rPr>
          <w:rFonts w:ascii="Times New Roman" w:cs="Times New Roman" w:eastAsia="Times New Roman" w:hAnsi="Times New Roman"/>
          <w:sz w:val="12"/>
          <w:szCs w:val="12"/>
          <w:color w:val="auto"/>
        </w:rPr>
      </w:pPr>
    </w:p>
    <w:p>
      <w:pPr>
        <w:ind w:left="420" w:hanging="212"/>
        <w:spacing w:after="0" w:line="201"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February 2025</w:t>
      </w:r>
      <w:r>
        <w:rPr>
          <w:rFonts w:ascii="Times New Roman" w:cs="Times New Roman" w:eastAsia="Times New Roman" w:hAnsi="Times New Roman"/>
          <w:sz w:val="12"/>
          <w:szCs w:val="12"/>
          <w:color w:val="auto"/>
        </w:rPr>
        <w:t>, launched Epic Aura</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which seamlessly integrates GeneDx exome and genome testing into the native ordering and resulting workflows of many of the largest health systems across the country.</w:t>
      </w: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January 2025</w:t>
      </w:r>
      <w:r>
        <w:rPr>
          <w:rFonts w:ascii="Times New Roman" w:cs="Times New Roman" w:eastAsia="Times New Roman" w:hAnsi="Times New Roman"/>
          <w:sz w:val="12"/>
          <w:szCs w:val="12"/>
          <w:color w:val="auto"/>
        </w:rPr>
        <w:t>, launched a new telehealth testing pathway that aims to shorten the diagnostic odyssey by opening access and streamlining the referral process to better support patients and families in need of exome testing.</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January 2025</w:t>
      </w:r>
      <w:r>
        <w:rPr>
          <w:rFonts w:ascii="Times New Roman" w:cs="Times New Roman" w:eastAsia="Times New Roman" w:hAnsi="Times New Roman"/>
          <w:sz w:val="12"/>
          <w:szCs w:val="12"/>
          <w:color w:val="auto"/>
        </w:rPr>
        <w:t>, announced Bryan Dechairo as Chief Operating Officer.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w:t>
      </w:r>
      <w:r>
        <w:rPr>
          <w:rFonts w:ascii="Times New Roman" w:cs="Times New Roman" w:eastAsia="Times New Roman" w:hAnsi="Times New Roman"/>
          <w:sz w:val="12"/>
          <w:szCs w:val="12"/>
          <w:b w:val="1"/>
          <w:bCs w:val="1"/>
          <w:color w:val="auto"/>
        </w:rPr>
        <w:t>fourth quarter 2024</w:t>
      </w:r>
      <w:r>
        <w:rPr>
          <w:rFonts w:ascii="Times New Roman" w:cs="Times New Roman" w:eastAsia="Times New Roman" w:hAnsi="Times New Roman"/>
          <w:sz w:val="12"/>
          <w:szCs w:val="12"/>
          <w:color w:val="auto"/>
        </w:rPr>
        <w:t>, launched major enhancements to GeneDx’s whole genome sequencing (WGS) products, which accelerate diagnoses and shorten the diagnostic odyssey for patients. These new features include:</w:t>
      </w:r>
    </w:p>
    <w:p>
      <w:pPr>
        <w:spacing w:after="0" w:line="6" w:lineRule="exact"/>
        <w:rPr>
          <w:rFonts w:ascii="Times New Roman" w:cs="Times New Roman" w:eastAsia="Times New Roman" w:hAnsi="Times New Roman"/>
          <w:sz w:val="12"/>
          <w:szCs w:val="12"/>
          <w:color w:val="auto"/>
        </w:rPr>
      </w:pPr>
    </w:p>
    <w:p>
      <w:pPr>
        <w:ind w:left="860" w:hanging="220"/>
        <w:spacing w:after="0" w:line="250" w:lineRule="auto"/>
        <w:tabs>
          <w:tab w:leader="none" w:pos="857"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Faster turnaround time for rapid whole genome sequencing (rWGS): through lab optimization efforts, GeneDx significantly reduced rWGS turnaround times to provide written results in as soon as 5 days, a critical update for timely diagnosis and treatment decisions.</w:t>
      </w:r>
    </w:p>
    <w:p>
      <w:pPr>
        <w:ind w:left="860" w:hanging="220"/>
        <w:spacing w:after="0" w:line="250" w:lineRule="auto"/>
        <w:tabs>
          <w:tab w:leader="none" w:pos="857"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Buccal samples (cheek swab): expanded sample collection options by adding buccal swab for WGS patients, enabling an easier and more accessible non-invasive sample collection method. Buccal samples for WGS were only previously available to family members for trio testing and for all exome testing.</w:t>
      </w:r>
    </w:p>
    <w:p>
      <w:pPr>
        <w:ind w:left="860" w:hanging="220"/>
        <w:spacing w:after="0"/>
        <w:tabs>
          <w:tab w:leader="none" w:pos="860"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Added content: expanded the number of repeat expansions covered by WGS to increase diagnostic yield and decrease the need for follow-up testing.</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December 2024</w:t>
      </w:r>
      <w:r>
        <w:rPr>
          <w:rFonts w:ascii="Times New Roman" w:cs="Times New Roman" w:eastAsia="Times New Roman" w:hAnsi="Times New Roman"/>
          <w:sz w:val="12"/>
          <w:szCs w:val="12"/>
          <w:color w:val="auto"/>
        </w:rPr>
        <w:t>, expanded the Epilepsy Partnership Program launched in the third quarter of 2024, a first-of-its-kind patient access program that is increasing access to exome and genome sequencing for pediatric epilepsy patients, with Biogen (Nasdaq: BIIB), Praxis Precision Medicines (Nasdaq: PRAX) and Stoke Therapeutics (Nasdaq: STOK) as the founding partners.</w:t>
      </w:r>
    </w:p>
    <w:p>
      <w:pPr>
        <w:ind w:left="420" w:hanging="212"/>
        <w:spacing w:after="0" w:line="25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November 2024</w:t>
      </w:r>
      <w:r>
        <w:rPr>
          <w:rFonts w:ascii="Times New Roman" w:cs="Times New Roman" w:eastAsia="Times New Roman" w:hAnsi="Times New Roman"/>
          <w:sz w:val="12"/>
          <w:szCs w:val="12"/>
          <w:color w:val="auto"/>
        </w:rPr>
        <w:t>, launched GeneDx Discover, a first-of-its-kind data visualization tool that provides biopharmaceutical companies access to de-identified and aggregated genetic data to improve all stages of drug development.</w:t>
      </w: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November 2024</w:t>
      </w:r>
      <w:r>
        <w:rPr>
          <w:rFonts w:ascii="Times New Roman" w:cs="Times New Roman" w:eastAsia="Times New Roman" w:hAnsi="Times New Roman"/>
          <w:sz w:val="12"/>
          <w:szCs w:val="12"/>
          <w:color w:val="auto"/>
        </w:rPr>
        <w:t>, announced Heidi Chen as Chief Legal Officer and Corporate Secretary, responsible for the company’s legal, compliance, and policy functions.</w:t>
      </w:r>
    </w:p>
    <w:p>
      <w:pPr>
        <w:spacing w:after="0" w:line="6"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April 2024</w:t>
      </w:r>
      <w:r>
        <w:rPr>
          <w:rFonts w:ascii="Times New Roman" w:cs="Times New Roman" w:eastAsia="Times New Roman" w:hAnsi="Times New Roman"/>
          <w:sz w:val="12"/>
          <w:szCs w:val="12"/>
          <w:color w:val="auto"/>
        </w:rPr>
        <w:t>, announced a strategic partnership with Komodo Health. The partnership increased access to GeneDx's extensive de-identified rare disease data set through Komodo Health’s MapEnhance offering, enabling biopharma companies to access genetic insights that can help inform drug pipelines and accelerate clinical trial enrollment.</w:t>
      </w:r>
    </w:p>
    <w:p>
      <w:pPr>
        <w:sectPr>
          <w:pgSz w:w="11900" w:h="16838" w:orient="portrait"/>
          <w:cols w:equalWidth="0" w:num="1">
            <w:col w:w="11300"/>
          </w:cols>
          <w:pgMar w:left="300" w:top="665"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i w:val="1"/>
          <w:iCs w:val="1"/>
          <w:color w:val="auto"/>
        </w:rPr>
        <w:t>Advancing the field to accelerate market expansion</w:t>
      </w:r>
    </w:p>
    <w:p>
      <w:pPr>
        <w:spacing w:after="0" w:line="116" w:lineRule="exact"/>
        <w:rPr>
          <w:sz w:val="20"/>
          <w:szCs w:val="20"/>
          <w:color w:val="auto"/>
        </w:rPr>
      </w:pPr>
    </w:p>
    <w:p>
      <w:pPr>
        <w:ind w:left="420" w:right="20" w:hanging="212"/>
        <w:spacing w:after="0" w:line="259" w:lineRule="auto"/>
        <w:tabs>
          <w:tab w:leader="none" w:pos="41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the understanding of gene-disease relationships by contributing to more than 85 peer-reviewed publications in 2024, which influenced the broadening of phenotypes, the discovery of new disease mechanisms and new modes of inheritance.</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November 2024</w:t>
      </w:r>
      <w:r>
        <w:rPr>
          <w:rFonts w:ascii="Times New Roman" w:cs="Times New Roman" w:eastAsia="Times New Roman" w:hAnsi="Times New Roman"/>
          <w:sz w:val="12"/>
          <w:szCs w:val="12"/>
          <w:color w:val="auto"/>
        </w:rPr>
        <w:t>, presented data at the American Society of Human Genetics (ASHG) annual meeting that demonstrated:</w:t>
      </w:r>
    </w:p>
    <w:p>
      <w:pPr>
        <w:spacing w:after="0" w:line="6" w:lineRule="exact"/>
        <w:rPr>
          <w:rFonts w:ascii="Times New Roman" w:cs="Times New Roman" w:eastAsia="Times New Roman" w:hAnsi="Times New Roman"/>
          <w:sz w:val="12"/>
          <w:szCs w:val="12"/>
          <w:color w:val="auto"/>
        </w:rPr>
      </w:pPr>
    </w:p>
    <w:p>
      <w:pPr>
        <w:ind w:left="860" w:hanging="220"/>
        <w:spacing w:after="0" w:line="250" w:lineRule="auto"/>
        <w:tabs>
          <w:tab w:leader="none" w:pos="866"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rWGS in the NICU leads to changes in clinical care: In collaboration with SeqFirst, patient cases were analyzed when a diagnosis was found with rWGS to understand how decisions were made with genomic sequencing and what is missed in its absence when only using conventional care protocols.</w:t>
      </w:r>
    </w:p>
    <w:p>
      <w:pPr>
        <w:jc w:val="both"/>
        <w:ind w:left="860" w:hanging="220"/>
        <w:spacing w:after="0" w:line="250" w:lineRule="auto"/>
        <w:tabs>
          <w:tab w:leader="none" w:pos="866"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Racial disparities in an accurate genetic diagnosis is not due to diagnostic yields: In one of the largest studies to look at ancestral backgrounds and genetic diagnosis, GeneDx, the University of Washington, and Geisinger explored the value of a diverse interpretation engine and whether diagnostic yield varies significantly based on ancestral background or if other factors are limiting access to a genetic diagnosis. The study demonstrated the strength of GeneDx’s diverse database and that disparities in precise genetic diagnosis are not due to diagnostic yields, but rather larger systemic structural barriers which may include complex workflows, costs, clinician shortages, unconscious biases and more.</w:t>
      </w:r>
    </w:p>
    <w:p>
      <w:pPr>
        <w:spacing w:after="0" w:line="1" w:lineRule="exact"/>
        <w:rPr>
          <w:rFonts w:ascii="Times New Roman" w:cs="Times New Roman" w:eastAsia="Times New Roman" w:hAnsi="Times New Roman"/>
          <w:sz w:val="12"/>
          <w:szCs w:val="12"/>
          <w:color w:val="auto"/>
        </w:rPr>
      </w:pPr>
    </w:p>
    <w:p>
      <w:pPr>
        <w:ind w:left="860" w:hanging="220"/>
        <w:spacing w:after="0" w:line="250" w:lineRule="auto"/>
        <w:tabs>
          <w:tab w:leader="none" w:pos="857"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validation for long read sequencing: With growing interest in the field to explore the clinical utility of long read sequencing, validation data was presented assessing the sensitivity of PacBio’s HiFi long read sequencing to detect cases with a confirmed answer on short read WGS. Initial data confirmed that long read sequencing can identify variants not detected using short read sequencing.</w:t>
      </w:r>
    </w:p>
    <w:p>
      <w:pPr>
        <w:ind w:left="860" w:hanging="220"/>
        <w:spacing w:after="0" w:line="250" w:lineRule="auto"/>
        <w:tabs>
          <w:tab w:leader="none" w:pos="857"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Genetic variants linked to Autism Spectrum Disorder (ASD): Working alongside the Autism Sequencing Consortium, research identified 230 new genes associated with ASD. This molecular evidence underscores the effectiveness and accuracy of genetic diagnostics compared to current methods, which rely on parents’ or caregivers’ accounts of their child's development or professional observations of behavior.</w:t>
      </w:r>
    </w:p>
    <w:p>
      <w:pPr>
        <w:ind w:left="420" w:hanging="212"/>
        <w:spacing w:after="0" w:line="250" w:lineRule="auto"/>
        <w:tabs>
          <w:tab w:leader="none" w:pos="41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September 2024</w:t>
      </w:r>
      <w:r>
        <w:rPr>
          <w:rFonts w:ascii="Times New Roman" w:cs="Times New Roman" w:eastAsia="Times New Roman" w:hAnsi="Times New Roman"/>
          <w:sz w:val="12"/>
          <w:szCs w:val="12"/>
          <w:color w:val="auto"/>
        </w:rPr>
        <w:t>, collaborated with researchers from Wellcome Sanger Institute to release data from the largest and most diverse study to date, with data from more than 30,000 patients, on how recessive genetic changes contribute to developmental disorders in children. The findings from the study were published in Nature Genetics.</w:t>
      </w:r>
    </w:p>
    <w:p>
      <w:pPr>
        <w:ind w:left="420" w:hanging="212"/>
        <w:spacing w:after="0" w:line="260" w:lineRule="auto"/>
        <w:tabs>
          <w:tab w:leader="none" w:pos="41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March 2024</w:t>
      </w:r>
      <w:r>
        <w:rPr>
          <w:rFonts w:ascii="Times New Roman" w:cs="Times New Roman" w:eastAsia="Times New Roman" w:hAnsi="Times New Roman"/>
          <w:sz w:val="12"/>
          <w:szCs w:val="12"/>
          <w:color w:val="auto"/>
        </w:rPr>
        <w:t>, presented data at the American College of Medical Genetics (ACMG) that demonstrated the clinical superiority of exome testing over chromosomal microarray (CMA) and showcased GeneDx’s groundbreaking approach to genomic data analysis and interpretation for exome testing.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Leading in genomic newborn screening (gNBS)</w:t>
      </w:r>
    </w:p>
    <w:p>
      <w:pPr>
        <w:spacing w:after="0" w:line="112" w:lineRule="exact"/>
        <w:rPr>
          <w:sz w:val="20"/>
          <w:szCs w:val="20"/>
          <w:color w:val="auto"/>
        </w:rPr>
      </w:pPr>
    </w:p>
    <w:p>
      <w:pPr>
        <w:ind w:left="420" w:right="20" w:hanging="212"/>
        <w:spacing w:after="0" w:line="263" w:lineRule="auto"/>
        <w:tabs>
          <w:tab w:leader="none" w:pos="41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October 2024</w:t>
      </w:r>
      <w:r>
        <w:rPr>
          <w:rFonts w:ascii="Times New Roman" w:cs="Times New Roman" w:eastAsia="Times New Roman" w:hAnsi="Times New Roman"/>
          <w:sz w:val="12"/>
          <w:szCs w:val="12"/>
          <w:color w:val="auto"/>
        </w:rPr>
        <w:t>, findings from the GUARDIAN study were published in JAMA (Journal of the American Medical Association), a leading peer-reviewed medical journal, demonstrating the limitations of traditional newborn screening methods and showcasing the promise of advanced genomic technology to deliver equitable health care for all children.</w:t>
      </w:r>
    </w:p>
    <w:p>
      <w:pPr>
        <w:ind w:left="860" w:hanging="220"/>
        <w:spacing w:after="0"/>
        <w:tabs>
          <w:tab w:leader="none" w:pos="86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study revealed a 3.2% true positive rate, and 92% of true positives would not have been detected with today's standard newborn screening.</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October 2024</w:t>
      </w:r>
      <w:r>
        <w:rPr>
          <w:rFonts w:ascii="Times New Roman" w:cs="Times New Roman" w:eastAsia="Times New Roman" w:hAnsi="Times New Roman"/>
          <w:sz w:val="12"/>
          <w:szCs w:val="12"/>
          <w:color w:val="auto"/>
        </w:rPr>
        <w:t>, data was presented at the International Conference on Newborn Sequencing (ICoNS) showcasing that GeneDx has now provided genomic newborn screenings for more than 14,000 infants through its participation in the groundbreaking GUARDIAN and Early Check research studies. Today, that number exceeds 17,000.</w:t>
      </w:r>
    </w:p>
    <w:p>
      <w:pPr>
        <w:ind w:left="860" w:hanging="220"/>
        <w:spacing w:after="0"/>
        <w:tabs>
          <w:tab w:leader="none" w:pos="860"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retrospective analysis of GeneDx data showed that more than 20% of individuals could have identified their genetic disease, on average, 7 to 11 years sooner had they received genome sequencing at birth.</w:t>
      </w:r>
    </w:p>
    <w:p>
      <w:pPr>
        <w:spacing w:after="0" w:line="316"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10"/>
          <w:szCs w:val="10"/>
          <w:color w:val="auto"/>
        </w:rPr>
        <w:t>3</w:t>
      </w:r>
      <w:r>
        <w:rPr>
          <w:sz w:val="20"/>
          <w:szCs w:val="20"/>
          <w:color w:val="auto"/>
        </w:rPr>
        <w:tab/>
      </w:r>
      <w:r>
        <w:rPr>
          <w:rFonts w:ascii="Times New Roman" w:cs="Times New Roman" w:eastAsia="Times New Roman" w:hAnsi="Times New Roman"/>
          <w:sz w:val="8"/>
          <w:szCs w:val="8"/>
          <w:color w:val="auto"/>
        </w:rPr>
        <w:t>Epic and Aura are trademarks of Epic Systems Corporation.</w:t>
      </w:r>
    </w:p>
    <w:p>
      <w:pPr>
        <w:sectPr>
          <w:pgSz w:w="11900" w:h="16838" w:orient="portrait"/>
          <w:cols w:equalWidth="0" w:num="1">
            <w:col w:w="11300"/>
          </w:cols>
          <w:pgMar w:left="300" w:top="66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February 18, 2025, at 8:30 a.m.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federal securities laws, including statements regarding our future performance and our market opportunity, including our expected full year 2025 reported revenue guidance, our expectations regarding our adjusted gross margin profile in 2025 and our use of net cash in 2025.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(vi)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2023, filed with the U.S. Securities and Exchange Commission (the “SEC”) on February 23, 2024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For more information, please visit genedx.com and connect with us on LinkedIn, Facebook, and Instagram.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665"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color w:val="auto"/>
        </w:rPr>
        <w:t>Volume and revenue in the table below include the combination of the Legacy GeneDx diagnostic business with the data and information business of Legacy Sema4.</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Volume &amp; Revenue</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4Q24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3Q24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2Q24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1Q24</w:t>
            </w:r>
          </w:p>
        </w:tc>
        <w:tc>
          <w:tcPr>
            <w:tcW w:w="220" w:type="dxa"/>
            <w:vAlign w:val="bottom"/>
          </w:tcPr>
          <w:p>
            <w:pPr>
              <w:spacing w:after="0"/>
              <w:rPr>
                <w:sz w:val="24"/>
                <w:szCs w:val="24"/>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4Q23</w:t>
            </w:r>
          </w:p>
        </w:tc>
        <w:tc>
          <w:tcPr>
            <w:tcW w:w="80" w:type="dxa"/>
            <w:vAlign w:val="bottom"/>
          </w:tcPr>
          <w:p>
            <w:pPr>
              <w:spacing w:after="0"/>
              <w:rPr>
                <w:sz w:val="24"/>
                <w:szCs w:val="24"/>
                <w:color w:val="auto"/>
              </w:rPr>
            </w:pPr>
          </w:p>
        </w:tc>
        <w:tc>
          <w:tcPr>
            <w:tcW w:w="120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2024 YTD</w:t>
            </w:r>
          </w:p>
        </w:tc>
        <w:tc>
          <w:tcPr>
            <w:tcW w:w="140" w:type="dxa"/>
            <w:vAlign w:val="bottom"/>
          </w:tcPr>
          <w:p>
            <w:pPr>
              <w:spacing w:after="0"/>
              <w:rPr>
                <w:sz w:val="24"/>
                <w:szCs w:val="24"/>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2023 YTD</w:t>
            </w:r>
          </w:p>
        </w:tc>
        <w:tc>
          <w:tcPr>
            <w:tcW w:w="0" w:type="dxa"/>
            <w:vAlign w:val="bottom"/>
          </w:tcPr>
          <w:p>
            <w:pPr>
              <w:spacing w:after="0"/>
              <w:rPr>
                <w:sz w:val="1"/>
                <w:szCs w:val="1"/>
                <w:color w:val="auto"/>
              </w:rPr>
            </w:pPr>
          </w:p>
        </w:tc>
      </w:tr>
      <w:tr>
        <w:trPr>
          <w:trHeight w:val="133"/>
        </w:trPr>
        <w:tc>
          <w:tcPr>
            <w:tcW w:w="2920" w:type="dxa"/>
            <w:vAlign w:val="bottom"/>
            <w:tcBorders>
              <w:top w:val="single" w:sz="8" w:color="CCEEFF"/>
            </w:tcBorders>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Volumes</w:t>
            </w: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00" w:type="dxa"/>
            <w:vAlign w:val="bottom"/>
          </w:tcPr>
          <w:p>
            <w:pPr>
              <w:spacing w:after="0"/>
              <w:rPr>
                <w:sz w:val="13"/>
                <w:szCs w:val="13"/>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20,676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15,663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74,547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49,439</w:t>
            </w:r>
          </w:p>
        </w:tc>
        <w:tc>
          <w:tcPr>
            <w:tcW w:w="0" w:type="dxa"/>
            <w:vAlign w:val="bottom"/>
          </w:tcPr>
          <w:p>
            <w:pPr>
              <w:spacing w:after="0"/>
              <w:rPr>
                <w:sz w:val="1"/>
                <w:szCs w:val="1"/>
                <w:color w:val="auto"/>
              </w:rPr>
            </w:pPr>
          </w:p>
        </w:tc>
      </w:tr>
      <w:tr>
        <w:trPr>
          <w:trHeight w:val="153"/>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0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3,486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w:t>
            </w:r>
          </w:p>
        </w:tc>
        <w:tc>
          <w:tcPr>
            <w:tcW w:w="6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31,058</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30,115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34,204</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31,763</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33,692</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131,177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142,437</w:t>
            </w:r>
          </w:p>
        </w:tc>
        <w:tc>
          <w:tcPr>
            <w:tcW w:w="0" w:type="dxa"/>
            <w:vAlign w:val="bottom"/>
          </w:tcPr>
          <w:p>
            <w:pPr>
              <w:spacing w:after="0"/>
              <w:rPr>
                <w:sz w:val="1"/>
                <w:szCs w:val="1"/>
                <w:color w:val="auto"/>
              </w:rPr>
            </w:pPr>
          </w:p>
        </w:tc>
      </w:tr>
      <w:tr>
        <w:trPr>
          <w:trHeight w:val="158"/>
        </w:trPr>
        <w:tc>
          <w:tcPr>
            <w:tcW w:w="2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54,277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59,029</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57,703</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right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55,223</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57,595</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226,232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222,934</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78.8</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tcPr>
          <w:p>
            <w:pPr>
              <w:spacing w:after="0"/>
              <w:rPr>
                <w:sz w:val="13"/>
                <w:szCs w:val="13"/>
                <w:color w:val="auto"/>
              </w:rPr>
            </w:pPr>
          </w:p>
        </w:tc>
        <w:tc>
          <w:tcPr>
            <w:tcW w:w="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39.2</w:t>
            </w:r>
          </w:p>
        </w:tc>
        <w:tc>
          <w:tcPr>
            <w:tcW w:w="600" w:type="dxa"/>
            <w:vAlign w:val="bottom"/>
            <w:gridSpan w:val="2"/>
          </w:tcPr>
          <w:p>
            <w:pPr>
              <w:jc w:val="right"/>
              <w:ind w:right="40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233.5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0" w:type="dxa"/>
            <w:vAlign w:val="bottom"/>
          </w:tcPr>
          <w:p>
            <w:pPr>
              <w:spacing w:after="0"/>
              <w:rPr>
                <w:sz w:val="1"/>
                <w:szCs w:val="1"/>
                <w:color w:val="auto"/>
              </w:rPr>
            </w:pPr>
          </w:p>
        </w:tc>
      </w:tr>
      <w:tr>
        <w:trPr>
          <w:trHeight w:val="153"/>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0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53"/>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00" w:type="dxa"/>
            <w:vAlign w:val="bottom"/>
          </w:tcPr>
          <w:p>
            <w:pPr>
              <w:spacing w:after="0"/>
              <w:rPr>
                <w:sz w:val="13"/>
                <w:szCs w:val="13"/>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0" w:type="dxa"/>
            <w:vAlign w:val="bottom"/>
          </w:tcPr>
          <w:p>
            <w:pPr>
              <w:spacing w:after="0"/>
              <w:rPr>
                <w:sz w:val="1"/>
                <w:szCs w:val="1"/>
                <w:color w:val="auto"/>
              </w:rPr>
            </w:pPr>
          </w:p>
        </w:tc>
      </w:tr>
      <w:tr>
        <w:trPr>
          <w:trHeight w:val="153"/>
        </w:trPr>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right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42"/>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w:t>
            </w: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95.3</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80" w:type="dxa"/>
            <w:vAlign w:val="bottom"/>
          </w:tcPr>
          <w:p>
            <w:pPr>
              <w:spacing w:after="0"/>
              <w:rPr>
                <w:sz w:val="12"/>
                <w:szCs w:val="12"/>
                <w:color w:val="auto"/>
              </w:rPr>
            </w:pPr>
          </w:p>
        </w:tc>
        <w:tc>
          <w:tcPr>
            <w:tcW w:w="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58.1</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302.3</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194.4</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92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Three months ended December 31, 2024</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Three months ended December 31, 2023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380"/>
              <w:spacing w:after="0" w:line="142" w:lineRule="exact"/>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82"/>
              <w:spacing w:after="0" w:line="142" w:lineRule="exact"/>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7"/>
              </w:rPr>
              <w:t>$95,286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$354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$95,640</w:t>
            </w:r>
          </w:p>
        </w:tc>
        <w:tc>
          <w:tcPr>
            <w:tcW w:w="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$58,107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02"/>
              <w:spacing w:after="0"/>
              <w:rPr>
                <w:sz w:val="20"/>
                <w:szCs w:val="20"/>
                <w:color w:val="auto"/>
              </w:rPr>
            </w:pPr>
            <w:r>
              <w:rPr>
                <w:rFonts w:ascii="Times New Roman" w:cs="Times New Roman" w:eastAsia="Times New Roman" w:hAnsi="Times New Roman"/>
                <w:sz w:val="12"/>
                <w:szCs w:val="12"/>
                <w:color w:val="auto"/>
                <w:w w:val="99"/>
              </w:rPr>
              <w:t>$(689)</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$57,418</w:t>
            </w:r>
          </w:p>
        </w:tc>
        <w:tc>
          <w:tcPr>
            <w:tcW w:w="0" w:type="dxa"/>
            <w:vAlign w:val="bottom"/>
          </w:tcPr>
          <w:p>
            <w:pPr>
              <w:spacing w:after="0"/>
              <w:rPr>
                <w:sz w:val="1"/>
                <w:szCs w:val="1"/>
                <w:color w:val="auto"/>
              </w:rPr>
            </w:pPr>
          </w:p>
        </w:tc>
      </w:tr>
      <w:tr>
        <w:trPr>
          <w:trHeight w:val="153"/>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70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28,384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28,384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3"/>
          </w:tcPr>
          <w:p>
            <w:pPr>
              <w:jc w:val="center"/>
              <w:ind w:left="300"/>
              <w:spacing w:after="0"/>
              <w:rPr>
                <w:sz w:val="20"/>
                <w:szCs w:val="20"/>
                <w:color w:val="auto"/>
              </w:rPr>
            </w:pPr>
            <w:r>
              <w:rPr>
                <w:rFonts w:ascii="Times New Roman" w:cs="Times New Roman" w:eastAsia="Times New Roman" w:hAnsi="Times New Roman"/>
                <w:sz w:val="12"/>
                <w:szCs w:val="12"/>
                <w:color w:val="auto"/>
                <w:w w:val="96"/>
              </w:rPr>
              <w:t>25,626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18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rPr>
              <w:t>25,626</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 (loss)</w:t>
            </w:r>
          </w:p>
        </w:tc>
        <w:tc>
          <w:tcPr>
            <w:tcW w:w="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7"/>
              </w:rPr>
              <w:t>$66,902</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$354</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$67,256</w:t>
            </w: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$32,481</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center"/>
              <w:ind w:right="102"/>
              <w:spacing w:after="0"/>
              <w:rPr>
                <w:sz w:val="20"/>
                <w:szCs w:val="20"/>
                <w:color w:val="auto"/>
              </w:rPr>
            </w:pPr>
            <w:r>
              <w:rPr>
                <w:rFonts w:ascii="Times New Roman" w:cs="Times New Roman" w:eastAsia="Times New Roman" w:hAnsi="Times New Roman"/>
                <w:sz w:val="12"/>
                <w:szCs w:val="12"/>
                <w:color w:val="auto"/>
                <w:w w:val="99"/>
              </w:rPr>
              <w:t>$(689)</w:t>
            </w: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$31,792</w:t>
            </w:r>
          </w:p>
        </w:tc>
        <w:tc>
          <w:tcPr>
            <w:tcW w:w="0" w:type="dxa"/>
            <w:vAlign w:val="bottom"/>
          </w:tcPr>
          <w:p>
            <w:pPr>
              <w:spacing w:after="0"/>
              <w:rPr>
                <w:sz w:val="1"/>
                <w:szCs w:val="1"/>
                <w:color w:val="auto"/>
              </w:rPr>
            </w:pPr>
          </w:p>
        </w:tc>
      </w:tr>
      <w:tr>
        <w:trPr>
          <w:trHeight w:val="155"/>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70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6"/>
              </w:rPr>
              <w:t>70.2%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70.3%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3"/>
          </w:tcPr>
          <w:p>
            <w:pPr>
              <w:jc w:val="center"/>
              <w:ind w:left="300"/>
              <w:spacing w:after="0"/>
              <w:rPr>
                <w:sz w:val="20"/>
                <w:szCs w:val="20"/>
                <w:color w:val="auto"/>
              </w:rPr>
            </w:pPr>
            <w:r>
              <w:rPr>
                <w:rFonts w:ascii="Times New Roman" w:cs="Times New Roman" w:eastAsia="Times New Roman" w:hAnsi="Times New Roman"/>
                <w:sz w:val="12"/>
                <w:szCs w:val="12"/>
                <w:color w:val="auto"/>
              </w:rPr>
              <w:t>55.9%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6"/>
              </w:rPr>
              <w:t>55.4%</w:t>
            </w:r>
          </w:p>
        </w:tc>
        <w:tc>
          <w:tcPr>
            <w:tcW w:w="0" w:type="dxa"/>
            <w:vAlign w:val="bottom"/>
          </w:tcPr>
          <w:p>
            <w:pPr>
              <w:spacing w:after="0"/>
              <w:rPr>
                <w:sz w:val="1"/>
                <w:szCs w:val="1"/>
                <w:color w:val="auto"/>
              </w:rPr>
            </w:pPr>
          </w:p>
        </w:tc>
      </w:tr>
      <w:tr>
        <w:trPr>
          <w:trHeight w:val="331"/>
        </w:trPr>
        <w:tc>
          <w:tcPr>
            <w:tcW w:w="2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Year ended December 31, 2024</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Year ended December 31, 2023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380"/>
              <w:spacing w:after="0" w:line="142" w:lineRule="exact"/>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82"/>
              <w:spacing w:after="0" w:line="142" w:lineRule="exact"/>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$302,293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$3,157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$305,450</w:t>
            </w:r>
          </w:p>
        </w:tc>
        <w:tc>
          <w:tcPr>
            <w:tcW w:w="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w w:val="97"/>
              </w:rPr>
              <w:t>$194,376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02"/>
              <w:spacing w:after="0"/>
              <w:rPr>
                <w:sz w:val="20"/>
                <w:szCs w:val="20"/>
                <w:color w:val="auto"/>
              </w:rPr>
            </w:pPr>
            <w:r>
              <w:rPr>
                <w:rFonts w:ascii="Times New Roman" w:cs="Times New Roman" w:eastAsia="Times New Roman" w:hAnsi="Times New Roman"/>
                <w:sz w:val="12"/>
                <w:szCs w:val="12"/>
                <w:color w:val="auto"/>
                <w:w w:val="96"/>
              </w:rPr>
              <w:t>$8,190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rPr>
              <w:t>$202,566</w:t>
            </w:r>
          </w:p>
        </w:tc>
        <w:tc>
          <w:tcPr>
            <w:tcW w:w="0" w:type="dxa"/>
            <w:vAlign w:val="bottom"/>
          </w:tcPr>
          <w:p>
            <w:pPr>
              <w:spacing w:after="0"/>
              <w:rPr>
                <w:sz w:val="1"/>
                <w:szCs w:val="1"/>
                <w:color w:val="auto"/>
              </w:rPr>
            </w:pPr>
          </w:p>
        </w:tc>
      </w:tr>
      <w:tr>
        <w:trPr>
          <w:trHeight w:val="153"/>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70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7"/>
              </w:rPr>
              <w:t>106,376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9"/>
              </w:rPr>
              <w:t>145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106,521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3"/>
          </w:tcPr>
          <w:p>
            <w:pPr>
              <w:jc w:val="center"/>
              <w:ind w:left="300"/>
              <w:spacing w:after="0"/>
              <w:rPr>
                <w:sz w:val="20"/>
                <w:szCs w:val="20"/>
                <w:color w:val="auto"/>
              </w:rPr>
            </w:pPr>
            <w:r>
              <w:rPr>
                <w:rFonts w:ascii="Times New Roman" w:cs="Times New Roman" w:eastAsia="Times New Roman" w:hAnsi="Times New Roman"/>
                <w:sz w:val="12"/>
                <w:szCs w:val="12"/>
                <w:color w:val="auto"/>
              </w:rPr>
              <w:t>106,983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gridSpan w:val="2"/>
          </w:tcPr>
          <w:p>
            <w:pPr>
              <w:jc w:val="center"/>
              <w:ind w:right="102"/>
              <w:spacing w:after="0"/>
              <w:rPr>
                <w:sz w:val="20"/>
                <w:szCs w:val="20"/>
                <w:color w:val="auto"/>
              </w:rPr>
            </w:pPr>
            <w:r>
              <w:rPr>
                <w:rFonts w:ascii="Times New Roman" w:cs="Times New Roman" w:eastAsia="Times New Roman" w:hAnsi="Times New Roman"/>
                <w:sz w:val="12"/>
                <w:szCs w:val="12"/>
                <w:color w:val="auto"/>
              </w:rPr>
              <w:t>2,305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7"/>
              </w:rPr>
              <w:t>109,288</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 (loss)</w:t>
            </w:r>
          </w:p>
        </w:tc>
        <w:tc>
          <w:tcPr>
            <w:tcW w:w="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$195,917</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$3,012</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$198,929</w:t>
            </w: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$87,393</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center"/>
              <w:ind w:right="102"/>
              <w:spacing w:after="0"/>
              <w:rPr>
                <w:sz w:val="20"/>
                <w:szCs w:val="20"/>
                <w:color w:val="auto"/>
              </w:rPr>
            </w:pPr>
            <w:r>
              <w:rPr>
                <w:rFonts w:ascii="Times New Roman" w:cs="Times New Roman" w:eastAsia="Times New Roman" w:hAnsi="Times New Roman"/>
                <w:sz w:val="12"/>
                <w:szCs w:val="12"/>
                <w:color w:val="auto"/>
                <w:w w:val="96"/>
              </w:rPr>
              <w:t>$5,885</w:t>
            </w: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$93,278</w:t>
            </w:r>
          </w:p>
        </w:tc>
        <w:tc>
          <w:tcPr>
            <w:tcW w:w="0" w:type="dxa"/>
            <w:vAlign w:val="bottom"/>
          </w:tcPr>
          <w:p>
            <w:pPr>
              <w:spacing w:after="0"/>
              <w:rPr>
                <w:sz w:val="1"/>
                <w:szCs w:val="1"/>
                <w:color w:val="auto"/>
              </w:rPr>
            </w:pPr>
          </w:p>
        </w:tc>
      </w:tr>
      <w:tr>
        <w:trPr>
          <w:trHeight w:val="155"/>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70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6"/>
              </w:rPr>
              <w:t>64.8%</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65.1%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3"/>
          </w:tcPr>
          <w:p>
            <w:pPr>
              <w:jc w:val="center"/>
              <w:ind w:left="300"/>
              <w:spacing w:after="0"/>
              <w:rPr>
                <w:sz w:val="20"/>
                <w:szCs w:val="20"/>
                <w:color w:val="auto"/>
              </w:rPr>
            </w:pPr>
            <w:r>
              <w:rPr>
                <w:rFonts w:ascii="Times New Roman" w:cs="Times New Roman" w:eastAsia="Times New Roman" w:hAnsi="Times New Roman"/>
                <w:sz w:val="12"/>
                <w:szCs w:val="12"/>
                <w:color w:val="auto"/>
              </w:rPr>
              <w:t>45.0%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6"/>
              </w:rPr>
              <w:t>46.0%</w:t>
            </w:r>
          </w:p>
        </w:tc>
        <w:tc>
          <w:tcPr>
            <w:tcW w:w="0" w:type="dxa"/>
            <w:vAlign w:val="bottom"/>
          </w:tcPr>
          <w:p>
            <w:pPr>
              <w:spacing w:after="0"/>
              <w:rPr>
                <w:sz w:val="1"/>
                <w:szCs w:val="1"/>
                <w:color w:val="auto"/>
              </w:rPr>
            </w:pPr>
          </w:p>
        </w:tc>
      </w:tr>
      <w:tr>
        <w:trPr>
          <w:trHeight w:val="340"/>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2024</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340"/>
              <w:spacing w:after="0" w:line="142" w:lineRule="exact"/>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7"/>
              </w:rPr>
              <w:t>$76,622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$252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7"/>
              </w:rPr>
              <w:t>$76,874</w:t>
            </w:r>
          </w:p>
        </w:tc>
        <w:tc>
          <w:tcPr>
            <w:tcW w:w="6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27,370</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27,370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 (loss)</w:t>
            </w: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7"/>
              </w:rPr>
              <w:t>$49,252</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$252</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7"/>
              </w:rPr>
              <w:t>$49,504</w:t>
            </w: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64.3%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6"/>
              </w:rPr>
              <w:t>64.4%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08" w:hanging="208"/>
        <w:spacing w:after="0"/>
        <w:tabs>
          <w:tab w:leader="none" w:pos="208"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revenue and costs associated with the Legacy Sema4 diagnostic testing business.</w:t>
      </w:r>
    </w:p>
    <w:p>
      <w:pPr>
        <w:sectPr>
          <w:pgSz w:w="11900" w:h="16838" w:orient="portrait"/>
          <w:cols w:equalWidth="0" w:num="1">
            <w:col w:w="11308"/>
          </w:cols>
          <w:pgMar w:left="292" w:top="669"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4"/>
        </w:trPr>
        <w:tc>
          <w:tcPr>
            <w:tcW w:w="2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 December 31, 2024</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5"/>
              </w:rPr>
              <w:t>Depreciation and</w:t>
            </w:r>
          </w:p>
        </w:tc>
        <w:tc>
          <w:tcPr>
            <w:tcW w:w="60" w:type="dxa"/>
            <w:vAlign w:val="bottom"/>
          </w:tcPr>
          <w:p>
            <w:pPr>
              <w:spacing w:after="0"/>
              <w:rPr>
                <w:sz w:val="7"/>
                <w:szCs w:val="7"/>
                <w:color w:val="auto"/>
              </w:rPr>
            </w:pPr>
          </w:p>
        </w:tc>
        <w:tc>
          <w:tcPr>
            <w:tcW w:w="12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b w:val="1"/>
                <w:bCs w:val="1"/>
                <w:color w:val="auto"/>
                <w:w w:val="97"/>
              </w:rPr>
              <w:t>Stock-based compensation</w:t>
            </w:r>
          </w:p>
        </w:tc>
        <w:tc>
          <w:tcPr>
            <w:tcW w:w="14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Pr>
          <w:p>
            <w:pPr>
              <w:spacing w:after="0"/>
              <w:rPr>
                <w:sz w:val="7"/>
                <w:szCs w:val="7"/>
                <w:color w:val="auto"/>
              </w:rPr>
            </w:pPr>
          </w:p>
        </w:tc>
        <w:tc>
          <w:tcPr>
            <w:tcW w:w="12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60" w:type="dxa"/>
            <w:vAlign w:val="bottom"/>
          </w:tcPr>
          <w:p>
            <w:pPr>
              <w:spacing w:after="0"/>
              <w:rPr>
                <w:sz w:val="7"/>
                <w:szCs w:val="7"/>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7"/>
                <w:szCs w:val="7"/>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60" w:type="dxa"/>
            <w:vAlign w:val="bottom"/>
          </w:tcPr>
          <w:p>
            <w:pPr>
              <w:spacing w:after="0"/>
              <w:rPr>
                <w:sz w:val="11"/>
                <w:szCs w:val="1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Diagnostic test revenue</w:t>
            </w:r>
          </w:p>
        </w:tc>
        <w:tc>
          <w:tcPr>
            <w:tcW w:w="86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94,196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94,196</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8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95,640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95,640</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29,435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28,384</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8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66,205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928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67,256</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69.2 %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70.3 %</w:t>
            </w:r>
          </w:p>
        </w:tc>
        <w:tc>
          <w:tcPr>
            <w:tcW w:w="0" w:type="dxa"/>
            <w:vAlign w:val="bottom"/>
          </w:tcPr>
          <w:p>
            <w:pPr>
              <w:spacing w:after="0"/>
              <w:rPr>
                <w:sz w:val="1"/>
                <w:szCs w:val="1"/>
                <w:color w:val="auto"/>
              </w:rPr>
            </w:pPr>
          </w:p>
        </w:tc>
      </w:tr>
      <w:tr>
        <w:trPr>
          <w:trHeight w:val="150"/>
        </w:trPr>
        <w:tc>
          <w:tcPr>
            <w:tcW w:w="2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17,676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16,074</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22,110</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785</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Profit from operations</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8,806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5,558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17,501</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(698)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(698)</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6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5,438</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5,558</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1,980</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666</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16,779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 December 31, 2023</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w w:val="95"/>
              </w:rPr>
              <w:t>Depreciation and</w:t>
            </w:r>
          </w:p>
        </w:tc>
        <w:tc>
          <w:tcPr>
            <w:tcW w:w="60" w:type="dxa"/>
            <w:vAlign w:val="bottom"/>
          </w:tcPr>
          <w:p>
            <w:pPr>
              <w:spacing w:after="0"/>
              <w:rPr>
                <w:sz w:val="7"/>
                <w:szCs w:val="7"/>
                <w:color w:val="auto"/>
              </w:rPr>
            </w:pPr>
          </w:p>
        </w:tc>
        <w:tc>
          <w:tcPr>
            <w:tcW w:w="122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10"/>
                <w:szCs w:val="10"/>
                <w:b w:val="1"/>
                <w:bCs w:val="1"/>
                <w:color w:val="auto"/>
                <w:w w:val="97"/>
              </w:rPr>
              <w:t>Stock-based compensation</w:t>
            </w:r>
          </w:p>
        </w:tc>
        <w:tc>
          <w:tcPr>
            <w:tcW w:w="14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Pr>
          <w:p>
            <w:pPr>
              <w:spacing w:after="0"/>
              <w:rPr>
                <w:sz w:val="7"/>
                <w:szCs w:val="7"/>
                <w:color w:val="auto"/>
              </w:rPr>
            </w:pPr>
          </w:p>
        </w:tc>
        <w:tc>
          <w:tcPr>
            <w:tcW w:w="12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Change in FV of financial</w:t>
            </w:r>
          </w:p>
        </w:tc>
        <w:tc>
          <w:tcPr>
            <w:tcW w:w="260" w:type="dxa"/>
            <w:vAlign w:val="bottom"/>
          </w:tcPr>
          <w:p>
            <w:pPr>
              <w:spacing w:after="0"/>
              <w:rPr>
                <w:sz w:val="7"/>
                <w:szCs w:val="7"/>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7"/>
                <w:szCs w:val="7"/>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60" w:type="dxa"/>
            <w:vAlign w:val="bottom"/>
          </w:tcPr>
          <w:p>
            <w:pPr>
              <w:spacing w:after="0"/>
              <w:rPr>
                <w:sz w:val="11"/>
                <w:szCs w:val="1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Diagnostic test revenue</w:t>
            </w:r>
          </w:p>
        </w:tc>
        <w:tc>
          <w:tcPr>
            <w:tcW w:w="84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55,214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55,214</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2,204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2,204</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57,418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57,418</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25,626</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30,754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915</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31,792</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55.4 %</w:t>
            </w:r>
          </w:p>
        </w:tc>
        <w:tc>
          <w:tcPr>
            <w:tcW w:w="0" w:type="dxa"/>
            <w:vAlign w:val="bottom"/>
          </w:tcPr>
          <w:p>
            <w:pPr>
              <w:spacing w:after="0"/>
              <w:rPr>
                <w:sz w:val="1"/>
                <w:szCs w:val="1"/>
                <w:color w:val="auto"/>
              </w:rPr>
            </w:pPr>
          </w:p>
        </w:tc>
      </w:tr>
      <w:tr>
        <w:trPr>
          <w:trHeight w:val="150"/>
        </w:trPr>
        <w:tc>
          <w:tcPr>
            <w:tcW w:w="2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12,349</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15,559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14,917</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21,039</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687</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93"/>
              </w:rPr>
              <w:t>(25,643)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6,094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(17,200)</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(978)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(978)</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0"/>
                <w:szCs w:val="10"/>
                <w:color w:val="auto"/>
                <w:w w:val="92"/>
              </w:rPr>
              <w:t>(485)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411</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93"/>
              </w:rPr>
              <w:t>(25,773)</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6,094</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1,984</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0"/>
                <w:szCs w:val="10"/>
                <w:color w:val="auto"/>
                <w:w w:val="92"/>
              </w:rPr>
              <w:t>(485)</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1,325</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(17,767)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690" w:right="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For the year ended December 31, 2024</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5"/>
              </w:rPr>
              <w:t>Depreciation and</w:t>
            </w:r>
          </w:p>
        </w:tc>
        <w:tc>
          <w:tcPr>
            <w:tcW w:w="60" w:type="dxa"/>
            <w:vAlign w:val="bottom"/>
          </w:tcPr>
          <w:p>
            <w:pPr>
              <w:spacing w:after="0"/>
              <w:rPr>
                <w:sz w:val="7"/>
                <w:szCs w:val="7"/>
                <w:color w:val="auto"/>
              </w:rPr>
            </w:pPr>
          </w:p>
        </w:tc>
        <w:tc>
          <w:tcPr>
            <w:tcW w:w="12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b w:val="1"/>
                <w:bCs w:val="1"/>
                <w:color w:val="auto"/>
                <w:w w:val="97"/>
              </w:rPr>
              <w:t>Stock-based compensation</w:t>
            </w:r>
          </w:p>
        </w:tc>
        <w:tc>
          <w:tcPr>
            <w:tcW w:w="14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Pr>
          <w:p>
            <w:pPr>
              <w:spacing w:after="0"/>
              <w:rPr>
                <w:sz w:val="7"/>
                <w:szCs w:val="7"/>
                <w:color w:val="auto"/>
              </w:rPr>
            </w:pPr>
          </w:p>
        </w:tc>
        <w:tc>
          <w:tcPr>
            <w:tcW w:w="12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60" w:type="dxa"/>
            <w:vAlign w:val="bottom"/>
          </w:tcPr>
          <w:p>
            <w:pPr>
              <w:spacing w:after="0"/>
              <w:rPr>
                <w:sz w:val="7"/>
                <w:szCs w:val="7"/>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7"/>
                <w:szCs w:val="7"/>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60" w:type="dxa"/>
            <w:vAlign w:val="bottom"/>
          </w:tcPr>
          <w:p>
            <w:pPr>
              <w:spacing w:after="0"/>
              <w:rPr>
                <w:sz w:val="11"/>
                <w:szCs w:val="1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Diagnostic test revenue</w:t>
            </w:r>
          </w:p>
        </w:tc>
        <w:tc>
          <w:tcPr>
            <w:tcW w:w="84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2"/>
              </w:rPr>
              <w:t>302,157</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302,157</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3,293</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2"/>
              </w:rPr>
              <w:t>305,450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305,450</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2"/>
              </w:rPr>
              <w:t>111,053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106,521</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2"/>
              </w:rPr>
              <w:t>194,397</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4,047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198,929</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63.6 %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65.1 %</w:t>
            </w:r>
          </w:p>
        </w:tc>
        <w:tc>
          <w:tcPr>
            <w:tcW w:w="0" w:type="dxa"/>
            <w:vAlign w:val="bottom"/>
          </w:tcPr>
          <w:p>
            <w:pPr>
              <w:spacing w:after="0"/>
              <w:rPr>
                <w:sz w:val="1"/>
                <w:szCs w:val="1"/>
                <w:color w:val="auto"/>
              </w:rPr>
            </w:pPr>
          </w:p>
        </w:tc>
      </w:tr>
      <w:tr>
        <w:trPr>
          <w:trHeight w:val="150"/>
        </w:trPr>
        <w:tc>
          <w:tcPr>
            <w:tcW w:w="2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45,722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43,456</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67,371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60,834</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4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2"/>
              </w:rPr>
              <w:t>101,110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(12,083)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81,602</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3,407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3,407</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Profit (loss) from operations</w:t>
            </w: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93"/>
              </w:rPr>
              <w:t>(23,213)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21,953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9,138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9,630</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(3,032)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(3,032)</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40" w:type="dxa"/>
            <w:vAlign w:val="bottom"/>
          </w:tcPr>
          <w:p>
            <w:pPr>
              <w:spacing w:after="0"/>
              <w:rPr>
                <w:sz w:val="11"/>
                <w:szCs w:val="11"/>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3"/>
              </w:rPr>
              <w:t>(26,384)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12,789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8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93"/>
              </w:rPr>
              <w:t>(52,286)</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21,953</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9,138</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13,370</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12,789</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6,716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For the year ended December 31, 2023</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60" w:type="dxa"/>
            <w:vAlign w:val="bottom"/>
          </w:tcPr>
          <w:p>
            <w:pPr>
              <w:spacing w:after="0"/>
              <w:rPr>
                <w:sz w:val="7"/>
                <w:szCs w:val="7"/>
                <w:color w:val="auto"/>
              </w:rPr>
            </w:pPr>
          </w:p>
        </w:tc>
        <w:tc>
          <w:tcPr>
            <w:tcW w:w="112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w w:val="95"/>
              </w:rPr>
              <w:t>Depreciation and</w:t>
            </w:r>
          </w:p>
        </w:tc>
        <w:tc>
          <w:tcPr>
            <w:tcW w:w="60" w:type="dxa"/>
            <w:vAlign w:val="bottom"/>
          </w:tcPr>
          <w:p>
            <w:pPr>
              <w:spacing w:after="0"/>
              <w:rPr>
                <w:sz w:val="7"/>
                <w:szCs w:val="7"/>
                <w:color w:val="auto"/>
              </w:rPr>
            </w:pPr>
          </w:p>
        </w:tc>
        <w:tc>
          <w:tcPr>
            <w:tcW w:w="122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10"/>
                <w:szCs w:val="10"/>
                <w:b w:val="1"/>
                <w:bCs w:val="1"/>
                <w:color w:val="auto"/>
                <w:w w:val="97"/>
              </w:rPr>
              <w:t>Stock-based compensation</w:t>
            </w:r>
          </w:p>
        </w:tc>
        <w:tc>
          <w:tcPr>
            <w:tcW w:w="14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Pr>
          <w:p>
            <w:pPr>
              <w:spacing w:after="0"/>
              <w:rPr>
                <w:sz w:val="7"/>
                <w:szCs w:val="7"/>
                <w:color w:val="auto"/>
              </w:rPr>
            </w:pPr>
          </w:p>
        </w:tc>
        <w:tc>
          <w:tcPr>
            <w:tcW w:w="12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Change in FV of financial</w:t>
            </w:r>
          </w:p>
        </w:tc>
        <w:tc>
          <w:tcPr>
            <w:tcW w:w="260" w:type="dxa"/>
            <w:vAlign w:val="bottom"/>
          </w:tcPr>
          <w:p>
            <w:pPr>
              <w:spacing w:after="0"/>
              <w:rPr>
                <w:sz w:val="7"/>
                <w:szCs w:val="7"/>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7"/>
                <w:szCs w:val="7"/>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60" w:type="dxa"/>
            <w:vAlign w:val="bottom"/>
          </w:tcPr>
          <w:p>
            <w:pPr>
              <w:spacing w:after="0"/>
              <w:rPr>
                <w:sz w:val="11"/>
                <w:szCs w:val="1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Diagnostic test revenue</w:t>
            </w: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195,654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195,654</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6,912</w:t>
            </w:r>
          </w:p>
        </w:tc>
        <w:tc>
          <w:tcPr>
            <w:tcW w:w="0" w:type="dxa"/>
            <w:vAlign w:val="bottom"/>
          </w:tcPr>
          <w:p>
            <w:pPr>
              <w:spacing w:after="0"/>
              <w:rPr>
                <w:sz w:val="1"/>
                <w:szCs w:val="1"/>
                <w:color w:val="auto"/>
              </w:rPr>
            </w:pPr>
          </w:p>
        </w:tc>
      </w:tr>
      <w:tr>
        <w:trPr>
          <w:trHeight w:val="130"/>
        </w:trPr>
        <w:tc>
          <w:tcPr>
            <w:tcW w:w="218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202,566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202,566</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112,560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109,288</w:t>
            </w:r>
          </w:p>
        </w:tc>
        <w:tc>
          <w:tcPr>
            <w:tcW w:w="0" w:type="dxa"/>
            <w:vAlign w:val="bottom"/>
          </w:tcPr>
          <w:p>
            <w:pPr>
              <w:spacing w:after="0"/>
              <w:rPr>
                <w:sz w:val="1"/>
                <w:szCs w:val="1"/>
                <w:color w:val="auto"/>
              </w:rPr>
            </w:pPr>
          </w:p>
        </w:tc>
      </w:tr>
      <w:tr>
        <w:trPr>
          <w:trHeight w:val="130"/>
        </w:trPr>
        <w:tc>
          <w:tcPr>
            <w:tcW w:w="218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90,006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4,350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(1,217)</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93,278</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46.0 %</w:t>
            </w: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58,266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50,965</w:t>
            </w: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60,956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55,949</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133,755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(17,772)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109,395</w:t>
            </w: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Impairment loss</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10,402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(10,402)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Other, net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5,266</w:t>
            </w: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2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(180,596)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33,734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12,359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(128,297)</w:t>
            </w:r>
          </w:p>
        </w:tc>
        <w:tc>
          <w:tcPr>
            <w:tcW w:w="0" w:type="dxa"/>
            <w:vAlign w:val="bottom"/>
          </w:tcPr>
          <w:p>
            <w:pPr>
              <w:spacing w:after="0"/>
              <w:rPr>
                <w:sz w:val="1"/>
                <w:szCs w:val="1"/>
                <w:color w:val="auto"/>
              </w:rPr>
            </w:pPr>
          </w:p>
        </w:tc>
      </w:tr>
      <w:tr>
        <w:trPr>
          <w:trHeight w:val="150"/>
        </w:trPr>
        <w:tc>
          <w:tcPr>
            <w:tcW w:w="2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w:t>
            </w: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0"/>
                <w:szCs w:val="10"/>
                <w:color w:val="auto"/>
                <w:w w:val="95"/>
              </w:rPr>
              <w:t>(1,170)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926</w:t>
            </w:r>
          </w:p>
        </w:tc>
        <w:tc>
          <w:tcPr>
            <w:tcW w:w="0" w:type="dxa"/>
            <w:vAlign w:val="bottom"/>
          </w:tcPr>
          <w:p>
            <w:pPr>
              <w:spacing w:after="0"/>
              <w:rPr>
                <w:sz w:val="1"/>
                <w:szCs w:val="1"/>
                <w:color w:val="auto"/>
              </w:rPr>
            </w:pPr>
          </w:p>
        </w:tc>
      </w:tr>
      <w:tr>
        <w:trPr>
          <w:trHeight w:val="146"/>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(175,767)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33,734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0"/>
                <w:szCs w:val="10"/>
                <w:color w:val="auto"/>
                <w:w w:val="95"/>
              </w:rPr>
              <w:t>(1,170)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(126,257)</w:t>
            </w:r>
          </w:p>
        </w:tc>
        <w:tc>
          <w:tcPr>
            <w:tcW w:w="0" w:type="dxa"/>
            <w:vAlign w:val="bottom"/>
          </w:tcPr>
          <w:p>
            <w:pPr>
              <w:spacing w:after="0"/>
              <w:rPr>
                <w:sz w:val="1"/>
                <w:szCs w:val="1"/>
                <w:color w:val="auto"/>
              </w:rPr>
            </w:pPr>
          </w:p>
        </w:tc>
      </w:tr>
    </w:tbl>
    <w:p>
      <w:pPr>
        <w:sectPr>
          <w:pgSz w:w="11900" w:h="16838" w:orient="portrait"/>
          <w:cols w:equalWidth="0" w:num="1">
            <w:col w:w="11300"/>
          </w:cols>
          <w:pgMar w:left="300" w:top="690"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For the three months ended September 30, 2024</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5"/>
              </w:rPr>
              <w:t>Depreciation and</w:t>
            </w:r>
          </w:p>
        </w:tc>
        <w:tc>
          <w:tcPr>
            <w:tcW w:w="60" w:type="dxa"/>
            <w:vAlign w:val="bottom"/>
          </w:tcPr>
          <w:p>
            <w:pPr>
              <w:spacing w:after="0"/>
              <w:rPr>
                <w:sz w:val="7"/>
                <w:szCs w:val="7"/>
                <w:color w:val="auto"/>
              </w:rPr>
            </w:pPr>
          </w:p>
        </w:tc>
        <w:tc>
          <w:tcPr>
            <w:tcW w:w="12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b w:val="1"/>
                <w:bCs w:val="1"/>
                <w:color w:val="auto"/>
                <w:w w:val="97"/>
              </w:rPr>
              <w:t>Stock-based compensation</w:t>
            </w:r>
          </w:p>
        </w:tc>
        <w:tc>
          <w:tcPr>
            <w:tcW w:w="140" w:type="dxa"/>
            <w:vAlign w:val="bottom"/>
          </w:tcPr>
          <w:p>
            <w:pPr>
              <w:spacing w:after="0"/>
              <w:rPr>
                <w:sz w:val="7"/>
                <w:szCs w:val="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Pr>
          <w:p>
            <w:pPr>
              <w:spacing w:after="0"/>
              <w:rPr>
                <w:sz w:val="7"/>
                <w:szCs w:val="7"/>
                <w:color w:val="auto"/>
              </w:rPr>
            </w:pPr>
          </w:p>
        </w:tc>
        <w:tc>
          <w:tcPr>
            <w:tcW w:w="12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60" w:type="dxa"/>
            <w:vAlign w:val="bottom"/>
          </w:tcPr>
          <w:p>
            <w:pPr>
              <w:spacing w:after="0"/>
              <w:rPr>
                <w:sz w:val="7"/>
                <w:szCs w:val="7"/>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60" w:type="dxa"/>
            <w:vAlign w:val="bottom"/>
          </w:tcPr>
          <w:p>
            <w:pPr>
              <w:spacing w:after="0"/>
              <w:rPr>
                <w:sz w:val="7"/>
                <w:szCs w:val="7"/>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60" w:type="dxa"/>
            <w:vAlign w:val="bottom"/>
          </w:tcPr>
          <w:p>
            <w:pPr>
              <w:spacing w:after="0"/>
              <w:rPr>
                <w:sz w:val="11"/>
                <w:szCs w:val="1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Diagnostic test revenue</w:t>
            </w:r>
          </w:p>
        </w:tc>
        <w:tc>
          <w:tcPr>
            <w:tcW w:w="86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77,418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77,418</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6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8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76,874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76,874</w:t>
            </w: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29,045</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(1,495)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27,370</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47,829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1,495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49,504</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64.4 %</w:t>
            </w:r>
          </w:p>
        </w:tc>
        <w:tc>
          <w:tcPr>
            <w:tcW w:w="0" w:type="dxa"/>
            <w:vAlign w:val="bottom"/>
          </w:tcPr>
          <w:p>
            <w:pPr>
              <w:spacing w:after="0"/>
              <w:rPr>
                <w:sz w:val="1"/>
                <w:szCs w:val="1"/>
                <w:color w:val="auto"/>
              </w:rPr>
            </w:pPr>
          </w:p>
        </w:tc>
      </w:tr>
      <w:tr>
        <w:trPr>
          <w:trHeight w:val="150"/>
        </w:trPr>
        <w:tc>
          <w:tcPr>
            <w:tcW w:w="2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10,906</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17,025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15,351</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26,145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2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20,319</w:t>
            </w: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Profit (loss) from operations</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5,929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2,154</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6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0"/>
                <w:szCs w:val="10"/>
                <w:color w:val="auto"/>
                <w:w w:val="88"/>
              </w:rPr>
              <w:t>(1,327)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8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(8,312)</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5,929</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0"/>
                <w:szCs w:val="10"/>
                <w:color w:val="auto"/>
                <w:w w:val="88"/>
              </w:rPr>
              <w:t>(1,327)</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690"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3"/>
        </w:trPr>
        <w:tc>
          <w:tcPr>
            <w:tcW w:w="8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8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85,212</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99,681</w:t>
            </w:r>
          </w:p>
        </w:tc>
      </w:tr>
      <w:tr>
        <w:trPr>
          <w:trHeight w:val="153"/>
        </w:trPr>
        <w:tc>
          <w:tcPr>
            <w:tcW w:w="8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Marketable securities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55,973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30,467</w:t>
            </w:r>
          </w:p>
        </w:tc>
      </w:tr>
      <w:tr>
        <w:trPr>
          <w:trHeight w:val="153"/>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receivable</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37,426</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32,371</w:t>
            </w:r>
          </w:p>
        </w:tc>
      </w:tr>
      <w:tr>
        <w:trPr>
          <w:trHeight w:val="153"/>
        </w:trPr>
        <w:tc>
          <w:tcPr>
            <w:tcW w:w="8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r>
      <w:tr>
        <w:trPr>
          <w:trHeight w:val="153"/>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Inventory, net</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10,650</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8,777</w:t>
            </w:r>
          </w:p>
        </w:tc>
      </w:tr>
      <w:tr>
        <w:trPr>
          <w:trHeight w:val="153"/>
        </w:trPr>
        <w:tc>
          <w:tcPr>
            <w:tcW w:w="8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8,504</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10,598</w:t>
            </w:r>
          </w:p>
        </w:tc>
      </w:tr>
      <w:tr>
        <w:trPr>
          <w:trHeight w:val="142"/>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current assets</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197,968</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182,339</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25,613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26,900</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32,893</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32,479</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158,600</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172,625</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8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4,413</w:t>
            </w:r>
          </w:p>
        </w:tc>
      </w:tr>
      <w:tr>
        <w:trPr>
          <w:trHeight w:val="158"/>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Total assets</w:t>
            </w:r>
          </w:p>
        </w:tc>
        <w:tc>
          <w:tcPr>
            <w:tcW w:w="8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419,380</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418,756</w:t>
            </w:r>
          </w:p>
        </w:tc>
      </w:tr>
      <w:tr>
        <w:trPr>
          <w:trHeight w:val="135"/>
        </w:trPr>
        <w:tc>
          <w:tcPr>
            <w:tcW w:w="8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8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30,044</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37,456</w:t>
            </w: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Due to related parties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w:t>
            </w: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3,647</w:t>
            </w:r>
          </w:p>
        </w:tc>
      </w:tr>
      <w:tr>
        <w:trPr>
          <w:trHeight w:val="15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19,830</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16,336</w:t>
            </w:r>
          </w:p>
        </w:tc>
      </w:tr>
      <w:tr>
        <w:trPr>
          <w:trHeight w:val="142"/>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54,817</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58,818</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51,913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52,688</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60,919</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62,938</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5,519</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14,735</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8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1,560</w:t>
            </w:r>
          </w:p>
        </w:tc>
      </w:tr>
      <w:tr>
        <w:trPr>
          <w:trHeight w:val="142"/>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liabilities</w:t>
            </w: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174,133</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190,739</w:t>
            </w:r>
          </w:p>
        </w:tc>
      </w:tr>
      <w:tr>
        <w:trPr>
          <w:trHeight w:val="133"/>
        </w:trPr>
        <w:tc>
          <w:tcPr>
            <w:tcW w:w="8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8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Preferred stock</w:t>
            </w:r>
          </w:p>
        </w:tc>
        <w:tc>
          <w:tcPr>
            <w:tcW w:w="8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Class A common stock</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1,596,889</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1,527,778</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(1,352,474)</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(1,300,188)</w:t>
            </w:r>
          </w:p>
        </w:tc>
      </w:tr>
      <w:tr>
        <w:trPr>
          <w:trHeight w:val="153"/>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w:t>
            </w:r>
          </w:p>
        </w:tc>
      </w:tr>
      <w:tr>
        <w:trPr>
          <w:trHeight w:val="142"/>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8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245,247</w:t>
            </w: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228,017</w:t>
            </w:r>
          </w:p>
        </w:tc>
      </w:tr>
      <w:tr>
        <w:trPr>
          <w:trHeight w:val="142"/>
        </w:trPr>
        <w:tc>
          <w:tcPr>
            <w:tcW w:w="84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8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419,380</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418,756</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65"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r>
      <w:tr>
        <w:trPr>
          <w:trHeight w:val="133"/>
        </w:trPr>
        <w:tc>
          <w:tcPr>
            <w:tcW w:w="8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8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302,157</w:t>
            </w:r>
          </w:p>
        </w:tc>
        <w:tc>
          <w:tcPr>
            <w:tcW w:w="6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195,654</w:t>
            </w:r>
          </w:p>
        </w:tc>
      </w:tr>
      <w:tr>
        <w:trPr>
          <w:trHeight w:val="153"/>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3,293</w:t>
            </w: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6,912</w:t>
            </w:r>
          </w:p>
        </w:tc>
      </w:tr>
      <w:tr>
        <w:trPr>
          <w:trHeight w:val="142"/>
        </w:trPr>
        <w:tc>
          <w:tcPr>
            <w:tcW w:w="8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305,450</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202,566</w:t>
            </w:r>
          </w:p>
        </w:tc>
      </w:tr>
      <w:tr>
        <w:trPr>
          <w:trHeight w:val="14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8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111,053</w:t>
            </w:r>
          </w:p>
        </w:tc>
        <w:tc>
          <w:tcPr>
            <w:tcW w:w="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112,560</w:t>
            </w:r>
          </w:p>
        </w:tc>
      </w:tr>
      <w:tr>
        <w:trPr>
          <w:trHeight w:val="142"/>
        </w:trPr>
        <w:tc>
          <w:tcPr>
            <w:tcW w:w="8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194,397</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90,006</w:t>
            </w:r>
          </w:p>
        </w:tc>
      </w:tr>
      <w:tr>
        <w:trPr>
          <w:trHeight w:val="14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45,722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58,266</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67,371</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60,956</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101,110</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133,755</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w:t>
            </w:r>
          </w:p>
        </w:tc>
        <w:tc>
          <w:tcPr>
            <w:tcW w:w="8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10,402</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 net</w:t>
            </w: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3,407</w:t>
            </w: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7,223</w:t>
            </w:r>
          </w:p>
        </w:tc>
      </w:tr>
      <w:tr>
        <w:trPr>
          <w:trHeight w:val="142"/>
        </w:trPr>
        <w:tc>
          <w:tcPr>
            <w:tcW w:w="8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(23,213)</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(180,596)</w:t>
            </w:r>
          </w:p>
        </w:tc>
      </w:tr>
      <w:tr>
        <w:trPr>
          <w:trHeight w:val="151"/>
        </w:trPr>
        <w:tc>
          <w:tcPr>
            <w:tcW w:w="8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 income, net</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warrants and contingent liabilities</w:t>
            </w: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(13,370)</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w:t>
            </w:r>
          </w:p>
        </w:tc>
      </w:tr>
      <w:tr>
        <w:trPr>
          <w:trHeight w:val="153"/>
        </w:trPr>
        <w:tc>
          <w:tcPr>
            <w:tcW w:w="8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(3,032)</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1,114</w:t>
            </w:r>
          </w:p>
        </w:tc>
      </w:tr>
      <w:tr>
        <w:trPr>
          <w:trHeight w:val="153"/>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(13,014)</w:t>
            </w:r>
          </w:p>
        </w:tc>
        <w:tc>
          <w:tcPr>
            <w:tcW w:w="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w:t>
            </w:r>
          </w:p>
        </w:tc>
      </w:tr>
      <w:tr>
        <w:trPr>
          <w:trHeight w:val="142"/>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non-operating (expense) income, net</w:t>
            </w: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(29,416)</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3,903</w:t>
            </w:r>
          </w:p>
        </w:tc>
      </w:tr>
      <w:tr>
        <w:trPr>
          <w:trHeight w:val="142"/>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before income taxes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(52,629)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(176,693)</w:t>
            </w:r>
          </w:p>
        </w:tc>
      </w:tr>
      <w:tr>
        <w:trPr>
          <w:trHeight w:val="15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Income tax benefit</w:t>
            </w: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w:t>
            </w:r>
          </w:p>
        </w:tc>
      </w:tr>
      <w:tr>
        <w:trPr>
          <w:trHeight w:val="158"/>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(52,286)</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(175,767)</w:t>
            </w:r>
          </w:p>
        </w:tc>
      </w:tr>
      <w:tr>
        <w:trPr>
          <w:trHeight w:val="153"/>
        </w:trPr>
        <w:tc>
          <w:tcPr>
            <w:tcW w:w="8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26,891,213</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24,311,989</w:t>
            </w:r>
          </w:p>
        </w:tc>
      </w:tr>
      <w:tr>
        <w:trPr>
          <w:trHeight w:val="155"/>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net loss per share, Class A common stock</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6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w:t>
            </w:r>
          </w:p>
        </w:tc>
      </w:tr>
    </w:tbl>
    <w:p>
      <w:pPr>
        <w:sectPr>
          <w:pgSz w:w="11900" w:h="16838" w:orient="portrait"/>
          <w:cols w:equalWidth="0" w:num="1">
            <w:col w:w="11300"/>
          </w:cols>
          <w:pgMar w:left="300" w:top="665"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bottom w:val="single" w:sz="8" w:color="auto"/>
            </w:tcBorders>
          </w:tcPr>
          <w:p>
            <w:pPr>
              <w:spacing w:after="0"/>
              <w:rPr>
                <w:sz w:val="12"/>
                <w:szCs w:val="12"/>
                <w:color w:val="auto"/>
              </w:rPr>
            </w:pPr>
          </w:p>
        </w:tc>
      </w:tr>
      <w:tr>
        <w:trPr>
          <w:trHeight w:val="133"/>
        </w:trPr>
        <w:tc>
          <w:tcPr>
            <w:tcW w:w="8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(52,286)</w:t>
            </w:r>
          </w:p>
        </w:tc>
        <w:tc>
          <w:tcPr>
            <w:tcW w:w="60" w:type="dxa"/>
            <w:vAlign w:val="bottom"/>
          </w:tcPr>
          <w:p>
            <w:pPr>
              <w:spacing w:after="0"/>
              <w:rPr>
                <w:sz w:val="13"/>
                <w:szCs w:val="13"/>
                <w:color w:val="auto"/>
              </w:rPr>
            </w:pP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(175,767)</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21,953</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33,734</w:t>
            </w: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9,138</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warrants and contingent liabilities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13,370</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w:t>
            </w: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Deferred tax benefit</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w:t>
            </w: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Provision for excess and obsolete inventory</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3,913</w:t>
            </w: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third party payor reserves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(9,745)</w:t>
            </w: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on sale of assets</w:t>
            </w:r>
          </w:p>
        </w:tc>
        <w:tc>
          <w:tcPr>
            <w:tcW w:w="9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(1,677)</w:t>
            </w: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on debt forgiveness</w:t>
            </w:r>
          </w:p>
        </w:tc>
        <w:tc>
          <w:tcPr>
            <w:tcW w:w="9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w:t>
            </w: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Impairment loss</w:t>
            </w:r>
          </w:p>
        </w:tc>
        <w:tc>
          <w:tcPr>
            <w:tcW w:w="9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10,402</w:t>
            </w:r>
          </w:p>
        </w:tc>
      </w:tr>
      <w:tr>
        <w:trPr>
          <w:trHeight w:val="15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3,630</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2,406</w:t>
            </w:r>
          </w:p>
        </w:tc>
      </w:tr>
      <w:tr>
        <w:trPr>
          <w:trHeight w:val="153"/>
        </w:trPr>
        <w:tc>
          <w:tcPr>
            <w:tcW w:w="8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3"/>
        </w:trPr>
        <w:tc>
          <w:tcPr>
            <w:tcW w:w="8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10,263</w:t>
            </w:r>
          </w:p>
        </w:tc>
      </w:tr>
      <w:tr>
        <w:trPr>
          <w:trHeight w:val="153"/>
        </w:trPr>
        <w:tc>
          <w:tcPr>
            <w:tcW w:w="84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Inventory</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w:t>
            </w:r>
          </w:p>
        </w:tc>
      </w:tr>
      <w:tr>
        <w:trPr>
          <w:trHeight w:val="153"/>
        </w:trPr>
        <w:tc>
          <w:tcPr>
            <w:tcW w:w="8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(20,461)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(46,953)</w:t>
            </w:r>
          </w:p>
        </w:tc>
      </w:tr>
      <w:tr>
        <w:trPr>
          <w:trHeight w:val="153"/>
        </w:trPr>
        <w:tc>
          <w:tcPr>
            <w:tcW w:w="8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3,722</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(2,526)</w:t>
            </w:r>
          </w:p>
        </w:tc>
      </w:tr>
      <w:tr>
        <w:trPr>
          <w:trHeight w:val="14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(28,496)</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(180,147)</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41,060</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17,765</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(66,302)</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(47,670)</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(5,250)</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Consideration on escrow paid for Legacy GeneDx acquisition</w:t>
            </w:r>
          </w:p>
        </w:tc>
        <w:tc>
          <w:tcPr>
            <w:tcW w:w="9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(12,144)</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assets</w:t>
            </w:r>
          </w:p>
        </w:tc>
        <w:tc>
          <w:tcPr>
            <w:tcW w:w="9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4,034</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Development of internal-use software assets</w:t>
            </w:r>
          </w:p>
        </w:tc>
        <w:tc>
          <w:tcPr>
            <w:tcW w:w="9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r>
      <w:tr>
        <w:trPr>
          <w:trHeight w:val="158"/>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(30,132)</w:t>
            </w:r>
          </w:p>
        </w:tc>
        <w:tc>
          <w:tcPr>
            <w:tcW w:w="6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(43,726)</w:t>
            </w:r>
          </w:p>
        </w:tc>
      </w:tr>
      <w:tr>
        <w:trPr>
          <w:trHeight w:val="135"/>
        </w:trPr>
        <w:tc>
          <w:tcPr>
            <w:tcW w:w="8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offerings, net of issuance costs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46,496</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143,002</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stock pursuant to employee stock purchase plan</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r>
      <w:tr>
        <w:trPr>
          <w:trHeight w:val="153"/>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payoff and principal payments</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(3,598)</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9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48,549</w:t>
            </w:r>
          </w:p>
        </w:tc>
      </w:tr>
      <w:tr>
        <w:trPr>
          <w:trHeight w:val="142"/>
        </w:trPr>
        <w:tc>
          <w:tcPr>
            <w:tcW w:w="840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44,162</w:t>
            </w:r>
          </w:p>
        </w:tc>
        <w:tc>
          <w:tcPr>
            <w:tcW w:w="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186,238</w:t>
            </w:r>
          </w:p>
        </w:tc>
      </w:tr>
      <w:tr>
        <w:trPr>
          <w:trHeight w:val="15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(14,466)</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(37,635)</w:t>
            </w:r>
          </w:p>
        </w:tc>
      </w:tr>
      <w:tr>
        <w:trPr>
          <w:trHeight w:val="153"/>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year</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100,668</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138,303</w:t>
            </w:r>
          </w:p>
        </w:tc>
      </w:tr>
      <w:tr>
        <w:trPr>
          <w:trHeight w:val="158"/>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end of year</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86,202</w:t>
            </w: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100,668</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Cash, cash equivalents and restricted cash at December 31, 2024 excludes marketable securities of $56.0 million.</w:t>
      </w:r>
    </w:p>
    <w:p>
      <w:pPr>
        <w:sectPr>
          <w:pgSz w:w="11900" w:h="16838" w:orient="portrait"/>
          <w:cols w:equalWidth="0" w:num="1">
            <w:col w:w="11300"/>
          </w:cols>
          <w:pgMar w:left="300" w:top="665" w:right="299"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
      <w:numFmt w:val="bullet"/>
      <w:start w:val="1"/>
    </w:lvl>
    <w:lvl w:ilvl="1">
      <w:lvlJc w:val="left"/>
      <w:lvlText w:val="◦"/>
      <w:numFmt w:val="bullet"/>
      <w:start w:val="1"/>
    </w:lvl>
  </w:abstractNum>
  <w:abstractNum w:abstractNumId="18">
    <w:nsid w:val="7C83E45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2025-02-18T05:58:20Z</dcterms:created>
  <dcterms:modified xsi:type="dcterms:W3CDTF">2025-02-18T05:58:20Z</dcterms:modified>
</cp:coreProperties>
</file>