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7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3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3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7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30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56.4449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3,657,164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3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720" w:type="dxa"/>
            <w:vAlign w:val="bottom"/>
            <w:tcBorders>
              <w:bottom w:val="single" w:sz="8" w:color="2C2C2C"/>
            </w:tcBorders>
            <w:vMerge w:val="continue"/>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30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06/05/2026</w:t>
            </w:r>
          </w:p>
        </w:tc>
        <w:tc>
          <w:tcPr>
            <w:tcW w:w="11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rPr>
              <w:t>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52.8566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3,707,164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3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720" w:type="dxa"/>
            <w:vAlign w:val="bottom"/>
            <w:tcBorders>
              <w:bottom w:val="single" w:sz="8" w:color="2C2C2C"/>
            </w:tcBorders>
            <w:vMerge w:val="continue"/>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20,517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72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Class A Common Stock,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 per 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 per 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color w:val="0000FF"/>
              </w:rPr>
              <w:t>19,247</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2"/>
              </w:rPr>
              <w:t>footnote</w:t>
            </w:r>
            <w:r>
              <w:rPr>
                <w:rFonts w:ascii="Times New Roman" w:cs="Times New Roman" w:eastAsia="Times New Roman" w:hAnsi="Times New Roman"/>
                <w:sz w:val="22"/>
                <w:szCs w:val="22"/>
                <w:color w:val="008000"/>
                <w:w w:val="92"/>
                <w:vertAlign w:val="superscript"/>
              </w:rPr>
              <w:t>(3)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333,144</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2"/>
              </w:rPr>
              <w:t>footnote</w:t>
            </w:r>
            <w:r>
              <w:rPr>
                <w:rFonts w:ascii="Times New Roman" w:cs="Times New Roman" w:eastAsia="Times New Roman" w:hAnsi="Times New Roman"/>
                <w:sz w:val="22"/>
                <w:szCs w:val="22"/>
                <w:color w:val="008000"/>
                <w:w w:val="92"/>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640" w:space="720"/>
            <w:col w:w="272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Capital,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Casdin Eli</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844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48444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GP and may be deemed to be indirectly beneficially owned by Eli Casdin, the managing member of the GP.</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2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860"/>
          </w:cols>
          <w:pgMar w:left="480" w:top="140" w:right="55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6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Eli Casdin,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9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05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80"/>
            <w:col w:w="2100"/>
          </w:cols>
          <w:pgMar w:left="480" w:top="140"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534261" TargetMode="External"/><Relationship Id="rId14"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2026-06-08T16:26:02Z</dcterms:created>
  <dcterms:modified xsi:type="dcterms:W3CDTF">2026-06-08T16:26:02Z</dcterms:modified>
</cp:coreProperties>
</file>