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
        <w:spacing w:after="0"/>
        <w:rPr>
          <w:sz w:val="20"/>
          <w:szCs w:val="20"/>
          <w:color w:val="auto"/>
        </w:rPr>
      </w:pPr>
      <w:r>
        <w:rPr>
          <w:rFonts w:ascii="Arial" w:cs="Arial" w:eastAsia="Arial" w:hAnsi="Arial"/>
          <w:sz w:val="19"/>
          <w:szCs w:val="19"/>
          <w:b w:val="1"/>
          <w:bCs w:val="1"/>
          <w:color w:val="auto"/>
        </w:rPr>
        <w:t>UNITED STATES</w:t>
      </w:r>
    </w:p>
    <w:p>
      <w:pPr>
        <w:spacing w:after="0" w:line="61" w:lineRule="exact"/>
        <w:rPr>
          <w:sz w:val="24"/>
          <w:szCs w:val="24"/>
          <w:color w:val="auto"/>
        </w:rPr>
      </w:pPr>
    </w:p>
    <w:p>
      <w:pPr>
        <w:jc w:val="center"/>
        <w:ind w:right="12"/>
        <w:spacing w:after="0"/>
        <w:rPr>
          <w:sz w:val="20"/>
          <w:szCs w:val="20"/>
          <w:color w:val="auto"/>
        </w:rPr>
      </w:pPr>
      <w:r>
        <w:rPr>
          <w:rFonts w:ascii="Arial" w:cs="Arial" w:eastAsia="Arial" w:hAnsi="Arial"/>
          <w:sz w:val="19"/>
          <w:szCs w:val="19"/>
          <w:b w:val="1"/>
          <w:bCs w:val="1"/>
          <w:color w:val="auto"/>
        </w:rPr>
        <w:t>SECURITIES AND EXCHANGE COMMISSION</w:t>
      </w:r>
    </w:p>
    <w:p>
      <w:pPr>
        <w:spacing w:after="0" w:line="32" w:lineRule="exact"/>
        <w:rPr>
          <w:sz w:val="24"/>
          <w:szCs w:val="24"/>
          <w:color w:val="auto"/>
        </w:rPr>
      </w:pPr>
    </w:p>
    <w:p>
      <w:pPr>
        <w:jc w:val="center"/>
        <w:ind w:right="12"/>
        <w:spacing w:after="0"/>
        <w:rPr>
          <w:sz w:val="20"/>
          <w:szCs w:val="20"/>
          <w:color w:val="auto"/>
        </w:rPr>
      </w:pPr>
      <w:r>
        <w:rPr>
          <w:rFonts w:ascii="Arial" w:cs="Arial" w:eastAsia="Arial" w:hAnsi="Arial"/>
          <w:sz w:val="17"/>
          <w:szCs w:val="17"/>
          <w:b w:val="1"/>
          <w:bCs w:val="1"/>
          <w:color w:val="auto"/>
        </w:rPr>
        <w:t>Washington, D.C. 20549</w:t>
      </w:r>
    </w:p>
    <w:p>
      <w:pPr>
        <w:spacing w:after="0" w:line="40" w:lineRule="exact"/>
        <w:rPr>
          <w:sz w:val="24"/>
          <w:szCs w:val="24"/>
          <w:color w:val="auto"/>
        </w:rPr>
      </w:pPr>
    </w:p>
    <w:p>
      <w:pPr>
        <w:jc w:val="center"/>
        <w:ind w:right="12"/>
        <w:spacing w:after="0"/>
        <w:rPr>
          <w:sz w:val="20"/>
          <w:szCs w:val="20"/>
          <w:color w:val="auto"/>
        </w:rPr>
      </w:pPr>
      <w:r>
        <w:rPr>
          <w:rFonts w:ascii="Arial" w:cs="Arial" w:eastAsia="Arial" w:hAnsi="Arial"/>
          <w:sz w:val="19"/>
          <w:szCs w:val="19"/>
          <w:b w:val="1"/>
          <w:bCs w:val="1"/>
          <w:color w:val="auto"/>
        </w:rPr>
        <w:t>FORM 8-K</w:t>
      </w:r>
    </w:p>
    <w:p>
      <w:pPr>
        <w:spacing w:after="0" w:line="100" w:lineRule="exact"/>
        <w:rPr>
          <w:sz w:val="24"/>
          <w:szCs w:val="24"/>
          <w:color w:val="auto"/>
        </w:rPr>
      </w:pPr>
    </w:p>
    <w:p>
      <w:pPr>
        <w:jc w:val="center"/>
        <w:ind w:right="12"/>
        <w:spacing w:after="0"/>
        <w:rPr>
          <w:sz w:val="20"/>
          <w:szCs w:val="20"/>
          <w:color w:val="auto"/>
        </w:rPr>
      </w:pPr>
      <w:r>
        <w:rPr>
          <w:rFonts w:ascii="Arial" w:cs="Arial" w:eastAsia="Arial" w:hAnsi="Arial"/>
          <w:sz w:val="14"/>
          <w:szCs w:val="14"/>
          <w:b w:val="1"/>
          <w:bCs w:val="1"/>
          <w:color w:val="231F20"/>
        </w:rPr>
        <w:t>CURRENT REPORT</w:t>
      </w:r>
    </w:p>
    <w:p>
      <w:pPr>
        <w:spacing w:after="0" w:line="25"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231F20"/>
        </w:rPr>
        <w:t>Pursuant to Section 13 OR 15(d) of The Securities Exchange Act of 1934</w:t>
      </w:r>
    </w:p>
    <w:p>
      <w:pPr>
        <w:spacing w:after="0" w:line="180" w:lineRule="exact"/>
        <w:rPr>
          <w:sz w:val="24"/>
          <w:szCs w:val="24"/>
          <w:color w:val="auto"/>
        </w:rPr>
      </w:pPr>
    </w:p>
    <w:p>
      <w:pPr>
        <w:jc w:val="center"/>
        <w:ind w:right="12"/>
        <w:spacing w:after="0"/>
        <w:rPr>
          <w:sz w:val="20"/>
          <w:szCs w:val="20"/>
          <w:color w:val="auto"/>
        </w:rPr>
      </w:pPr>
      <w:r>
        <w:rPr>
          <w:rFonts w:ascii="Arial" w:cs="Arial" w:eastAsia="Arial" w:hAnsi="Arial"/>
          <w:sz w:val="14"/>
          <w:szCs w:val="14"/>
          <w:color w:val="auto"/>
        </w:rPr>
        <w:t xml:space="preserve">Date of Report (date of earliest event reported): </w:t>
      </w:r>
      <w:r>
        <w:rPr>
          <w:rFonts w:ascii="Arial" w:cs="Arial" w:eastAsia="Arial" w:hAnsi="Arial"/>
          <w:sz w:val="14"/>
          <w:szCs w:val="14"/>
          <w:b w:val="1"/>
          <w:bCs w:val="1"/>
          <w:color w:val="auto"/>
        </w:rPr>
        <w:t>January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2966085</wp:posOffset>
            </wp:positionH>
            <wp:positionV relativeFrom="paragraph">
              <wp:posOffset>12065</wp:posOffset>
            </wp:positionV>
            <wp:extent cx="1251585" cy="382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1585" cy="382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12"/>
        <w:spacing w:after="0"/>
        <w:rPr>
          <w:sz w:val="20"/>
          <w:szCs w:val="20"/>
          <w:color w:val="auto"/>
        </w:rPr>
      </w:pPr>
      <w:r>
        <w:rPr>
          <w:rFonts w:ascii="Arial" w:cs="Arial" w:eastAsia="Arial" w:hAnsi="Arial"/>
          <w:sz w:val="19"/>
          <w:szCs w:val="19"/>
          <w:b w:val="1"/>
          <w:bCs w:val="1"/>
          <w:color w:val="auto"/>
        </w:rPr>
        <w:t>Sema4 Holdings Corp.</w:t>
      </w:r>
    </w:p>
    <w:p>
      <w:pPr>
        <w:spacing w:after="0" w:line="41" w:lineRule="exact"/>
        <w:rPr>
          <w:sz w:val="24"/>
          <w:szCs w:val="24"/>
          <w:color w:val="auto"/>
        </w:rPr>
      </w:pPr>
    </w:p>
    <w:p>
      <w:pPr>
        <w:jc w:val="center"/>
        <w:ind w:right="12"/>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308"/>
          </w:cols>
          <w:pgMar w:left="292" w:top="918" w:right="299" w:bottom="1440" w:gutter="0" w:footer="0" w:header="0"/>
        </w:sectPr>
      </w:pPr>
    </w:p>
    <w:p>
      <w:pPr>
        <w:spacing w:after="0" w:line="155" w:lineRule="exact"/>
        <w:rPr>
          <w:sz w:val="24"/>
          <w:szCs w:val="24"/>
          <w:color w:val="auto"/>
        </w:rPr>
      </w:pPr>
    </w:p>
    <w:p>
      <w:pPr>
        <w:jc w:val="center"/>
        <w:ind w:left="728"/>
        <w:spacing w:after="0"/>
        <w:rPr>
          <w:sz w:val="20"/>
          <w:szCs w:val="20"/>
          <w:color w:val="auto"/>
        </w:rPr>
      </w:pPr>
      <w:r>
        <w:rPr>
          <w:rFonts w:ascii="Arial" w:cs="Arial" w:eastAsia="Arial" w:hAnsi="Arial"/>
          <w:sz w:val="12"/>
          <w:szCs w:val="12"/>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27260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26055" cy="5715"/>
                    </a:xfrm>
                    <a:prstGeom prst="rect">
                      <a:avLst/>
                    </a:prstGeom>
                    <a:noFill/>
                  </pic:spPr>
                </pic:pic>
              </a:graphicData>
            </a:graphic>
          </wp:anchor>
        </w:drawing>
      </w:r>
    </w:p>
    <w:p>
      <w:pPr>
        <w:spacing w:after="0" w:line="17" w:lineRule="exact"/>
        <w:rPr>
          <w:sz w:val="24"/>
          <w:szCs w:val="24"/>
          <w:color w:val="auto"/>
        </w:rPr>
      </w:pPr>
    </w:p>
    <w:p>
      <w:pPr>
        <w:jc w:val="center"/>
        <w:ind w:left="728"/>
        <w:spacing w:after="0"/>
        <w:rPr>
          <w:sz w:val="20"/>
          <w:szCs w:val="20"/>
          <w:color w:val="auto"/>
        </w:rPr>
      </w:pPr>
      <w:r>
        <w:rPr>
          <w:rFonts w:ascii="Arial" w:cs="Arial" w:eastAsia="Arial" w:hAnsi="Arial"/>
          <w:sz w:val="11"/>
          <w:szCs w:val="11"/>
          <w:color w:val="auto"/>
        </w:rPr>
        <w:t>(State or other jurisdiction of incorporation or organization)</w:t>
      </w:r>
    </w:p>
    <w:p>
      <w:pPr>
        <w:spacing w:after="0" w:line="77" w:lineRule="exact"/>
        <w:rPr>
          <w:sz w:val="24"/>
          <w:szCs w:val="24"/>
          <w:color w:val="auto"/>
        </w:rPr>
      </w:pPr>
    </w:p>
    <w:p>
      <w:pPr>
        <w:ind w:left="1628" w:right="340" w:hanging="566"/>
        <w:spacing w:after="0" w:line="328" w:lineRule="auto"/>
        <w:rPr>
          <w:sz w:val="20"/>
          <w:szCs w:val="20"/>
          <w:color w:val="auto"/>
        </w:rPr>
      </w:pPr>
      <w:r>
        <w:rPr>
          <w:rFonts w:ascii="Arial" w:cs="Arial" w:eastAsia="Arial" w:hAnsi="Arial"/>
          <w:sz w:val="11"/>
          <w:szCs w:val="11"/>
          <w:b w:val="1"/>
          <w:bCs w:val="1"/>
          <w:color w:val="auto"/>
        </w:rPr>
        <w:t>333 Ludlow Street, North Tower, 8th Floor Stamford, Connecticut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272605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26055" cy="5715"/>
                    </a:xfrm>
                    <a:prstGeom prst="rect">
                      <a:avLst/>
                    </a:prstGeom>
                    <a:noFill/>
                  </pic:spPr>
                </pic:pic>
              </a:graphicData>
            </a:graphic>
          </wp:anchor>
        </w:drawing>
      </w:r>
    </w:p>
    <w:p>
      <w:pPr>
        <w:ind w:left="1168"/>
        <w:spacing w:after="0"/>
        <w:rPr>
          <w:sz w:val="20"/>
          <w:szCs w:val="20"/>
          <w:color w:val="auto"/>
        </w:rPr>
      </w:pPr>
      <w:r>
        <w:rPr>
          <w:rFonts w:ascii="Arial" w:cs="Arial" w:eastAsia="Arial" w:hAnsi="Arial"/>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jc w:val="center"/>
        <w:ind w:right="380"/>
        <w:spacing w:after="0"/>
        <w:rPr>
          <w:sz w:val="20"/>
          <w:szCs w:val="20"/>
          <w:color w:val="auto"/>
        </w:rPr>
      </w:pPr>
      <w:r>
        <w:rPr>
          <w:rFonts w:ascii="Arial" w:cs="Arial" w:eastAsia="Arial" w:hAnsi="Arial"/>
          <w:sz w:val="12"/>
          <w:szCs w:val="12"/>
          <w:b w:val="1"/>
          <w:bCs w:val="1"/>
          <w:color w:val="auto"/>
        </w:rPr>
        <w:t>001-39482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130810</wp:posOffset>
            </wp:positionH>
            <wp:positionV relativeFrom="paragraph">
              <wp:posOffset>29210</wp:posOffset>
            </wp:positionV>
            <wp:extent cx="166306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3065" cy="5715"/>
                    </a:xfrm>
                    <a:prstGeom prst="rect">
                      <a:avLst/>
                    </a:prstGeom>
                    <a:noFill/>
                  </pic:spPr>
                </pic:pic>
              </a:graphicData>
            </a:graphic>
          </wp:anchor>
        </w:drawing>
      </w:r>
    </w:p>
    <w:p>
      <w:pPr>
        <w:spacing w:after="0" w:line="35" w:lineRule="exact"/>
        <w:rPr>
          <w:sz w:val="24"/>
          <w:szCs w:val="24"/>
          <w:color w:val="auto"/>
        </w:rPr>
      </w:pPr>
    </w:p>
    <w:p>
      <w:pPr>
        <w:jc w:val="center"/>
        <w:ind w:right="380"/>
        <w:spacing w:after="0"/>
        <w:rPr>
          <w:sz w:val="20"/>
          <w:szCs w:val="20"/>
          <w:color w:val="auto"/>
        </w:rPr>
      </w:pPr>
      <w:r>
        <w:rPr>
          <w:rFonts w:ascii="Arial" w:cs="Arial" w:eastAsia="Arial" w:hAnsi="Arial"/>
          <w:sz w:val="12"/>
          <w:szCs w:val="12"/>
          <w:color w:val="auto"/>
        </w:rPr>
        <w:t>(Commission File Number)</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(800) 298-6470</w:t>
      </w:r>
    </w:p>
    <w:p>
      <w:pPr>
        <w:spacing w:after="0" w:line="17" w:lineRule="exact"/>
        <w:rPr>
          <w:sz w:val="24"/>
          <w:szCs w:val="24"/>
          <w:color w:val="auto"/>
        </w:rPr>
      </w:pPr>
    </w:p>
    <w:p>
      <w:pPr>
        <w:jc w:val="center"/>
        <w:ind w:right="440"/>
        <w:spacing w:after="0"/>
        <w:rPr>
          <w:sz w:val="20"/>
          <w:szCs w:val="20"/>
          <w:color w:val="auto"/>
        </w:rPr>
      </w:pPr>
      <w:r>
        <w:rPr>
          <w:rFonts w:ascii="Arial" w:cs="Arial" w:eastAsia="Arial" w:hAnsi="Arial"/>
          <w:sz w:val="12"/>
          <w:szCs w:val="12"/>
          <w:color w:val="auto"/>
        </w:rPr>
        <w:t>Registrant's telephone number, including area code</w:t>
      </w:r>
    </w:p>
    <w:p>
      <w:pPr>
        <w:spacing w:after="0"/>
        <w:rPr>
          <w:sz w:val="20"/>
          <w:szCs w:val="20"/>
          <w:color w:val="auto"/>
        </w:rPr>
      </w:pPr>
      <w:r>
        <w:rPr>
          <w:rFonts w:ascii="Arial" w:cs="Arial" w:eastAsia="Arial" w:hAnsi="Arial"/>
          <w:sz w:val="10"/>
          <w:szCs w:val="10"/>
          <w:color w:val="231F20"/>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jc w:val="center"/>
        <w:ind w:right="1260"/>
        <w:spacing w:after="0"/>
        <w:rPr>
          <w:sz w:val="20"/>
          <w:szCs w:val="20"/>
          <w:color w:val="auto"/>
        </w:rPr>
      </w:pPr>
      <w:r>
        <w:rPr>
          <w:rFonts w:ascii="Arial" w:cs="Arial" w:eastAsia="Arial" w:hAnsi="Arial"/>
          <w:sz w:val="12"/>
          <w:szCs w:val="12"/>
          <w:b w:val="1"/>
          <w:bCs w:val="1"/>
          <w:color w:val="auto"/>
        </w:rPr>
        <w:t>85-1966622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-788670</wp:posOffset>
            </wp:positionH>
            <wp:positionV relativeFrom="paragraph">
              <wp:posOffset>17780</wp:posOffset>
            </wp:positionV>
            <wp:extent cx="2686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86050" cy="5715"/>
                    </a:xfrm>
                    <a:prstGeom prst="rect">
                      <a:avLst/>
                    </a:prstGeom>
                    <a:noFill/>
                  </pic:spPr>
                </pic:pic>
              </a:graphicData>
            </a:graphic>
          </wp:anchor>
        </w:drawing>
      </w:r>
    </w:p>
    <w:p>
      <w:pPr>
        <w:spacing w:after="0" w:line="17" w:lineRule="exact"/>
        <w:rPr>
          <w:sz w:val="24"/>
          <w:szCs w:val="24"/>
          <w:color w:val="auto"/>
        </w:rPr>
      </w:pPr>
    </w:p>
    <w:p>
      <w:pPr>
        <w:jc w:val="center"/>
        <w:ind w:right="1260"/>
        <w:spacing w:after="0"/>
        <w:rPr>
          <w:sz w:val="20"/>
          <w:szCs w:val="20"/>
          <w:color w:val="auto"/>
        </w:rPr>
      </w:pPr>
      <w:r>
        <w:rPr>
          <w:rFonts w:ascii="Arial" w:cs="Arial" w:eastAsia="Arial" w:hAnsi="Arial"/>
          <w:sz w:val="11"/>
          <w:szCs w:val="11"/>
          <w:color w:val="auto"/>
        </w:rPr>
        <w:t>(I.R.S. Employer Identification No.)</w:t>
      </w:r>
    </w:p>
    <w:p>
      <w:pPr>
        <w:spacing w:after="0" w:line="248" w:lineRule="exact"/>
        <w:rPr>
          <w:sz w:val="24"/>
          <w:szCs w:val="24"/>
          <w:color w:val="auto"/>
        </w:rPr>
      </w:pPr>
    </w:p>
    <w:p>
      <w:pPr>
        <w:jc w:val="center"/>
        <w:ind w:right="1260"/>
        <w:spacing w:after="0"/>
        <w:rPr>
          <w:sz w:val="20"/>
          <w:szCs w:val="20"/>
          <w:color w:val="auto"/>
        </w:rPr>
      </w:pPr>
      <w:r>
        <w:rPr>
          <w:rFonts w:ascii="Arial" w:cs="Arial" w:eastAsia="Arial" w:hAnsi="Arial"/>
          <w:sz w:val="12"/>
          <w:szCs w:val="12"/>
          <w:b w:val="1"/>
          <w:bCs w:val="1"/>
          <w:color w:val="auto"/>
        </w:rPr>
        <w:t>06902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-788670</wp:posOffset>
            </wp:positionH>
            <wp:positionV relativeFrom="paragraph">
              <wp:posOffset>17780</wp:posOffset>
            </wp:positionV>
            <wp:extent cx="2686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86050" cy="5715"/>
                    </a:xfrm>
                    <a:prstGeom prst="rect">
                      <a:avLst/>
                    </a:prstGeom>
                    <a:noFill/>
                  </pic:spPr>
                </pic:pic>
              </a:graphicData>
            </a:graphic>
          </wp:anchor>
        </w:drawing>
      </w:r>
    </w:p>
    <w:p>
      <w:pPr>
        <w:spacing w:after="0" w:line="17" w:lineRule="exact"/>
        <w:rPr>
          <w:sz w:val="24"/>
          <w:szCs w:val="24"/>
          <w:color w:val="auto"/>
        </w:rPr>
      </w:pPr>
    </w:p>
    <w:p>
      <w:pPr>
        <w:jc w:val="center"/>
        <w:ind w:right="1260"/>
        <w:spacing w:after="0"/>
        <w:rPr>
          <w:sz w:val="20"/>
          <w:szCs w:val="20"/>
          <w:color w:val="auto"/>
        </w:rPr>
      </w:pPr>
      <w:r>
        <w:rPr>
          <w:rFonts w:ascii="Arial" w:cs="Arial" w:eastAsia="Arial" w:hAnsi="Arial"/>
          <w:sz w:val="12"/>
          <w:szCs w:val="12"/>
          <w:color w:val="auto"/>
        </w:rPr>
        <w:t>(Zip Code)</w:t>
      </w:r>
    </w:p>
    <w:p>
      <w:pPr>
        <w:spacing w:after="0" w:line="681" w:lineRule="exact"/>
        <w:rPr>
          <w:sz w:val="24"/>
          <w:szCs w:val="24"/>
          <w:color w:val="auto"/>
        </w:rPr>
      </w:pPr>
    </w:p>
    <w:p>
      <w:pPr>
        <w:sectPr>
          <w:pgSz w:w="11900" w:h="16838" w:orient="portrait"/>
          <w:cols w:equalWidth="0" w:num="3">
            <w:col w:w="3588" w:space="580"/>
            <w:col w:w="3420" w:space="720"/>
            <w:col w:w="3000"/>
          </w:cols>
          <w:pgMar w:left="292" w:top="918" w:right="299" w:bottom="1440" w:gutter="0" w:footer="0" w:header="0"/>
          <w:type w:val="continuous"/>
        </w:sect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9" w:lineRule="exact"/>
        <w:rPr>
          <w:sz w:val="24"/>
          <w:szCs w:val="24"/>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68"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231F20"/>
        </w:rPr>
        <w:t>Soliciting material pursuant to Rule 14a-12 under the Exchange Act (17 CFR 240.14a-12)</w:t>
      </w:r>
    </w:p>
    <w:p>
      <w:pPr>
        <w:spacing w:after="0" w:line="177"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231F20"/>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231F20"/>
        </w:rPr>
        <w:t>Pre-commencement communications pursuant to Rule 13e-4(c) under the Exchange Act (17 CFR 240.13e-4(c))</w:t>
      </w:r>
    </w:p>
    <w:p>
      <w:pPr>
        <w:spacing w:after="0" w:line="231" w:lineRule="exact"/>
        <w:rPr>
          <w:sz w:val="24"/>
          <w:szCs w:val="24"/>
          <w:color w:val="auto"/>
        </w:rPr>
      </w:pPr>
    </w:p>
    <w:tbl>
      <w:tblPr>
        <w:tblLayout w:type="fixed"/>
        <w:tblInd w:w="8" w:type="dxa"/>
        <w:tblCellMar>
          <w:top w:w="0" w:type="dxa"/>
          <w:left w:w="0" w:type="dxa"/>
          <w:bottom w:w="0" w:type="dxa"/>
          <w:right w:w="0" w:type="dxa"/>
        </w:tblCellMar>
      </w:tblPr>
      <w:tr>
        <w:trPr>
          <w:trHeight w:val="153"/>
        </w:trPr>
        <w:tc>
          <w:tcPr>
            <w:tcW w:w="4900" w:type="dxa"/>
            <w:vAlign w:val="bottom"/>
            <w:gridSpan w:val="2"/>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Title of each class</w:t>
            </w:r>
          </w:p>
        </w:tc>
        <w:tc>
          <w:tcPr>
            <w:tcW w:w="80" w:type="dxa"/>
            <w:vAlign w:val="bottom"/>
            <w:tcBorders>
              <w:bottom w:val="single" w:sz="8" w:color="CCEEFF"/>
            </w:tcBorders>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Trading Symbol(s)</w:t>
            </w:r>
          </w:p>
        </w:tc>
        <w:tc>
          <w:tcPr>
            <w:tcW w:w="60" w:type="dxa"/>
            <w:vAlign w:val="bottom"/>
            <w:tcBorders>
              <w:bottom w:val="single" w:sz="8" w:color="CCEEFF"/>
            </w:tcBorders>
          </w:tcPr>
          <w:p>
            <w:pPr>
              <w:spacing w:after="0"/>
              <w:rPr>
                <w:sz w:val="20"/>
                <w:szCs w:val="20"/>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Name of each exchange on which registered</w:t>
            </w:r>
          </w:p>
        </w:tc>
        <w:tc>
          <w:tcPr>
            <w:tcW w:w="0" w:type="dxa"/>
            <w:vAlign w:val="bottom"/>
          </w:tcPr>
          <w:p>
            <w:pPr>
              <w:spacing w:after="0"/>
              <w:rPr>
                <w:sz w:val="1"/>
                <w:szCs w:val="1"/>
                <w:color w:val="auto"/>
              </w:rPr>
            </w:pPr>
          </w:p>
        </w:tc>
      </w:tr>
      <w:tr>
        <w:trPr>
          <w:trHeight w:val="142"/>
        </w:trPr>
        <w:tc>
          <w:tcPr>
            <w:tcW w:w="49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9"/>
              </w:rPr>
              <w:t>Class A common stock, par value $0.0001 per share</w:t>
            </w:r>
          </w:p>
        </w:tc>
        <w:tc>
          <w:tcPr>
            <w:tcW w:w="2060" w:type="dxa"/>
            <w:vAlign w:val="bottom"/>
            <w:gridSpan w:val="2"/>
            <w:shd w:val="clear" w:color="auto" w:fill="CCEEFF"/>
          </w:tcPr>
          <w:p>
            <w:pPr>
              <w:jc w:val="center"/>
              <w:ind w:right="60"/>
              <w:spacing w:after="0"/>
              <w:rPr>
                <w:sz w:val="20"/>
                <w:szCs w:val="20"/>
                <w:color w:val="auto"/>
              </w:rPr>
            </w:pPr>
            <w:r>
              <w:rPr>
                <w:rFonts w:ascii="Arial" w:cs="Arial" w:eastAsia="Arial" w:hAnsi="Arial"/>
                <w:sz w:val="12"/>
                <w:szCs w:val="12"/>
                <w:color w:val="auto"/>
                <w:w w:val="93"/>
              </w:rPr>
              <w:t>SMFR</w:t>
            </w:r>
          </w:p>
        </w:tc>
        <w:tc>
          <w:tcPr>
            <w:tcW w:w="43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The Nasdaq Global Select Market</w:t>
            </w:r>
          </w:p>
        </w:tc>
        <w:tc>
          <w:tcPr>
            <w:tcW w:w="0" w:type="dxa"/>
            <w:vAlign w:val="bottom"/>
          </w:tcPr>
          <w:p>
            <w:pPr>
              <w:spacing w:after="0"/>
              <w:rPr>
                <w:sz w:val="1"/>
                <w:szCs w:val="1"/>
                <w:color w:val="auto"/>
              </w:rPr>
            </w:pPr>
          </w:p>
        </w:tc>
      </w:tr>
      <w:tr>
        <w:trPr>
          <w:trHeight w:val="117"/>
        </w:trPr>
        <w:tc>
          <w:tcPr>
            <w:tcW w:w="4900" w:type="dxa"/>
            <w:vAlign w:val="bottom"/>
            <w:gridSpan w:val="2"/>
          </w:tcPr>
          <w:p>
            <w:pPr>
              <w:jc w:val="center"/>
              <w:ind w:right="80"/>
              <w:spacing w:after="0" w:line="117" w:lineRule="exact"/>
              <w:rPr>
                <w:sz w:val="20"/>
                <w:szCs w:val="20"/>
                <w:color w:val="auto"/>
              </w:rPr>
            </w:pPr>
            <w:r>
              <w:rPr>
                <w:rFonts w:ascii="Arial" w:cs="Arial" w:eastAsia="Arial" w:hAnsi="Arial"/>
                <w:sz w:val="12"/>
                <w:szCs w:val="12"/>
                <w:color w:val="auto"/>
                <w:w w:val="88"/>
              </w:rPr>
              <w:t>Warrants to purchase one share of Class A common stock, each at an exercise price of $11.50 per</w:t>
            </w:r>
          </w:p>
        </w:tc>
        <w:tc>
          <w:tcPr>
            <w:tcW w:w="2060" w:type="dxa"/>
            <w:vAlign w:val="bottom"/>
            <w:gridSpan w:val="2"/>
            <w:vMerge w:val="restart"/>
          </w:tcPr>
          <w:p>
            <w:pPr>
              <w:jc w:val="center"/>
              <w:ind w:right="80"/>
              <w:spacing w:after="0"/>
              <w:rPr>
                <w:sz w:val="20"/>
                <w:szCs w:val="20"/>
                <w:color w:val="auto"/>
              </w:rPr>
            </w:pPr>
            <w:r>
              <w:rPr>
                <w:rFonts w:ascii="Arial" w:cs="Arial" w:eastAsia="Arial" w:hAnsi="Arial"/>
                <w:sz w:val="12"/>
                <w:szCs w:val="12"/>
                <w:color w:val="auto"/>
                <w:w w:val="92"/>
              </w:rPr>
              <w:t>SMFRW</w:t>
            </w:r>
          </w:p>
        </w:tc>
        <w:tc>
          <w:tcPr>
            <w:tcW w:w="4340" w:type="dxa"/>
            <w:vAlign w:val="bottom"/>
            <w:vMerge w:val="restart"/>
          </w:tcPr>
          <w:p>
            <w:pPr>
              <w:jc w:val="center"/>
              <w:spacing w:after="0"/>
              <w:rPr>
                <w:sz w:val="20"/>
                <w:szCs w:val="20"/>
                <w:color w:val="auto"/>
              </w:rPr>
            </w:pPr>
            <w:r>
              <w:rPr>
                <w:rFonts w:ascii="Arial" w:cs="Arial" w:eastAsia="Arial" w:hAnsi="Arial"/>
                <w:sz w:val="12"/>
                <w:szCs w:val="12"/>
                <w:color w:val="auto"/>
                <w:w w:val="89"/>
              </w:rPr>
              <w:t>The Nasdaq Global Select Market</w:t>
            </w:r>
          </w:p>
        </w:tc>
        <w:tc>
          <w:tcPr>
            <w:tcW w:w="0" w:type="dxa"/>
            <w:vAlign w:val="bottom"/>
          </w:tcPr>
          <w:p>
            <w:pPr>
              <w:spacing w:after="0"/>
              <w:rPr>
                <w:sz w:val="1"/>
                <w:szCs w:val="1"/>
                <w:color w:val="auto"/>
              </w:rPr>
            </w:pPr>
          </w:p>
        </w:tc>
      </w:tr>
      <w:tr>
        <w:trPr>
          <w:trHeight w:val="90"/>
        </w:trPr>
        <w:tc>
          <w:tcPr>
            <w:tcW w:w="4900" w:type="dxa"/>
            <w:vAlign w:val="bottom"/>
            <w:gridSpan w:val="2"/>
            <w:vMerge w:val="restart"/>
          </w:tcPr>
          <w:p>
            <w:pPr>
              <w:jc w:val="center"/>
              <w:ind w:right="80"/>
              <w:spacing w:after="0"/>
              <w:rPr>
                <w:sz w:val="20"/>
                <w:szCs w:val="20"/>
                <w:color w:val="auto"/>
              </w:rPr>
            </w:pPr>
            <w:r>
              <w:rPr>
                <w:rFonts w:ascii="Arial" w:cs="Arial" w:eastAsia="Arial" w:hAnsi="Arial"/>
                <w:sz w:val="12"/>
                <w:szCs w:val="12"/>
                <w:color w:val="auto"/>
                <w:w w:val="86"/>
              </w:rPr>
              <w:t>share</w:t>
            </w:r>
          </w:p>
        </w:tc>
        <w:tc>
          <w:tcPr>
            <w:tcW w:w="2060" w:type="dxa"/>
            <w:vAlign w:val="bottom"/>
            <w:gridSpan w:val="2"/>
            <w:vMerge w:val="continue"/>
          </w:tcPr>
          <w:p>
            <w:pPr>
              <w:spacing w:after="0"/>
              <w:rPr>
                <w:sz w:val="7"/>
                <w:szCs w:val="7"/>
                <w:color w:val="auto"/>
              </w:rPr>
            </w:pPr>
          </w:p>
        </w:tc>
        <w:tc>
          <w:tcPr>
            <w:tcW w:w="4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4900" w:type="dxa"/>
            <w:vAlign w:val="bottom"/>
            <w:gridSpan w:val="2"/>
            <w:vMerge w:val="continue"/>
          </w:tcPr>
          <w:p>
            <w:pPr>
              <w:spacing w:after="0"/>
              <w:rPr>
                <w:sz w:val="5"/>
                <w:szCs w:val="5"/>
                <w:color w:val="auto"/>
              </w:rPr>
            </w:pPr>
          </w:p>
        </w:tc>
        <w:tc>
          <w:tcPr>
            <w:tcW w:w="2000" w:type="dxa"/>
            <w:vAlign w:val="bottom"/>
          </w:tcPr>
          <w:p>
            <w:pPr>
              <w:spacing w:after="0"/>
              <w:rPr>
                <w:sz w:val="5"/>
                <w:szCs w:val="5"/>
                <w:color w:val="auto"/>
              </w:rPr>
            </w:pPr>
          </w:p>
        </w:tc>
        <w:tc>
          <w:tcPr>
            <w:tcW w:w="60" w:type="dxa"/>
            <w:vAlign w:val="bottom"/>
          </w:tcPr>
          <w:p>
            <w:pPr>
              <w:spacing w:after="0"/>
              <w:rPr>
                <w:sz w:val="5"/>
                <w:szCs w:val="5"/>
                <w:color w:val="auto"/>
              </w:rPr>
            </w:pPr>
          </w:p>
        </w:tc>
        <w:tc>
          <w:tcPr>
            <w:tcW w:w="4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8" w:right="1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0" w:lineRule="exact"/>
        <w:rPr>
          <w:sz w:val="24"/>
          <w:szCs w:val="24"/>
          <w:color w:val="auto"/>
        </w:rPr>
      </w:pPr>
    </w:p>
    <w:p>
      <w:pPr>
        <w:ind w:left="8"/>
        <w:spacing w:after="0" w:line="138" w:lineRule="exact"/>
        <w:rPr>
          <w:sz w:val="20"/>
          <w:szCs w:val="20"/>
          <w:color w:val="auto"/>
        </w:rPr>
      </w:pPr>
      <w:r>
        <w:rPr>
          <w:rFonts w:ascii="Arial" w:cs="Arial" w:eastAsia="Arial" w:hAnsi="Arial"/>
          <w:sz w:val="12"/>
          <w:szCs w:val="12"/>
          <w:color w:val="231F20"/>
        </w:rPr>
        <w:t xml:space="preserve">Emerging growth company </w:t>
      </w:r>
      <w:r>
        <w:rPr>
          <w:rFonts w:ascii="MS PGothic" w:cs="MS PGothic" w:eastAsia="MS PGothic" w:hAnsi="MS PGothic"/>
          <w:sz w:val="12"/>
          <w:szCs w:val="12"/>
          <w:color w:val="000000"/>
        </w:rPr>
        <w:t>☒</w:t>
      </w:r>
    </w:p>
    <w:p>
      <w:pPr>
        <w:spacing w:after="0" w:line="100" w:lineRule="exact"/>
        <w:rPr>
          <w:sz w:val="24"/>
          <w:szCs w:val="24"/>
          <w:color w:val="auto"/>
        </w:rPr>
      </w:pPr>
    </w:p>
    <w:p>
      <w:pPr>
        <w:ind w:left="8" w:right="100"/>
        <w:spacing w:after="0" w:line="155" w:lineRule="exact"/>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351790</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18" w:right="299" w:bottom="1440" w:gutter="0" w:footer="0" w:header="0"/>
          <w:type w:val="continuous"/>
        </w:sectPr>
      </w:pPr>
    </w:p>
    <w:bookmarkStart w:id="1" w:name="page2"/>
    <w:bookmarkEnd w:id="1"/>
    <w:p>
      <w:pPr>
        <w:spacing w:after="0"/>
        <w:tabs>
          <w:tab w:leader="none" w:pos="860" w:val="left"/>
        </w:tabs>
        <w:rPr>
          <w:sz w:val="20"/>
          <w:szCs w:val="20"/>
          <w:color w:val="auto"/>
        </w:rPr>
      </w:pPr>
      <w:r>
        <w:rPr>
          <w:rFonts w:ascii="Arial" w:cs="Arial" w:eastAsia="Arial" w:hAnsi="Arial"/>
          <w:sz w:val="13"/>
          <w:szCs w:val="13"/>
          <w:b w:val="1"/>
          <w:bCs w:val="1"/>
          <w:color w:val="auto"/>
        </w:rPr>
        <w:t>Item 7.01</w:t>
      </w:r>
      <w:r>
        <w:rPr>
          <w:sz w:val="20"/>
          <w:szCs w:val="20"/>
          <w:color w:val="auto"/>
        </w:rPr>
        <w:tab/>
      </w:r>
      <w:r>
        <w:rPr>
          <w:rFonts w:ascii="Arial" w:cs="Arial" w:eastAsia="Arial" w:hAnsi="Arial"/>
          <w:sz w:val="11"/>
          <w:szCs w:val="11"/>
          <w:b w:val="1"/>
          <w:bCs w:val="1"/>
          <w:color w:val="auto"/>
        </w:rPr>
        <w:t>Regulation FD Disclosure.</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color w:val="auto"/>
        </w:rPr>
        <w:t>On January 10, 2022, Sema4 Holdings Corp. (the "Company") is furnishing as Exhibit 99.1 hereto a copy of the investor presentation to be used at the 40th Annual J.P. Morgan Healthcare Conference event.</w:t>
      </w:r>
    </w:p>
    <w:p>
      <w:pPr>
        <w:spacing w:after="0" w:line="168" w:lineRule="exact"/>
        <w:rPr>
          <w:sz w:val="20"/>
          <w:szCs w:val="20"/>
          <w:color w:val="auto"/>
        </w:rPr>
      </w:pPr>
    </w:p>
    <w:p>
      <w:pPr>
        <w:ind w:right="100"/>
        <w:spacing w:after="0" w:line="258" w:lineRule="auto"/>
        <w:rPr>
          <w:sz w:val="20"/>
          <w:szCs w:val="20"/>
          <w:color w:val="auto"/>
        </w:rPr>
      </w:pPr>
      <w:r>
        <w:rPr>
          <w:rFonts w:ascii="Arial" w:cs="Arial" w:eastAsia="Arial" w:hAnsi="Arial"/>
          <w:sz w:val="13"/>
          <w:szCs w:val="13"/>
          <w:color w:val="auto"/>
        </w:rPr>
        <w:t>The information in this current report on Form 8-K and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35" w:lineRule="exact"/>
        <w:rPr>
          <w:sz w:val="20"/>
          <w:szCs w:val="20"/>
          <w:color w:val="auto"/>
        </w:rPr>
      </w:pPr>
    </w:p>
    <w:p>
      <w:pPr>
        <w:spacing w:after="0"/>
        <w:tabs>
          <w:tab w:leader="none" w:pos="860" w:val="left"/>
        </w:tabs>
        <w:rPr>
          <w:sz w:val="20"/>
          <w:szCs w:val="20"/>
          <w:color w:val="auto"/>
        </w:rPr>
      </w:pPr>
      <w:r>
        <w:rPr>
          <w:rFonts w:ascii="Arial" w:cs="Arial" w:eastAsia="Arial" w:hAnsi="Arial"/>
          <w:sz w:val="13"/>
          <w:szCs w:val="13"/>
          <w:b w:val="1"/>
          <w:bCs w:val="1"/>
          <w:color w:val="auto"/>
        </w:rPr>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w w:val="96"/>
              </w:rPr>
              <w:t>Exhibit</w:t>
            </w:r>
          </w:p>
        </w:tc>
        <w:tc>
          <w:tcPr>
            <w:tcW w:w="24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0" w:type="dxa"/>
            <w:vAlign w:val="bottom"/>
          </w:tcPr>
          <w:p>
            <w:pPr>
              <w:spacing w:after="0"/>
              <w:rPr>
                <w:sz w:val="13"/>
                <w:szCs w:val="13"/>
                <w:color w:val="auto"/>
              </w:rPr>
            </w:pPr>
          </w:p>
        </w:tc>
        <w:tc>
          <w:tcPr>
            <w:tcW w:w="900" w:type="dxa"/>
            <w:vAlign w:val="bottom"/>
            <w:gridSpan w:val="4"/>
          </w:tcPr>
          <w:p>
            <w:pPr>
              <w:jc w:val="center"/>
              <w:ind w:right="420"/>
              <w:spacing w:after="0"/>
              <w:rPr>
                <w:sz w:val="20"/>
                <w:szCs w:val="20"/>
                <w:color w:val="auto"/>
              </w:rPr>
            </w:pPr>
            <w:r>
              <w:rPr>
                <w:rFonts w:ascii="Arial" w:cs="Arial" w:eastAsia="Arial" w:hAnsi="Arial"/>
                <w:sz w:val="13"/>
                <w:szCs w:val="13"/>
                <w:b w:val="1"/>
                <w:bCs w:val="1"/>
                <w:color w:val="auto"/>
                <w:w w:val="97"/>
              </w:rPr>
              <w:t>Number</w:t>
            </w:r>
          </w:p>
        </w:tc>
        <w:tc>
          <w:tcPr>
            <w:tcW w:w="2400" w:type="dxa"/>
            <w:vAlign w:val="bottom"/>
          </w:tcPr>
          <w:p>
            <w:pPr>
              <w:spacing w:after="0"/>
              <w:rPr>
                <w:sz w:val="13"/>
                <w:szCs w:val="13"/>
                <w:color w:val="auto"/>
              </w:rPr>
            </w:pPr>
          </w:p>
        </w:tc>
        <w:tc>
          <w:tcPr>
            <w:tcW w:w="1760" w:type="dxa"/>
            <w:vAlign w:val="bottom"/>
            <w:vMerge w:val="restart"/>
          </w:tcPr>
          <w:p>
            <w:pPr>
              <w:spacing w:after="0"/>
              <w:rPr>
                <w:sz w:val="13"/>
                <w:szCs w:val="13"/>
                <w:color w:val="auto"/>
              </w:rPr>
            </w:pPr>
          </w:p>
        </w:tc>
        <w:tc>
          <w:tcPr>
            <w:tcW w:w="660" w:type="dxa"/>
            <w:vAlign w:val="bottom"/>
            <w:vMerge w:val="restart"/>
          </w:tcPr>
          <w:p>
            <w:pPr>
              <w:spacing w:after="0"/>
              <w:rPr>
                <w:sz w:val="20"/>
                <w:szCs w:val="20"/>
                <w:color w:val="auto"/>
              </w:rPr>
            </w:pPr>
            <w:r>
              <w:rPr>
                <w:rFonts w:ascii="Arial" w:cs="Arial" w:eastAsia="Arial" w:hAnsi="Arial"/>
                <w:sz w:val="13"/>
                <w:szCs w:val="13"/>
                <w:b w:val="1"/>
                <w:bCs w:val="1"/>
                <w:color w:val="auto"/>
                <w:w w:val="89"/>
              </w:rPr>
              <w:t>Description</w:t>
            </w:r>
          </w:p>
        </w:tc>
        <w:tc>
          <w:tcPr>
            <w:tcW w:w="51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400" w:type="dxa"/>
            <w:vAlign w:val="bottom"/>
            <w:vMerge w:val="restart"/>
          </w:tcPr>
          <w:p>
            <w:pPr>
              <w:spacing w:after="0"/>
              <w:rPr>
                <w:sz w:val="2"/>
                <w:szCs w:val="2"/>
                <w:color w:val="auto"/>
              </w:rPr>
            </w:pPr>
          </w:p>
        </w:tc>
        <w:tc>
          <w:tcPr>
            <w:tcW w:w="440" w:type="dxa"/>
            <w:vAlign w:val="bottom"/>
            <w:tcBorders>
              <w:top w:val="single" w:sz="8" w:color="auto"/>
              <w:bottom w:val="single" w:sz="8" w:color="auto"/>
            </w:tcBorders>
            <w:gridSpan w:val="2"/>
            <w:vMerge w:val="restart"/>
          </w:tcPr>
          <w:p>
            <w:pPr>
              <w:jc w:val="center"/>
              <w:spacing w:after="0"/>
              <w:rPr>
                <w:sz w:val="20"/>
                <w:szCs w:val="20"/>
                <w:color w:val="auto"/>
              </w:rPr>
            </w:pPr>
            <w:r>
              <w:rPr>
                <w:rFonts w:ascii="Arial" w:cs="Arial" w:eastAsia="Arial" w:hAnsi="Arial"/>
                <w:sz w:val="13"/>
                <w:szCs w:val="13"/>
                <w:color w:val="auto"/>
                <w:w w:val="94"/>
              </w:rPr>
              <w:t>99.1</w:t>
            </w:r>
          </w:p>
        </w:tc>
        <w:tc>
          <w:tcPr>
            <w:tcW w:w="2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60" w:type="dxa"/>
            <w:vAlign w:val="bottom"/>
            <w:vMerge w:val="continue"/>
          </w:tcPr>
          <w:p>
            <w:pPr>
              <w:spacing w:after="0"/>
              <w:rPr>
                <w:sz w:val="2"/>
                <w:szCs w:val="2"/>
                <w:color w:val="auto"/>
              </w:rPr>
            </w:pPr>
          </w:p>
        </w:tc>
        <w:tc>
          <w:tcPr>
            <w:tcW w:w="660" w:type="dxa"/>
            <w:vAlign w:val="bottom"/>
            <w:tcBorders>
              <w:bottom w:val="single" w:sz="8" w:color="auto"/>
            </w:tcBorders>
            <w:vMerge w:val="continue"/>
          </w:tcPr>
          <w:p>
            <w:pPr>
              <w:spacing w:after="0"/>
              <w:rPr>
                <w:sz w:val="2"/>
                <w:szCs w:val="2"/>
                <w:color w:val="auto"/>
              </w:rPr>
            </w:pPr>
          </w:p>
        </w:tc>
        <w:tc>
          <w:tcPr>
            <w:tcW w:w="51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00" w:type="dxa"/>
            <w:vAlign w:val="bottom"/>
            <w:vMerge w:val="continue"/>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0" w:type="dxa"/>
            <w:vAlign w:val="bottom"/>
            <w:gridSpan w:val="4"/>
          </w:tcPr>
          <w:p>
            <w:pPr>
              <w:spacing w:after="0"/>
              <w:rPr>
                <w:rFonts w:ascii="Arial" w:cs="Arial" w:eastAsia="Arial" w:hAnsi="Arial"/>
                <w:sz w:val="13"/>
                <w:szCs w:val="13"/>
                <w:color w:val="0000FF"/>
              </w:rPr>
            </w:pPr>
            <w:hyperlink w:anchor="page4">
              <w:r>
                <w:rPr>
                  <w:rFonts w:ascii="Arial" w:cs="Arial" w:eastAsia="Arial" w:hAnsi="Arial"/>
                  <w:sz w:val="13"/>
                  <w:szCs w:val="13"/>
                  <w:color w:val="0000FF"/>
                </w:rPr>
                <w:t>Investor Presentation, dated January 10, 2022</w:t>
              </w:r>
            </w:hyperlink>
          </w:p>
        </w:tc>
        <w:tc>
          <w:tcPr>
            <w:tcW w:w="0" w:type="dxa"/>
            <w:vAlign w:val="bottom"/>
          </w:tcPr>
          <w:p>
            <w:pPr>
              <w:spacing w:after="0"/>
              <w:rPr>
                <w:sz w:val="1"/>
                <w:szCs w:val="1"/>
                <w:color w:val="auto"/>
              </w:rPr>
            </w:pPr>
          </w:p>
        </w:tc>
      </w:tr>
      <w:tr>
        <w:trPr>
          <w:trHeight w:val="970"/>
        </w:trPr>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0" w:type="dxa"/>
            <w:vAlign w:val="bottom"/>
            <w:tcBorders>
              <w:top w:val="single" w:sz="8" w:color="0000FF"/>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18" w:right="29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3"/>
          <w:szCs w:val="13"/>
          <w:b w:val="1"/>
          <w:bCs w:val="1"/>
          <w:color w:val="auto"/>
        </w:rPr>
        <w:t>SIGNATURES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240" w:type="dxa"/>
            <w:vAlign w:val="bottom"/>
            <w:gridSpan w:val="2"/>
          </w:tcPr>
          <w:p>
            <w:pPr>
              <w:ind w:left="1620"/>
              <w:spacing w:after="0"/>
              <w:rPr>
                <w:sz w:val="20"/>
                <w:szCs w:val="20"/>
                <w:color w:val="auto"/>
              </w:rPr>
            </w:pPr>
            <w:r>
              <w:rPr>
                <w:rFonts w:ascii="Arial" w:cs="Arial" w:eastAsia="Arial" w:hAnsi="Arial"/>
                <w:sz w:val="13"/>
                <w:szCs w:val="13"/>
                <w:b w:val="1"/>
                <w:bCs w:val="1"/>
                <w:color w:val="auto"/>
              </w:rPr>
              <w:t>Sema4 Holdings Corp.</w:t>
            </w:r>
          </w:p>
        </w:tc>
      </w:tr>
      <w:tr>
        <w:trPr>
          <w:trHeight w:val="403"/>
        </w:trPr>
        <w:tc>
          <w:tcPr>
            <w:tcW w:w="580" w:type="dxa"/>
            <w:vAlign w:val="bottom"/>
          </w:tcPr>
          <w:p>
            <w:pPr>
              <w:spacing w:after="0"/>
              <w:rPr>
                <w:sz w:val="20"/>
                <w:szCs w:val="20"/>
                <w:color w:val="auto"/>
              </w:rPr>
            </w:pPr>
            <w:r>
              <w:rPr>
                <w:rFonts w:ascii="Arial" w:cs="Arial" w:eastAsia="Arial" w:hAnsi="Arial"/>
                <w:sz w:val="13"/>
                <w:szCs w:val="13"/>
                <w:color w:val="auto"/>
              </w:rPr>
              <w:t>Date:</w:t>
            </w:r>
          </w:p>
        </w:tc>
        <w:tc>
          <w:tcPr>
            <w:tcW w:w="2820" w:type="dxa"/>
            <w:vAlign w:val="bottom"/>
          </w:tcPr>
          <w:p>
            <w:pPr>
              <w:ind w:left="300"/>
              <w:spacing w:after="0"/>
              <w:rPr>
                <w:sz w:val="20"/>
                <w:szCs w:val="20"/>
                <w:color w:val="auto"/>
              </w:rPr>
            </w:pPr>
            <w:r>
              <w:rPr>
                <w:rFonts w:ascii="Arial" w:cs="Arial" w:eastAsia="Arial" w:hAnsi="Arial"/>
                <w:sz w:val="13"/>
                <w:szCs w:val="13"/>
                <w:color w:val="auto"/>
              </w:rPr>
              <w:t>January 10, 2022</w:t>
            </w:r>
          </w:p>
        </w:tc>
        <w:tc>
          <w:tcPr>
            <w:tcW w:w="2540" w:type="dxa"/>
            <w:vAlign w:val="bottom"/>
          </w:tcPr>
          <w:p>
            <w:pPr>
              <w:ind w:left="1620"/>
              <w:spacing w:after="0"/>
              <w:rPr>
                <w:sz w:val="20"/>
                <w:szCs w:val="20"/>
                <w:color w:val="auto"/>
              </w:rPr>
            </w:pPr>
            <w:r>
              <w:rPr>
                <w:rFonts w:ascii="Arial" w:cs="Arial" w:eastAsia="Arial" w:hAnsi="Arial"/>
                <w:sz w:val="13"/>
                <w:szCs w:val="13"/>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Eric Schadt</w:t>
            </w:r>
          </w:p>
        </w:tc>
      </w:tr>
      <w:tr>
        <w:trPr>
          <w:trHeight w:val="149"/>
        </w:trPr>
        <w:tc>
          <w:tcPr>
            <w:tcW w:w="5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540" w:type="dxa"/>
            <w:vAlign w:val="bottom"/>
          </w:tcPr>
          <w:p>
            <w:pPr>
              <w:ind w:left="1620"/>
              <w:spacing w:after="0"/>
              <w:rPr>
                <w:sz w:val="20"/>
                <w:szCs w:val="20"/>
                <w:color w:val="auto"/>
              </w:rPr>
            </w:pPr>
            <w:r>
              <w:rPr>
                <w:rFonts w:ascii="Arial" w:cs="Arial" w:eastAsia="Arial" w:hAnsi="Arial"/>
                <w:sz w:val="13"/>
                <w:szCs w:val="13"/>
                <w:color w:val="auto"/>
              </w:rPr>
              <w:t>Name:</w:t>
            </w:r>
          </w:p>
        </w:tc>
        <w:tc>
          <w:tcPr>
            <w:tcW w:w="4700" w:type="dxa"/>
            <w:vAlign w:val="bottom"/>
          </w:tcPr>
          <w:p>
            <w:pPr>
              <w:ind w:left="20"/>
              <w:spacing w:after="0"/>
              <w:rPr>
                <w:sz w:val="20"/>
                <w:szCs w:val="20"/>
                <w:color w:val="auto"/>
              </w:rPr>
            </w:pPr>
            <w:r>
              <w:rPr>
                <w:rFonts w:ascii="Arial" w:cs="Arial" w:eastAsia="Arial" w:hAnsi="Arial"/>
                <w:sz w:val="13"/>
                <w:szCs w:val="13"/>
                <w:color w:val="auto"/>
              </w:rPr>
              <w:t>Eric Schadt</w:t>
            </w:r>
          </w:p>
        </w:tc>
      </w:tr>
      <w:tr>
        <w:trPr>
          <w:trHeight w:val="166"/>
        </w:trPr>
        <w:tc>
          <w:tcPr>
            <w:tcW w:w="5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540" w:type="dxa"/>
            <w:vAlign w:val="bottom"/>
          </w:tcPr>
          <w:p>
            <w:pPr>
              <w:ind w:left="1620"/>
              <w:spacing w:after="0"/>
              <w:rPr>
                <w:sz w:val="20"/>
                <w:szCs w:val="20"/>
                <w:color w:val="auto"/>
              </w:rPr>
            </w:pPr>
            <w:r>
              <w:rPr>
                <w:rFonts w:ascii="Arial" w:cs="Arial" w:eastAsia="Arial" w:hAnsi="Arial"/>
                <w:sz w:val="13"/>
                <w:szCs w:val="13"/>
                <w:color w:val="auto"/>
              </w:rPr>
              <w:t>Title:</w:t>
            </w:r>
          </w:p>
        </w:tc>
        <w:tc>
          <w:tcPr>
            <w:tcW w:w="4700" w:type="dxa"/>
            <w:vAlign w:val="bottom"/>
          </w:tcPr>
          <w:p>
            <w:pPr>
              <w:ind w:left="20"/>
              <w:spacing w:after="0"/>
              <w:rPr>
                <w:sz w:val="20"/>
                <w:szCs w:val="20"/>
                <w:color w:val="auto"/>
              </w:rPr>
            </w:pPr>
            <w:r>
              <w:rPr>
                <w:rFonts w:ascii="Arial" w:cs="Arial" w:eastAsia="Arial" w:hAnsi="Arial"/>
                <w:sz w:val="13"/>
                <w:szCs w:val="13"/>
                <w:color w:val="auto"/>
              </w:rPr>
              <w:t>Chief Executive Officer</w:t>
            </w:r>
          </w:p>
        </w:tc>
      </w:tr>
    </w:tbl>
    <w:p>
      <w:pPr>
        <w:sectPr>
          <w:pgSz w:w="11900" w:h="16838" w:orient="portrait"/>
          <w:cols w:equalWidth="0" w:num="1">
            <w:col w:w="10640"/>
          </w:cols>
          <w:pgMar w:left="500" w:top="800" w:right="75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2022-01-10T15:26:23Z</dcterms:created>
  <dcterms:modified xsi:type="dcterms:W3CDTF">2022-01-10T15:26:23Z</dcterms:modified>
</cp:coreProperties>
</file>