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187960</wp:posOffset>
            </wp:positionV>
            <wp:extent cx="1071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5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179705</wp:posOffset>
            </wp:positionV>
            <wp:extent cx="1071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7"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80" w:lineRule="exact"/>
        <w:rPr>
          <w:rFonts w:ascii="MS PGothic" w:cs="MS PGothic" w:eastAsia="MS PGothic" w:hAnsi="MS PGothic"/>
          <w:sz w:val="18"/>
          <w:szCs w:val="18"/>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89"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85" w:lineRule="exact"/>
        <w:rPr>
          <w:sz w:val="24"/>
          <w:szCs w:val="24"/>
          <w:color w:val="auto"/>
        </w:rPr>
      </w:pPr>
    </w:p>
    <w:p>
      <w:pPr>
        <w:ind w:left="620" w:hanging="594"/>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620" w:hanging="594"/>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5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8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(Name of Registrant as Specified in Its Charter)</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(Name of Person(s) Filing Proxy Statement, if other than the Registrant)</w:t>
      </w: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20" w:hanging="594"/>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5" w:lineRule="exact"/>
        <w:rPr>
          <w:sz w:val="24"/>
          <w:szCs w:val="24"/>
          <w:color w:val="auto"/>
        </w:rPr>
      </w:pPr>
    </w:p>
    <w:p>
      <w:pPr>
        <w:ind w:left="620" w:hanging="594"/>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620" w:hanging="594"/>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1014730</wp:posOffset>
            </wp:positionV>
            <wp:extent cx="1645920" cy="462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333 Ludlow Street</w:t>
      </w:r>
    </w:p>
    <w:p>
      <w:pPr>
        <w:spacing w:after="0" w:line="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North Tower, 6</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Connecticut</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Dear Stockholder of GeneDx Holdings Corp.:</w:t>
      </w:r>
    </w:p>
    <w:p>
      <w:pPr>
        <w:spacing w:after="0" w:line="196"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You are cordially invited to attend the 2023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of GeneDx Holdings Corp.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to be held at GeneDx’s corporate headquarters at 333 Ludlow Street, North Tower, Stamford, Connecticut 06902 on June 14, 2023 at 9:00 a.m. Eastern Time.</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holding the Annual Meeting to:</w:t>
      </w:r>
    </w:p>
    <w:p>
      <w:pPr>
        <w:spacing w:after="0" w:line="185" w:lineRule="exact"/>
        <w:rPr>
          <w:sz w:val="20"/>
          <w:szCs w:val="20"/>
          <w:color w:val="auto"/>
        </w:rPr>
      </w:pPr>
    </w:p>
    <w:p>
      <w:pPr>
        <w:ind w:right="20" w:firstLine="332"/>
        <w:spacing w:after="0" w:line="282" w:lineRule="auto"/>
        <w:tabs>
          <w:tab w:leader="none" w:pos="6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two Class II directors, each to serve until the 2026 annual meeting of stockholders and until his or her successor has been elected and qualified;</w:t>
      </w:r>
    </w:p>
    <w:p>
      <w:pPr>
        <w:spacing w:after="0" w:line="107" w:lineRule="exact"/>
        <w:rPr>
          <w:rFonts w:ascii="Times New Roman" w:cs="Times New Roman" w:eastAsia="Times New Roman" w:hAnsi="Times New Roman"/>
          <w:sz w:val="18"/>
          <w:szCs w:val="18"/>
          <w:color w:val="auto"/>
        </w:rPr>
      </w:pPr>
    </w:p>
    <w:p>
      <w:pPr>
        <w:ind w:right="20" w:firstLine="332"/>
        <w:spacing w:after="0" w:line="282" w:lineRule="auto"/>
        <w:tabs>
          <w:tab w:leader="none" w:pos="6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Ernst &amp; Young LLP as the Company’s independent registered public accounting firm for the fiscal year ending December 31, 2023; and</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any other business that may properly come before the Annual Meeting or any adjournments or postponements thereof.</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these proposals is more fully described in the accompanying proxy statement, which each stockholder is encouraged to carefully read.</w:t>
      </w:r>
    </w:p>
    <w:p>
      <w:pPr>
        <w:spacing w:after="0" w:line="208" w:lineRule="exact"/>
        <w:rPr>
          <w:sz w:val="20"/>
          <w:szCs w:val="20"/>
          <w:color w:val="auto"/>
        </w:rPr>
      </w:pPr>
    </w:p>
    <w:p>
      <w:pPr>
        <w:jc w:val="both"/>
        <w:ind w:firstLine="324"/>
        <w:spacing w:after="0" w:line="295" w:lineRule="auto"/>
        <w:rPr>
          <w:sz w:val="20"/>
          <w:szCs w:val="20"/>
          <w:color w:val="auto"/>
        </w:rPr>
      </w:pPr>
      <w:r>
        <w:rPr>
          <w:rFonts w:ascii="Times New Roman" w:cs="Times New Roman" w:eastAsia="Times New Roman" w:hAnsi="Times New Roman"/>
          <w:sz w:val="18"/>
          <w:szCs w:val="18"/>
          <w:b w:val="1"/>
          <w:bCs w:val="1"/>
          <w:u w:val="single" w:color="auto"/>
          <w:color w:val="auto"/>
        </w:rPr>
        <w:t>Your vote is very important</w:t>
      </w:r>
      <w:r>
        <w:rPr>
          <w:rFonts w:ascii="Times New Roman" w:cs="Times New Roman" w:eastAsia="Times New Roman" w:hAnsi="Times New Roman"/>
          <w:sz w:val="18"/>
          <w:szCs w:val="18"/>
          <w:b w:val="1"/>
          <w:bCs w:val="1"/>
          <w:color w:val="auto"/>
        </w:rPr>
        <w:t>. Whether or not you plan to attend the Annual Meeting, you are encouraged to submit your proxy and voting instructions via the Internet, by telephone or by completing, signing and dating the enclosed proxy card as promptly as possible and returning it in the enclosed envelope (to which no postage need be affixed if mailed in the United States). Even if you have given your proxy, you may still vote in person if you attend the Annual Meeting. Please note, however, that if your shares are held of record by a broker, bank or other nominee and you wish to vote at the Annual Meeting, you must obtain from the record holder a proxy issued in your name. You may revoke a previously delivered proxy at any time prior to the Annual Meeting. You may do so automatically by voting in person at the Annual Meeting, or by delivering to us a written notice of revocation or a duly executed proxy b</w:t>
      </w: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b w:val="1"/>
          <w:bCs w:val="1"/>
          <w:color w:val="auto"/>
        </w:rPr>
        <w:t>aring a date later than the date of the proxy being revoked</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behalf of our Board, I would like to thank you for your support of GeneDx Holdings Corp.</w:t>
      </w:r>
    </w:p>
    <w:p>
      <w:pPr>
        <w:spacing w:after="0" w:line="22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9, 2023</w:t>
      </w:r>
    </w:p>
    <w:p>
      <w:pPr>
        <w:spacing w:after="0" w:line="2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1"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74"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 accompanying Notice of Annual Meeting and proxy statement are dated May 9, 2023 and are expected to be first mailed to the Company’s stockholders on or about May 9, 2023.</w:t>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333 Ludlow Street</w:t>
      </w:r>
    </w:p>
    <w:p>
      <w:pPr>
        <w:jc w:val="center"/>
        <w:ind w:right="-19"/>
        <w:spacing w:after="0" w:line="206" w:lineRule="auto"/>
        <w:rPr>
          <w:sz w:val="20"/>
          <w:szCs w:val="20"/>
          <w:color w:val="auto"/>
        </w:rPr>
      </w:pPr>
      <w:r>
        <w:rPr>
          <w:rFonts w:ascii="Times New Roman" w:cs="Times New Roman" w:eastAsia="Times New Roman" w:hAnsi="Times New Roman"/>
          <w:sz w:val="18"/>
          <w:szCs w:val="18"/>
          <w:b w:val="1"/>
          <w:bCs w:val="1"/>
          <w:color w:val="auto"/>
        </w:rPr>
        <w:t>North Tower, 6</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2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Stockholders of GeneDx Holdings Corp.:</w:t>
      </w:r>
    </w:p>
    <w:p>
      <w:pPr>
        <w:spacing w:after="0" w:line="210"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NOTICE IS HEREBY GIVEN that the annual meeting of the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of GeneDx Holdings Corp., a Delaware corporation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to be held at the Company’s corporate headquarters at 333 Ludlow Street, North Tower, Stamford, Connecticut 06902 on June 14, 2023 at 9:00 a.m. Eastern time.</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holding the Annual Meeting for the following purposes:</w:t>
      </w:r>
    </w:p>
    <w:p>
      <w:pPr>
        <w:spacing w:after="0" w:line="208" w:lineRule="exact"/>
        <w:rPr>
          <w:sz w:val="20"/>
          <w:szCs w:val="20"/>
          <w:color w:val="auto"/>
        </w:rPr>
      </w:pPr>
    </w:p>
    <w:p>
      <w:pPr>
        <w:jc w:val="both"/>
        <w:ind w:left="660" w:hanging="328"/>
        <w:spacing w:after="0" w:line="30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1 - The Class II Director Election Proposal </w:t>
      </w:r>
      <w:r>
        <w:rPr>
          <w:rFonts w:ascii="Times New Roman" w:cs="Times New Roman" w:eastAsia="Times New Roman" w:hAnsi="Times New Roman"/>
          <w:sz w:val="18"/>
          <w:szCs w:val="18"/>
          <w:color w:val="auto"/>
        </w:rPr>
        <w:t>- To elect two Class II directors of the Company, each to serve a three-year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expiring at the Company’s 2026 annual meeting of stockholders and until such director’s successor is duly elected and qualified (“</w:t>
      </w:r>
      <w:r>
        <w:rPr>
          <w:rFonts w:ascii="Times New Roman" w:cs="Times New Roman" w:eastAsia="Times New Roman" w:hAnsi="Times New Roman"/>
          <w:sz w:val="18"/>
          <w:szCs w:val="18"/>
          <w:i w:val="1"/>
          <w:iCs w:val="1"/>
          <w:color w:val="auto"/>
        </w:rPr>
        <w:t>Proposal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ind w:left="660" w:right="20" w:hanging="328"/>
        <w:spacing w:after="0" w:line="33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No. 2 - The Auditor Ratification Proposal </w:t>
      </w:r>
      <w:r>
        <w:rPr>
          <w:rFonts w:ascii="Times New Roman" w:cs="Times New Roman" w:eastAsia="Times New Roman" w:hAnsi="Times New Roman"/>
          <w:sz w:val="18"/>
          <w:szCs w:val="18"/>
          <w:color w:val="auto"/>
        </w:rPr>
        <w:t>- To ratify the appointment of Ernst &amp; Young LLP as the Company’s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for the fiscal year ending December 31, 2023 (“</w:t>
      </w:r>
      <w:r>
        <w:rPr>
          <w:rFonts w:ascii="Times New Roman" w:cs="Times New Roman" w:eastAsia="Times New Roman" w:hAnsi="Times New Roman"/>
          <w:sz w:val="18"/>
          <w:szCs w:val="18"/>
          <w:i w:val="1"/>
          <w:iCs w:val="1"/>
          <w:color w:val="auto"/>
        </w:rPr>
        <w:t>Proposal No. 2</w:t>
      </w:r>
      <w:r>
        <w:rPr>
          <w:rFonts w:ascii="Times New Roman" w:cs="Times New Roman" w:eastAsia="Times New Roman" w:hAnsi="Times New Roman"/>
          <w:sz w:val="18"/>
          <w:szCs w:val="18"/>
          <w:color w:val="auto"/>
        </w:rPr>
        <w:t>”); and</w:t>
      </w:r>
    </w:p>
    <w:p>
      <w:pPr>
        <w:spacing w:after="0" w:line="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185" w:lineRule="exact"/>
        <w:rPr>
          <w:sz w:val="20"/>
          <w:szCs w:val="20"/>
          <w:color w:val="auto"/>
        </w:rPr>
      </w:pPr>
    </w:p>
    <w:p>
      <w:pPr>
        <w:ind w:right="80" w:firstLine="405"/>
        <w:spacing w:after="0" w:line="237" w:lineRule="auto"/>
        <w:rPr>
          <w:sz w:val="20"/>
          <w:szCs w:val="20"/>
          <w:color w:val="auto"/>
        </w:rPr>
      </w:pPr>
      <w:r>
        <w:rPr>
          <w:rFonts w:ascii="Times New Roman" w:cs="Times New Roman" w:eastAsia="Times New Roman" w:hAnsi="Times New Roman"/>
          <w:sz w:val="18"/>
          <w:szCs w:val="18"/>
          <w:color w:val="auto"/>
        </w:rPr>
        <w:t>These items of business are more fully described in the accompanying proxy statement. We have not received notice of any other matters that may be properly presented at our Annual Meeting.</w:t>
      </w:r>
    </w:p>
    <w:p>
      <w:pPr>
        <w:spacing w:after="0" w:line="226"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The record date for the Annual Meeting is May 8, 2023. Only stockholders of record at the close of business on the record date may vote at the Annual Meeting or any adjournment thereof. A complete list of our stockholders of record entitled to vote at the Annual Meeting will be available for ten days before the Annual Meeting at our principal executive offices for inspection by stockholders during ordinary business hours for any purpose germane to the Annual Meeting.</w:t>
      </w:r>
    </w:p>
    <w:p>
      <w:pPr>
        <w:spacing w:after="0" w:line="13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 xml:space="preserve">A majority of the voting power of all outstanding shares of capital stock of the Company entitled to vote must be present in person or by proxy to constitute a quorum for the transaction of business at the Annual Meeting. </w:t>
      </w:r>
      <w:r>
        <w:rPr>
          <w:rFonts w:ascii="Times New Roman" w:cs="Times New Roman" w:eastAsia="Times New Roman" w:hAnsi="Times New Roman"/>
          <w:sz w:val="18"/>
          <w:szCs w:val="18"/>
          <w:b w:val="1"/>
          <w:bCs w:val="1"/>
          <w:color w:val="auto"/>
        </w:rPr>
        <w:t>The Board recommends that you vote “FOR” each of these proposals.</w:t>
      </w:r>
    </w:p>
    <w:p>
      <w:pPr>
        <w:spacing w:after="0" w:line="14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Jason Ryan</w:t>
      </w:r>
    </w:p>
    <w:p>
      <w:pPr>
        <w:spacing w:after="0" w:line="27"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9, 2023</w:t>
      </w:r>
    </w:p>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3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8"/>
              </w:rPr>
              <w:t>INFORMATION ABOUT SOLICITATION AND VOTING</w:t>
            </w: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2"/>
        </w:trPr>
        <w:tc>
          <w:tcPr>
            <w:tcW w:w="4340" w:type="dxa"/>
            <w:vAlign w:val="bottom"/>
            <w:tcBorders>
              <w:bottom w:val="single" w:sz="8" w:color="0000FF"/>
            </w:tcBorders>
            <w:gridSpan w:val="15"/>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91"/>
        </w:trPr>
        <w:tc>
          <w:tcPr>
            <w:tcW w:w="4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GENERAL INFORMATION ABOUT THE MEETING</w:t>
            </w:r>
          </w:p>
        </w:tc>
        <w:tc>
          <w:tcPr>
            <w:tcW w:w="4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90"/>
        </w:trPr>
        <w:tc>
          <w:tcPr>
            <w:tcW w:w="2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CORPORATE GOVERNANCE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91"/>
        </w:trPr>
        <w:tc>
          <w:tcPr>
            <w:tcW w:w="45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PROPOSAL NO. 1 - THE CLASS II DIRECTOR ELECTION</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90"/>
        </w:trPr>
        <w:tc>
          <w:tcPr>
            <w:tcW w:w="4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PROPOSAL NO. 2 - THE AUDITOR RATIFICATION</w:t>
            </w:r>
          </w:p>
        </w:tc>
        <w:tc>
          <w:tcPr>
            <w:tcW w:w="80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91"/>
        </w:trPr>
        <w:tc>
          <w:tcPr>
            <w:tcW w:w="3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THE AUDIT COMMITTEE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90"/>
        </w:trPr>
        <w:tc>
          <w:tcPr>
            <w:tcW w:w="1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EXECUTIVE OFFICERS</w:t>
            </w:r>
          </w:p>
        </w:tc>
        <w:tc>
          <w:tcPr>
            <w:tcW w:w="5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91"/>
        </w:trPr>
        <w:tc>
          <w:tcPr>
            <w:tcW w:w="2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90"/>
        </w:trPr>
        <w:tc>
          <w:tcPr>
            <w:tcW w:w="3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EQUITY COMPENSATION PLAN INFORMATION</w:t>
            </w:r>
          </w:p>
        </w:tc>
        <w:tc>
          <w:tcPr>
            <w:tcW w:w="90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91"/>
        </w:trPr>
        <w:tc>
          <w:tcPr>
            <w:tcW w:w="5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91"/>
        </w:trPr>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37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90"/>
        </w:trPr>
        <w:tc>
          <w:tcPr>
            <w:tcW w:w="3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6"/>
          </w:tcPr>
          <w:p>
            <w:pPr>
              <w:spacing w:after="0"/>
              <w:rPr>
                <w:sz w:val="24"/>
                <w:szCs w:val="24"/>
                <w:color w:val="auto"/>
              </w:rPr>
            </w:pPr>
          </w:p>
        </w:tc>
        <w:tc>
          <w:tcPr>
            <w:tcW w:w="570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1"/>
        </w:trPr>
        <w:tc>
          <w:tcPr>
            <w:tcW w:w="4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INDEPENDENT REGISTERED PUBLIC ACCOUNTING FIRM</w:t>
            </w:r>
          </w:p>
        </w:tc>
        <w:tc>
          <w:tcPr>
            <w:tcW w:w="570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0"/>
        </w:trPr>
        <w:tc>
          <w:tcPr>
            <w:tcW w:w="2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HOUSEHOLDING INFORMATION</w:t>
            </w:r>
          </w:p>
        </w:tc>
        <w:tc>
          <w:tcPr>
            <w:tcW w:w="36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6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0"/>
        </w:trPr>
        <w:tc>
          <w:tcPr>
            <w:tcW w:w="3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TRANSFER AGENT AND REGISTRAR</w:t>
            </w:r>
          </w:p>
        </w:tc>
        <w:tc>
          <w:tcPr>
            <w:tcW w:w="80" w:type="dxa"/>
            <w:vAlign w:val="bottom"/>
            <w:gridSpan w:val="2"/>
          </w:tcPr>
          <w:p>
            <w:pPr>
              <w:spacing w:after="0"/>
              <w:rPr>
                <w:sz w:val="24"/>
                <w:szCs w:val="24"/>
                <w:color w:val="auto"/>
              </w:rPr>
            </w:pPr>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6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90"/>
        </w:trPr>
        <w:tc>
          <w:tcPr>
            <w:tcW w:w="3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SUBMISSION OF STOCKHOLDER PROPOSALS</w:t>
            </w:r>
          </w:p>
        </w:tc>
        <w:tc>
          <w:tcPr>
            <w:tcW w:w="20" w:type="dxa"/>
            <w:vAlign w:val="bottom"/>
          </w:tcPr>
          <w:p>
            <w:pPr>
              <w:spacing w:after="0"/>
              <w:rPr>
                <w:sz w:val="24"/>
                <w:szCs w:val="24"/>
                <w:color w:val="auto"/>
              </w:rPr>
            </w:pPr>
          </w:p>
        </w:tc>
        <w:tc>
          <w:tcPr>
            <w:tcW w:w="66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90"/>
        </w:trPr>
        <w:tc>
          <w:tcPr>
            <w:tcW w:w="31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FUTURE STOCKHOLDER PROPOSALS</w:t>
            </w:r>
          </w:p>
        </w:tc>
        <w:tc>
          <w:tcPr>
            <w:tcW w:w="680" w:type="dxa"/>
            <w:vAlign w:val="bottom"/>
            <w:gridSpan w:val="3"/>
          </w:tcPr>
          <w:p>
            <w:pPr>
              <w:spacing w:after="0"/>
              <w:rPr>
                <w:sz w:val="24"/>
                <w:szCs w:val="24"/>
                <w:color w:val="auto"/>
              </w:rPr>
            </w:pPr>
          </w:p>
        </w:tc>
        <w:tc>
          <w:tcPr>
            <w:tcW w:w="66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90"/>
        </w:trPr>
        <w:tc>
          <w:tcPr>
            <w:tcW w:w="3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6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90"/>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PROXY CARD</w:t>
            </w:r>
          </w:p>
        </w:tc>
        <w:tc>
          <w:tcPr>
            <w:tcW w:w="9340" w:type="dxa"/>
            <w:vAlign w:val="bottom"/>
            <w:gridSpan w:val="19"/>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4" w:name="page5"/>
    <w:bookmarkEnd w:id="4"/>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GENEDX HOLDINGS CORP.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333 Ludlow Street</w:t>
      </w:r>
    </w:p>
    <w:p>
      <w:pPr>
        <w:jc w:val="center"/>
        <w:ind w:right="-19"/>
        <w:spacing w:after="0" w:line="212" w:lineRule="auto"/>
        <w:rPr>
          <w:sz w:val="20"/>
          <w:szCs w:val="20"/>
          <w:color w:val="auto"/>
        </w:rPr>
      </w:pPr>
      <w:r>
        <w:rPr>
          <w:rFonts w:ascii="Times New Roman" w:cs="Times New Roman" w:eastAsia="Times New Roman" w:hAnsi="Times New Roman"/>
          <w:sz w:val="18"/>
          <w:szCs w:val="18"/>
          <w:b w:val="1"/>
          <w:bCs w:val="1"/>
          <w:color w:val="auto"/>
        </w:rPr>
        <w:t>North Tower, 6</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THE ANNUAL MEETING OF STOCKHOLDERS TO BE HELD ON</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14,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proxy statement or the context otherwise requires, references to:</w:t>
      </w:r>
    </w:p>
    <w:p>
      <w:pPr>
        <w:spacing w:after="0" w:line="25"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4"/>
          <w:szCs w:val="24"/>
          <w:color w:val="auto"/>
        </w:rPr>
      </w:pPr>
      <w:r>
        <w:rPr>
          <w:rFonts w:ascii="Arial" w:cs="Arial" w:eastAsia="Arial" w:hAnsi="Arial"/>
          <w:sz w:val="18"/>
          <w:szCs w:val="18"/>
          <w:color w:val="auto"/>
        </w:rPr>
        <w:t>“</w:t>
      </w:r>
      <w:r>
        <w:rPr>
          <w:rFonts w:ascii="Times New Roman" w:cs="Times New Roman" w:eastAsia="Times New Roman" w:hAnsi="Times New Roman"/>
          <w:sz w:val="18"/>
          <w:szCs w:val="18"/>
          <w:i w:val="1"/>
          <w:iCs w:val="1"/>
          <w:color w:val="auto"/>
        </w:rPr>
        <w:t>GeneDx Holdings</w:t>
      </w:r>
      <w:r>
        <w:rPr>
          <w:rFonts w:ascii="Times New Roman" w:cs="Times New Roman" w:eastAsia="Times New Roman" w:hAnsi="Times New Roman"/>
          <w:sz w:val="18"/>
          <w:szCs w:val="18"/>
          <w:color w:val="auto"/>
        </w:rPr>
        <w:t>” refer to GeneDx Holdings Corp., a Delaware corporation (f/k/a Sema4 Holdings Corp. (“</w:t>
      </w:r>
      <w:r>
        <w:rPr>
          <w:rFonts w:ascii="Times New Roman" w:cs="Times New Roman" w:eastAsia="Times New Roman" w:hAnsi="Times New Roman"/>
          <w:sz w:val="18"/>
          <w:szCs w:val="18"/>
          <w:i w:val="1"/>
          <w:iCs w:val="1"/>
          <w:color w:val="auto"/>
        </w:rPr>
        <w:t>Sema4 Holdings</w:t>
      </w:r>
      <w:r>
        <w:rPr>
          <w:rFonts w:ascii="Times New Roman" w:cs="Times New Roman" w:eastAsia="Times New Roman" w:hAnsi="Times New Roman"/>
          <w:sz w:val="18"/>
          <w:szCs w:val="18"/>
          <w:color w:val="auto"/>
        </w:rPr>
        <w:t>”));</w:t>
      </w:r>
    </w:p>
    <w:p>
      <w:pPr>
        <w:spacing w:after="0" w:line="205" w:lineRule="exact"/>
        <w:rPr>
          <w:rFonts w:ascii="Times New Roman" w:cs="Times New Roman" w:eastAsia="Times New Roman" w:hAnsi="Times New Roman"/>
          <w:sz w:val="24"/>
          <w:szCs w:val="24"/>
          <w:color w:val="auto"/>
        </w:rPr>
      </w:pPr>
    </w:p>
    <w:p>
      <w:pPr>
        <w:ind w:left="660" w:right="20" w:hanging="328"/>
        <w:spacing w:after="0" w:line="238" w:lineRule="auto"/>
        <w:tabs>
          <w:tab w:leader="none" w:pos="651"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GeneDx</w:t>
      </w:r>
      <w:r>
        <w:rPr>
          <w:rFonts w:ascii="Times New Roman" w:cs="Times New Roman" w:eastAsia="Times New Roman" w:hAnsi="Times New Roman"/>
          <w:sz w:val="18"/>
          <w:szCs w:val="18"/>
          <w:color w:val="auto"/>
        </w:rPr>
        <w:t>” refer to GeneDx, LLC, a Delaware limited liability company (formerly, GeneDx, Inc., a New Jersey corporation), which we acquired on April 29, 2022 (the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196" w:lineRule="exact"/>
        <w:rPr>
          <w:rFonts w:ascii="Times New Roman" w:cs="Times New Roman" w:eastAsia="Times New Roman" w:hAnsi="Times New Roman"/>
          <w:sz w:val="24"/>
          <w:szCs w:val="24"/>
          <w:color w:val="auto"/>
        </w:rPr>
      </w:pPr>
    </w:p>
    <w:p>
      <w:pPr>
        <w:ind w:left="660" w:right="20" w:hanging="328"/>
        <w:spacing w:after="0" w:line="231" w:lineRule="auto"/>
        <w:tabs>
          <w:tab w:leader="none" w:pos="651"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Sema4</w:t>
      </w:r>
      <w:r>
        <w:rPr>
          <w:rFonts w:ascii="Times New Roman" w:cs="Times New Roman" w:eastAsia="Times New Roman" w:hAnsi="Times New Roman"/>
          <w:sz w:val="18"/>
          <w:szCs w:val="18"/>
          <w:color w:val="auto"/>
        </w:rPr>
        <w:t>” refer to Mount Sinai Genomics, Inc. d/b/a as Sema4, a Delaware corporation, which consummated the business combination with CM Life Sciences, Inc. (“</w:t>
      </w:r>
      <w:r>
        <w:rPr>
          <w:rFonts w:ascii="Times New Roman" w:cs="Times New Roman" w:eastAsia="Times New Roman" w:hAnsi="Times New Roman"/>
          <w:sz w:val="18"/>
          <w:szCs w:val="18"/>
          <w:i w:val="1"/>
          <w:iCs w:val="1"/>
          <w:color w:val="auto"/>
        </w:rPr>
        <w:t>CMLS</w:t>
      </w:r>
      <w:r>
        <w:rPr>
          <w:rFonts w:ascii="Times New Roman" w:cs="Times New Roman" w:eastAsia="Times New Roman" w:hAnsi="Times New Roman"/>
          <w:sz w:val="18"/>
          <w:szCs w:val="18"/>
          <w:color w:val="auto"/>
        </w:rPr>
        <w:t>”) on July 22, 2021 (the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and</w:t>
      </w:r>
    </w:p>
    <w:p>
      <w:pPr>
        <w:spacing w:after="0" w:line="157" w:lineRule="exact"/>
        <w:rPr>
          <w:rFonts w:ascii="Times New Roman" w:cs="Times New Roman" w:eastAsia="Times New Roman" w:hAnsi="Times New Roman"/>
          <w:sz w:val="24"/>
          <w:szCs w:val="24"/>
          <w:color w:val="auto"/>
        </w:rPr>
      </w:pPr>
    </w:p>
    <w:p>
      <w:pPr>
        <w:ind w:left="640" w:hanging="308"/>
        <w:spacing w:after="0"/>
        <w:tabs>
          <w:tab w:leader="none" w:pos="640"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refer, as the context requires, to:</w:t>
      </w:r>
    </w:p>
    <w:p>
      <w:pPr>
        <w:spacing w:after="0" w:line="211" w:lineRule="exact"/>
        <w:rPr>
          <w:sz w:val="20"/>
          <w:szCs w:val="20"/>
          <w:color w:val="auto"/>
        </w:rPr>
      </w:pPr>
    </w:p>
    <w:p>
      <w:pPr>
        <w:ind w:left="1300" w:hanging="320"/>
        <w:spacing w:after="0" w:line="253" w:lineRule="auto"/>
        <w:tabs>
          <w:tab w:leader="none" w:pos="1297" w:val="left"/>
        </w:tabs>
        <w:numPr>
          <w:ilvl w:val="0"/>
          <w:numId w:val="9"/>
        </w:numPr>
        <w:rPr>
          <w:rFonts w:ascii="Courier New" w:cs="Courier New" w:eastAsia="Courier New" w:hAnsi="Courier New"/>
          <w:sz w:val="24"/>
          <w:szCs w:val="24"/>
          <w:color w:val="auto"/>
        </w:rPr>
      </w:pPr>
      <w:r>
        <w:rPr>
          <w:rFonts w:ascii="Times New Roman" w:cs="Times New Roman" w:eastAsia="Times New Roman" w:hAnsi="Times New Roman"/>
          <w:sz w:val="18"/>
          <w:szCs w:val="18"/>
          <w:color w:val="auto"/>
        </w:rPr>
        <w:t>Legacy Sema4 prior to the Business Combination, and GeneDx Holdings and its consolidated subsidiaries following the consummation of the Business Combination; and</w:t>
      </w:r>
    </w:p>
    <w:p>
      <w:pPr>
        <w:spacing w:after="0" w:line="170" w:lineRule="exact"/>
        <w:rPr>
          <w:rFonts w:ascii="Courier New" w:cs="Courier New" w:eastAsia="Courier New" w:hAnsi="Courier New"/>
          <w:sz w:val="24"/>
          <w:szCs w:val="24"/>
          <w:color w:val="auto"/>
        </w:rPr>
      </w:pPr>
    </w:p>
    <w:p>
      <w:pPr>
        <w:ind w:left="1300" w:hanging="320"/>
        <w:spacing w:after="0" w:line="239" w:lineRule="auto"/>
        <w:tabs>
          <w:tab w:leader="none" w:pos="1297" w:val="left"/>
        </w:tabs>
        <w:numPr>
          <w:ilvl w:val="0"/>
          <w:numId w:val="9"/>
        </w:numPr>
        <w:rPr>
          <w:rFonts w:ascii="Courier New" w:cs="Courier New" w:eastAsia="Courier New" w:hAnsi="Courier New"/>
          <w:sz w:val="24"/>
          <w:szCs w:val="24"/>
          <w:color w:val="auto"/>
        </w:rPr>
      </w:pPr>
      <w:r>
        <w:rPr>
          <w:rFonts w:ascii="Times New Roman" w:cs="Times New Roman" w:eastAsia="Times New Roman" w:hAnsi="Times New Roman"/>
          <w:sz w:val="18"/>
          <w:szCs w:val="18"/>
          <w:color w:val="auto"/>
        </w:rPr>
        <w:t>Legacy GeneDx prior to the Acquisition, and GeneDx Holdings and its consolidated subsidiaries following the consummation of the Acquisition.</w:t>
      </w:r>
    </w:p>
    <w:p>
      <w:pPr>
        <w:spacing w:after="0" w:line="14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unless otherwise stated in this proxy statement, all share amounts, exercise prices and other amounts set forth herein have been adjusted for the impact of a 1-for-33 reverse stock split of our Class A common stock, par value $0.0001 per share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that became effective on May 4, 2023 (the “</w:t>
      </w:r>
      <w:r>
        <w:rPr>
          <w:rFonts w:ascii="Times New Roman" w:cs="Times New Roman" w:eastAsia="Times New Roman" w:hAnsi="Times New Roman"/>
          <w:sz w:val="18"/>
          <w:szCs w:val="18"/>
          <w:i w:val="1"/>
          <w:iCs w:val="1"/>
          <w:color w:val="auto"/>
        </w:rPr>
        <w:t>Reverse Stock Split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INFORMATION ABOUT SOLICITATION AND VOTING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This proxy statement and the enclosed form of proxy are furnished in connection with the solicitation of proxies by our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for use at our 2023 annual meeting of stockholders and any postponements, adjournments or continuations thereof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The Annual Meeting will be held at the Company’s corporate headquarters at 333 Ludlow Street, North Tower, Stamford, Connecticut</w:t>
      </w:r>
    </w:p>
    <w:p>
      <w:pPr>
        <w:jc w:val="both"/>
        <w:spacing w:after="0" w:line="282" w:lineRule="auto"/>
        <w:rPr>
          <w:sz w:val="20"/>
          <w:szCs w:val="20"/>
          <w:color w:val="auto"/>
        </w:rPr>
      </w:pPr>
      <w:r>
        <w:rPr>
          <w:rFonts w:ascii="Times New Roman" w:cs="Times New Roman" w:eastAsia="Times New Roman" w:hAnsi="Times New Roman"/>
          <w:sz w:val="18"/>
          <w:szCs w:val="18"/>
          <w:color w:val="auto"/>
        </w:rPr>
        <w:t>06902 on June 14, 2023 at 9:00 a.m. Eastern Time. References to our website in this proxy statement are not intended to function as hyperlinks and the information contained on our website is not intended to be incorporated into this proxy statement.</w:t>
      </w:r>
    </w:p>
    <w:p>
      <w:pPr>
        <w:spacing w:after="0" w:line="108"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Notice of Annual Meeting, this proxy statement and the form of proxy are first being mailed on or about May 9, 2023 to all the Company’s stockholders entitled to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You are receiving this proxy statement because our Board is soliciting your proxy to vote your shares at the Annual Meeting with respect to the proposals described in this proxy statement. This proxy statement includes information that we are required to provide to you pursuant to the rules and regulations of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and is designed to assist you in voting your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Quorum</w:t>
      </w:r>
    </w:p>
    <w:p>
      <w:pPr>
        <w:spacing w:after="0" w:line="173"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Only holders of record of our Class A Common Stock at the close of business on May 8, 2023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will be entitled to vote at the Annual Meeting. At the close of business on the April 17, 2023, we had 25,587,605 shares of Class A Common Stock outstanding and entitled to vote, after adjusting for the Reverse Stock Split. For ten days prior to the Annual Meeting, a complete list of the stockholders entitled to vote at the Annual Meeting will be available for examination by any stockholder for any purpose relating to the Annual Meeting during ordinary business hours at our headquarters, at 333 Ludlow Street, North Tower,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Stamford, Connecticut 06902.</w:t>
      </w:r>
    </w:p>
    <w:p>
      <w:pPr>
        <w:spacing w:after="0" w:line="6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the shares of our Class A Common Stock entitled to vote at the Annual Meeting as of the Record Date must be present at the Annual Meeting in order to hold the Annual Meeting and conduct business. This presence is called a quorum. Your shares are counted as present at the Annual Meeting if you are present and vote in person at the Annual Meeting or if you have properly submitted a proxy.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deciding all matters at the Annual Meeting, as of the close of business on the Record Date, each share of Class A Common Stock represents one vote. We do not have cumulative voting rights for the election of directors. You may vote all shares owned by you as of the Record Date, including (i) shares held directly in your name as the stockholder of record and (ii) shares held for you as the beneficial owner in street name through a broker, bank, trustee, or other nominee.</w:t>
      </w:r>
    </w:p>
    <w:p>
      <w:pPr>
        <w:spacing w:after="0" w:line="122"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of Record: Shares Registered in Your Name. </w:t>
      </w:r>
      <w:r>
        <w:rPr>
          <w:rFonts w:ascii="Times New Roman" w:cs="Times New Roman" w:eastAsia="Times New Roman" w:hAnsi="Times New Roman"/>
          <w:sz w:val="18"/>
          <w:szCs w:val="18"/>
          <w:color w:val="auto"/>
        </w:rPr>
        <w:t>If, on the Record Date, your shares were registered directly in your name with our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agent, Continental Stock Transfer &amp; Trust Company, then you are considered the stockholder of record with respect to those shares. As a stockholder of record, you may vote at the Annual Meeting or vote by telephone, through the Internet or, if you request or receive paper proxy materials, by filling out and returning the proxy card.</w:t>
      </w:r>
    </w:p>
    <w:p>
      <w:pPr>
        <w:spacing w:after="0" w:line="12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Beneficial Owner: Shares Registered in the Name of a Broker or Nominee. </w:t>
      </w:r>
      <w:r>
        <w:rPr>
          <w:rFonts w:ascii="Times New Roman" w:cs="Times New Roman" w:eastAsia="Times New Roman" w:hAnsi="Times New Roman"/>
          <w:sz w:val="18"/>
          <w:szCs w:val="18"/>
          <w:color w:val="auto"/>
        </w:rPr>
        <w:t>If, on the Record Date, your shares were held in an account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brokerage firm, bank or other nominee, then you are the beneficial owner of the shares held in “street name.” As a beneficial owner, you have the right to direct your nominee on how to vote the shares held in your account, and your nominee has enclosed or provided voting instructions for you to use in directing it on how to vote your shares.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w w:val="99"/>
              </w:rPr>
              <w:t>Required Vote</w:t>
            </w: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14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80" w:type="dxa"/>
            <w:vAlign w:val="bottom"/>
            <w:gridSpan w:val="2"/>
            <w:vMerge w:val="restart"/>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Vote Required</w:t>
            </w:r>
          </w:p>
        </w:tc>
        <w:tc>
          <w:tcPr>
            <w:tcW w:w="142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“Withhold”</w:t>
            </w:r>
          </w:p>
        </w:tc>
        <w:tc>
          <w:tcPr>
            <w:tcW w:w="1480" w:type="dxa"/>
            <w:vAlign w:val="bottom"/>
            <w:vMerge w:val="restart"/>
          </w:tcPr>
          <w:p>
            <w:pPr>
              <w:jc w:val="center"/>
              <w:ind w:left="16"/>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0" w:type="dxa"/>
            <w:vAlign w:val="bottom"/>
          </w:tcPr>
          <w:p>
            <w:pPr>
              <w:spacing w:after="0"/>
              <w:rPr>
                <w:sz w:val="1"/>
                <w:szCs w:val="1"/>
                <w:color w:val="auto"/>
              </w:rPr>
            </w:pPr>
          </w:p>
        </w:tc>
      </w:tr>
      <w:tr>
        <w:trPr>
          <w:trHeight w:val="243"/>
        </w:trPr>
        <w:tc>
          <w:tcPr>
            <w:tcW w:w="1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2"/>
            <w:vMerge w:val="continue"/>
          </w:tcPr>
          <w:p>
            <w:pPr>
              <w:spacing w:after="0"/>
              <w:rPr>
                <w:sz w:val="21"/>
                <w:szCs w:val="21"/>
                <w:color w:val="auto"/>
              </w:rPr>
            </w:pPr>
          </w:p>
        </w:tc>
        <w:tc>
          <w:tcPr>
            <w:tcW w:w="14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4"/>
              </w:rPr>
              <w:t>Vote</w:t>
            </w:r>
          </w:p>
        </w:tc>
        <w:tc>
          <w:tcPr>
            <w:tcW w:w="1480" w:type="dxa"/>
            <w:vAlign w:val="bottom"/>
            <w:tcBorders>
              <w:bottom w:val="single" w:sz="8" w:color="auto"/>
            </w:tcBorders>
            <w:vMerge w:val="continue"/>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9"/>
              </w:rPr>
              <w:t>Proposal No. 1</w:t>
            </w:r>
          </w:p>
        </w:tc>
        <w:tc>
          <w:tcPr>
            <w:tcW w:w="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w:t>
            </w:r>
          </w:p>
        </w:tc>
        <w:tc>
          <w:tcPr>
            <w:tcW w:w="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election  of</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Class  II Plurality</w:t>
            </w:r>
          </w:p>
        </w:tc>
        <w:tc>
          <w:tcPr>
            <w:tcW w:w="2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of the votes cast. The two</w:t>
            </w: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w w:val="99"/>
              </w:rPr>
              <w:t>No effect</w:t>
            </w:r>
          </w:p>
        </w:tc>
        <w:tc>
          <w:tcPr>
            <w:tcW w:w="1480" w:type="dxa"/>
            <w:vAlign w:val="bottom"/>
          </w:tcPr>
          <w:p>
            <w:pPr>
              <w:jc w:val="center"/>
              <w:ind w:left="16"/>
              <w:spacing w:after="0"/>
              <w:rPr>
                <w:sz w:val="20"/>
                <w:szCs w:val="20"/>
                <w:color w:val="auto"/>
              </w:rPr>
            </w:pPr>
            <w:r>
              <w:rPr>
                <w:rFonts w:ascii="Times New Roman" w:cs="Times New Roman" w:eastAsia="Times New Roman" w:hAnsi="Times New Roman"/>
                <w:sz w:val="16"/>
                <w:szCs w:val="16"/>
                <w:color w:val="auto"/>
                <w:w w:val="99"/>
              </w:rPr>
              <w:t>Not Applicable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 Effect</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directors  named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this</w:t>
            </w:r>
          </w:p>
        </w:tc>
        <w:tc>
          <w:tcPr>
            <w:tcW w:w="1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proxy nominees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receiving</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the  most  “FOR”</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tcBorders>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statement</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votes will be elected. You may vote</w:t>
            </w: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“FOR</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ALL</w:t>
            </w: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NOMINEES”,</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“WITHHOLD AUTHORITY FOR ALL</w:t>
            </w: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NOMINEES”,  or  vote  “FOR  ALL</w:t>
            </w: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EXCEPT” one or more of the nominees</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color w:val="auto"/>
              </w:rPr>
              <w:t>you specify.</w:t>
            </w:r>
          </w:p>
        </w:tc>
        <w:tc>
          <w:tcPr>
            <w:tcW w:w="1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40" w:type="dxa"/>
            <w:vAlign w:val="bottom"/>
            <w:tcBorders>
              <w:left w:val="single" w:sz="8" w:color="auto"/>
            </w:tcBorders>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w w:val="99"/>
              </w:rPr>
              <w:t>Proposal No. 2</w:t>
            </w:r>
          </w:p>
        </w:tc>
        <w:tc>
          <w:tcPr>
            <w:tcW w:w="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ratification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of</w:t>
            </w:r>
          </w:p>
        </w:tc>
        <w:tc>
          <w:tcPr>
            <w:tcW w:w="332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the The number of votes cast “FOR” the</w:t>
            </w:r>
          </w:p>
        </w:tc>
        <w:tc>
          <w:tcPr>
            <w:tcW w:w="142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Not Applicable</w:t>
            </w:r>
          </w:p>
        </w:tc>
        <w:tc>
          <w:tcPr>
            <w:tcW w:w="1480" w:type="dxa"/>
            <w:vAlign w:val="bottom"/>
          </w:tcPr>
          <w:p>
            <w:pPr>
              <w:jc w:val="center"/>
              <w:ind w:left="16"/>
              <w:spacing w:after="0"/>
              <w:rPr>
                <w:sz w:val="20"/>
                <w:szCs w:val="20"/>
                <w:color w:val="auto"/>
              </w:rPr>
            </w:pPr>
            <w:r>
              <w:rPr>
                <w:rFonts w:ascii="Times New Roman" w:cs="Times New Roman" w:eastAsia="Times New Roman" w:hAnsi="Times New Roman"/>
                <w:sz w:val="16"/>
                <w:szCs w:val="16"/>
                <w:color w:val="auto"/>
              </w:rPr>
              <w:t>Against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Not Applicable</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tcPr>
          <w:p>
            <w:pPr>
              <w:spacing w:after="0"/>
              <w:rPr>
                <w:sz w:val="17"/>
                <w:szCs w:val="17"/>
                <w:color w:val="auto"/>
              </w:rPr>
            </w:pPr>
          </w:p>
        </w:tc>
        <w:tc>
          <w:tcPr>
            <w:tcW w:w="17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appointment of Ernst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&amp;</w:t>
            </w:r>
          </w:p>
        </w:tc>
        <w:tc>
          <w:tcPr>
            <w:tcW w:w="332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Young proposal at the exceeds the number of</w:t>
            </w: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tcBorders>
          </w:tcPr>
          <w:p>
            <w:pPr>
              <w:spacing w:after="0"/>
              <w:rPr>
                <w:sz w:val="16"/>
                <w:szCs w:val="16"/>
                <w:color w:val="auto"/>
              </w:rPr>
            </w:pPr>
          </w:p>
        </w:tc>
        <w:tc>
          <w:tcPr>
            <w:tcW w:w="534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LLP as our independent registered votes “AGAINST” the proposal.</w:t>
            </w: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tcBorders>
          </w:tcPr>
          <w:p>
            <w:pPr>
              <w:spacing w:after="0"/>
              <w:rPr>
                <w:sz w:val="17"/>
                <w:szCs w:val="17"/>
                <w:color w:val="auto"/>
              </w:rPr>
            </w:pPr>
          </w:p>
        </w:tc>
        <w:tc>
          <w:tcPr>
            <w:tcW w:w="31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public  accounting  firm  for  the</w:t>
            </w:r>
          </w:p>
        </w:tc>
        <w:tc>
          <w:tcPr>
            <w:tcW w:w="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tcBorders>
          </w:tcPr>
          <w:p>
            <w:pPr>
              <w:spacing w:after="0"/>
              <w:rPr>
                <w:sz w:val="16"/>
                <w:szCs w:val="16"/>
                <w:color w:val="auto"/>
              </w:rPr>
            </w:pPr>
          </w:p>
        </w:tc>
        <w:tc>
          <w:tcPr>
            <w:tcW w:w="31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fiscal year ending December 31,</w:t>
            </w: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tcPr>
          <w:p>
            <w:pPr>
              <w:spacing w:after="0"/>
              <w:rPr>
                <w:sz w:val="19"/>
                <w:szCs w:val="19"/>
                <w:color w:val="auto"/>
              </w:rPr>
            </w:pPr>
          </w:p>
        </w:tc>
        <w:tc>
          <w:tcPr>
            <w:tcW w:w="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the Vote of Broker Non-Votes, Abstentions and Withholding from Voting.</w:t>
      </w:r>
    </w:p>
    <w:p>
      <w:pPr>
        <w:spacing w:after="0" w:line="175"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 proxy submitted by a stockholder may indicate that the shares represented by the proxy are not being voted (stockholder withholding) with respect to a particular matter. Further, broker non-votes occur when shares held by a broker for a beneficial owner are not voted because the broker did not receive voting instructions from the beneficial owner and lacked discretionary authority to vote the shares.</w:t>
      </w:r>
    </w:p>
    <w:p>
      <w:pPr>
        <w:spacing w:after="0" w:line="122" w:lineRule="exact"/>
        <w:rPr>
          <w:sz w:val="20"/>
          <w:szCs w:val="20"/>
          <w:color w:val="auto"/>
        </w:rPr>
      </w:pPr>
    </w:p>
    <w:p>
      <w:pPr>
        <w:jc w:val="both"/>
        <w:ind w:right="20" w:firstLine="405"/>
        <w:spacing w:after="0" w:line="254" w:lineRule="auto"/>
        <w:rPr>
          <w:sz w:val="20"/>
          <w:szCs w:val="20"/>
          <w:color w:val="auto"/>
        </w:rPr>
      </w:pPr>
      <w:r>
        <w:rPr>
          <w:rFonts w:ascii="Times New Roman" w:cs="Times New Roman" w:eastAsia="Times New Roman" w:hAnsi="Times New Roman"/>
          <w:sz w:val="18"/>
          <w:szCs w:val="18"/>
          <w:color w:val="auto"/>
        </w:rPr>
        <w:t>The shares subject to a proxy which are not being voted on a particular matter because of either stockholder withholding or broker non-votes will count for purposes of determining the presence of a quorum, but are not treated as votes cast and, therefore, will have no effect on the election of directors and the ratification of the appointment of our independent registered public accounting. However, brokers have limited discretionary authority to vote shares that are beneficially owned. While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Proposal No. 2 is considered a routine matter and brokers have discretionary authority to vote shares that are beneficially owned on Proposal No. 2. If a broker chooses not to vote shares for or against Proposal No. 2, it would have the same effect as an abstention. The other proposal presented at the Annual Meeting, Proposal No. 1, is a non-routine matter and therefore broker non-votes are not deemed to be shares entitled to vote on and will have no effect on the proposal.</w:t>
      </w:r>
    </w:p>
    <w:p>
      <w:pPr>
        <w:spacing w:after="0" w:line="13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Abstentions will be counted as present and entitled to vote for purposes of determining whether a quorum is present. At the Annual Meeting, abstentions will have no effect on Proposal No. 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Our Board on Each of the Proposals Scheduled to be Voted on at the Annual Meeting</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432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tc>
      </w:tr>
      <w:tr>
        <w:trPr>
          <w:trHeight w:val="169"/>
        </w:trPr>
        <w:tc>
          <w:tcPr>
            <w:tcW w:w="1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Proposal No. 1</w:t>
            </w:r>
          </w:p>
        </w:tc>
        <w:tc>
          <w:tcPr>
            <w:tcW w:w="43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The election of the Class II directors named in this proxy</w:t>
            </w:r>
          </w:p>
        </w:tc>
        <w:tc>
          <w:tcPr>
            <w:tcW w:w="518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FOR all nominees</w:t>
            </w: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statement</w:t>
            </w:r>
          </w:p>
        </w:tc>
        <w:tc>
          <w:tcPr>
            <w:tcW w:w="5180" w:type="dxa"/>
            <w:vAlign w:val="bottom"/>
            <w:tcBorders>
              <w:bottom w:val="single" w:sz="8" w:color="auto"/>
              <w:right w:val="single" w:sz="8" w:color="auto"/>
            </w:tcBorders>
          </w:tcPr>
          <w:p>
            <w:pPr>
              <w:spacing w:after="0"/>
              <w:rPr>
                <w:sz w:val="20"/>
                <w:szCs w:val="20"/>
                <w:color w:val="auto"/>
              </w:rPr>
            </w:pPr>
          </w:p>
        </w:tc>
      </w:tr>
      <w:tr>
        <w:trPr>
          <w:trHeight w:val="173"/>
        </w:trPr>
        <w:tc>
          <w:tcPr>
            <w:tcW w:w="1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b w:val="1"/>
                <w:bCs w:val="1"/>
                <w:color w:val="auto"/>
              </w:rPr>
              <w:t>Proposal No. 2</w:t>
            </w:r>
          </w:p>
        </w:tc>
        <w:tc>
          <w:tcPr>
            <w:tcW w:w="4320" w:type="dxa"/>
            <w:vAlign w:val="bottom"/>
            <w:tcBorders>
              <w:right w:val="single" w:sz="8" w:color="auto"/>
            </w:tcBorders>
          </w:tcPr>
          <w:p>
            <w:pPr>
              <w:spacing w:after="0" w:line="173" w:lineRule="exact"/>
              <w:rPr>
                <w:sz w:val="20"/>
                <w:szCs w:val="20"/>
                <w:color w:val="auto"/>
              </w:rPr>
            </w:pPr>
            <w:r>
              <w:rPr>
                <w:rFonts w:ascii="Times New Roman" w:cs="Times New Roman" w:eastAsia="Times New Roman" w:hAnsi="Times New Roman"/>
                <w:sz w:val="18"/>
                <w:szCs w:val="18"/>
                <w:color w:val="auto"/>
              </w:rPr>
              <w:t>The ratification of the appointment of Ernst &amp; Young LLP</w:t>
            </w:r>
          </w:p>
        </w:tc>
        <w:tc>
          <w:tcPr>
            <w:tcW w:w="5180" w:type="dxa"/>
            <w:vAlign w:val="bottom"/>
            <w:tcBorders>
              <w:right w:val="single" w:sz="8" w:color="auto"/>
            </w:tcBorders>
          </w:tcPr>
          <w:p>
            <w:pPr>
              <w:spacing w:after="0" w:line="173" w:lineRule="exact"/>
              <w:rPr>
                <w:sz w:val="20"/>
                <w:szCs w:val="20"/>
                <w:color w:val="auto"/>
              </w:rPr>
            </w:pPr>
            <w:r>
              <w:rPr>
                <w:rFonts w:ascii="Times New Roman" w:cs="Times New Roman" w:eastAsia="Times New Roman" w:hAnsi="Times New Roman"/>
                <w:sz w:val="18"/>
                <w:szCs w:val="18"/>
                <w:color w:val="auto"/>
              </w:rPr>
              <w:t>FOR</w:t>
            </w:r>
          </w:p>
        </w:tc>
      </w:tr>
      <w:tr>
        <w:trPr>
          <w:trHeight w:val="176"/>
        </w:trPr>
        <w:tc>
          <w:tcPr>
            <w:tcW w:w="1760" w:type="dxa"/>
            <w:vAlign w:val="bottom"/>
            <w:tcBorders>
              <w:left w:val="single" w:sz="8" w:color="auto"/>
              <w:right w:val="single" w:sz="8" w:color="auto"/>
            </w:tcBorders>
          </w:tcPr>
          <w:p>
            <w:pPr>
              <w:spacing w:after="0"/>
              <w:rPr>
                <w:sz w:val="15"/>
                <w:szCs w:val="15"/>
                <w:color w:val="auto"/>
              </w:rPr>
            </w:pPr>
          </w:p>
        </w:tc>
        <w:tc>
          <w:tcPr>
            <w:tcW w:w="432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as our independent registered public accounting firm for</w:t>
            </w:r>
          </w:p>
        </w:tc>
        <w:tc>
          <w:tcPr>
            <w:tcW w:w="5180" w:type="dxa"/>
            <w:vAlign w:val="bottom"/>
            <w:tcBorders>
              <w:right w:val="single" w:sz="8" w:color="auto"/>
            </w:tcBorders>
          </w:tcPr>
          <w:p>
            <w:pPr>
              <w:spacing w:after="0"/>
              <w:rPr>
                <w:sz w:val="15"/>
                <w:szCs w:val="15"/>
                <w:color w:val="auto"/>
              </w:rPr>
            </w:pPr>
          </w:p>
        </w:tc>
      </w:tr>
      <w:tr>
        <w:trPr>
          <w:trHeight w:val="239"/>
        </w:trPr>
        <w:tc>
          <w:tcPr>
            <w:tcW w:w="1760" w:type="dxa"/>
            <w:vAlign w:val="bottom"/>
            <w:tcBorders>
              <w:left w:val="single" w:sz="8" w:color="auto"/>
              <w:bottom w:val="single" w:sz="8" w:color="auto"/>
              <w:right w:val="single" w:sz="8" w:color="auto"/>
            </w:tcBorders>
          </w:tcPr>
          <w:p>
            <w:pPr>
              <w:spacing w:after="0"/>
              <w:rPr>
                <w:sz w:val="20"/>
                <w:szCs w:val="20"/>
                <w:color w:val="auto"/>
              </w:rPr>
            </w:pPr>
          </w:p>
        </w:tc>
        <w:tc>
          <w:tcPr>
            <w:tcW w:w="4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fiscal year ending December 31, 2023</w:t>
            </w:r>
          </w:p>
        </w:tc>
        <w:tc>
          <w:tcPr>
            <w:tcW w:w="51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1440" w:right="319" w:bottom="1440" w:gutter="0" w:footer="0" w:header="0"/>
        </w:sectPr>
      </w:pPr>
    </w:p>
    <w:bookmarkStart w:id="7" w:name="page8"/>
    <w:bookmarkEnd w:id="7"/>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 of our non-employee directors have any substantial interest in any matter to be acted upon, except with respect to the directors so nominated.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executive officers have any substantial interest in any matter to be acted upon.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Instructions; Voting of Proxies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 By Telephone or Internet</w:t>
            </w:r>
          </w:p>
        </w:tc>
        <w:tc>
          <w:tcPr>
            <w:tcW w:w="82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Vote By Mail</w:t>
            </w:r>
          </w:p>
        </w:tc>
        <w:tc>
          <w:tcPr>
            <w:tcW w:w="376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Vote in Person</w:t>
            </w:r>
          </w:p>
        </w:tc>
      </w:tr>
      <w:tr>
        <w:trPr>
          <w:trHeight w:val="169"/>
        </w:trPr>
        <w:tc>
          <w:tcPr>
            <w:tcW w:w="376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You may vote by telephone or through the Internet—in order to</w:t>
            </w:r>
          </w:p>
        </w:tc>
        <w:tc>
          <w:tcPr>
            <w:tcW w:w="374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You may vote by mail by completing, signing and dating the</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You may attend the Annual Meeting in person and vote during</w:t>
            </w:r>
          </w:p>
        </w:tc>
      </w:tr>
      <w:tr>
        <w:trPr>
          <w:trHeight w:val="176"/>
        </w:trPr>
        <w:tc>
          <w:tcPr>
            <w:tcW w:w="376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do so, please follow the instructions shown on your proxy card.</w:t>
            </w:r>
          </w:p>
        </w:tc>
        <w:tc>
          <w:tcPr>
            <w:tcW w:w="374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enclosed proxy card and promptly return it in the envelope</w:t>
            </w:r>
          </w:p>
        </w:tc>
        <w:tc>
          <w:tcPr>
            <w:tcW w:w="37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meeting.</w:t>
            </w:r>
          </w:p>
        </w:tc>
      </w:tr>
      <w:tr>
        <w:trPr>
          <w:trHeight w:val="175"/>
        </w:trPr>
        <w:tc>
          <w:tcPr>
            <w:tcW w:w="3760" w:type="dxa"/>
            <w:vAlign w:val="bottom"/>
            <w:tcBorders>
              <w:left w:val="single" w:sz="8" w:color="auto"/>
              <w:right w:val="single" w:sz="8" w:color="auto"/>
            </w:tcBorders>
            <w:shd w:val="clear" w:color="auto" w:fill="CCEEFF"/>
          </w:tcPr>
          <w:p>
            <w:pPr>
              <w:spacing w:after="0"/>
              <w:rPr>
                <w:sz w:val="15"/>
                <w:szCs w:val="15"/>
                <w:color w:val="auto"/>
              </w:rPr>
            </w:pPr>
          </w:p>
        </w:tc>
        <w:tc>
          <w:tcPr>
            <w:tcW w:w="374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provided or, if the envelope is missing, please mail your</w:t>
            </w:r>
          </w:p>
        </w:tc>
        <w:tc>
          <w:tcPr>
            <w:tcW w:w="3760" w:type="dxa"/>
            <w:vAlign w:val="bottom"/>
            <w:tcBorders>
              <w:right w:val="single" w:sz="8" w:color="auto"/>
            </w:tcBorders>
            <w:shd w:val="clear" w:color="auto" w:fill="CCEEFF"/>
          </w:tcPr>
          <w:p>
            <w:pPr>
              <w:spacing w:after="0"/>
              <w:rPr>
                <w:sz w:val="15"/>
                <w:szCs w:val="15"/>
                <w:color w:val="auto"/>
              </w:rPr>
            </w:pPr>
          </w:p>
        </w:tc>
      </w:tr>
      <w:tr>
        <w:trPr>
          <w:trHeight w:val="162"/>
        </w:trPr>
        <w:tc>
          <w:tcPr>
            <w:tcW w:w="3760" w:type="dxa"/>
            <w:vAlign w:val="bottom"/>
            <w:tcBorders>
              <w:left w:val="single" w:sz="8" w:color="auto"/>
              <w:right w:val="single" w:sz="8" w:color="auto"/>
            </w:tcBorders>
            <w:shd w:val="clear" w:color="auto" w:fill="CCEEFF"/>
          </w:tcPr>
          <w:p>
            <w:pPr>
              <w:spacing w:after="0"/>
              <w:rPr>
                <w:sz w:val="14"/>
                <w:szCs w:val="14"/>
                <w:color w:val="auto"/>
              </w:rPr>
            </w:pPr>
          </w:p>
        </w:tc>
        <w:tc>
          <w:tcPr>
            <w:tcW w:w="374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completed proxy card to Vote Processing, c/o Broadridge</w:t>
            </w:r>
          </w:p>
        </w:tc>
        <w:tc>
          <w:tcPr>
            <w:tcW w:w="3760" w:type="dxa"/>
            <w:vAlign w:val="bottom"/>
            <w:tcBorders>
              <w:right w:val="single" w:sz="8" w:color="auto"/>
            </w:tcBorders>
            <w:shd w:val="clear" w:color="auto" w:fill="CCEEFF"/>
          </w:tcPr>
          <w:p>
            <w:pPr>
              <w:spacing w:after="0"/>
              <w:rPr>
                <w:sz w:val="14"/>
                <w:szCs w:val="14"/>
                <w:color w:val="auto"/>
              </w:rPr>
            </w:pPr>
          </w:p>
        </w:tc>
      </w:tr>
      <w:tr>
        <w:trPr>
          <w:trHeight w:val="175"/>
        </w:trPr>
        <w:tc>
          <w:tcPr>
            <w:tcW w:w="3760" w:type="dxa"/>
            <w:vAlign w:val="bottom"/>
            <w:tcBorders>
              <w:left w:val="single" w:sz="8" w:color="auto"/>
              <w:right w:val="single" w:sz="8" w:color="auto"/>
            </w:tcBorders>
            <w:shd w:val="clear" w:color="auto" w:fill="CCEEFF"/>
          </w:tcPr>
          <w:p>
            <w:pPr>
              <w:spacing w:after="0"/>
              <w:rPr>
                <w:sz w:val="15"/>
                <w:szCs w:val="15"/>
                <w:color w:val="auto"/>
              </w:rPr>
            </w:pPr>
          </w:p>
        </w:tc>
        <w:tc>
          <w:tcPr>
            <w:tcW w:w="374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Financial Solutions, Inc., 51 Mercedes Way, Edgewood, New</w:t>
            </w:r>
          </w:p>
        </w:tc>
        <w:tc>
          <w:tcPr>
            <w:tcW w:w="3760" w:type="dxa"/>
            <w:vAlign w:val="bottom"/>
            <w:tcBorders>
              <w:right w:val="single" w:sz="8" w:color="auto"/>
            </w:tcBorders>
            <w:shd w:val="clear" w:color="auto" w:fill="CCEEFF"/>
          </w:tcPr>
          <w:p>
            <w:pPr>
              <w:spacing w:after="0"/>
              <w:rPr>
                <w:sz w:val="15"/>
                <w:szCs w:val="15"/>
                <w:color w:val="auto"/>
              </w:rPr>
            </w:pPr>
          </w:p>
        </w:tc>
      </w:tr>
      <w:tr>
        <w:trPr>
          <w:trHeight w:val="176"/>
        </w:trPr>
        <w:tc>
          <w:tcPr>
            <w:tcW w:w="3760" w:type="dxa"/>
            <w:vAlign w:val="bottom"/>
            <w:tcBorders>
              <w:left w:val="single" w:sz="8" w:color="auto"/>
              <w:right w:val="single" w:sz="8" w:color="auto"/>
            </w:tcBorders>
            <w:shd w:val="clear" w:color="auto" w:fill="CCEEFF"/>
          </w:tcPr>
          <w:p>
            <w:pPr>
              <w:spacing w:after="0"/>
              <w:rPr>
                <w:sz w:val="15"/>
                <w:szCs w:val="15"/>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York 11717.</w:t>
            </w:r>
          </w:p>
        </w:tc>
        <w:tc>
          <w:tcPr>
            <w:tcW w:w="292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Your completed, signed, and dated proxy card</w:t>
            </w:r>
          </w:p>
        </w:tc>
        <w:tc>
          <w:tcPr>
            <w:tcW w:w="3760" w:type="dxa"/>
            <w:vAlign w:val="bottom"/>
            <w:tcBorders>
              <w:right w:val="single" w:sz="8" w:color="auto"/>
            </w:tcBorders>
            <w:shd w:val="clear" w:color="auto" w:fill="CCEEFF"/>
          </w:tcPr>
          <w:p>
            <w:pPr>
              <w:spacing w:after="0"/>
              <w:rPr>
                <w:sz w:val="15"/>
                <w:szCs w:val="15"/>
                <w:color w:val="auto"/>
              </w:rPr>
            </w:pPr>
          </w:p>
        </w:tc>
      </w:tr>
      <w:tr>
        <w:trPr>
          <w:trHeight w:val="193"/>
        </w:trPr>
        <w:tc>
          <w:tcPr>
            <w:tcW w:w="3760" w:type="dxa"/>
            <w:vAlign w:val="bottom"/>
            <w:tcBorders>
              <w:left w:val="single" w:sz="8" w:color="auto"/>
              <w:right w:val="single" w:sz="8" w:color="auto"/>
            </w:tcBorders>
            <w:shd w:val="clear" w:color="auto" w:fill="CCEEFF"/>
          </w:tcPr>
          <w:p>
            <w:pPr>
              <w:spacing w:after="0"/>
              <w:rPr>
                <w:sz w:val="16"/>
                <w:szCs w:val="16"/>
                <w:color w:val="auto"/>
              </w:rPr>
            </w:pPr>
          </w:p>
        </w:tc>
        <w:tc>
          <w:tcPr>
            <w:tcW w:w="374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must be received prior to the Annual Meeting.</w:t>
            </w:r>
          </w:p>
        </w:tc>
        <w:tc>
          <w:tcPr>
            <w:tcW w:w="3760" w:type="dxa"/>
            <w:vAlign w:val="bottom"/>
            <w:tcBorders>
              <w:right w:val="single" w:sz="8" w:color="auto"/>
            </w:tcBorders>
            <w:shd w:val="clear" w:color="auto" w:fill="CCEEFF"/>
          </w:tcPr>
          <w:p>
            <w:pPr>
              <w:spacing w:after="0"/>
              <w:rPr>
                <w:sz w:val="16"/>
                <w:szCs w:val="16"/>
                <w:color w:val="auto"/>
              </w:rPr>
            </w:pPr>
          </w:p>
        </w:tc>
      </w:tr>
      <w:tr>
        <w:trPr>
          <w:trHeight w:val="118"/>
        </w:trPr>
        <w:tc>
          <w:tcPr>
            <w:tcW w:w="3760" w:type="dxa"/>
            <w:vAlign w:val="bottom"/>
            <w:tcBorders>
              <w:left w:val="single" w:sz="8" w:color="auto"/>
              <w:bottom w:val="single" w:sz="8" w:color="auto"/>
              <w:right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2920" w:type="dxa"/>
            <w:vAlign w:val="bottom"/>
            <w:tcBorders>
              <w:bottom w:val="single" w:sz="8" w:color="auto"/>
              <w:right w:val="single" w:sz="8" w:color="auto"/>
            </w:tcBorders>
            <w:shd w:val="clear" w:color="auto" w:fill="CCEEFF"/>
          </w:tcPr>
          <w:p>
            <w:pPr>
              <w:spacing w:after="0"/>
              <w:rPr>
                <w:sz w:val="10"/>
                <w:szCs w:val="10"/>
                <w:color w:val="auto"/>
              </w:rPr>
            </w:pPr>
          </w:p>
        </w:tc>
        <w:tc>
          <w:tcPr>
            <w:tcW w:w="3760" w:type="dxa"/>
            <w:vAlign w:val="bottom"/>
            <w:tcBorders>
              <w:bottom w:val="single" w:sz="8" w:color="auto"/>
              <w:right w:val="single" w:sz="8" w:color="auto"/>
            </w:tcBorders>
            <w:shd w:val="clear" w:color="auto" w:fill="CCEEFF"/>
          </w:tcPr>
          <w:p>
            <w:pPr>
              <w:spacing w:after="0"/>
              <w:rPr>
                <w:sz w:val="10"/>
                <w:szCs w:val="10"/>
                <w:color w:val="auto"/>
              </w:rPr>
            </w:pPr>
          </w:p>
        </w:tc>
      </w:tr>
    </w:tbl>
    <w:p>
      <w:pPr>
        <w:spacing w:after="0" w:line="238"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Votes submitted by telephone or through the Internet must be received by 11:59 p.m. Eastern Time on June 13, 2023. Submitting your proxy, whether by telephone, through the Internet or, if you request or receive a paper proxy card, by mail will not affect your right to vote in person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spacing w:after="0" w:line="12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All proxies will be voted in accordance with the instructions specified on the proxy card. If you sign a physical proxy card and return it without instructions as to how your shares should be voted on a particular proposal at the Annual Meeting, your shares will be voted in accordance with the recommendations of our Board stated above.</w:t>
      </w:r>
    </w:p>
    <w:p>
      <w:pPr>
        <w:spacing w:after="0" w:line="12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broker non-votes will be counted for the purpose of establishing a quorum for the Annual Meeting.</w:t>
      </w:r>
    </w:p>
    <w:p>
      <w:pPr>
        <w:spacing w:after="0" w:line="122"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If you receive more than one proxy card, your shares are registered in more than one name or are registered in different accounts. To make certain all of your shares are voted, please follow the instructions included on each proxy card and vote each proxy card by telephone, through the Internet, or by mail. If you requested or received paper proxy materials and you intend to vote by mail, please complete, sign, and return each proxy card you received to ensure that all of your shares are voted.</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strongly recommend that you vote your shares in advance of the meeting as instructed above, even if you plan to attend the Annual Meeting in person.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stockholder of record who has given a proxy may revoke it at any time before it is exercised at the Annual Meeting by:</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our Corporate Secretary by mail a written notice stating that the proxy is revoked;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proxy bearing a later 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by telephone or through the Internet;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in person and voting during the Annual Meeting (although attendance at the Annual Meeting will not, by itself, revoke a proxy).</w:t>
      </w:r>
    </w:p>
    <w:p>
      <w:pPr>
        <w:spacing w:after="0" w:line="153"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Please note, however, that if your shares are held of record by a broker, bank, or other nominee and you wish to revoke a proxy, you must contact that firm to revoke any prior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440" w:right="319" w:bottom="1440" w:gutter="0" w:footer="0" w:header="0"/>
        </w:sectPr>
      </w:pPr>
    </w:p>
    <w:bookmarkStart w:id="8" w:name="page9"/>
    <w:bookmarkEnd w:id="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Soliciting Proxies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will pay the expenses of soliciting proxies, including preparation, assembly, printing, and mailing of this proxy statement, the proxy, and any other information furnished to stockholders. Following the original mailing of the soliciting materials, we and our agents, including directors, officers, and other employees, without additional compensation, may solicit proxies by mail, email, telephone, facsimile, by other similar means, or in person. Following the original mailing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or vote through the Internet, you are responsible for any Internet access charges you may incur.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elections appointed for the Annual Meeting. The preliminary voting results will be announced at the Annual Meeting. The final results will be tallied by the inspector of elections and filed with the SEC in a current report on Form 8-K within four business days of the Annual Meeting.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strongly committed to good corporate governance practices. These practices provide an important framework within which our Board and management can pursue our strategic objectives for the benefit of our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Board has adopted Corporate Governance Guidelines that set forth expectations for directors, director independence standards, board committee structure and functions, stock ownership guidelines, and other policies for the governance of the Company. Our Corporate Governance Guidelines are available without charge on the investor relations section of our website at </w:t>
      </w:r>
      <w:r>
        <w:rPr>
          <w:rFonts w:ascii="Times New Roman" w:cs="Times New Roman" w:eastAsia="Times New Roman" w:hAnsi="Times New Roman"/>
          <w:sz w:val="18"/>
          <w:szCs w:val="18"/>
          <w:i w:val="1"/>
          <w:iCs w:val="1"/>
          <w:color w:val="auto"/>
        </w:rPr>
        <w:t>www.GeneDx.com.</w:t>
      </w:r>
      <w:r>
        <w:rPr>
          <w:rFonts w:ascii="Times New Roman" w:cs="Times New Roman" w:eastAsia="Times New Roman" w:hAnsi="Times New Roman"/>
          <w:sz w:val="18"/>
          <w:szCs w:val="18"/>
          <w:color w:val="auto"/>
        </w:rPr>
        <w:t xml:space="preserve"> Information contained on or accessible through such website is not a part of this proxy statement, and the inclusion of the website address in this proxy statement is an inactive textual reference only.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The rules of Nasdaq require that a majority of the Company’s board of directors be independent. An “independent director” is defined generally as a person other than an executive officer or employee the Company or any other individual having a relationship which, in the opinion of the issuer’s board of directors, would interfere with the exercise of independent judgement in carrying out the responsibilities of a director. Our Board has determined that each individual currently serving on our board, other than Ms. Stueland and Mr. Ryan, qualifies as an independent director under Nasdaq listing standards.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oversees our business affairs and works with our Chief Executive Officer and other senior management to determine our strategy and mission. In fulfilling its responsibilities, our Board is involved in strategic and operational planning, financial reporting, governance, compliance and risk oversight.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provide that our Board will be free to choose its chairperson in any way that it considers in the best interests of our Company at any giving point in time, and our Nominating and Corporate Governance Committee charter provides that the committee will periodically consider the leadership structure of our Board and make such recommendations to our Board with respect thereto as appropriate. Our Board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believes that it should maintain flexibility in determining the Board leadership structure that is appropriate for the Company at a given time.</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Currently, our leadership structure separates the roles of Chairman of the Board and Chief Executive Officer, with Ms. Stueland serving as our Chief Executive Officer and Mr. Ryan serving as the Executive Chairman of the Board. Our Board believes that separating these roles provides the appropriate balance between strategy development, flow of information between management and the Board, and oversight of management. We believe this provides guidance for our Board, while also positioning our Chief Executive Officer as the leader of the Company in the eyes of our partners, customers, employees, and other stakeholders. As Executive Chairman, Mr. Ryan, among other responsibilities, presides over regularly scheduled meetings of the Board, serves as a liaison between the directors, and performs such additional duties as our Board may otherwise determine and delegate. Our Board recognizes the time, effort, and energy that Ms. Stueland is required to devote to her position as our Chief Executive Officer in the current business environment, as well as the commitment required for a person to serve as our Chairman, particularly as the Board’s oversight responsibilities continue to grow. By having Mr. Ryan serve as Executive Chairman of the Board, Ms. Stueland is better able to focus her attention on running our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our management is primarily responsible for managing our risk exposure on a daily basis, our Board oversees the risk management processes. Our Board, as a whole, determines the appropriate level of risk for our Company, assesses the specific risks that we face, and reviews management’s strategies for adequately mitigating and managing the identified risks. Although our Board administers this risk management oversight function, our Audit Committee supports our Board in discharging its oversight duties and addresses risks inherent in its area, including with respect to risk management in the areas of internal control over financial reporting and disclosure controls and procedures. Our Compensation Committee assists our Board in assessing and mitigating any risks that may be created by our compensation plans, practices and policies. Our Nominating and Corporate Governance Committee is charged with assisting our Board in fulfilling its oversight responsibilities with respect to the management of risk associated with Board membership and corporate governance.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insider trading policy prohibits GeneDx employees, officers and directors from engaging in hedging or monetization transactions involving GeneDx securities, including, among other things, zero-cost collars and forward sale contracts or the contribution of GeneDx securities to exchange funds that could be interpreted as having the effect of hedging in GeneDx securities. Additionally, our insider trading policy prohibits GeneDx employees, officers and directors from engaging in transactions involving options or other derivative securities on GeneDx’s securities, such as puts and calls, whether on an exchange or in any other market, engaging in short sales of GeneDx’s securities, including short sales “against the box,” and using or pledging GeneDx securities as collateral in a margin account or as collateral for a loan.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has the authority to appoint standing and special committees to perform certain management and administration functions. Our Board has established a standing Audit Committee (the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a standing Compensation Committee (the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and a standing Nominating and Corporate Governance Committee (the “</w:t>
      </w:r>
      <w:r>
        <w:rPr>
          <w:rFonts w:ascii="Times New Roman" w:cs="Times New Roman" w:eastAsia="Times New Roman" w:hAnsi="Times New Roman"/>
          <w:sz w:val="18"/>
          <w:szCs w:val="18"/>
          <w:i w:val="1"/>
          <w:iCs w:val="1"/>
          <w:color w:val="auto"/>
        </w:rPr>
        <w:t>Nominating and Governance Committee</w:t>
      </w:r>
      <w:r>
        <w:rPr>
          <w:rFonts w:ascii="Times New Roman" w:cs="Times New Roman" w:eastAsia="Times New Roman" w:hAnsi="Times New Roman"/>
          <w:sz w:val="18"/>
          <w:szCs w:val="18"/>
          <w:color w:val="auto"/>
        </w:rPr>
        <w:t xml:space="preserv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Times New Roman" w:cs="Times New Roman" w:eastAsia="Times New Roman" w:hAnsi="Times New Roman"/>
          <w:sz w:val="18"/>
          <w:szCs w:val="18"/>
          <w:u w:val="single" w:color="auto"/>
          <w:color w:val="auto"/>
        </w:rPr>
        <w:t>www.GeneDx.com</w:t>
      </w:r>
      <w:r>
        <w:rPr>
          <w:rFonts w:ascii="Times New Roman" w:cs="Times New Roman" w:eastAsia="Times New Roman" w:hAnsi="Times New Roman"/>
          <w:sz w:val="18"/>
          <w:szCs w:val="18"/>
          <w:color w:val="auto"/>
        </w:rPr>
        <w:t>. Information contained on or accessible through our website is not a part of this proxy statement, and the inclusion of such website address in this proxy statement is an inactive textual reference only.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Composition of Committees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r>
      <w:tr>
        <w:trPr>
          <w:trHeight w:val="216"/>
        </w:trPr>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16"/>
        </w:trPr>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GOVERNANCE</w:t>
            </w:r>
          </w:p>
        </w:tc>
      </w:tr>
      <w:tr>
        <w:trPr>
          <w:trHeight w:val="265"/>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 COMMITTEE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COMMITTEE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COMMITTEE</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c>
          <w:tcPr>
            <w:tcW w:w="32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spacing w:after="0"/>
              <w:rPr>
                <w:sz w:val="19"/>
                <w:szCs w:val="19"/>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Ryan</w:t>
            </w:r>
          </w:p>
        </w:tc>
        <w:tc>
          <w:tcPr>
            <w:tcW w:w="23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 Casdin</w:t>
            </w:r>
          </w:p>
        </w:tc>
        <w:tc>
          <w:tcPr>
            <w:tcW w:w="236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Meister</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18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Emily Leproust</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C. Pfenniger, Jr.</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18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Ruch</w:t>
            </w:r>
          </w:p>
        </w:tc>
        <w:tc>
          <w:tcPr>
            <w:tcW w:w="236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8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93980</wp:posOffset>
            </wp:positionV>
            <wp:extent cx="8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93980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93980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8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93980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93980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93980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93980</wp:posOffset>
            </wp:positionV>
            <wp:extent cx="8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93980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93980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93980</wp:posOffset>
            </wp:positionV>
            <wp:extent cx="8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93980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93980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93980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93980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93980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93980</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93980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93980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93980</wp:posOffset>
            </wp:positionV>
            <wp:extent cx="8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93980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93980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93980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93980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93980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93980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93980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93980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93980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93980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93980</wp:posOffset>
            </wp:positionV>
            <wp:extent cx="8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93980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93980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93980</wp:posOffset>
            </wp:positionV>
            <wp:extent cx="8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93980</wp:posOffset>
            </wp:positionV>
            <wp:extent cx="8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93980</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93980</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93980</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93980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93980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93980</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93980</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93980</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93980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93980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93980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93980</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93980</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93980</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93980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93980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93980</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93980</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93980</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93980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93980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93980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93980</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93980</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93980</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93980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93980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93980</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93980</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93980</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93980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93980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93980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93980</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93980</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93980</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93980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93980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93980</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93980</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93980</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93980</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93980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93980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93980</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93980</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93980</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93980</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93980</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93980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93980</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93980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93980</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93980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93980</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93980</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93980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93980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93980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93980</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93980</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93980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93980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93980</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93980</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93980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93980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93980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93980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93980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93980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93980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93980</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93980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93980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93980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93980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93980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93980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93980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93980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93980</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93980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93980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93980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93980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93980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93980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93980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93980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93980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93980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93980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93980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93980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93980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93980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93980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93980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93980</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93980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93980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93980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93980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93980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93980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93980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93980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93980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93980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93980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93980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93980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93980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-1028065</wp:posOffset>
            </wp:positionV>
            <wp:extent cx="1968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is comprised of Messrs. Meister and Pfenniger, and Ms. Leproust, with Mr. Meister as the chairman of the Audit Committee. The Board has determined that the composition of our Audit Committee meets the requirements for independence under the current Nasdaq and SEC rules and regulations, and that each member of the Audit Committee is financially literate.</w:t>
      </w:r>
    </w:p>
    <w:p>
      <w:pPr>
        <w:spacing w:after="0" w:line="12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making the determination regarding independence, our Board considered the relationships that each member of our Audit Committee has with the Company and all other facts and circumstances our Board deemed relevant in determining their independence, including the beneficial ownership of our capital stock by each member of our Audit Committee and the nature of his or her service to the Company. In particular, our Board has determined that, although Mr. Meister falls outside the safe harbor provisions of Rule 10A-3(e)(1)(ii)(A) under the Securities Exchange Act of 1934, as amended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Mr. Meister nevertheless meets the independence requirements contemplated by Rule 10A-3 under the Exchange Act. The safe harbor provisions of Rule 10A-3(e)(1)(ii)(A) exempt holders of 10% or less of any class of voting securities of an issuer from being deemed to be in control of, or an affiliate of, that issuer. As of April 17, 2023 and adjusting for the Reverse Stock Split, Mr. Meister indirectly beneficially owned approximately 14.9% of our outstanding Class A Common Stock (which includes certain shares of Common Class A Common Stock issuable upon the exercise of certain private placement warrants). See “Security Ownership of Certain Beneficial Ownership and Management.” The existence of the safe harbor set forth in Rule 10A-3(e)(1)(ii)(A), however, does not create a presumption in any way that a person exceeding the 10% threshold controls or is otherwise an affiliate of an issuer, and our Board, after considering, among other factors, Mr. Meister’s direct ownership in our outstanding Class A Common Stock, his indirect beneficial ownership of our outstanding Class A Common Stock relative to other significant stockholders, the exercise price and the likelihood of the exercise of the private placement warrants, and his service to us solely in the capacity as a director, has determined that Mr. Meister satisfies the audit committee membership requirements established by the SEC and under the Nasdaq rules.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Board has determined that Mr. Meister is an “audit committee financial expert” as defined in Item 407(d)(5)(ii) of Regulation S-K promulgated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This designation does not impose on him any duties, obligations or liabilities that are greater than are generally imposed on members of our Audit Committee and our Board. Our Audit Committee is directly responsible for, among other things:</w:t>
      </w:r>
    </w:p>
    <w:p>
      <w:pPr>
        <w:spacing w:after="0" w:line="126" w:lineRule="exact"/>
        <w:rPr>
          <w:sz w:val="20"/>
          <w:szCs w:val="20"/>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Reports on Form 10-K;</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the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qualifications, independence and performance of our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4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Audit Committee report to be included in the proxy statement for our annual meeting;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processes, including our financial statement audits and the integrity of our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related-person transactions;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risks, enterprise exposures, cybersecurity risks and other risks as it deems necessary or appropriate.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is comprised of Messrs. Casdin and Ruch and Ms. Leproust,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2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approving and reviewing executive officer compensation arrangements, plans, policies and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recommending non-employee director compensation arrangements for determination by our Board;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cash-based and equity-based compensation plans; and</w:t>
      </w:r>
    </w:p>
    <w:p>
      <w:pPr>
        <w:spacing w:after="0" w:line="171" w:lineRule="exact"/>
        <w:rPr>
          <w:rFonts w:ascii="Times New Roman" w:cs="Times New Roman" w:eastAsia="Times New Roman" w:hAnsi="Times New Roman"/>
          <w:sz w:val="18"/>
          <w:szCs w:val="18"/>
          <w:color w:val="auto"/>
        </w:rPr>
      </w:pPr>
    </w:p>
    <w:p>
      <w:pPr>
        <w:ind w:left="340" w:right="1380" w:hanging="8"/>
        <w:spacing w:after="0" w:line="435" w:lineRule="auto"/>
        <w:tabs>
          <w:tab w:leader="none" w:pos="6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regulatory requirements associated with the compensation of directors, officers and employees. The Compensation Committee may retain compensation advisors and other compensation consultants.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w:t>
      </w:r>
      <w:r>
        <w:rPr>
          <w:rFonts w:ascii="Times New Roman" w:cs="Times New Roman" w:eastAsia="Times New Roman" w:hAnsi="Times New Roman"/>
          <w:sz w:val="18"/>
          <w:szCs w:val="18"/>
          <w:i w:val="1"/>
          <w:iCs w:val="1"/>
          <w:color w:val="auto"/>
        </w:rPr>
        <w:t>Radford</w:t>
      </w:r>
      <w:r>
        <w:rPr>
          <w:rFonts w:ascii="Times New Roman" w:cs="Times New Roman" w:eastAsia="Times New Roman" w:hAnsi="Times New Roman"/>
          <w:sz w:val="18"/>
          <w:szCs w:val="18"/>
          <w:color w:val="auto"/>
        </w:rPr>
        <w:t>”),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spacing w:after="0" w:line="12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developing a peer group of publicly traded companies to be used to help assess the competitiveness of executive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ensuring a competitive compensation framework;</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regularly with the Compensation Committee to review all elements of executive compensation, including the competitiveness of our executive compensation program;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competitive assessment of the short-term cash and long-term equity incentive plans designs;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risk assessment of our compensation program.</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Outside of its services to the Compensation Committee, Radford provides certain other miscellaneous services to us, including those related to provision of surveys. The Compensation Committee evaluated the independence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Radford and determined that it is independent. The Compensation Committee also determined that Radford’s work for the Company in 2022 did not raise any conflicts of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Committee and Executive Officers in Compensation Decisions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recuses herself from any deliberations about her compensation. For fiscal year 2022, Eric Schadt, Ph.D., our former Chief Executive Officer who resigned in August 2022, and Katherine Stueland, our current Chief Executive Officer, each prepared an analysis for the Compensation Committee to recommend each element of compensation to be paid to all executive officers except for themselves. The Compensation Committee considered their recommendations, along with an analysis from Radford, in approving the compensation of our executive officers other than Chief Executive Officer.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Nominating and Governance Committee is comprised of Messrs. Ruch and Casdin and Ms. Leproust, with Ms. Leproust as the chairperson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12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and recommending candidates for membership on our Board;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on other corporate governance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will periodically assess the appropriateness of stock ownership guidelines for directors and executive officers, including whether and to what extent directors and executive officers should be restricted from selling stock acquired through equity compensation.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and its committees meet throughout the year on a pre-determined schedule and also hold special meetings and act by written consent from time to time. Typically, in conjunction with the regularly scheduled meetings of the Board, the independent directors meet in executive sessions outside the presence of management.</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2022, the Board met 15 times (including telephonic meetings) and took action by unanimous written consent three times. During 2022, our Audit Committee met four times and took action by unanimous written consent one time, our Compensation Committee met eight times, and our Nominating and Governance Committee met one time. Each director attended at least 75% of the meetings held by the Board and by each committee on which he or she served while he or she was a director during the year, except for Eli Casdin, Rachel Sherman and Nat Turner, a former director on the Board that resigned in April 2022.</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the Board at each annual meeting of stockholders, we encourage all of our directors to attend in person, or virtually, depending on the meeting format. In fiscal year 2022, two of the directors serving at the time of last year’s special meeting, which was held as a special meeting in lieu of our annual meeting, attended that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175"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gender and ethnic diversity of our directors in accordance with the requirements of, and in the format prescribed by, Nasdaq Rule 5606. Each of the categories listed in the table below has the meaning set forth in Nasdaq Rule 5605(f).</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17, 2023)</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6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Total Number of Directors</w:t>
            </w:r>
          </w:p>
        </w:tc>
        <w:tc>
          <w:tcPr>
            <w:tcW w:w="10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7</w:t>
            </w:r>
          </w:p>
        </w:tc>
        <w:tc>
          <w:tcPr>
            <w:tcW w:w="3020" w:type="dxa"/>
            <w:vAlign w:val="bottom"/>
            <w:tcBorders>
              <w:top w:val="single" w:sz="8" w:color="auto"/>
              <w:bottom w:val="single" w:sz="8" w:color="auto"/>
              <w:right w:val="single" w:sz="8" w:color="auto"/>
            </w:tcBorders>
          </w:tcPr>
          <w:p>
            <w:pPr>
              <w:spacing w:after="0"/>
              <w:rPr>
                <w:sz w:val="19"/>
                <w:szCs w:val="19"/>
                <w:color w:val="auto"/>
              </w:rPr>
            </w:pPr>
          </w:p>
        </w:tc>
      </w:tr>
      <w:tr>
        <w:trPr>
          <w:trHeight w:val="209"/>
        </w:trPr>
        <w:tc>
          <w:tcPr>
            <w:tcW w:w="4660" w:type="dxa"/>
            <w:vAlign w:val="bottom"/>
            <w:tcBorders>
              <w:left w:val="single" w:sz="8" w:color="auto"/>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Male</w:t>
            </w:r>
          </w:p>
        </w:tc>
        <w:tc>
          <w:tcPr>
            <w:tcW w:w="12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Non-Binary</w:t>
            </w:r>
          </w:p>
        </w:tc>
        <w:tc>
          <w:tcPr>
            <w:tcW w:w="360" w:type="dxa"/>
            <w:vAlign w:val="bottom"/>
            <w:tcBorders>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r>
      <w:tr>
        <w:trPr>
          <w:trHeight w:val="209"/>
        </w:trPr>
        <w:tc>
          <w:tcPr>
            <w:tcW w:w="4660" w:type="dxa"/>
            <w:vAlign w:val="bottom"/>
            <w:tcBorders>
              <w:left w:val="single" w:sz="8" w:color="auto"/>
              <w:bottom w:val="single" w:sz="8" w:color="auto"/>
              <w:right w:val="single" w:sz="8" w:color="D0EDFE"/>
            </w:tcBorders>
            <w:shd w:val="clear" w:color="auto" w:fill="D0EDFE"/>
          </w:tcPr>
          <w:p>
            <w:pPr>
              <w:ind w:left="80"/>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060" w:type="dxa"/>
            <w:vAlign w:val="bottom"/>
            <w:tcBorders>
              <w:bottom w:val="single" w:sz="8" w:color="auto"/>
              <w:right w:val="single" w:sz="8" w:color="D0EDFE"/>
            </w:tcBorders>
            <w:shd w:val="clear" w:color="auto" w:fill="D0EDFE"/>
          </w:tcPr>
          <w:p>
            <w:pPr>
              <w:spacing w:after="0"/>
              <w:rPr>
                <w:sz w:val="18"/>
                <w:szCs w:val="18"/>
                <w:color w:val="auto"/>
              </w:rPr>
            </w:pPr>
          </w:p>
        </w:tc>
        <w:tc>
          <w:tcPr>
            <w:tcW w:w="960" w:type="dxa"/>
            <w:vAlign w:val="bottom"/>
            <w:tcBorders>
              <w:bottom w:val="single" w:sz="8" w:color="auto"/>
              <w:right w:val="single" w:sz="8" w:color="D0EDFE"/>
            </w:tcBorders>
            <w:shd w:val="clear" w:color="auto" w:fill="D0EDFE"/>
          </w:tcPr>
          <w:p>
            <w:pPr>
              <w:spacing w:after="0"/>
              <w:rPr>
                <w:sz w:val="18"/>
                <w:szCs w:val="18"/>
                <w:color w:val="auto"/>
              </w:rPr>
            </w:pPr>
          </w:p>
        </w:tc>
        <w:tc>
          <w:tcPr>
            <w:tcW w:w="1200" w:type="dxa"/>
            <w:vAlign w:val="bottom"/>
            <w:tcBorders>
              <w:bottom w:val="single" w:sz="8" w:color="auto"/>
            </w:tcBorders>
            <w:shd w:val="clear" w:color="auto" w:fill="D0EDFE"/>
          </w:tcPr>
          <w:p>
            <w:pPr>
              <w:spacing w:after="0"/>
              <w:rPr>
                <w:sz w:val="18"/>
                <w:szCs w:val="18"/>
                <w:color w:val="auto"/>
              </w:rPr>
            </w:pPr>
          </w:p>
        </w:tc>
        <w:tc>
          <w:tcPr>
            <w:tcW w:w="360" w:type="dxa"/>
            <w:vAlign w:val="bottom"/>
            <w:tcBorders>
              <w:bottom w:val="single" w:sz="8" w:color="auto"/>
              <w:right w:val="single" w:sz="8" w:color="D0EDFE"/>
            </w:tcBorders>
            <w:shd w:val="clear" w:color="auto" w:fill="D0EDFE"/>
          </w:tcPr>
          <w:p>
            <w:pPr>
              <w:spacing w:after="0"/>
              <w:rPr>
                <w:sz w:val="18"/>
                <w:szCs w:val="18"/>
                <w:color w:val="auto"/>
              </w:rPr>
            </w:pPr>
          </w:p>
        </w:tc>
        <w:tc>
          <w:tcPr>
            <w:tcW w:w="3020" w:type="dxa"/>
            <w:vAlign w:val="bottom"/>
            <w:tcBorders>
              <w:bottom w:val="single" w:sz="8" w:color="auto"/>
              <w:right w:val="single" w:sz="8" w:color="auto"/>
            </w:tcBorders>
            <w:shd w:val="clear" w:color="auto" w:fill="D0EDFE"/>
          </w:tcPr>
          <w:p>
            <w:pPr>
              <w:spacing w:after="0"/>
              <w:rPr>
                <w:sz w:val="18"/>
                <w:szCs w:val="18"/>
                <w:color w:val="auto"/>
              </w:rPr>
            </w:pPr>
          </w:p>
        </w:tc>
      </w:tr>
      <w:tr>
        <w:trPr>
          <w:trHeight w:val="209"/>
        </w:trPr>
        <w:tc>
          <w:tcPr>
            <w:tcW w:w="4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Directors</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r>
      <w:tr>
        <w:trPr>
          <w:trHeight w:val="211"/>
        </w:trPr>
        <w:tc>
          <w:tcPr>
            <w:tcW w:w="4660" w:type="dxa"/>
            <w:vAlign w:val="bottom"/>
            <w:tcBorders>
              <w:left w:val="single" w:sz="8" w:color="auto"/>
              <w:bottom w:val="single" w:sz="8" w:color="auto"/>
              <w:right w:val="single" w:sz="8" w:color="D0EDFE"/>
            </w:tcBorders>
            <w:shd w:val="clear" w:color="auto" w:fill="D0EDFE"/>
          </w:tcPr>
          <w:p>
            <w:pPr>
              <w:ind w:left="80"/>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060" w:type="dxa"/>
            <w:vAlign w:val="bottom"/>
            <w:tcBorders>
              <w:bottom w:val="single" w:sz="8" w:color="auto"/>
              <w:right w:val="single" w:sz="8" w:color="D0EDFE"/>
            </w:tcBorders>
            <w:shd w:val="clear" w:color="auto" w:fill="D0EDFE"/>
          </w:tcPr>
          <w:p>
            <w:pPr>
              <w:spacing w:after="0"/>
              <w:rPr>
                <w:sz w:val="18"/>
                <w:szCs w:val="18"/>
                <w:color w:val="auto"/>
              </w:rPr>
            </w:pPr>
          </w:p>
        </w:tc>
        <w:tc>
          <w:tcPr>
            <w:tcW w:w="960" w:type="dxa"/>
            <w:vAlign w:val="bottom"/>
            <w:tcBorders>
              <w:bottom w:val="single" w:sz="8" w:color="auto"/>
              <w:right w:val="single" w:sz="8" w:color="D0EDFE"/>
            </w:tcBorders>
            <w:shd w:val="clear" w:color="auto" w:fill="D0EDFE"/>
          </w:tcPr>
          <w:p>
            <w:pPr>
              <w:spacing w:after="0"/>
              <w:rPr>
                <w:sz w:val="18"/>
                <w:szCs w:val="18"/>
                <w:color w:val="auto"/>
              </w:rPr>
            </w:pPr>
          </w:p>
        </w:tc>
        <w:tc>
          <w:tcPr>
            <w:tcW w:w="1200" w:type="dxa"/>
            <w:vAlign w:val="bottom"/>
            <w:tcBorders>
              <w:bottom w:val="single" w:sz="8" w:color="auto"/>
            </w:tcBorders>
            <w:shd w:val="clear" w:color="auto" w:fill="D0EDFE"/>
          </w:tcPr>
          <w:p>
            <w:pPr>
              <w:spacing w:after="0"/>
              <w:rPr>
                <w:sz w:val="18"/>
                <w:szCs w:val="18"/>
                <w:color w:val="auto"/>
              </w:rPr>
            </w:pPr>
          </w:p>
        </w:tc>
        <w:tc>
          <w:tcPr>
            <w:tcW w:w="360" w:type="dxa"/>
            <w:vAlign w:val="bottom"/>
            <w:tcBorders>
              <w:bottom w:val="single" w:sz="8" w:color="auto"/>
              <w:right w:val="single" w:sz="8" w:color="D0EDFE"/>
            </w:tcBorders>
            <w:shd w:val="clear" w:color="auto" w:fill="D0EDFE"/>
          </w:tcPr>
          <w:p>
            <w:pPr>
              <w:spacing w:after="0"/>
              <w:rPr>
                <w:sz w:val="18"/>
                <w:szCs w:val="18"/>
                <w:color w:val="auto"/>
              </w:rPr>
            </w:pPr>
          </w:p>
        </w:tc>
        <w:tc>
          <w:tcPr>
            <w:tcW w:w="3020" w:type="dxa"/>
            <w:vAlign w:val="bottom"/>
            <w:tcBorders>
              <w:bottom w:val="single" w:sz="8" w:color="auto"/>
              <w:right w:val="single" w:sz="8" w:color="auto"/>
            </w:tcBorders>
            <w:shd w:val="clear" w:color="auto" w:fill="D0EDFE"/>
          </w:tcPr>
          <w:p>
            <w:pPr>
              <w:spacing w:after="0"/>
              <w:rPr>
                <w:sz w:val="18"/>
                <w:szCs w:val="18"/>
                <w:color w:val="auto"/>
              </w:rPr>
            </w:pPr>
          </w:p>
        </w:tc>
      </w:tr>
      <w:tr>
        <w:trPr>
          <w:trHeight w:val="209"/>
        </w:trPr>
        <w:tc>
          <w:tcPr>
            <w:tcW w:w="4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0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r>
      <w:tr>
        <w:trPr>
          <w:trHeight w:val="209"/>
        </w:trPr>
        <w:tc>
          <w:tcPr>
            <w:tcW w:w="4660" w:type="dxa"/>
            <w:vAlign w:val="bottom"/>
            <w:tcBorders>
              <w:left w:val="single" w:sz="8" w:color="auto"/>
              <w:bottom w:val="single" w:sz="8" w:color="auto"/>
              <w:right w:val="single" w:sz="8" w:color="auto"/>
            </w:tcBorders>
            <w:shd w:val="clear" w:color="auto" w:fill="D0EDFE"/>
          </w:tcPr>
          <w:p>
            <w:pPr>
              <w:ind w:left="80"/>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1060" w:type="dxa"/>
            <w:vAlign w:val="bottom"/>
            <w:tcBorders>
              <w:bottom w:val="single" w:sz="8" w:color="auto"/>
              <w:right w:val="single" w:sz="8" w:color="auto"/>
            </w:tcBorders>
            <w:shd w:val="clear" w:color="auto" w:fill="D0EDFE"/>
          </w:tcPr>
          <w:p>
            <w:pPr>
              <w:spacing w:after="0"/>
              <w:rPr>
                <w:sz w:val="18"/>
                <w:szCs w:val="18"/>
                <w:color w:val="auto"/>
              </w:rPr>
            </w:pPr>
          </w:p>
        </w:tc>
        <w:tc>
          <w:tcPr>
            <w:tcW w:w="960" w:type="dxa"/>
            <w:vAlign w:val="bottom"/>
            <w:tcBorders>
              <w:bottom w:val="single" w:sz="8" w:color="auto"/>
              <w:right w:val="single" w:sz="8" w:color="auto"/>
            </w:tcBorders>
            <w:shd w:val="clear" w:color="auto" w:fill="D0EDFE"/>
          </w:tcPr>
          <w:p>
            <w:pPr>
              <w:spacing w:after="0"/>
              <w:rPr>
                <w:sz w:val="18"/>
                <w:szCs w:val="18"/>
                <w:color w:val="auto"/>
              </w:rPr>
            </w:pPr>
          </w:p>
        </w:tc>
        <w:tc>
          <w:tcPr>
            <w:tcW w:w="1200" w:type="dxa"/>
            <w:vAlign w:val="bottom"/>
            <w:tcBorders>
              <w:bottom w:val="single" w:sz="8" w:color="auto"/>
            </w:tcBorders>
            <w:shd w:val="clear" w:color="auto" w:fill="D0EDFE"/>
          </w:tcPr>
          <w:p>
            <w:pPr>
              <w:spacing w:after="0"/>
              <w:rPr>
                <w:sz w:val="18"/>
                <w:szCs w:val="18"/>
                <w:color w:val="auto"/>
              </w:rPr>
            </w:pPr>
          </w:p>
        </w:tc>
        <w:tc>
          <w:tcPr>
            <w:tcW w:w="360" w:type="dxa"/>
            <w:vAlign w:val="bottom"/>
            <w:tcBorders>
              <w:bottom w:val="single" w:sz="8" w:color="auto"/>
              <w:right w:val="single" w:sz="8" w:color="auto"/>
            </w:tcBorders>
            <w:shd w:val="clear" w:color="auto" w:fill="D0EDFE"/>
          </w:tcPr>
          <w:p>
            <w:pPr>
              <w:spacing w:after="0"/>
              <w:rPr>
                <w:sz w:val="18"/>
                <w:szCs w:val="18"/>
                <w:color w:val="auto"/>
              </w:rPr>
            </w:pPr>
          </w:p>
        </w:tc>
        <w:tc>
          <w:tcPr>
            <w:tcW w:w="3020" w:type="dxa"/>
            <w:vAlign w:val="bottom"/>
            <w:tcBorders>
              <w:bottom w:val="single" w:sz="8" w:color="auto"/>
              <w:right w:val="single" w:sz="8" w:color="auto"/>
            </w:tcBorders>
            <w:shd w:val="clear" w:color="auto" w:fill="D0EDFE"/>
          </w:tcPr>
          <w:p>
            <w:pPr>
              <w:spacing w:after="0"/>
              <w:rPr>
                <w:sz w:val="18"/>
                <w:szCs w:val="18"/>
                <w:color w:val="auto"/>
              </w:rPr>
            </w:pPr>
          </w:p>
        </w:tc>
      </w:tr>
      <w:tr>
        <w:trPr>
          <w:trHeight w:val="209"/>
        </w:trPr>
        <w:tc>
          <w:tcPr>
            <w:tcW w:w="4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Asian</w:t>
            </w:r>
          </w:p>
        </w:tc>
        <w:tc>
          <w:tcPr>
            <w:tcW w:w="10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r>
      <w:tr>
        <w:trPr>
          <w:trHeight w:val="209"/>
        </w:trPr>
        <w:tc>
          <w:tcPr>
            <w:tcW w:w="4660" w:type="dxa"/>
            <w:vAlign w:val="bottom"/>
            <w:tcBorders>
              <w:left w:val="single" w:sz="8" w:color="auto"/>
              <w:bottom w:val="single" w:sz="8" w:color="auto"/>
              <w:right w:val="single" w:sz="8" w:color="auto"/>
            </w:tcBorders>
            <w:shd w:val="clear" w:color="auto" w:fill="D0EDFE"/>
          </w:tcPr>
          <w:p>
            <w:pPr>
              <w:ind w:left="80"/>
              <w:spacing w:after="0"/>
              <w:rPr>
                <w:sz w:val="20"/>
                <w:szCs w:val="20"/>
                <w:color w:val="auto"/>
              </w:rPr>
            </w:pPr>
            <w:r>
              <w:rPr>
                <w:rFonts w:ascii="Times New Roman" w:cs="Times New Roman" w:eastAsia="Times New Roman" w:hAnsi="Times New Roman"/>
                <w:sz w:val="16"/>
                <w:szCs w:val="16"/>
                <w:color w:val="auto"/>
              </w:rPr>
              <w:t>Hispanic or Latinx</w:t>
            </w:r>
          </w:p>
        </w:tc>
        <w:tc>
          <w:tcPr>
            <w:tcW w:w="1060" w:type="dxa"/>
            <w:vAlign w:val="bottom"/>
            <w:tcBorders>
              <w:bottom w:val="single" w:sz="8" w:color="auto"/>
              <w:right w:val="single" w:sz="8" w:color="auto"/>
            </w:tcBorders>
            <w:shd w:val="clear" w:color="auto" w:fill="D0EDFE"/>
          </w:tcPr>
          <w:p>
            <w:pPr>
              <w:spacing w:after="0"/>
              <w:rPr>
                <w:sz w:val="18"/>
                <w:szCs w:val="18"/>
                <w:color w:val="auto"/>
              </w:rPr>
            </w:pPr>
          </w:p>
        </w:tc>
        <w:tc>
          <w:tcPr>
            <w:tcW w:w="960" w:type="dxa"/>
            <w:vAlign w:val="bottom"/>
            <w:tcBorders>
              <w:bottom w:val="single" w:sz="8" w:color="auto"/>
              <w:right w:val="single" w:sz="8" w:color="auto"/>
            </w:tcBorders>
            <w:shd w:val="clear" w:color="auto" w:fill="D0EDFE"/>
          </w:tcPr>
          <w:p>
            <w:pPr>
              <w:spacing w:after="0"/>
              <w:rPr>
                <w:sz w:val="18"/>
                <w:szCs w:val="18"/>
                <w:color w:val="auto"/>
              </w:rPr>
            </w:pPr>
          </w:p>
        </w:tc>
        <w:tc>
          <w:tcPr>
            <w:tcW w:w="1200" w:type="dxa"/>
            <w:vAlign w:val="bottom"/>
            <w:tcBorders>
              <w:bottom w:val="single" w:sz="8" w:color="auto"/>
            </w:tcBorders>
            <w:shd w:val="clear" w:color="auto" w:fill="D0EDFE"/>
          </w:tcPr>
          <w:p>
            <w:pPr>
              <w:spacing w:after="0"/>
              <w:rPr>
                <w:sz w:val="18"/>
                <w:szCs w:val="18"/>
                <w:color w:val="auto"/>
              </w:rPr>
            </w:pPr>
          </w:p>
        </w:tc>
        <w:tc>
          <w:tcPr>
            <w:tcW w:w="360" w:type="dxa"/>
            <w:vAlign w:val="bottom"/>
            <w:tcBorders>
              <w:bottom w:val="single" w:sz="8" w:color="auto"/>
              <w:right w:val="single" w:sz="8" w:color="auto"/>
            </w:tcBorders>
            <w:shd w:val="clear" w:color="auto" w:fill="D0EDFE"/>
          </w:tcPr>
          <w:p>
            <w:pPr>
              <w:spacing w:after="0"/>
              <w:rPr>
                <w:sz w:val="18"/>
                <w:szCs w:val="18"/>
                <w:color w:val="auto"/>
              </w:rPr>
            </w:pPr>
          </w:p>
        </w:tc>
        <w:tc>
          <w:tcPr>
            <w:tcW w:w="3020" w:type="dxa"/>
            <w:vAlign w:val="bottom"/>
            <w:tcBorders>
              <w:bottom w:val="single" w:sz="8" w:color="auto"/>
              <w:right w:val="single" w:sz="8" w:color="auto"/>
            </w:tcBorders>
            <w:shd w:val="clear" w:color="auto" w:fill="D0EDFE"/>
          </w:tcPr>
          <w:p>
            <w:pPr>
              <w:spacing w:after="0"/>
              <w:rPr>
                <w:sz w:val="18"/>
                <w:szCs w:val="18"/>
                <w:color w:val="auto"/>
              </w:rPr>
            </w:pPr>
          </w:p>
        </w:tc>
      </w:tr>
      <w:tr>
        <w:trPr>
          <w:trHeight w:val="210"/>
        </w:trPr>
        <w:tc>
          <w:tcPr>
            <w:tcW w:w="4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10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r>
      <w:tr>
        <w:trPr>
          <w:trHeight w:val="210"/>
        </w:trPr>
        <w:tc>
          <w:tcPr>
            <w:tcW w:w="4660" w:type="dxa"/>
            <w:vAlign w:val="bottom"/>
            <w:tcBorders>
              <w:left w:val="single" w:sz="8" w:color="auto"/>
              <w:bottom w:val="single" w:sz="8" w:color="auto"/>
              <w:right w:val="single" w:sz="8" w:color="auto"/>
            </w:tcBorders>
            <w:shd w:val="clear" w:color="auto" w:fill="D0EDFE"/>
          </w:tcPr>
          <w:p>
            <w:pPr>
              <w:ind w:left="80"/>
              <w:spacing w:after="0"/>
              <w:rPr>
                <w:sz w:val="20"/>
                <w:szCs w:val="20"/>
                <w:color w:val="auto"/>
              </w:rPr>
            </w:pPr>
            <w:r>
              <w:rPr>
                <w:rFonts w:ascii="Times New Roman" w:cs="Times New Roman" w:eastAsia="Times New Roman" w:hAnsi="Times New Roman"/>
                <w:sz w:val="16"/>
                <w:szCs w:val="16"/>
                <w:color w:val="auto"/>
              </w:rPr>
              <w:t>White</w:t>
            </w:r>
          </w:p>
        </w:tc>
        <w:tc>
          <w:tcPr>
            <w:tcW w:w="1060" w:type="dxa"/>
            <w:vAlign w:val="bottom"/>
            <w:tcBorders>
              <w:bottom w:val="single" w:sz="8" w:color="auto"/>
              <w:right w:val="single" w:sz="8" w:color="auto"/>
            </w:tcBorders>
            <w:shd w:val="clear" w:color="auto" w:fill="D0EDFE"/>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960" w:type="dxa"/>
            <w:vAlign w:val="bottom"/>
            <w:tcBorders>
              <w:bottom w:val="single" w:sz="8" w:color="auto"/>
              <w:right w:val="single" w:sz="8" w:color="auto"/>
            </w:tcBorders>
            <w:shd w:val="clear" w:color="auto" w:fill="D0EDFE"/>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w:t>
            </w:r>
          </w:p>
        </w:tc>
        <w:tc>
          <w:tcPr>
            <w:tcW w:w="1200" w:type="dxa"/>
            <w:vAlign w:val="bottom"/>
            <w:tcBorders>
              <w:bottom w:val="single" w:sz="8" w:color="auto"/>
            </w:tcBorders>
            <w:shd w:val="clear" w:color="auto" w:fill="D0EDFE"/>
          </w:tcPr>
          <w:p>
            <w:pPr>
              <w:spacing w:after="0"/>
              <w:rPr>
                <w:sz w:val="18"/>
                <w:szCs w:val="18"/>
                <w:color w:val="auto"/>
              </w:rPr>
            </w:pPr>
          </w:p>
        </w:tc>
        <w:tc>
          <w:tcPr>
            <w:tcW w:w="360" w:type="dxa"/>
            <w:vAlign w:val="bottom"/>
            <w:tcBorders>
              <w:bottom w:val="single" w:sz="8" w:color="auto"/>
              <w:right w:val="single" w:sz="8" w:color="auto"/>
            </w:tcBorders>
            <w:shd w:val="clear" w:color="auto" w:fill="D0EDFE"/>
          </w:tcPr>
          <w:p>
            <w:pPr>
              <w:spacing w:after="0"/>
              <w:rPr>
                <w:sz w:val="18"/>
                <w:szCs w:val="18"/>
                <w:color w:val="auto"/>
              </w:rPr>
            </w:pPr>
          </w:p>
        </w:tc>
        <w:tc>
          <w:tcPr>
            <w:tcW w:w="3020" w:type="dxa"/>
            <w:vAlign w:val="bottom"/>
            <w:tcBorders>
              <w:bottom w:val="single" w:sz="8" w:color="auto"/>
              <w:right w:val="single" w:sz="8" w:color="auto"/>
            </w:tcBorders>
            <w:shd w:val="clear" w:color="auto" w:fill="D0EDFE"/>
          </w:tcPr>
          <w:p>
            <w:pPr>
              <w:spacing w:after="0"/>
              <w:rPr>
                <w:sz w:val="18"/>
                <w:szCs w:val="18"/>
                <w:color w:val="auto"/>
              </w:rPr>
            </w:pPr>
          </w:p>
        </w:tc>
      </w:tr>
      <w:tr>
        <w:trPr>
          <w:trHeight w:val="209"/>
        </w:trPr>
        <w:tc>
          <w:tcPr>
            <w:tcW w:w="4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w:t>
            </w: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r>
      <w:tr>
        <w:trPr>
          <w:trHeight w:val="210"/>
        </w:trPr>
        <w:tc>
          <w:tcPr>
            <w:tcW w:w="4660" w:type="dxa"/>
            <w:vAlign w:val="bottom"/>
            <w:tcBorders>
              <w:left w:val="single" w:sz="8" w:color="auto"/>
              <w:bottom w:val="single" w:sz="8" w:color="auto"/>
              <w:right w:val="single" w:sz="8" w:color="auto"/>
            </w:tcBorders>
            <w:shd w:val="clear" w:color="auto" w:fill="D0EDFE"/>
          </w:tcPr>
          <w:p>
            <w:pPr>
              <w:ind w:left="80"/>
              <w:spacing w:after="0"/>
              <w:rPr>
                <w:sz w:val="20"/>
                <w:szCs w:val="20"/>
                <w:color w:val="auto"/>
              </w:rPr>
            </w:pPr>
            <w:r>
              <w:rPr>
                <w:rFonts w:ascii="Times New Roman" w:cs="Times New Roman" w:eastAsia="Times New Roman" w:hAnsi="Times New Roman"/>
                <w:sz w:val="16"/>
                <w:szCs w:val="16"/>
                <w:color w:val="auto"/>
              </w:rPr>
              <w:t>LGBTQ+</w:t>
            </w:r>
          </w:p>
        </w:tc>
        <w:tc>
          <w:tcPr>
            <w:tcW w:w="1060" w:type="dxa"/>
            <w:vAlign w:val="bottom"/>
            <w:tcBorders>
              <w:bottom w:val="single" w:sz="8" w:color="auto"/>
              <w:right w:val="single" w:sz="8" w:color="D0EDFE"/>
            </w:tcBorders>
            <w:shd w:val="clear" w:color="auto" w:fill="D0EDFE"/>
          </w:tcPr>
          <w:p>
            <w:pPr>
              <w:spacing w:after="0"/>
              <w:rPr>
                <w:sz w:val="18"/>
                <w:szCs w:val="18"/>
                <w:color w:val="auto"/>
              </w:rPr>
            </w:pPr>
          </w:p>
        </w:tc>
        <w:tc>
          <w:tcPr>
            <w:tcW w:w="960" w:type="dxa"/>
            <w:vAlign w:val="bottom"/>
            <w:tcBorders>
              <w:bottom w:val="single" w:sz="8" w:color="auto"/>
              <w:right w:val="single" w:sz="8" w:color="D0EDFE"/>
            </w:tcBorders>
            <w:shd w:val="clear" w:color="auto" w:fill="D0EDFE"/>
          </w:tcPr>
          <w:p>
            <w:pPr>
              <w:spacing w:after="0"/>
              <w:rPr>
                <w:sz w:val="18"/>
                <w:szCs w:val="18"/>
                <w:color w:val="auto"/>
              </w:rPr>
            </w:pPr>
          </w:p>
        </w:tc>
        <w:tc>
          <w:tcPr>
            <w:tcW w:w="1200" w:type="dxa"/>
            <w:vAlign w:val="bottom"/>
            <w:tcBorders>
              <w:bottom w:val="single" w:sz="8" w:color="auto"/>
            </w:tcBorders>
            <w:shd w:val="clear" w:color="auto" w:fill="D0EDFE"/>
          </w:tcPr>
          <w:p>
            <w:pPr>
              <w:spacing w:after="0"/>
              <w:rPr>
                <w:sz w:val="18"/>
                <w:szCs w:val="18"/>
                <w:color w:val="auto"/>
              </w:rPr>
            </w:pPr>
          </w:p>
        </w:tc>
        <w:tc>
          <w:tcPr>
            <w:tcW w:w="360" w:type="dxa"/>
            <w:vAlign w:val="bottom"/>
            <w:tcBorders>
              <w:bottom w:val="single" w:sz="8" w:color="auto"/>
              <w:right w:val="single" w:sz="8" w:color="D0EDFE"/>
            </w:tcBorders>
            <w:shd w:val="clear" w:color="auto" w:fill="D0EDFE"/>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3020" w:type="dxa"/>
            <w:vAlign w:val="bottom"/>
            <w:tcBorders>
              <w:bottom w:val="single" w:sz="8" w:color="auto"/>
              <w:right w:val="single" w:sz="8" w:color="auto"/>
            </w:tcBorders>
            <w:shd w:val="clear" w:color="auto" w:fill="D0EDFE"/>
          </w:tcPr>
          <w:p>
            <w:pPr>
              <w:spacing w:after="0"/>
              <w:rPr>
                <w:sz w:val="18"/>
                <w:szCs w:val="18"/>
                <w:color w:val="auto"/>
              </w:rPr>
            </w:pPr>
          </w:p>
        </w:tc>
      </w:tr>
      <w:tr>
        <w:trPr>
          <w:trHeight w:val="210"/>
        </w:trPr>
        <w:tc>
          <w:tcPr>
            <w:tcW w:w="46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Did Not Disclose Demographic Background</w:t>
            </w:r>
          </w:p>
        </w:tc>
        <w:tc>
          <w:tcPr>
            <w:tcW w:w="10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1</w:t>
            </w:r>
          </w:p>
        </w:tc>
        <w:tc>
          <w:tcPr>
            <w:tcW w:w="3020" w:type="dxa"/>
            <w:vAlign w:val="bottom"/>
            <w:tcBorders>
              <w:bottom w:val="single" w:sz="8" w:color="auto"/>
              <w:right w:val="single" w:sz="8" w:color="auto"/>
            </w:tcBorders>
          </w:tcPr>
          <w:p>
            <w:pPr>
              <w:spacing w:after="0"/>
              <w:rPr>
                <w:sz w:val="18"/>
                <w:szCs w:val="18"/>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Times New Roman" w:cs="Times New Roman" w:eastAsia="Times New Roman" w:hAnsi="Times New Roman"/>
          <w:sz w:val="18"/>
          <w:szCs w:val="18"/>
          <w:i w:val="1"/>
          <w:iCs w:val="1"/>
          <w:color w:val="auto"/>
        </w:rPr>
        <w:t>www.GeneDx.com.</w:t>
      </w:r>
      <w:r>
        <w:rPr>
          <w:rFonts w:ascii="Times New Roman" w:cs="Times New Roman" w:eastAsia="Times New Roman" w:hAnsi="Times New Roman"/>
          <w:sz w:val="18"/>
          <w:szCs w:val="18"/>
          <w:color w:val="auto"/>
        </w:rPr>
        <w:t xml:space="preserve"> Information contained on or accessible through such website is not a part of this proxy statement, and the inclusion of the website address in this proxy statement is an inactive textual reference only. We intend to disclose any amendments to the Code of Business Conduct and Ethics, or any waivers of its requirements, on its website to the extent required by the applicable rules and exchange requirements.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75" w:lineRule="exact"/>
        <w:rPr>
          <w:sz w:val="20"/>
          <w:szCs w:val="20"/>
          <w:color w:val="auto"/>
        </w:rPr>
      </w:pPr>
    </w:p>
    <w:p>
      <w:pPr>
        <w:jc w:val="both"/>
        <w:ind w:right="20" w:firstLine="324"/>
        <w:spacing w:after="0" w:line="235" w:lineRule="auto"/>
        <w:rPr>
          <w:sz w:val="20"/>
          <w:szCs w:val="20"/>
          <w:color w:val="auto"/>
        </w:rPr>
      </w:pPr>
      <w:r>
        <w:rPr>
          <w:rFonts w:ascii="Times New Roman" w:cs="Times New Roman" w:eastAsia="Times New Roman" w:hAnsi="Times New Roman"/>
          <w:sz w:val="18"/>
          <w:szCs w:val="18"/>
          <w:color w:val="auto"/>
        </w:rPr>
        <w:t>Should stockholders wish to communicate with the Board or any specified individual directors, such correspondence should be sent to the attention of the Corporate Secretary, at GeneDx Holdings Corp., 333 Ludlow Street, North Tower,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Stamford, Connecticut 06902. The Corporate Secretary will forward the communication to the Board members.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440" w:right="319" w:bottom="1440" w:gutter="0" w:footer="0" w:header="0"/>
        </w:sectPr>
      </w:pPr>
    </w:p>
    <w:bookmarkStart w:id="14" w:name="page15"/>
    <w:bookmarkEnd w:id="14"/>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is responsible for identifying, considering and recommending candidates to the Board for Board membership. A variety of methods are used to identify and evaluate director nominees, with the goal of maintaining and further developing a diverse, experienced and highly qualified Board. Candidates may come to our attention through current members of our Board, professional search firms, stockholders or other persons.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Board encourages the selection of directors who will contribute to the Company’s overall corporate goals. The Nominating and Governance Committee may from time to time review and recommend to the Board the desired qualifications, expertise and characteristics of directors, including such factors as independence, diversity, geography, financial skills and other expertise, breadth of experience, knowledge about our business and industry, willingness and ability to devote adequate time and effort to our Board, ability to contribute to our Board’s overall effectiveness, and the needs of our Board and its committees. In evaluating potential candidates for the Board, the Nominating and Governance Committee considers these factors in the light of the specific needs of the Board of Directors at that time. We value diversity on a company-wide basis but have not adopted a specific policy regarding Board diversity.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 of Directors</w:t>
      </w:r>
    </w:p>
    <w:p>
      <w:pPr>
        <w:spacing w:after="0" w:line="175"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The Nominating and Governance Committee will consider properly submitted stockholder recommendations for candidates for our Board who meet the minimum qualifications as described above. The Nominating and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by complying with the procedures in Article I, Section 1.12.1 of our Amended and Restated Bylaws (as amended,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Any eligible stockholder who wishes to submit a nomination should review the requirements in the Bylaws on nominations by stockholders. Any nomination should be sent in writing to our Corporate Secretary, at GeneDx Holdings Corp., 333 Ludlow Street, North Tower,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Stamford, Connecticut 06902. Submissions must include the full name of the proposed nominee, age, business and residential address, the principal occupation or employment of such nominee, other information regarding the nominee and proposing stockholder as specified in the Bylaws, and certain representations regarding the nomination. Any such submission must be accompanied by the written consent of the proposed nominee to be named as a nominee and to serve as a director if elected. If any materials are provided by a stockholder in connection with the recommendation of a director candidate, such materials are forwarded to the Nominating and Governance Committee.</w:t>
      </w:r>
    </w:p>
    <w:p>
      <w:pPr>
        <w:spacing w:after="0" w:line="1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 information regarding the process for properly submitting stockholder nominations for candidates for membership on our Board is set forth below under the section titled “Future Stockholder Proposals.” In addition to satisfying the foregoing requirements under the Bylaws, to comply with universal proxy rules, stockholders who intend to solicit proxies in support of director nominees other than the Company’s nominees for the 2024 annual meeting of stockholders must provide notice that sets forth the information required by Rule 14a-19 under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 THE CLASS II DIRECTOR ELECTION</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Each class serves for three years, with the terms of office of the respective classes expiring in successive years. Directors and director nominees in Class II will stand for election at this meeting. The terms of office of directors in Class I and Class III do not expire until the annual meetings of stockholders to be held in 2025 and 2024, respectively.</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Rachel Sherman and Dennis Charney, our Class II directors, have indicated that they will not stand for re-election as Class II directors at the Annual Meeting, and will cease to serve on our Board, effective as of June 14, 2023, or the date of the Annual Meeting. The Board expresses its gratitude to Dr. Sherman and Dr. Charney for their many contributions during their service on the Board. In order to rebalance the Board’s classes so that the number of directors in each class will be divided as nearly equally as possible following the Annual Meeting, the Board has duly approved the resignation of Ms. Stueland and Mr. Ryan as Class III directors and their immediate reappointment and nomination to serve as Class II directors, with their service on the Board being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continued uninterrupted, without any break in service since the applicable dates they first joined the Board. Ms. Stueland and Mr. Ryan have also each elected to stand for reelection as Class II directors at the Annual Meeting. Each director to be elected will hold office for a three-year term expiring at the annual meeting of stockholders to be held in 2026 and until such director’s successor is duly elected and qualified or until such director’s earlier death, resignation, disqualification or removal.</w:t>
      </w:r>
    </w:p>
    <w:p>
      <w:pPr>
        <w:spacing w:after="0" w:line="11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Further, our Bylaws provide that the number of directors comprising the Board will be determined by the Board, and the number of directors is currently set at nine. The Board will reduce the number of directors to seven following the Annual Meeting.</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director will be elected by a plurality of the votes present online at the Annual Meeting or represented by proxy at the Annual Meeting and entitled to vote on the election of directors. This means that the two individuals nominated for election to the Board of Directors at the Annual Meeting receiving the highest number of “FOR” votes will be elected. You may either vote “FOR” any of the nominees or “WITHHOLD” your vote with respect to any of the nominees. Shares represented by proxies will be voted “FOR” the election of each of the Class II nominees, unless the proxy is marked to withhold authority to so vote. You may not cumulate votes in the election of directors. If any nominee for any reason is unable to serve, the proxies may be voted for such substitute nominee as the proxy holders, who are officers of our company, might determine. Each nominee has consented to being named in this proxy statement and to serve if elected. Proxies may not be voted for more than two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to the Board of Directors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nominees and their ages as of April 17, 2023 are provided in the table below. Additional biographical information for each nominee is set forth in the text below the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4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23"/>
        </w:trPr>
        <w:tc>
          <w:tcPr>
            <w:tcW w:w="4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shd w:val="clear" w:color="auto" w:fill="CCEEFF"/>
          </w:tcPr>
          <w:p>
            <w:pPr>
              <w:spacing w:after="0"/>
              <w:rPr>
                <w:sz w:val="19"/>
                <w:szCs w:val="19"/>
                <w:color w:val="auto"/>
              </w:rPr>
            </w:pP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II</w:t>
            </w:r>
          </w:p>
        </w:tc>
      </w:t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Ryan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-302260</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-302260</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Katherine Stueland </w:t>
      </w:r>
      <w:r>
        <w:rPr>
          <w:rFonts w:ascii="Times New Roman" w:cs="Times New Roman" w:eastAsia="Times New Roman" w:hAnsi="Times New Roman"/>
          <w:sz w:val="18"/>
          <w:szCs w:val="18"/>
          <w:color w:val="auto"/>
        </w:rPr>
        <w:t>has served as our Chief Executive Officer and a member of our Board since April 2022, following the completion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Prior to the Acquisition, Ms. Stueland was the President and Chief Executive Officer of Legacy GeneDx. Prior to joining Legacy GeneDx, Ms. Stueland served as the Chief Commercial Officer at Invitae Corporation, a biotechnology company, from October 2016 to June 2021 and as the Head of Communications and Investor Relations at Invitae Corporation from November 2013 to October 2016, during which time she helped Invitae Corporation transition from a private to a public company. Ms. Stueland previously served as the Principal at Vivo Communications, a technology company, from January 2013 to December 2013, and as the Vice President of Communications and Investor Relations at Dendreon Corporation, a biotechnology company, from September 2009 to June 2012. Ms. Stueland also previously served on the board of the Rivkin Center, a non-profit organization dedicated to the treatment and prevention of cancer in women. Ms. Stueland earned a B.S. in English language and literature from Miami University of Ohio. Ms. Stueland’s extensive leadership experience as an executive officer of biotechnology companies and knowledge of GeneDx’s business provide her with the qualifications and skills to serve as a director on our Board.</w:t>
      </w:r>
    </w:p>
    <w:p>
      <w:pPr>
        <w:spacing w:after="0" w:line="1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Jason Ryan </w:t>
      </w:r>
      <w:r>
        <w:rPr>
          <w:rFonts w:ascii="Times New Roman" w:cs="Times New Roman" w:eastAsia="Times New Roman" w:hAnsi="Times New Roman"/>
          <w:sz w:val="18"/>
          <w:szCs w:val="18"/>
          <w:color w:val="auto"/>
        </w:rPr>
        <w:t>has served as a member of our Board since July 2021, and as our Executive Chairman since January 2022. Mr. Ryan served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and Financial Officer of Magenta Therapeutics, Inc., a biotechnology company, from January 2019 to November 2020. Prior to joining Magenta Therapeutics, Inc., Mr. Ryan 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joined the board of directors of SomaLogic, Inc. in March 2023. He previously served on the board of directors of ArcherDX, Inc. (which was acquired by Invitae Corporation) from April 2020 to October 2020. He began his career at Deloitte &amp; Touche LLP. Mr. Ryan holds an M.B.A.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directors who are serving for terms that end after the Annual Meeting and their ages as of April 17, 2023 are provided in the table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biographical information for each continuing director is set forth in the text below the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gridSpan w:val="2"/>
          </w:tcPr>
          <w:p>
            <w:pPr>
              <w:ind w:left="2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2440" w:type="dxa"/>
            <w:vAlign w:val="bottom"/>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620" w:type="dxa"/>
            <w:vAlign w:val="bottom"/>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64"/>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 D. Casdin</w:t>
            </w:r>
            <w:r>
              <w:rPr>
                <w:rFonts w:ascii="Times New Roman" w:cs="Times New Roman" w:eastAsia="Times New Roman" w:hAnsi="Times New Roman"/>
                <w:sz w:val="23"/>
                <w:szCs w:val="23"/>
                <w:color w:val="auto"/>
                <w:vertAlign w:val="superscript"/>
              </w:rPr>
              <w:t>(1)(2)</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shd w:val="clear" w:color="auto" w:fill="CCEEFF"/>
          </w:tcPr>
          <w:p>
            <w:pPr>
              <w:spacing w:after="0"/>
              <w:rPr>
                <w:sz w:val="22"/>
                <w:szCs w:val="22"/>
                <w:color w:val="auto"/>
              </w:rPr>
            </w:pPr>
          </w:p>
        </w:tc>
        <w:tc>
          <w:tcPr>
            <w:tcW w:w="244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rPr>
              <w:t>Class I</w:t>
            </w:r>
          </w:p>
        </w:tc>
        <w:tc>
          <w:tcPr>
            <w:tcW w:w="262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rPr>
              <w:t>July 2020</w:t>
            </w:r>
          </w:p>
        </w:tc>
      </w:tr>
      <w:tr>
        <w:trPr>
          <w:trHeight w:val="28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Joshua Ruch</w:t>
            </w:r>
            <w:r>
              <w:rPr>
                <w:rFonts w:ascii="Times New Roman" w:cs="Times New Roman" w:eastAsia="Times New Roman" w:hAnsi="Times New Roman"/>
                <w:sz w:val="23"/>
                <w:szCs w:val="23"/>
                <w:color w:val="auto"/>
                <w:vertAlign w:val="superscript"/>
              </w:rPr>
              <w:t>(1)(2)</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24"/>
                <w:szCs w:val="24"/>
                <w:color w:val="auto"/>
              </w:rPr>
            </w:pPr>
          </w:p>
        </w:tc>
        <w:tc>
          <w:tcPr>
            <w:tcW w:w="244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Class I</w:t>
            </w:r>
          </w:p>
        </w:tc>
        <w:tc>
          <w:tcPr>
            <w:tcW w:w="2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July 2021</w:t>
            </w:r>
          </w:p>
        </w:tc>
      </w:tr>
      <w:tr>
        <w:trPr>
          <w:trHeight w:val="283"/>
        </w:trPr>
        <w:tc>
          <w:tcPr>
            <w:tcW w:w="4740" w:type="dxa"/>
            <w:vAlign w:val="bottom"/>
            <w:gridSpan w:val="2"/>
            <w:shd w:val="clear" w:color="auto" w:fill="D0EDFE"/>
          </w:tcPr>
          <w:p>
            <w:pPr>
              <w:ind w:left="20"/>
              <w:spacing w:after="0"/>
              <w:rPr>
                <w:sz w:val="20"/>
                <w:szCs w:val="20"/>
                <w:color w:val="auto"/>
              </w:rPr>
            </w:pPr>
            <w:r>
              <w:rPr>
                <w:rFonts w:ascii="Times New Roman" w:cs="Times New Roman" w:eastAsia="Times New Roman" w:hAnsi="Times New Roman"/>
                <w:sz w:val="18"/>
                <w:szCs w:val="18"/>
                <w:color w:val="auto"/>
              </w:rPr>
              <w:t>Emily Leproust, Ph.D.</w:t>
            </w:r>
            <w:r>
              <w:rPr>
                <w:rFonts w:ascii="Times New Roman" w:cs="Times New Roman" w:eastAsia="Times New Roman" w:hAnsi="Times New Roman"/>
                <w:sz w:val="23"/>
                <w:szCs w:val="23"/>
                <w:color w:val="auto"/>
                <w:vertAlign w:val="superscript"/>
              </w:rPr>
              <w:t>(2)(3)</w:t>
            </w:r>
          </w:p>
        </w:tc>
        <w:tc>
          <w:tcPr>
            <w:tcW w:w="1320" w:type="dxa"/>
            <w:vAlign w:val="bottom"/>
            <w:shd w:val="clear" w:color="auto" w:fill="D0EDFE"/>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shd w:val="clear" w:color="auto" w:fill="D0EDFE"/>
          </w:tcPr>
          <w:p>
            <w:pPr>
              <w:spacing w:after="0"/>
              <w:rPr>
                <w:sz w:val="24"/>
                <w:szCs w:val="24"/>
                <w:color w:val="auto"/>
              </w:rPr>
            </w:pPr>
          </w:p>
        </w:tc>
        <w:tc>
          <w:tcPr>
            <w:tcW w:w="2440" w:type="dxa"/>
            <w:vAlign w:val="bottom"/>
            <w:shd w:val="clear" w:color="auto" w:fill="D0EDFE"/>
          </w:tcPr>
          <w:p>
            <w:pPr>
              <w:jc w:val="center"/>
              <w:ind w:left="93"/>
              <w:spacing w:after="0"/>
              <w:rPr>
                <w:sz w:val="20"/>
                <w:szCs w:val="20"/>
                <w:color w:val="auto"/>
              </w:rPr>
            </w:pPr>
            <w:r>
              <w:rPr>
                <w:rFonts w:ascii="Times New Roman" w:cs="Times New Roman" w:eastAsia="Times New Roman" w:hAnsi="Times New Roman"/>
                <w:sz w:val="18"/>
                <w:szCs w:val="18"/>
                <w:color w:val="auto"/>
              </w:rPr>
              <w:t>Class III</w:t>
            </w:r>
          </w:p>
        </w:tc>
        <w:tc>
          <w:tcPr>
            <w:tcW w:w="2620" w:type="dxa"/>
            <w:vAlign w:val="bottom"/>
            <w:shd w:val="clear" w:color="auto" w:fill="D0EDFE"/>
          </w:tcPr>
          <w:p>
            <w:pPr>
              <w:jc w:val="center"/>
              <w:ind w:left="93"/>
              <w:spacing w:after="0"/>
              <w:rPr>
                <w:sz w:val="20"/>
                <w:szCs w:val="20"/>
                <w:color w:val="auto"/>
              </w:rPr>
            </w:pPr>
            <w:r>
              <w:rPr>
                <w:rFonts w:ascii="Times New Roman" w:cs="Times New Roman" w:eastAsia="Times New Roman" w:hAnsi="Times New Roman"/>
                <w:sz w:val="18"/>
                <w:szCs w:val="18"/>
                <w:color w:val="auto"/>
                <w:w w:val="98"/>
              </w:rPr>
              <w:t>September 2020</w:t>
            </w:r>
          </w:p>
        </w:tc>
      </w:tr>
      <w:tr>
        <w:trPr>
          <w:trHeight w:val="28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Meister</w:t>
            </w:r>
            <w:r>
              <w:rPr>
                <w:rFonts w:ascii="Times New Roman" w:cs="Times New Roman" w:eastAsia="Times New Roman" w:hAnsi="Times New Roman"/>
                <w:sz w:val="23"/>
                <w:szCs w:val="23"/>
                <w:color w:val="auto"/>
                <w:vertAlign w:val="superscript"/>
              </w:rPr>
              <w:t>(3)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24"/>
                <w:szCs w:val="24"/>
                <w:color w:val="auto"/>
              </w:rPr>
            </w:pPr>
          </w:p>
        </w:tc>
        <w:tc>
          <w:tcPr>
            <w:tcW w:w="244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rPr>
              <w:t>Class III</w:t>
            </w:r>
          </w:p>
        </w:tc>
        <w:tc>
          <w:tcPr>
            <w:tcW w:w="262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January 2022</w:t>
            </w:r>
          </w:p>
        </w:tc>
      </w:tr>
      <w:tr>
        <w:trPr>
          <w:trHeight w:val="283"/>
        </w:trPr>
        <w:tc>
          <w:tcPr>
            <w:tcW w:w="4740" w:type="dxa"/>
            <w:vAlign w:val="bottom"/>
            <w:gridSpan w:val="2"/>
            <w:shd w:val="clear" w:color="auto" w:fill="D0EDFE"/>
          </w:tcPr>
          <w:p>
            <w:pPr>
              <w:ind w:left="20"/>
              <w:spacing w:after="0"/>
              <w:rPr>
                <w:sz w:val="20"/>
                <w:szCs w:val="20"/>
                <w:color w:val="auto"/>
              </w:rPr>
            </w:pPr>
            <w:r>
              <w:rPr>
                <w:rFonts w:ascii="Times New Roman" w:cs="Times New Roman" w:eastAsia="Times New Roman" w:hAnsi="Times New Roman"/>
                <w:sz w:val="18"/>
                <w:szCs w:val="18"/>
                <w:color w:val="auto"/>
              </w:rPr>
              <w:t>Richard C. Pfenniger, Jr.</w:t>
            </w:r>
            <w:r>
              <w:rPr>
                <w:rFonts w:ascii="Times New Roman" w:cs="Times New Roman" w:eastAsia="Times New Roman" w:hAnsi="Times New Roman"/>
                <w:sz w:val="23"/>
                <w:szCs w:val="23"/>
                <w:color w:val="auto"/>
                <w:vertAlign w:val="superscript"/>
              </w:rPr>
              <w:t>(3)</w:t>
            </w:r>
          </w:p>
        </w:tc>
        <w:tc>
          <w:tcPr>
            <w:tcW w:w="1320" w:type="dxa"/>
            <w:vAlign w:val="bottom"/>
            <w:shd w:val="clear" w:color="auto" w:fill="D0EDFE"/>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shd w:val="clear" w:color="auto" w:fill="D0EDFE"/>
          </w:tcPr>
          <w:p>
            <w:pPr>
              <w:spacing w:after="0"/>
              <w:rPr>
                <w:sz w:val="24"/>
                <w:szCs w:val="24"/>
                <w:color w:val="auto"/>
              </w:rPr>
            </w:pPr>
          </w:p>
        </w:tc>
        <w:tc>
          <w:tcPr>
            <w:tcW w:w="2440" w:type="dxa"/>
            <w:vAlign w:val="bottom"/>
            <w:shd w:val="clear" w:color="auto" w:fill="D0EDFE"/>
          </w:tcPr>
          <w:p>
            <w:pPr>
              <w:jc w:val="center"/>
              <w:ind w:left="93"/>
              <w:spacing w:after="0"/>
              <w:rPr>
                <w:sz w:val="20"/>
                <w:szCs w:val="20"/>
                <w:color w:val="auto"/>
              </w:rPr>
            </w:pPr>
            <w:r>
              <w:rPr>
                <w:rFonts w:ascii="Times New Roman" w:cs="Times New Roman" w:eastAsia="Times New Roman" w:hAnsi="Times New Roman"/>
                <w:sz w:val="18"/>
                <w:szCs w:val="18"/>
                <w:color w:val="auto"/>
              </w:rPr>
              <w:t>Class III</w:t>
            </w:r>
          </w:p>
        </w:tc>
        <w:tc>
          <w:tcPr>
            <w:tcW w:w="2620" w:type="dxa"/>
            <w:vAlign w:val="bottom"/>
            <w:shd w:val="clear" w:color="auto" w:fill="D0EDFE"/>
          </w:tcPr>
          <w:p>
            <w:pPr>
              <w:jc w:val="center"/>
              <w:ind w:left="93"/>
              <w:spacing w:after="0"/>
              <w:rPr>
                <w:sz w:val="20"/>
                <w:szCs w:val="20"/>
                <w:color w:val="auto"/>
              </w:rPr>
            </w:pPr>
            <w:r>
              <w:rPr>
                <w:rFonts w:ascii="Times New Roman" w:cs="Times New Roman" w:eastAsia="Times New Roman" w:hAnsi="Times New Roman"/>
                <w:sz w:val="18"/>
                <w:szCs w:val="18"/>
                <w:color w:val="auto"/>
              </w:rPr>
              <w:t>April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-899795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-899795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1398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2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Nominating and Corporate Governance Committee.</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Compensation Committee.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Audit Committee.</w:t>
      </w:r>
    </w:p>
    <w:p>
      <w:pPr>
        <w:spacing w:after="0" w:line="16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 D. Casdin </w:t>
      </w:r>
      <w:r>
        <w:rPr>
          <w:rFonts w:ascii="Times New Roman" w:cs="Times New Roman" w:eastAsia="Times New Roman" w:hAnsi="Times New Roman"/>
          <w:sz w:val="18"/>
          <w:szCs w:val="18"/>
          <w:color w:val="auto"/>
        </w:rPr>
        <w:t>has served as a member of our Board since July 2020, and previously served as the Chief Executive Officer of CMLS from July 2020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w:t>
      </w:r>
      <w:r>
        <w:rPr>
          <w:rFonts w:ascii="Times New Roman" w:cs="Times New Roman" w:eastAsia="Times New Roman" w:hAnsi="Times New Roman"/>
          <w:sz w:val="18"/>
          <w:szCs w:val="18"/>
          <w:i w:val="1"/>
          <w:iCs w:val="1"/>
          <w:color w:val="auto"/>
        </w:rPr>
        <w:t>CMLS II</w:t>
      </w:r>
      <w:r>
        <w:rPr>
          <w:rFonts w:ascii="Times New Roman" w:cs="Times New Roman" w:eastAsia="Times New Roman" w:hAnsi="Times New Roman"/>
          <w:sz w:val="18"/>
          <w:szCs w:val="18"/>
          <w:color w:val="auto"/>
        </w:rPr>
        <w:t>”)), since September 2021 (having previously served as the Chief Executive Officer of CMLS II from February 2021 to September 2021), and EQRx, Inc., a pharmaceutical company (formerly, CM Life Sciences III Inc., a special purpose acquisition company (“</w:t>
      </w:r>
      <w:r>
        <w:rPr>
          <w:rFonts w:ascii="Times New Roman" w:cs="Times New Roman" w:eastAsia="Times New Roman" w:hAnsi="Times New Roman"/>
          <w:sz w:val="18"/>
          <w:szCs w:val="18"/>
          <w:i w:val="1"/>
          <w:iCs w:val="1"/>
          <w:color w:val="auto"/>
        </w:rPr>
        <w:t>CMLS III</w:t>
      </w:r>
      <w:r>
        <w:rPr>
          <w:rFonts w:ascii="Times New Roman" w:cs="Times New Roman" w:eastAsia="Times New Roman" w:hAnsi="Times New Roman"/>
          <w:sz w:val="18"/>
          <w:szCs w:val="18"/>
          <w:color w:val="auto"/>
        </w:rPr>
        <w:t>”)),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Ruch </w:t>
      </w:r>
      <w:r>
        <w:rPr>
          <w:rFonts w:ascii="Times New Roman" w:cs="Times New Roman" w:eastAsia="Times New Roman" w:hAnsi="Times New Roman"/>
          <w:sz w:val="18"/>
          <w:szCs w:val="18"/>
          <w:color w:val="auto"/>
        </w:rPr>
        <w:t>has served as a member of our Board since July 2021, and previously served as the Chairman of our Board from July 2021 to January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and as a member of the board of directors of Legacy Sema4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GeneDx, Mr. Ruch is also a trustee of the Mount Sinai Health System, Carnegie Hall and the National Humanities Center, and is a member of the Board of Governors of the Technion – Israel Institute of Technology and the Steering Committee of the Jacobs Institute. Mr. Ruch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3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Emily Leproust, Ph.D., </w:t>
      </w:r>
      <w:r>
        <w:rPr>
          <w:rFonts w:ascii="Times New Roman" w:cs="Times New Roman" w:eastAsia="Times New Roman" w:hAnsi="Times New Roman"/>
          <w:sz w:val="18"/>
          <w:szCs w:val="18"/>
          <w:color w:val="auto"/>
        </w:rPr>
        <w:t>has served as a member of our Board since September 2020. Dr. Leproust has been President and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Twist Bioscience Corp., a biotechnology company, since co-founding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1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Meister </w:t>
      </w:r>
      <w:r>
        <w:rPr>
          <w:rFonts w:ascii="Times New Roman" w:cs="Times New Roman" w:eastAsia="Times New Roman" w:hAnsi="Times New Roman"/>
          <w:sz w:val="18"/>
          <w:szCs w:val="18"/>
          <w:color w:val="auto"/>
        </w:rPr>
        <w:t>has served as a member of our Board since January 2022, and previously served as the Chairman of the Board of CMLS from July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July 2021. He founded Corvex 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the primary investment vehicle for Carl Icahn. In addition, Mr. Meister previously served as Chairman of CMLS II from December 2020 to September 2021 and CMLS III from January 2021 to December 2021. Mr. Meister also serves on the Board of Directors of MGM Resorts International, a global hospitality and entertainment company, and its affiliate Roar Digital. Mr. Meister has previously served on the board of directors of numerous other public companies in his career, including Yum! Brands Inc., The Williams Companies, Inc., ADT, Inc., Ralcorp Holdings, Inc. and Motorola, Inc. (now Motorola Solutions,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3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Richard C. Pfenniger, Jr.</w:t>
      </w:r>
      <w:r>
        <w:rPr>
          <w:rFonts w:ascii="Times New Roman" w:cs="Times New Roman" w:eastAsia="Times New Roman" w:hAnsi="Times New Roman"/>
          <w:sz w:val="18"/>
          <w:szCs w:val="18"/>
          <w:color w:val="auto"/>
        </w:rPr>
        <w:t>, has served as a member of our Board since April 2022. Mr. Pfenniger is also a private investor who has served 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several companies, including as Chief Executive Officer and President of Continucare Corporation, a provider of primary care physician and practice management services, from 2003 until 2011, where he also served as Chairman of the Board of Directors of Continucare Corporation from 2002 until 2011. Previously, Mr. Pfenniger served as the Chief Executive Officer and Vice Chairman of Whitman Education Group, Inc. from 1997 through 2003. Prior to joining Whitman, he served as the Chief Operating Officer of IVAX from 1994 to 1997, and, from 1989 to 1994, he served as the Senior Vice President-Legal Affairs and General Counsel of IVAX Corporation. Prior thereto he was engaged in the private practice of law. Mr. Pfenniger currently serves as a director of OPKO Health, Inc., a biopharmaceutical and medical diagnostics company, Asensus Surgical, Inc., a medical device company, Cocrystal Pharma, Inc., a development stage pharmaceutical company, and Fluent, Inc., a data driven performance marketing company. He also serves as the Vice Chairman of the Board of Trustees and as a member of the Executive Committee of the Phillip and Patricia Frost Museum of Science. Mr. Pfenniger previously served as a director of BioCardia, Inc., clinical-stage regenerative medicine company developing novel therapeutics for cardiovascular diseases, IntegraMed America, Inc., a private specialty healthcare services company offering products and services to patients and providers in the fertility and vein care segments of the health industry, Vein Clinics of America and Wright Investors’ Services Holdings, Inc., an investment management and financial advisory firm. Mr. Pfenniger’s experience as a chief executive officer, chief operating officer and general counsel, and knowledge of the healthcare business provide him with the qualifications and skills to serve as a director on our Board.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familial relationships among any of our directors and executive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Executive Compensation—Director Compensation</w:t>
      </w:r>
      <w:r>
        <w:rPr>
          <w:rFonts w:ascii="Times New Roman" w:cs="Times New Roman" w:eastAsia="Times New Roman" w:hAnsi="Times New Roman"/>
          <w:sz w:val="18"/>
          <w:szCs w:val="18"/>
          <w:color w:val="auto"/>
        </w:rPr>
        <w:t>” for a summary of payments made to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THAT OUR STOCKHOLDERS VOTE “FOR ALL NOMINEES”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THE ELECTION OF THE CLASS II DIRECTORS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2 - THE AUDITOR RATIFICATION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has selected Ernst &amp; Young LLP as our principal independent registered public accounting firm to perform the audit of our consolidated financial statements for the fiscal year ending December 31, 2023. Ernst &amp; Young LLP has served as the Company’s independent registered public accounting firm since the closing of the Business Combination, and the independent registered public accounting firm of Legacy Sema4 prior to the closing of the Business Combination. We expect that representatives of Ernst &amp; Young LLP will be present at the Annual Meeting, will be able to make a statement if they so desire and will be available to respond to appropriate questions.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Annual Meeting, the stockholders are being asked to ratify the appointment of Ernst &amp; Young LLP as the Company’s independent registered public accounting firm for the fiscal year ending December 31, 2023. Although ratification by stockholders is not required by law, our Audit Committee is submitting the selection of Ernst &amp; Young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Independent Registered Public Accounting Firm</w:t>
      </w:r>
    </w:p>
    <w:p>
      <w:pPr>
        <w:spacing w:after="0" w:line="2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2021, we chose not to renew the engagement of WithumSmith+Brown, PC (“</w:t>
      </w:r>
      <w:r>
        <w:rPr>
          <w:rFonts w:ascii="Times New Roman" w:cs="Times New Roman" w:eastAsia="Times New Roman" w:hAnsi="Times New Roman"/>
          <w:sz w:val="18"/>
          <w:szCs w:val="18"/>
          <w:i w:val="1"/>
          <w:iCs w:val="1"/>
          <w:color w:val="auto"/>
        </w:rPr>
        <w:t>Withum</w:t>
      </w:r>
      <w:r>
        <w:rPr>
          <w:rFonts w:ascii="Times New Roman" w:cs="Times New Roman" w:eastAsia="Times New Roman" w:hAnsi="Times New Roman"/>
          <w:sz w:val="18"/>
          <w:szCs w:val="18"/>
          <w:color w:val="auto"/>
        </w:rPr>
        <w:t>”), which was then serving as CMLS’s independent registered public accounting firm prior to the closing of the Business Combination. During 2021, Ernst &amp; Young LLP was engaged to perform professional services in conjunction with the transaction between Legacy Sema4 and CMLS, which included financial statement audits of 2020, 2019 and 2018 and auditor assistance with merger activities and associated regulatory filings. Ernst &amp; Young LLP was the independent registered public accounting firm of Legacy Sema4 and performed these financial statement audits in that capacity. The engagement of Ernst &amp; Young LLP was approved by the Audit Committee of the Board as of August 13, 2021. Fee amounts for all services performed during 2021, including the audit fees and auditor assistance with merger activities and associated regulatory filings, are reflected in the table below.</w:t>
      </w:r>
    </w:p>
    <w:p>
      <w:pPr>
        <w:spacing w:after="0" w:line="13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Withum’s reports on the Company’s consolidated financial statements as of December 31, 2020 did not contain any adverse opinion or a disclaimer of opinion, nor were they qualified or modified as to uncertainty, audit scope, or accounting principles.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period from January 1, 2021 through July 22, 2021, there were no disagreements, within the meaning of Item 304(a)(1)(iv) of Regulation S-K promulgated under the Exchange Act and the related instructions thereto, with Withum on any matter of accounting principles or practices, financial statement disclosure, or auditing scope or procedure, which disagreements, if not resolved to the satisfaction of Withum, would have caused it to make reference to the subject matter of the disagreements in connection with its reports. Also during this same period, there were no reportable events within the meaning of Item 304(a)(1)(v) of Regulation S-K and the related instructions thereto.</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approved the appointment of Ernst &amp; Young LLP as our new independent registered public accounting firm, effective as of August 13, 2021. During the period from January 1, 2021 through June 30, 2021, neither we nor anyone acting on our behalf consulted with Ernst &amp; Young LLP regarding any of the matters described in Items 304(a)(2)(i) and (ii)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Ernst &amp; Young LLP for the audit of our annual consolidated financial statements for the years ended December 31, 2022 and 2021.</w:t>
      </w:r>
    </w:p>
    <w:p>
      <w:pPr>
        <w:sectPr>
          <w:pgSz w:w="11900" w:h="16838" w:orient="portrait"/>
          <w:cols w:equalWidth="0" w:num="1">
            <w:col w:w="11240"/>
          </w:cols>
          <w:pgMar w:left="320" w:top="1440" w:right="339" w:bottom="1440" w:gutter="0" w:footer="0" w:header="0"/>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Accountant Fees and Services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Fees Billed to GeneDx</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1398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180" w:type="dxa"/>
            <w:vAlign w:val="bottom"/>
          </w:tcPr>
          <w:p>
            <w:pPr>
              <w:spacing w:after="0"/>
              <w:rPr>
                <w:sz w:val="16"/>
                <w:szCs w:val="16"/>
                <w:color w:val="auto"/>
              </w:rPr>
            </w:pPr>
          </w:p>
        </w:tc>
        <w:tc>
          <w:tcPr>
            <w:tcW w:w="13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Fiscal Year 2021</w:t>
            </w:r>
          </w:p>
        </w:tc>
      </w:tr>
      <w:tr>
        <w:trPr>
          <w:trHeight w:val="23"/>
        </w:trPr>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91"/>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3,190,550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1,725,000</w:t>
            </w:r>
          </w:p>
        </w:tc>
      </w:tr>
      <w:tr>
        <w:trPr>
          <w:trHeight w:val="311"/>
        </w:trPr>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310"/>
        </w:trPr>
        <w:tc>
          <w:tcPr>
            <w:tcW w:w="20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3,593,550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2,026,778</w:t>
            </w: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-582295</wp:posOffset>
            </wp:positionV>
            <wp:extent cx="7132320" cy="196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-187960</wp:posOffset>
            </wp:positionV>
            <wp:extent cx="71323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-976630</wp:posOffset>
            </wp:positionV>
            <wp:extent cx="7132320" cy="197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spacing w:after="0" w:line="99" w:lineRule="exact"/>
        <w:rPr>
          <w:sz w:val="20"/>
          <w:szCs w:val="20"/>
          <w:color w:val="auto"/>
        </w:rPr>
      </w:pPr>
    </w:p>
    <w:p>
      <w:pPr>
        <w:jc w:val="both"/>
        <w:ind w:left="340" w:right="20" w:hanging="332"/>
        <w:spacing w:after="0" w:line="268"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Audit fees</w:t>
      </w:r>
      <w:r>
        <w:rPr>
          <w:rFonts w:ascii="Times New Roman" w:cs="Times New Roman" w:eastAsia="Times New Roman" w:hAnsi="Times New Roman"/>
          <w:sz w:val="14"/>
          <w:szCs w:val="14"/>
          <w:color w:val="auto"/>
        </w:rPr>
        <w:t>” include fees for audit services primarily related to the audit of our annual consolidated financial statements; the review of our quarterly consolidated financial statements; consents, and assistance with and review of documents filed with the SEC; and other accounting and financial reporting consultation and research work billed as audit fees or necessary to comply with the standards of the Public Company Accounting Oversight Board (United States) and subsequent SEC filings including registration statements.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Audit-related fees</w:t>
      </w:r>
      <w:r>
        <w:rPr>
          <w:rFonts w:ascii="Times New Roman" w:cs="Times New Roman" w:eastAsia="Times New Roman" w:hAnsi="Times New Roman"/>
          <w:sz w:val="14"/>
          <w:szCs w:val="14"/>
          <w:color w:val="auto"/>
        </w:rPr>
        <w:t>” include fees related to performing services related to comfort letters during fiscal year 2022 and our internal control environment assessment in 2021.</w:t>
      </w:r>
    </w:p>
    <w:p>
      <w:pPr>
        <w:spacing w:after="0" w:line="14" w:lineRule="exact"/>
        <w:rPr>
          <w:rFonts w:ascii="Times New Roman" w:cs="Times New Roman" w:eastAsia="Times New Roman" w:hAnsi="Times New Roman"/>
          <w:sz w:val="14"/>
          <w:szCs w:val="14"/>
          <w:color w:val="auto"/>
        </w:rPr>
      </w:pPr>
    </w:p>
    <w:p>
      <w:pPr>
        <w:ind w:left="340" w:hanging="332"/>
        <w:spacing w:after="0" w:line="243"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Tax fees</w:t>
      </w:r>
      <w:r>
        <w:rPr>
          <w:rFonts w:ascii="Times New Roman" w:cs="Times New Roman" w:eastAsia="Times New Roman" w:hAnsi="Times New Roman"/>
          <w:sz w:val="14"/>
          <w:szCs w:val="14"/>
          <w:color w:val="auto"/>
        </w:rPr>
        <w:t>” include fees for tax compliance and advice. Tax advice fees encompass a variety of permissible services, including technical tax advice related to federal and state income tax matters; assistance with sales tax; assistance with tax matters related to acquisitions and assistance with tax audits.</w:t>
      </w:r>
    </w:p>
    <w:p>
      <w:pPr>
        <w:spacing w:after="0" w:line="1" w:lineRule="exact"/>
        <w:rPr>
          <w:rFonts w:ascii="Times New Roman" w:cs="Times New Roman" w:eastAsia="Times New Roman" w:hAnsi="Times New Roman"/>
          <w:sz w:val="14"/>
          <w:szCs w:val="14"/>
          <w:color w:val="auto"/>
        </w:rPr>
      </w:pPr>
    </w:p>
    <w:p>
      <w:pPr>
        <w:ind w:left="340" w:right="660" w:hanging="332"/>
        <w:spacing w:after="0" w:line="239"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All other fees</w:t>
      </w:r>
      <w:r>
        <w:rPr>
          <w:rFonts w:ascii="Times New Roman" w:cs="Times New Roman" w:eastAsia="Times New Roman" w:hAnsi="Times New Roman"/>
          <w:sz w:val="14"/>
          <w:szCs w:val="14"/>
          <w:color w:val="auto"/>
        </w:rPr>
        <w:t>” include fees for services other than the services described in the above three categories, principally comprised of support services, principally comprised of online subscription fees for Ernst &amp; Young LLP's accounting research tool.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Committee’s policy is to pre-approve all audit and permissible non-audit services rendered by our independent registered public accounting firm. The Audit Committee pre-approves, and may establish pre-approval policies and procedures for, all audit and non-audit related services provided by our independent registered public accounting firm as permitted by the Nasdaq rules, applicable laws and rules and regulations of the SEC and other applicable laws and regulations. The Audit Committee has determined that the rendering of the services other than audit services by Ernst &amp; Young LLP is compatible with maintaining the principal accountant’s independence.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AUDITOR RATIFICATION.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has reviewed and discussed with our management and Ernst &amp; Young LLP our audited consolidated financial statements for the year ended December 31, 2022. Our Audit Committee has also discussed with Ernst &amp; Young LLP the matters required to be discussed by Auditing Standard No. 1301 adopted by the Public Company Accounting Oversight Board (United States) regarding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has received and reviewed the written disclosures and the letter from Ernst &amp; Young LLP required by applicable requirements of the Public Company Accounting Oversight Board regarding the independent accountant’s communications with our Audit Committee concerning independence, and has discussed with Ernst &amp; Young LLP its independence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our Audit Committee recommended to our board of directors that the audited consolidated financial statements be included in our annual report on Form 10-K for the year ended December 31, 2022 for filing with the U.S. Securities and Exchange Commission.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Submitted by the Audit Committee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Keith Meister, Chair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Emily Leproust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Richard C. Pfenniger, Jr.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names, ages as of April 17, 2023, and certain other information regarding our executive officers and 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100" w:type="dxa"/>
            <w:vAlign w:val="bottom"/>
            <w:shd w:val="clear" w:color="auto" w:fill="CCEEFF"/>
          </w:tcPr>
          <w:p>
            <w:pPr>
              <w:spacing w:after="0"/>
              <w:rPr>
                <w:sz w:val="19"/>
                <w:szCs w:val="19"/>
                <w:color w:val="auto"/>
              </w:rPr>
            </w:pP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Ryan</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r>
      <w:tr>
        <w:trPr>
          <w:trHeight w:val="23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Kevin Feeley</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Kareem Saad</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shd w:val="clear" w:color="auto" w:fill="CCEEFF"/>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Business Officer</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Ms. Stueland and Mr. Ryan, please see the section entitled “</w:t>
      </w:r>
      <w:r>
        <w:rPr>
          <w:rFonts w:ascii="Times New Roman" w:cs="Times New Roman" w:eastAsia="Times New Roman" w:hAnsi="Times New Roman"/>
          <w:sz w:val="18"/>
          <w:szCs w:val="18"/>
          <w:i w:val="1"/>
          <w:iCs w:val="1"/>
          <w:color w:val="auto"/>
        </w:rPr>
        <w:t>Proposal No. 1 - The Class II Director Election</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Feeley </w:t>
      </w:r>
      <w:r>
        <w:rPr>
          <w:rFonts w:ascii="Times New Roman" w:cs="Times New Roman" w:eastAsia="Times New Roman" w:hAnsi="Times New Roman"/>
          <w:sz w:val="18"/>
          <w:szCs w:val="18"/>
          <w:color w:val="auto"/>
        </w:rPr>
        <w:t>has served as our Chief Financial Officer since August 2022. Mr. Feeley previously served as Senior Vice President of Operations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GeneDx from May 2022 to August 2022. Prior to joining us, Mr. Feeley served as Chief Financial Officer of OPKO Health’s diagnostics division from 2016 to 2022, which included BioReference Laboratories, Inc. and Legacy GeneDx, prior to the Acquisition. Mr. Feeley previously served as the U.S. Controller at Reckitt Benckiser, a global consumer packaged goods company focused on health, hygiene, and nutrition brands. He also previously led SEC reporting at Bausch Health Companies, a public specialty pharmaceutical company, and spent twelve years in the audit practice of KPMG LLP working closely with large multinational pharmaceutical companies. Mr. Feeley is a certified public accountant and holds a BBA from James Madison University.</w:t>
      </w:r>
    </w:p>
    <w:p>
      <w:pPr>
        <w:spacing w:after="0" w:line="12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Kareem Saad </w:t>
      </w:r>
      <w:r>
        <w:rPr>
          <w:rFonts w:ascii="Times New Roman" w:cs="Times New Roman" w:eastAsia="Times New Roman" w:hAnsi="Times New Roman"/>
          <w:sz w:val="18"/>
          <w:szCs w:val="18"/>
          <w:color w:val="auto"/>
        </w:rPr>
        <w:t>has served as our Chief Business Officer since July 2021. Mr. Saad previously served as Legacy Sema4’s Chief Business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2021 to July 2021. Mr. Saad also previously served as the Chief Strategy Officer at Legacy Sema4 from October 2017 to January 2020. Prior to rejoining us,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share amounts, exercise prices and other amounts set forth in this section have been adjusted for the impact of the Reverse Stock Split.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Objectives of our Executive Compensation Program</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our Named Executive Officers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and accompanying narrative disclosure set forth information about the compensation earned by our named executive officers for the year ended December 31, 2022, who were:</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Katherine Stueland, our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Schadt, Ph.D., our former Chief Executive Officer, President, and Chief Research &amp; Development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Ryan, our Executive Chairman of the Board,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Feeley, our Chief Financial Officer.</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Summary Compensation Table</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services rendered in all capacities that was awarded to and earned by our named executive officers during the year ended December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20" w:type="dxa"/>
            <w:vAlign w:val="bottom"/>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0" w:type="dxa"/>
            <w:vAlign w:val="bottom"/>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tcPr>
          <w:p>
            <w:pPr>
              <w:jc w:val="center"/>
              <w:ind w:left="286"/>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4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4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9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940" w:type="dxa"/>
            <w:vAlign w:val="bottom"/>
          </w:tcPr>
          <w:p>
            <w:pPr>
              <w:jc w:val="right"/>
              <w:ind w:right="246"/>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7"/>
                <w:szCs w:val="17"/>
                <w:color w:val="auto"/>
              </w:rPr>
            </w:pPr>
          </w:p>
        </w:tc>
        <w:tc>
          <w:tcPr>
            <w:tcW w:w="1120" w:type="dxa"/>
            <w:vAlign w:val="bottom"/>
          </w:tcPr>
          <w:p>
            <w:pPr>
              <w:jc w:val="center"/>
              <w:ind w:left="286"/>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7"/>
                <w:szCs w:val="17"/>
                <w:color w:val="auto"/>
              </w:rPr>
            </w:pPr>
          </w:p>
        </w:tc>
        <w:tc>
          <w:tcPr>
            <w:tcW w:w="144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 ($)</w:t>
            </w:r>
            <w:r>
              <w:rPr>
                <w:rFonts w:ascii="Times New Roman" w:cs="Times New Roman" w:eastAsia="Times New Roman" w:hAnsi="Times New Roman"/>
                <w:sz w:val="18"/>
                <w:szCs w:val="18"/>
                <w:b w:val="1"/>
                <w:bCs w:val="1"/>
                <w:color w:val="auto"/>
                <w:w w:val="99"/>
                <w:vertAlign w:val="superscript"/>
              </w:rPr>
              <w:t>(3)</w:t>
            </w:r>
          </w:p>
        </w:tc>
        <w:tc>
          <w:tcPr>
            <w:tcW w:w="12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284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 xml:space="preserve">Katherine Stueland </w:t>
            </w:r>
            <w:r>
              <w:rPr>
                <w:rFonts w:ascii="Times New Roman" w:cs="Times New Roman" w:eastAsia="Times New Roman" w:hAnsi="Times New Roman"/>
                <w:sz w:val="16"/>
                <w:szCs w:val="16"/>
                <w:i w:val="1"/>
                <w:iCs w:val="1"/>
                <w:color w:val="auto"/>
              </w:rPr>
              <w:t>Chief Executive</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453,557</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573,800</w:t>
            </w: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5,445,707</w:t>
            </w: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5,397,727</w:t>
            </w:r>
          </w:p>
        </w:tc>
        <w:tc>
          <w:tcPr>
            <w:tcW w:w="12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11,563</w:t>
            </w:r>
          </w:p>
        </w:tc>
        <w:tc>
          <w:tcPr>
            <w:tcW w:w="12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11,882,354</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i w:val="1"/>
                <w:iCs w:val="1"/>
                <w:color w:val="auto"/>
              </w:rPr>
              <w:t xml:space="preserve">Officer </w:t>
            </w:r>
            <w:r>
              <w:rPr>
                <w:rFonts w:ascii="Times New Roman" w:cs="Times New Roman" w:eastAsia="Times New Roman" w:hAnsi="Times New Roman"/>
                <w:sz w:val="21"/>
                <w:szCs w:val="21"/>
                <w:color w:val="auto"/>
                <w:vertAlign w:val="superscript"/>
              </w:rPr>
              <w:t>(4)</w:t>
            </w: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 xml:space="preserve">Eric Schadt, Ph.D. </w:t>
            </w:r>
            <w:r>
              <w:rPr>
                <w:rFonts w:ascii="Times New Roman" w:cs="Times New Roman" w:eastAsia="Times New Roman" w:hAnsi="Times New Roman"/>
                <w:sz w:val="16"/>
                <w:szCs w:val="16"/>
                <w:i w:val="1"/>
                <w:iCs w:val="1"/>
                <w:color w:val="auto"/>
              </w:rPr>
              <w:t>Former Chief Executive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Officer, President, Chief Research &amp;</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430,962</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1,116,215</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1,302,504</w:t>
            </w:r>
          </w:p>
        </w:tc>
        <w:tc>
          <w:tcPr>
            <w:tcW w:w="120" w:type="dxa"/>
            <w:vAlign w:val="bottom"/>
          </w:tcPr>
          <w:p>
            <w:pPr>
              <w:spacing w:after="0"/>
              <w:rPr>
                <w:sz w:val="14"/>
                <w:szCs w:val="14"/>
                <w:color w:val="auto"/>
              </w:rPr>
            </w:pPr>
          </w:p>
        </w:tc>
        <w:tc>
          <w:tcPr>
            <w:tcW w:w="13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311,931</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3,161,612</w:t>
            </w:r>
          </w:p>
        </w:tc>
        <w:tc>
          <w:tcPr>
            <w:tcW w:w="0" w:type="dxa"/>
            <w:vAlign w:val="bottom"/>
          </w:tcPr>
          <w:p>
            <w:pPr>
              <w:spacing w:after="0"/>
              <w:rPr>
                <w:sz w:val="1"/>
                <w:szCs w:val="1"/>
                <w:color w:val="auto"/>
              </w:rPr>
            </w:pPr>
          </w:p>
        </w:tc>
      </w:tr>
      <w:tr>
        <w:trPr>
          <w:trHeight w:val="216"/>
        </w:trPr>
        <w:tc>
          <w:tcPr>
            <w:tcW w:w="29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i w:val="1"/>
                <w:iCs w:val="1"/>
                <w:color w:val="auto"/>
              </w:rPr>
              <w:t xml:space="preserve">Development Officer and Director </w:t>
            </w:r>
            <w:r>
              <w:rPr>
                <w:rFonts w:ascii="Times New Roman" w:cs="Times New Roman" w:eastAsia="Times New Roman" w:hAnsi="Times New Roman"/>
                <w:sz w:val="21"/>
                <w:szCs w:val="21"/>
                <w:color w:val="auto"/>
                <w:vertAlign w:val="superscript"/>
              </w:rPr>
              <w:t>(5)</w:t>
            </w: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10,699,239</w:t>
            </w:r>
          </w:p>
        </w:tc>
        <w:tc>
          <w:tcPr>
            <w:tcW w:w="36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3,867,064</w:t>
            </w:r>
          </w:p>
        </w:tc>
        <w:tc>
          <w:tcPr>
            <w:tcW w:w="1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41,533</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15,770,836</w:t>
            </w:r>
          </w:p>
        </w:tc>
        <w:tc>
          <w:tcPr>
            <w:tcW w:w="0" w:type="dxa"/>
            <w:vAlign w:val="bottom"/>
          </w:tcPr>
          <w:p>
            <w:pPr>
              <w:spacing w:after="0"/>
              <w:rPr>
                <w:sz w:val="1"/>
                <w:szCs w:val="1"/>
                <w:color w:val="auto"/>
              </w:rPr>
            </w:pPr>
          </w:p>
        </w:tc>
      </w:tr>
      <w:tr>
        <w:trPr>
          <w:trHeight w:val="21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Jason Ryan </w:t>
            </w:r>
            <w:r>
              <w:rPr>
                <w:rFonts w:ascii="Times New Roman" w:cs="Times New Roman" w:eastAsia="Times New Roman" w:hAnsi="Times New Roman"/>
                <w:sz w:val="16"/>
                <w:szCs w:val="16"/>
                <w:i w:val="1"/>
                <w:iCs w:val="1"/>
                <w:color w:val="auto"/>
              </w:rPr>
              <w:t>Executive Chair of the Board</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510,923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1,658,374</w:t>
            </w:r>
          </w:p>
        </w:tc>
        <w:tc>
          <w:tcPr>
            <w:tcW w:w="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876,649</w:t>
            </w:r>
          </w:p>
        </w:tc>
        <w:tc>
          <w:tcPr>
            <w:tcW w:w="12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39,515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3,193,461</w:t>
            </w:r>
          </w:p>
        </w:tc>
        <w:tc>
          <w:tcPr>
            <w:tcW w:w="0" w:type="dxa"/>
            <w:vAlign w:val="bottom"/>
          </w:tcPr>
          <w:p>
            <w:pPr>
              <w:spacing w:after="0"/>
              <w:rPr>
                <w:sz w:val="1"/>
                <w:szCs w:val="1"/>
                <w:color w:val="auto"/>
              </w:rPr>
            </w:pPr>
          </w:p>
        </w:tc>
      </w:tr>
      <w:tr>
        <w:trPr>
          <w:trHeight w:val="287"/>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Kevin Feeley </w:t>
            </w:r>
            <w:r>
              <w:rPr>
                <w:rFonts w:ascii="Times New Roman" w:cs="Times New Roman" w:eastAsia="Times New Roman" w:hAnsi="Times New Roman"/>
                <w:sz w:val="16"/>
                <w:szCs w:val="16"/>
                <w:i w:val="1"/>
                <w:iCs w:val="1"/>
                <w:color w:val="auto"/>
              </w:rPr>
              <w:t>Chief Financial Officer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1"/>
                <w:szCs w:val="21"/>
                <w:color w:val="auto"/>
                <w:vertAlign w:val="superscript"/>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294,231</w:t>
            </w: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191,300</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1,605,679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1,542,770</w:t>
            </w:r>
          </w:p>
        </w:tc>
        <w:tc>
          <w:tcPr>
            <w:tcW w:w="120" w:type="dxa"/>
            <w:vAlign w:val="bottom"/>
          </w:tcPr>
          <w:p>
            <w:pPr>
              <w:spacing w:after="0"/>
              <w:rPr>
                <w:sz w:val="24"/>
                <w:szCs w:val="24"/>
                <w:color w:val="auto"/>
              </w:rPr>
            </w:pPr>
          </w:p>
        </w:tc>
        <w:tc>
          <w:tcPr>
            <w:tcW w:w="1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23,700</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11398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30" w:lineRule="exact"/>
        <w:rPr>
          <w:sz w:val="20"/>
          <w:szCs w:val="20"/>
          <w:color w:val="auto"/>
        </w:rPr>
      </w:pPr>
    </w:p>
    <w:p>
      <w:pPr>
        <w:ind w:left="340" w:right="20" w:hanging="332"/>
        <w:spacing w:after="0" w:line="261"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the annual performance-based cash bonus amounts awarded to our named executive officers for their service in 2022. For additional information regarding the bonus compensation, see “—2022 Bonuses.”</w:t>
      </w:r>
    </w:p>
    <w:p>
      <w:pPr>
        <w:jc w:val="both"/>
        <w:ind w:left="340" w:hanging="332"/>
        <w:spacing w:after="0" w:line="272" w:lineRule="auto"/>
        <w:tabs>
          <w:tab w:leader="none" w:pos="33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grant date fair value of the restricted stock units and stock options awarded to the named executive officer during 2022 in accordance with FASB Accounting Standards Codification Topic 718. The assumptions used in determining the grant date fair value of the restricted stock units and stock options are set forth in Note 11 of the notes to our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5"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14"/>
          <w:szCs w:val="14"/>
          <w:color w:val="auto"/>
        </w:rPr>
        <w:t>included in our Annual Report on Form 10-K for the year ended December 31, 2022. In determining the total value of the equity awards, we have considered all grants issued during the year as earned by the respective executive officers.</w:t>
      </w:r>
    </w:p>
    <w:p>
      <w:pPr>
        <w:ind w:left="340" w:hanging="332"/>
        <w:spacing w:after="0" w:line="25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our matching contributions made on behalf of our named executive officers under our 401(k) plan, other personal benefits including reimbursement for travel costs in the amount of $51,419, and severance payments (see below).</w:t>
      </w: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Stueland joined the Company in April 2022.</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Schadt left the Company in August 2022. Amounts reported under the “All Other Compensation” column includes a severance payment pursuant to our separation agreement with Dr. Schadt.</w:t>
      </w:r>
    </w:p>
    <w:p>
      <w:pPr>
        <w:spacing w:after="0" w:line="17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Feeley joined the Company in April 2022 and became Chief Financial Officer in August 2022.</w:t>
      </w:r>
    </w:p>
    <w:p>
      <w:pPr>
        <w:spacing w:after="0" w:line="4" w:lineRule="exact"/>
        <w:rPr>
          <w:rFonts w:ascii="Times New Roman" w:cs="Times New Roman" w:eastAsia="Times New Roman" w:hAnsi="Times New Roman"/>
          <w:sz w:val="14"/>
          <w:szCs w:val="14"/>
          <w:color w:val="auto"/>
        </w:rPr>
      </w:pPr>
    </w:p>
    <w:p>
      <w:pPr>
        <w:ind w:left="340" w:hanging="332"/>
        <w:spacing w:after="0" w:line="278"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2022, 620,177 performance share units ("</w:t>
      </w:r>
      <w:r>
        <w:rPr>
          <w:rFonts w:ascii="Times New Roman" w:cs="Times New Roman" w:eastAsia="Times New Roman" w:hAnsi="Times New Roman"/>
          <w:sz w:val="14"/>
          <w:szCs w:val="14"/>
          <w:i w:val="1"/>
          <w:iCs w:val="1"/>
          <w:color w:val="auto"/>
        </w:rPr>
        <w:t>PSU</w:t>
      </w:r>
      <w:r>
        <w:rPr>
          <w:rFonts w:ascii="Times New Roman" w:cs="Times New Roman" w:eastAsia="Times New Roman" w:hAnsi="Times New Roman"/>
          <w:sz w:val="14"/>
          <w:szCs w:val="14"/>
          <w:color w:val="auto"/>
        </w:rPr>
        <w:t>"s) were granted and are included herein. Additionally, on December 31, 2022, 126,980 PSUs granted in January 2022 which were subject to both service and performance-based vesting conditions were all forfeited due to the established performance goals not being achieved.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Bonuses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their employment agreements, Ms. Stueland and Mr. Feeley are entitled to receive annual bonuses based on the achievement of certain corporate and individual performance objectives. For the 2022 bonuses, the target annual bonuses for Ms. Stueland and Mr. Feeley were equal to 100% and 50%, respectively, of their respective annual base salaries. We also awarded a discretionary bonus to Mr. Ryan in 2023 in recognition of Mr. Ryan’s contributions to the Company in 2022 and his new role as Executive Chairman.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Equity Awards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company offers stock options as well as service-based restricted stock units ("</w:t>
      </w:r>
      <w:r>
        <w:rPr>
          <w:rFonts w:ascii="Times New Roman" w:cs="Times New Roman" w:eastAsia="Times New Roman" w:hAnsi="Times New Roman"/>
          <w:sz w:val="18"/>
          <w:szCs w:val="18"/>
          <w:i w:val="1"/>
          <w:iCs w:val="1"/>
          <w:color w:val="auto"/>
        </w:rPr>
        <w:t>RSU</w:t>
      </w:r>
      <w:r>
        <w:rPr>
          <w:rFonts w:ascii="Times New Roman" w:cs="Times New Roman" w:eastAsia="Times New Roman" w:hAnsi="Times New Roman"/>
          <w:sz w:val="18"/>
          <w:szCs w:val="18"/>
          <w:color w:val="auto"/>
        </w:rPr>
        <w:t>"s)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2022, annual awards of RSU were made in the form of time-based awards, and time-based and performance-based awards in the case of the Executive Chairman.</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Equity Awards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January 2022, we awarded 126,980 performance-based RSUs to Mr. Ryan that were eligible to vest on December 31, 2022 based on the achievement of certain corporate and financial objectives. The Company awarded these performance-based awards to better align the compensation of Mr. Ryan with his responsibilities in connection with the short-term performance of the Company. These performance-based RSUs were all forfeited due to the established performance goals not being achieved. In December 2022, we awarded Mr. Ryan 620,177 performance-based RSUs that are eligible to vest on December 31, 2023 based on the achievement of the financial performance goals applicable to our 2023 annual incentive program.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2022 Fiscal Year-End</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120" w:type="dxa"/>
            <w:vAlign w:val="bottom"/>
          </w:tcPr>
          <w:p>
            <w:pPr>
              <w:spacing w:after="0"/>
              <w:rPr>
                <w:sz w:val="11"/>
                <w:szCs w:val="11"/>
                <w:color w:val="auto"/>
              </w:rPr>
            </w:pPr>
          </w:p>
        </w:tc>
        <w:tc>
          <w:tcPr>
            <w:tcW w:w="12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00" w:type="dxa"/>
            <w:vAlign w:val="bottom"/>
          </w:tcPr>
          <w:p>
            <w:pPr>
              <w:spacing w:after="0"/>
              <w:rPr>
                <w:sz w:val="11"/>
                <w:szCs w:val="11"/>
                <w:color w:val="auto"/>
              </w:rPr>
            </w:pPr>
          </w:p>
        </w:tc>
        <w:tc>
          <w:tcPr>
            <w:tcW w:w="960" w:type="dxa"/>
            <w:vAlign w:val="bottom"/>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6"/>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520" w:type="dxa"/>
            <w:vAlign w:val="bottom"/>
            <w:gridSpan w:val="2"/>
            <w:vMerge w:val="restart"/>
          </w:tcPr>
          <w:p>
            <w:pPr>
              <w:jc w:val="right"/>
              <w:ind w:right="36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80" w:type="dxa"/>
            <w:vAlign w:val="bottom"/>
            <w:gridSpan w:val="3"/>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Have Not Vested</w:t>
            </w:r>
          </w:p>
        </w:tc>
        <w:tc>
          <w:tcPr>
            <w:tcW w:w="10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20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0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0" w:type="dxa"/>
            <w:vAlign w:val="bottom"/>
            <w:gridSpan w:val="2"/>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40"/>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w:t>
            </w:r>
          </w:p>
        </w:tc>
        <w:tc>
          <w:tcPr>
            <w:tcW w:w="0" w:type="dxa"/>
            <w:vAlign w:val="bottom"/>
          </w:tcPr>
          <w:p>
            <w:pPr>
              <w:spacing w:after="0"/>
              <w:rPr>
                <w:sz w:val="1"/>
                <w:szCs w:val="1"/>
                <w:color w:val="auto"/>
              </w:rPr>
            </w:pPr>
          </w:p>
        </w:tc>
      </w:tr>
      <w:tr>
        <w:trPr>
          <w:trHeight w:val="210"/>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Katherine Stueland</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ind w:right="127"/>
              <w:spacing w:after="0" w:line="210" w:lineRule="exact"/>
              <w:rPr>
                <w:sz w:val="20"/>
                <w:szCs w:val="20"/>
                <w:color w:val="auto"/>
              </w:rPr>
            </w:pPr>
            <w:r>
              <w:rPr>
                <w:rFonts w:ascii="Times New Roman" w:cs="Times New Roman" w:eastAsia="Times New Roman" w:hAnsi="Times New Roman"/>
                <w:sz w:val="16"/>
                <w:szCs w:val="16"/>
                <w:color w:val="auto"/>
              </w:rPr>
              <w:t xml:space="preserve">04/29/2022 </w:t>
            </w:r>
            <w:r>
              <w:rPr>
                <w:rFonts w:ascii="Times New Roman" w:cs="Times New Roman" w:eastAsia="Times New Roman" w:hAnsi="Times New Roman"/>
                <w:sz w:val="21"/>
                <w:szCs w:val="21"/>
                <w:color w:val="auto"/>
                <w:vertAlign w:val="superscript"/>
              </w:rPr>
              <w:t>(2)</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107,610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05/01/2032</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7"/>
              <w:spacing w:after="0" w:line="216" w:lineRule="exact"/>
              <w:rPr>
                <w:sz w:val="20"/>
                <w:szCs w:val="20"/>
                <w:color w:val="auto"/>
              </w:rPr>
            </w:pPr>
            <w:r>
              <w:rPr>
                <w:rFonts w:ascii="Times New Roman" w:cs="Times New Roman" w:eastAsia="Times New Roman" w:hAnsi="Times New Roman"/>
                <w:sz w:val="16"/>
                <w:szCs w:val="16"/>
                <w:color w:val="auto"/>
              </w:rPr>
              <w:t xml:space="preserve">04/29/2022 </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539,591</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7"/>
              <w:spacing w:after="0" w:line="216" w:lineRule="exact"/>
              <w:rPr>
                <w:sz w:val="20"/>
                <w:szCs w:val="20"/>
                <w:color w:val="auto"/>
              </w:rPr>
            </w:pPr>
            <w:r>
              <w:rPr>
                <w:rFonts w:ascii="Times New Roman" w:cs="Times New Roman" w:eastAsia="Times New Roman" w:hAnsi="Times New Roman"/>
                <w:sz w:val="16"/>
                <w:szCs w:val="16"/>
                <w:color w:val="auto"/>
              </w:rPr>
              <w:t xml:space="preserve">12/09/2022 </w:t>
            </w:r>
            <w:r>
              <w:rPr>
                <w:rFonts w:ascii="Times New Roman" w:cs="Times New Roman" w:eastAsia="Times New Roman" w:hAnsi="Times New Roman"/>
                <w:sz w:val="21"/>
                <w:szCs w:val="21"/>
                <w:color w:val="auto"/>
                <w:vertAlign w:val="superscript"/>
              </w:rPr>
              <w:t>(3)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911,384</w:t>
            </w:r>
          </w:p>
        </w:tc>
        <w:tc>
          <w:tcPr>
            <w:tcW w:w="0" w:type="dxa"/>
            <w:vAlign w:val="bottom"/>
          </w:tcPr>
          <w:p>
            <w:pPr>
              <w:spacing w:after="0"/>
              <w:rPr>
                <w:sz w:val="1"/>
                <w:szCs w:val="1"/>
                <w:color w:val="auto"/>
              </w:rPr>
            </w:pPr>
          </w:p>
        </w:tc>
      </w:tr>
      <w:tr>
        <w:trPr>
          <w:trHeight w:val="216"/>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Eric Schadt</w:t>
            </w:r>
          </w:p>
        </w:tc>
        <w:tc>
          <w:tcPr>
            <w:tcW w:w="120" w:type="dxa"/>
            <w:vAlign w:val="bottom"/>
          </w:tcPr>
          <w:p>
            <w:pPr>
              <w:spacing w:after="0"/>
              <w:rPr>
                <w:sz w:val="18"/>
                <w:szCs w:val="18"/>
                <w:color w:val="auto"/>
              </w:rPr>
            </w:pPr>
          </w:p>
        </w:tc>
        <w:tc>
          <w:tcPr>
            <w:tcW w:w="1520" w:type="dxa"/>
            <w:vAlign w:val="bottom"/>
            <w:gridSpan w:val="2"/>
          </w:tcPr>
          <w:p>
            <w:pPr>
              <w:jc w:val="right"/>
              <w:ind w:right="127"/>
              <w:spacing w:after="0" w:line="216" w:lineRule="exact"/>
              <w:rPr>
                <w:sz w:val="20"/>
                <w:szCs w:val="20"/>
                <w:color w:val="auto"/>
              </w:rPr>
            </w:pPr>
            <w:r>
              <w:rPr>
                <w:rFonts w:ascii="Times New Roman" w:cs="Times New Roman" w:eastAsia="Times New Roman" w:hAnsi="Times New Roman"/>
                <w:sz w:val="16"/>
                <w:szCs w:val="16"/>
                <w:color w:val="auto"/>
              </w:rPr>
              <w:t xml:space="preserve">06/01/2017 </w:t>
            </w:r>
            <w:r>
              <w:rPr>
                <w:rFonts w:ascii="Times New Roman" w:cs="Times New Roman" w:eastAsia="Times New Roman" w:hAnsi="Times New Roman"/>
                <w:sz w:val="21"/>
                <w:szCs w:val="21"/>
                <w:color w:val="auto"/>
                <w:vertAlign w:val="superscript"/>
              </w:rPr>
              <w:t>(4)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68,626</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05/31/2027</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40" w:type="dxa"/>
            <w:vAlign w:val="bottom"/>
            <w:gridSpan w:val="3"/>
          </w:tcPr>
          <w:p>
            <w:pPr>
              <w:jc w:val="right"/>
              <w:ind w:right="127"/>
              <w:spacing w:after="0" w:line="216" w:lineRule="exact"/>
              <w:rPr>
                <w:sz w:val="20"/>
                <w:szCs w:val="20"/>
                <w:color w:val="auto"/>
              </w:rPr>
            </w:pPr>
            <w:r>
              <w:rPr>
                <w:rFonts w:ascii="Times New Roman" w:cs="Times New Roman" w:eastAsia="Times New Roman" w:hAnsi="Times New Roman"/>
                <w:sz w:val="16"/>
                <w:szCs w:val="16"/>
                <w:color w:val="auto"/>
              </w:rPr>
              <w:t xml:space="preserve">10/17/2019 </w:t>
            </w:r>
            <w:r>
              <w:rPr>
                <w:rFonts w:ascii="Times New Roman" w:cs="Times New Roman" w:eastAsia="Times New Roman" w:hAnsi="Times New Roman"/>
                <w:sz w:val="21"/>
                <w:szCs w:val="21"/>
                <w:color w:val="auto"/>
                <w:vertAlign w:val="superscript"/>
              </w:rPr>
              <w:t>(5)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10/16/2029</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40" w:type="dxa"/>
            <w:vAlign w:val="bottom"/>
            <w:gridSpan w:val="3"/>
          </w:tcPr>
          <w:p>
            <w:pPr>
              <w:jc w:val="right"/>
              <w:ind w:right="127"/>
              <w:spacing w:after="0" w:line="216" w:lineRule="exact"/>
              <w:rPr>
                <w:sz w:val="20"/>
                <w:szCs w:val="20"/>
                <w:color w:val="auto"/>
              </w:rPr>
            </w:pPr>
            <w:r>
              <w:rPr>
                <w:rFonts w:ascii="Times New Roman" w:cs="Times New Roman" w:eastAsia="Times New Roman" w:hAnsi="Times New Roman"/>
                <w:sz w:val="16"/>
                <w:szCs w:val="16"/>
                <w:color w:val="auto"/>
              </w:rPr>
              <w:t xml:space="preserve">10/17/2019 </w:t>
            </w:r>
            <w:r>
              <w:rPr>
                <w:rFonts w:ascii="Times New Roman" w:cs="Times New Roman" w:eastAsia="Times New Roman" w:hAnsi="Times New Roman"/>
                <w:sz w:val="21"/>
                <w:szCs w:val="21"/>
                <w:color w:val="auto"/>
                <w:vertAlign w:val="superscript"/>
              </w:rPr>
              <w:t>(5)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22,741</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10/16/2029</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40" w:type="dxa"/>
            <w:vAlign w:val="bottom"/>
            <w:gridSpan w:val="3"/>
          </w:tcPr>
          <w:p>
            <w:pPr>
              <w:jc w:val="right"/>
              <w:ind w:right="127"/>
              <w:spacing w:after="0" w:line="216" w:lineRule="exact"/>
              <w:rPr>
                <w:sz w:val="20"/>
                <w:szCs w:val="20"/>
                <w:color w:val="auto"/>
              </w:rPr>
            </w:pPr>
            <w:r>
              <w:rPr>
                <w:rFonts w:ascii="Times New Roman" w:cs="Times New Roman" w:eastAsia="Times New Roman" w:hAnsi="Times New Roman"/>
                <w:sz w:val="16"/>
                <w:szCs w:val="16"/>
                <w:color w:val="auto"/>
              </w:rPr>
              <w:t xml:space="preserve">02/18/2020 </w:t>
            </w:r>
            <w:r>
              <w:rPr>
                <w:rFonts w:ascii="Times New Roman" w:cs="Times New Roman" w:eastAsia="Times New Roman" w:hAnsi="Times New Roman"/>
                <w:sz w:val="21"/>
                <w:szCs w:val="21"/>
                <w:color w:val="auto"/>
                <w:vertAlign w:val="superscript"/>
              </w:rPr>
              <w:t>(5)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52,533</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12/31/2023</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40" w:type="dxa"/>
            <w:vAlign w:val="bottom"/>
            <w:gridSpan w:val="3"/>
          </w:tcPr>
          <w:p>
            <w:pPr>
              <w:jc w:val="right"/>
              <w:ind w:right="127"/>
              <w:spacing w:after="0" w:line="217" w:lineRule="exact"/>
              <w:rPr>
                <w:sz w:val="20"/>
                <w:szCs w:val="20"/>
                <w:color w:val="auto"/>
              </w:rPr>
            </w:pPr>
            <w:r>
              <w:rPr>
                <w:rFonts w:ascii="Times New Roman" w:cs="Times New Roman" w:eastAsia="Times New Roman" w:hAnsi="Times New Roman"/>
                <w:sz w:val="16"/>
                <w:szCs w:val="16"/>
                <w:color w:val="auto"/>
              </w:rPr>
              <w:t xml:space="preserve">04/04/2022 </w:t>
            </w:r>
            <w:r>
              <w:rPr>
                <w:rFonts w:ascii="Times New Roman" w:cs="Times New Roman" w:eastAsia="Times New Roman" w:hAnsi="Times New Roman"/>
                <w:sz w:val="21"/>
                <w:szCs w:val="21"/>
                <w:color w:val="auto"/>
                <w:vertAlign w:val="superscript"/>
              </w:rPr>
              <w:t>(5)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12/31/2023</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Jason Ryan</w:t>
            </w:r>
          </w:p>
        </w:tc>
        <w:tc>
          <w:tcPr>
            <w:tcW w:w="1640" w:type="dxa"/>
            <w:vAlign w:val="bottom"/>
            <w:gridSpan w:val="3"/>
            <w:shd w:val="clear" w:color="auto" w:fill="CCEEFF"/>
          </w:tcPr>
          <w:p>
            <w:pPr>
              <w:jc w:val="right"/>
              <w:ind w:right="127"/>
              <w:spacing w:after="0" w:line="216" w:lineRule="exact"/>
              <w:rPr>
                <w:sz w:val="20"/>
                <w:szCs w:val="20"/>
                <w:color w:val="auto"/>
              </w:rPr>
            </w:pPr>
            <w:r>
              <w:rPr>
                <w:rFonts w:ascii="Times New Roman" w:cs="Times New Roman" w:eastAsia="Times New Roman" w:hAnsi="Times New Roman"/>
                <w:sz w:val="16"/>
                <w:szCs w:val="16"/>
                <w:color w:val="auto"/>
              </w:rPr>
              <w:t xml:space="preserve">10/15/2021 </w:t>
            </w:r>
            <w:r>
              <w:rPr>
                <w:rFonts w:ascii="Times New Roman" w:cs="Times New Roman" w:eastAsia="Times New Roman" w:hAnsi="Times New Roman"/>
                <w:sz w:val="21"/>
                <w:szCs w:val="21"/>
                <w:color w:val="auto"/>
                <w:vertAlign w:val="superscript"/>
              </w:rPr>
              <w:t>(6)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10/14/2031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7"/>
              <w:spacing w:after="0" w:line="216" w:lineRule="exact"/>
              <w:rPr>
                <w:sz w:val="20"/>
                <w:szCs w:val="20"/>
                <w:color w:val="auto"/>
              </w:rPr>
            </w:pPr>
            <w:r>
              <w:rPr>
                <w:rFonts w:ascii="Times New Roman" w:cs="Times New Roman" w:eastAsia="Times New Roman" w:hAnsi="Times New Roman"/>
                <w:sz w:val="16"/>
                <w:szCs w:val="16"/>
                <w:color w:val="auto"/>
              </w:rPr>
              <w:t xml:space="preserve">10/15/2021 </w:t>
            </w:r>
            <w:r>
              <w:rPr>
                <w:rFonts w:ascii="Times New Roman" w:cs="Times New Roman" w:eastAsia="Times New Roman" w:hAnsi="Times New Roman"/>
                <w:sz w:val="21"/>
                <w:szCs w:val="21"/>
                <w:color w:val="auto"/>
                <w:vertAlign w:val="superscript"/>
              </w:rPr>
              <w:t>(7)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10/14/2031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01/18/2022</w:t>
            </w:r>
          </w:p>
        </w:tc>
        <w:tc>
          <w:tcPr>
            <w:tcW w:w="3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113.90</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01/17/2032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10/15/2021</w:t>
            </w:r>
          </w:p>
        </w:tc>
        <w:tc>
          <w:tcPr>
            <w:tcW w:w="3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12/09/2022</w:t>
            </w:r>
          </w:p>
        </w:tc>
        <w:tc>
          <w:tcPr>
            <w:tcW w:w="3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189,607</w:t>
            </w:r>
          </w:p>
        </w:tc>
        <w:tc>
          <w:tcPr>
            <w:tcW w:w="0" w:type="dxa"/>
            <w:vAlign w:val="bottom"/>
          </w:tcPr>
          <w:p>
            <w:pPr>
              <w:spacing w:after="0"/>
              <w:rPr>
                <w:sz w:val="1"/>
                <w:szCs w:val="1"/>
                <w:color w:val="auto"/>
              </w:rPr>
            </w:pPr>
          </w:p>
        </w:tc>
      </w:tr>
      <w:tr>
        <w:trPr>
          <w:trHeight w:val="222"/>
        </w:trPr>
        <w:tc>
          <w:tcPr>
            <w:tcW w:w="2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12/09/2022</w:t>
            </w:r>
          </w:p>
        </w:tc>
        <w:tc>
          <w:tcPr>
            <w:tcW w:w="3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163,603</w:t>
            </w:r>
          </w:p>
        </w:tc>
        <w:tc>
          <w:tcPr>
            <w:tcW w:w="0" w:type="dxa"/>
            <w:vAlign w:val="bottom"/>
          </w:tcPr>
          <w:p>
            <w:pPr>
              <w:spacing w:after="0"/>
              <w:rPr>
                <w:sz w:val="1"/>
                <w:szCs w:val="1"/>
                <w:color w:val="auto"/>
              </w:rPr>
            </w:pPr>
          </w:p>
        </w:tc>
      </w:tr>
      <w:tr>
        <w:trPr>
          <w:trHeight w:val="210"/>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Kevin Feeley</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04/29/2022</w:t>
            </w:r>
          </w:p>
        </w:tc>
        <w:tc>
          <w:tcPr>
            <w:tcW w:w="3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20,924</w:t>
            </w:r>
          </w:p>
        </w:tc>
        <w:tc>
          <w:tcPr>
            <w:tcW w:w="1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05/01/2032</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2100" w:type="dxa"/>
            <w:vAlign w:val="bottom"/>
          </w:tcPr>
          <w:p>
            <w:pPr>
              <w:spacing w:after="0"/>
              <w:rPr>
                <w:sz w:val="19"/>
                <w:szCs w:val="19"/>
                <w:color w:val="auto"/>
              </w:rPr>
            </w:pPr>
          </w:p>
        </w:tc>
        <w:tc>
          <w:tcPr>
            <w:tcW w:w="1640" w:type="dxa"/>
            <w:vAlign w:val="bottom"/>
            <w:gridSpan w:val="3"/>
          </w:tcPr>
          <w:p>
            <w:pPr>
              <w:jc w:val="right"/>
              <w:ind w:right="127"/>
              <w:spacing w:after="0" w:line="221" w:lineRule="exact"/>
              <w:rPr>
                <w:sz w:val="20"/>
                <w:szCs w:val="20"/>
                <w:color w:val="auto"/>
              </w:rPr>
            </w:pPr>
            <w:r>
              <w:rPr>
                <w:rFonts w:ascii="Times New Roman" w:cs="Times New Roman" w:eastAsia="Times New Roman" w:hAnsi="Times New Roman"/>
                <w:sz w:val="16"/>
                <w:szCs w:val="16"/>
                <w:color w:val="auto"/>
              </w:rPr>
              <w:t xml:space="preserve">09/01/2022 </w:t>
            </w:r>
            <w:r>
              <w:rPr>
                <w:rFonts w:ascii="Times New Roman" w:cs="Times New Roman" w:eastAsia="Times New Roman" w:hAnsi="Times New Roman"/>
                <w:sz w:val="21"/>
                <w:szCs w:val="21"/>
                <w:color w:val="auto"/>
                <w:vertAlign w:val="superscript"/>
              </w:rPr>
              <w:t>(3)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18,682</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08/31/2032</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40" w:type="dxa"/>
            <w:vAlign w:val="bottom"/>
            <w:gridSpan w:val="3"/>
          </w:tcPr>
          <w:p>
            <w:pPr>
              <w:jc w:val="right"/>
              <w:ind w:right="127"/>
              <w:spacing w:after="0" w:line="216" w:lineRule="exact"/>
              <w:rPr>
                <w:sz w:val="20"/>
                <w:szCs w:val="20"/>
                <w:color w:val="auto"/>
              </w:rPr>
            </w:pPr>
            <w:r>
              <w:rPr>
                <w:rFonts w:ascii="Times New Roman" w:cs="Times New Roman" w:eastAsia="Times New Roman" w:hAnsi="Times New Roman"/>
                <w:sz w:val="16"/>
                <w:szCs w:val="16"/>
                <w:color w:val="auto"/>
              </w:rPr>
              <w:t xml:space="preserve">04/29/2022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12,052</w:t>
            </w:r>
          </w:p>
        </w:tc>
        <w:tc>
          <w:tcPr>
            <w:tcW w:w="1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104,920</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1640" w:type="dxa"/>
            <w:vAlign w:val="bottom"/>
            <w:gridSpan w:val="3"/>
          </w:tcPr>
          <w:p>
            <w:pPr>
              <w:jc w:val="right"/>
              <w:ind w:right="127"/>
              <w:spacing w:after="0" w:line="216" w:lineRule="exact"/>
              <w:rPr>
                <w:sz w:val="20"/>
                <w:szCs w:val="20"/>
                <w:color w:val="auto"/>
              </w:rPr>
            </w:pPr>
            <w:r>
              <w:rPr>
                <w:rFonts w:ascii="Times New Roman" w:cs="Times New Roman" w:eastAsia="Times New Roman" w:hAnsi="Times New Roman"/>
                <w:sz w:val="16"/>
                <w:szCs w:val="16"/>
                <w:color w:val="auto"/>
              </w:rPr>
              <w:t xml:space="preserve">09/01/2022 </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10,761</w:t>
            </w:r>
          </w:p>
        </w:tc>
        <w:tc>
          <w:tcPr>
            <w:tcW w:w="1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93,679</w:t>
            </w:r>
          </w:p>
        </w:tc>
        <w:tc>
          <w:tcPr>
            <w:tcW w:w="0" w:type="dxa"/>
            <w:vAlign w:val="bottom"/>
          </w:tcPr>
          <w:p>
            <w:pPr>
              <w:spacing w:after="0"/>
              <w:rPr>
                <w:sz w:val="1"/>
                <w:szCs w:val="1"/>
                <w:color w:val="auto"/>
              </w:rPr>
            </w:pPr>
          </w:p>
        </w:tc>
      </w:tr>
      <w:tr>
        <w:trPr>
          <w:trHeight w:val="281"/>
        </w:trPr>
        <w:tc>
          <w:tcPr>
            <w:tcW w:w="2100" w:type="dxa"/>
            <w:vAlign w:val="bottom"/>
          </w:tcPr>
          <w:p>
            <w:pPr>
              <w:spacing w:after="0"/>
              <w:rPr>
                <w:sz w:val="24"/>
                <w:szCs w:val="24"/>
                <w:color w:val="auto"/>
              </w:rPr>
            </w:pPr>
          </w:p>
        </w:tc>
        <w:tc>
          <w:tcPr>
            <w:tcW w:w="1640" w:type="dxa"/>
            <w:vAlign w:val="bottom"/>
            <w:gridSpan w:val="3"/>
          </w:tcPr>
          <w:p>
            <w:pPr>
              <w:jc w:val="right"/>
              <w:ind w:right="127"/>
              <w:spacing w:after="0"/>
              <w:rPr>
                <w:sz w:val="20"/>
                <w:szCs w:val="20"/>
                <w:color w:val="auto"/>
              </w:rPr>
            </w:pPr>
            <w:r>
              <w:rPr>
                <w:rFonts w:ascii="Times New Roman" w:cs="Times New Roman" w:eastAsia="Times New Roman" w:hAnsi="Times New Roman"/>
                <w:sz w:val="16"/>
                <w:szCs w:val="16"/>
                <w:color w:val="auto"/>
              </w:rPr>
              <w:t xml:space="preserve">12/09/2022 </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39,393</w:t>
            </w:r>
          </w:p>
        </w:tc>
        <w:tc>
          <w:tcPr>
            <w:tcW w:w="1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11398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The closing market price of our Class A Common Stock on December 31, 2022 was $0.2638 per share, or $8.7054 per share as adjusted for the Reverse Stock Split.</w:t>
      </w:r>
    </w:p>
    <w:p>
      <w:pPr>
        <w:spacing w:after="0" w:line="27" w:lineRule="exact"/>
        <w:rPr>
          <w:sz w:val="20"/>
          <w:szCs w:val="20"/>
          <w:color w:val="auto"/>
        </w:rPr>
      </w:pPr>
    </w:p>
    <w:p>
      <w:pPr>
        <w:ind w:left="340" w:hanging="332"/>
        <w:spacing w:after="0" w:line="261"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stock options were granted under our 2021 Equity Incentive Plan. Legacy Sema4’s 2017 Equity Incentive Plan and pursuant to our prior merger agreements, as applicable. The outstanding RSUs were granted under our 2021 Equity Incentive Plan and pursuant to our prior merger agreements, as applicable.</w:t>
      </w:r>
    </w:p>
    <w:p>
      <w:pPr>
        <w:ind w:left="340" w:hanging="332"/>
        <w:spacing w:after="0" w:line="254"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1/4th of the total shares underlying the stock options vest on April 29, 2023, 1/4th of the total shares underlying the stock options vest on April 29, 2024, and 1/16th of the total shares underlying the stock option vest on each quarterly anniversary thereof through April 29, 2026.</w:t>
      </w: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and RSUs vest in quarterly installments over a four-year period.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stock option are fully vested.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vested in quarterly installments over a four-year period. Dr. Schadt left the Company in August 2022.</w:t>
      </w:r>
    </w:p>
    <w:p>
      <w:pPr>
        <w:spacing w:after="0" w:line="14" w:lineRule="exact"/>
        <w:rPr>
          <w:rFonts w:ascii="Times New Roman" w:cs="Times New Roman" w:eastAsia="Times New Roman" w:hAnsi="Times New Roman"/>
          <w:sz w:val="14"/>
          <w:szCs w:val="14"/>
          <w:color w:val="auto"/>
        </w:rPr>
      </w:pPr>
    </w:p>
    <w:p>
      <w:pPr>
        <w:ind w:left="340" w:right="20" w:hanging="332"/>
        <w:spacing w:after="0" w:line="251"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were granted to Mr. Ryan in connection with his service as a member of our board of directors, prior to his appointment as our Executive Chairman. These stock options vested on the earlier of (i) the date of the next annual meeting of the Company’s shareholders following the grant date and (i) the first anniversary of the grant date.</w:t>
      </w:r>
    </w:p>
    <w:p>
      <w:pPr>
        <w:jc w:val="both"/>
        <w:ind w:left="340" w:hanging="332"/>
        <w:spacing w:after="0" w:line="261"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and RSUs were granted to Mr. Ryan in connection with his service as a member of our board of directors, prior to his appointment as our Executive Chairman. The stock options will vest in equal monthly installments over the three-year period following the grant date, and the RSUs will vest in equal annual installments over the three-year period following the grant date, in each case so long as Mr. Ryan continues to provide services to the Company through such vesting date.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stock option fully vested on December 31, 2022.</w:t>
      </w:r>
    </w:p>
    <w:p>
      <w:pPr>
        <w:spacing w:after="0" w:line="4" w:lineRule="exact"/>
        <w:rPr>
          <w:rFonts w:ascii="Times New Roman" w:cs="Times New Roman" w:eastAsia="Times New Roman" w:hAnsi="Times New Roman"/>
          <w:sz w:val="14"/>
          <w:szCs w:val="14"/>
          <w:color w:val="auto"/>
        </w:rPr>
      </w:pPr>
    </w:p>
    <w:p>
      <w:pPr>
        <w:ind w:left="340" w:hanging="332"/>
        <w:spacing w:after="0" w:line="278"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RSUs vest on December 31, 2023, subject to the achievement of performance goals. In the event of a change in control, the performance goals would be deemed achieved at 100% of target.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Our Current Named Executive Officers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of our current named executive officers has entered into an employment agreement with us that provides for at-will employment and includes each named executive officer’s base salary, standard employee benefit plan participation and a discretionary annual bonus. The employment agreements provide for an annual base salary of $675,000 and a target annual bonus of 100% of annual base salary in the case of Ms. Stueland, an annual base salary of $450,000 and a target annual bonus of 50% of annual base salary in the case of Mr. Feeley, and an annual base salary of $337,500 and a target annual bonus of 100% of annual base salary in the case of Mr. Ryan. Mr. Ryan's employment agreement provides that he will be employed 50% of his time by us. The employment agreements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provide for the potential payments and benefits upon a termination of employment or in connection with a change in control as described below in “— Potential Payments upon Termination or Change in Control.” For more information, see “—Outstanding Equity Awards at 2022 Fiscal Year-End.”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her employment agreement, if Ms. Stueland is terminated without “cause” or resigns for “good reason” (as such terms are defined in her employment agreement) other than in connection with a change in control, she will be entitled to receive 24 months of base salary continuation and 12 months of continued coverage under our group health benefit plans, subject to her execution of a release of claims. If instead such termination occurs within the period commencing three months prior to (or the date on which the Company has commenced engagement with a change in control counterparty, if later) and ending 12 months following a change in control, she will be entitled to receive 24 months of base salary continuation, a lump sum payment equal to two times her target annual bonus, 24 months of continued coverage under our group health benefit plans, and accelerated vesting of her outstanding equity-based compensation awards, subject to her execution of a release of claims. As described above in “—Outstanding Equity Awards at 2022 Fiscal Year-End”, a portion of the stock options held by Ms. Stueland would vest upon a change in control transaction.</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his employment agreement, if Mr. Feeley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his employment agreement, if Mr. Ryan is terminated without “cause” or resigns for “good reason” (as such terms are defined in his employment agreement), he will be entitled to receive base salary continuation until December 31, 2023 and continued coverage under our group health benefit plans until December 31, 2023, subject to his execution of a release of claims. In addition, the performance goals applicable to the performance-based RSUs granted to Mr. Ryan would be deemed to have been achieved at 100% of the target performance in the event of a change in control.</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 with Our Former Named Executive Officer</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In connection with Dr. Schadt’s departure from our company in August 2022, we and Dr. Schadt entered into a separation agreement (the “</w:t>
      </w:r>
      <w:r>
        <w:rPr>
          <w:rFonts w:ascii="Times New Roman" w:cs="Times New Roman" w:eastAsia="Times New Roman" w:hAnsi="Times New Roman"/>
          <w:sz w:val="18"/>
          <w:szCs w:val="18"/>
          <w:i w:val="1"/>
          <w:iCs w:val="1"/>
          <w:color w:val="auto"/>
        </w:rPr>
        <w:t>Separation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pursuant to which Dr. Schadt is entitled to receive the following severance benefits in exchange for his execution of release of claims:</w:t>
      </w:r>
    </w:p>
    <w:p>
      <w:pPr>
        <w:spacing w:after="0" w:line="10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payment equal to 24 months of Dr. Schadt’s annual base salary;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months of reimbursement of COBRA continuation benefits;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extended period to exercise certain of Dr. Schadt’s vested stock options through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Inducement Awards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induce the individuals to accept employment with the Company, we granted stock options to purchase 4,932,132 shares of Class A Common Stock (or 149,458 shares after adjusting for the Reverse Stock Split) to three (3) newly-hired employees and RSUs to acquire an aggregate of 4,285,208 shares of Class A Common Stock (or 129,854 shares after adjusting for the Reverse Stock Split) to eighty (80) newly-hired employees on May 2, 2022. The foregoing included inducement stock options to purchase an aggregate of 3,551,136 shares (or 107,610 shares after adjusting for the Reverse Stock Split) of Class A Common Stock and 2,045,454 RSUs (or 61,983 RSUs after adjusting for the Reverse Stock Split) granted to Ms. Stueland as an inducement material to the employment of Ms. Stueland as the Chief Executive Officer of the Company, and inducement stock options to purchase an aggregate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690,498 shares of Class A Common Stock (or 20,924 shares after adjusting for the Reverse Stock Split) and 397,727 RSUs (or 12,052 RSUs after adjusting for the Reverse Stock Split) granted to Mr. Feeley as an inducement material to the employment of Mr. Feeley as Head of GeneDx prior to becoming Chief Financial Officer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directors who were members of our compensation committee during 2022 were Joshua Ruch, Rachel Sherman, Nat Turner and Eli Casdin.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Chairman Compensation</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January 2022, our Board appointed Jason Ryan as Executive Chairman and entered into an executive chairman agreement (the “</w:t>
      </w:r>
      <w:r>
        <w:rPr>
          <w:rFonts w:ascii="Times New Roman" w:cs="Times New Roman" w:eastAsia="Times New Roman" w:hAnsi="Times New Roman"/>
          <w:sz w:val="18"/>
          <w:szCs w:val="18"/>
          <w:i w:val="1"/>
          <w:iCs w:val="1"/>
          <w:color w:val="auto"/>
        </w:rPr>
        <w:t>Executive Chairman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with Mr. Ryan. Prior to this appointment, Mr. Ryan served as a non-employee director of our Board. The Executive Chairman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for an annual base salary of $540,000. In connection with the appointment, we issued to our Executive Chairman an option to purchase 429,730 shares of our Class A Common Stock (or 13,022 shares after adjusting for the Reverse Stock Split), 247,525 service-based RSUs (or 7,500 RSUs after adjusting for the Reverse Stock Split) and 126,980 performance-based RSUs (or 3,847 RSUs after adjusting for the Reverse Stock Split), which service-based RSUs fully vested on December 31, 2022 and which performance-based RSUs were all forfeited due to the established performance goals not being achieved.</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entered into an amendment to the Executive Chairman Agreement on April 12, 2023 in order to extend the period of Mr. Ryan's employment as Executive Chairman and amend the terms of his employment, effective as of April 10, 2023. The amendment provides that for calendar year 2023, Mr. Ryan shall be employed 50% of his time by the Company and receive a base annual salary of $337,500, with an opportunity to receive an annual performance bonus for calendar year 2023 with a target amount equal to 100% of the annual base salary. Except as set forth in the amendment, the Executive Chairman Agreement remains unmodified and in full force and effect.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Director Compensation Table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earned by or paid to our non-employee directors for services provided during the year ended December 31, 2022. Ms. Stueland and Mr. Ryan did not receive any compensation for their service as a director during fiscal year 2022, while also serving as Chief Executive Officer and Executive Chairman, respectively. Other than as described below, none of our non-employee directors received any fees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reimbursement of any expenses (other than customary expenses in connection with the attendance of meetings of our Board) or any equity or non-equity awards in the year ended December 31, 2022. Please see the section entitled “Executive Compensation—2022 Summary Compensation Table” for a summary of payments made to Ms. Stueland and Mr. Ryan.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Awards($)(1)(4)</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Restricted Stock and</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15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00" w:type="dxa"/>
            <w:vAlign w:val="bottom"/>
            <w:gridSpan w:val="2"/>
            <w:vMerge w:val="continue"/>
          </w:tcPr>
          <w:p>
            <w:pPr>
              <w:spacing w:after="0"/>
              <w:rPr>
                <w:sz w:val="16"/>
                <w:szCs w:val="16"/>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680" w:type="dxa"/>
            <w:vAlign w:val="bottom"/>
            <w:gridSpan w:val="2"/>
            <w:vMerge w:val="continue"/>
          </w:tcPr>
          <w:p>
            <w:pPr>
              <w:spacing w:after="0"/>
              <w:rPr>
                <w:sz w:val="16"/>
                <w:szCs w:val="16"/>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 Securities($)(1)(4)</w:t>
            </w:r>
          </w:p>
        </w:tc>
        <w:tc>
          <w:tcPr>
            <w:tcW w:w="15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Ruch</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1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272,846</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Dennis Charney, M.D.</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 D. Casdin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262,221</w:t>
            </w: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Emily Leproust, Ph.D.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2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262,846</w:t>
            </w: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Meister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272,846</w:t>
            </w: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Rachel Sherman, M.D., M.P.H.,</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20" w:type="dxa"/>
            <w:vAlign w:val="bottom"/>
          </w:tcPr>
          <w:p>
            <w:pPr>
              <w:spacing w:after="0"/>
              <w:rPr>
                <w:sz w:val="21"/>
                <w:szCs w:val="21"/>
                <w:color w:val="auto"/>
              </w:rPr>
            </w:pP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270,346</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Pfenninger, Jr.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230,429</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460,429</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 Turner (2)</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2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Pellini, M.D. (3)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1398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81" w:lineRule="exact"/>
        <w:rPr>
          <w:sz w:val="20"/>
          <w:szCs w:val="20"/>
          <w:color w:val="auto"/>
        </w:rPr>
      </w:pPr>
    </w:p>
    <w:p>
      <w:pPr>
        <w:jc w:val="both"/>
        <w:ind w:left="340" w:hanging="332"/>
        <w:spacing w:after="0" w:line="269"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aggregate grant date fair value of the awards granted under our 2021 Equity Incentive Plan to our directors during the year ended December 31, 2022, as computed in accordance with FASB ASC Topic 718. The assumptions used in determining the grant date fair value of the awards reported in the Option Awards and Restricted Stock and Other Securities columns are set forth in Note 11 to our financial statements included elsewhere in this proxy statement. Note that the amounts reported in this column reflect the aggregate accounting cost for these awards granted during the year, and do not necessarily correspond to the actual economic value that may be received by the director from the awards.</w:t>
      </w:r>
    </w:p>
    <w:p>
      <w:pPr>
        <w:spacing w:after="0" w:line="15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Turner resigned from the Board on April 29, 2022.</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Pellini resigned from the Board on February 14, 2023.</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62"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information regarding the aggregate number of shares of our Class A Common Stock underlying outstanding stock options held by our non-employee directors as of December 31, 2022 and the aggregate number of unvested shares of our Class A Common Stock underlying outstanding RSU awards held by our non-employee directors as of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Underlying</w:t>
            </w:r>
          </w:p>
        </w:tc>
        <w:tc>
          <w:tcPr>
            <w:tcW w:w="1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Unvested Shares of</w:t>
            </w:r>
          </w:p>
        </w:tc>
        <w:tc>
          <w:tcPr>
            <w:tcW w:w="0" w:type="dxa"/>
            <w:vAlign w:val="bottom"/>
          </w:tcPr>
          <w:p>
            <w:pPr>
              <w:spacing w:after="0"/>
              <w:rPr>
                <w:sz w:val="1"/>
                <w:szCs w:val="1"/>
                <w:color w:val="auto"/>
              </w:rPr>
            </w:pPr>
          </w:p>
        </w:tc>
      </w:tr>
      <w:tr>
        <w:trPr>
          <w:trHeight w:val="148"/>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Stock</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98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228"/>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Ruch</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Dennis Charney, M.D.</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 D. Casdin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Emily Leproust, Ph.D.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Meister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Pfenninger, Jr.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Sherman, M.D., M.P.H., F.A.C.P.</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ind w:left="340" w:right="20"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2022, concerning securities authorized for issuance under our 2021 Equity Incentive Plan (the "</w:t>
      </w:r>
      <w:r>
        <w:rPr>
          <w:rFonts w:ascii="Times New Roman" w:cs="Times New Roman" w:eastAsia="Times New Roman" w:hAnsi="Times New Roman"/>
          <w:sz w:val="18"/>
          <w:szCs w:val="18"/>
          <w:i w:val="1"/>
          <w:iCs w:val="1"/>
          <w:color w:val="auto"/>
        </w:rPr>
        <w:t>2021 EIP</w:t>
      </w:r>
      <w:r>
        <w:rPr>
          <w:rFonts w:ascii="Times New Roman" w:cs="Times New Roman" w:eastAsia="Times New Roman" w:hAnsi="Times New Roman"/>
          <w:sz w:val="18"/>
          <w:szCs w:val="18"/>
          <w:color w:val="auto"/>
        </w:rPr>
        <w:t>") and 2021 Employee Stock Purchase Plan (the "</w:t>
      </w:r>
      <w:r>
        <w:rPr>
          <w:rFonts w:ascii="Times New Roman" w:cs="Times New Roman" w:eastAsia="Times New Roman" w:hAnsi="Times New Roman"/>
          <w:sz w:val="18"/>
          <w:szCs w:val="18"/>
          <w:i w:val="1"/>
          <w:iCs w:val="1"/>
          <w:color w:val="auto"/>
        </w:rPr>
        <w:t>2021 ESPP</w:t>
      </w:r>
      <w:r>
        <w:rPr>
          <w:rFonts w:ascii="Times New Roman" w:cs="Times New Roman" w:eastAsia="Times New Roman" w:hAnsi="Times New Roman"/>
          <w:sz w:val="18"/>
          <w:szCs w:val="18"/>
          <w:color w:val="auto"/>
        </w:rPr>
        <w:t>") and Legacy Sema4’s 2017 Equity Incentive Plan (the "</w:t>
      </w:r>
      <w:r>
        <w:rPr>
          <w:rFonts w:ascii="Times New Roman" w:cs="Times New Roman" w:eastAsia="Times New Roman" w:hAnsi="Times New Roman"/>
          <w:sz w:val="18"/>
          <w:szCs w:val="18"/>
          <w:i w:val="1"/>
          <w:iCs w:val="1"/>
          <w:color w:val="auto"/>
        </w:rPr>
        <w:t>2017 Plan</w:t>
      </w:r>
      <w:r>
        <w:rPr>
          <w:rFonts w:ascii="Times New Roman" w:cs="Times New Roman" w:eastAsia="Times New Roman" w:hAnsi="Times New Roman"/>
          <w:sz w:val="18"/>
          <w:szCs w:val="18"/>
          <w:color w:val="auto"/>
        </w:rPr>
        <w:t>"), as well as certain RSUs that were granted to former equity award holders of Legacy Sema4 and certain employees of the Company pursuant to the Business Combination Merger Agreement (as defined below) (the "</w:t>
      </w:r>
      <w:r>
        <w:rPr>
          <w:rFonts w:ascii="Times New Roman" w:cs="Times New Roman" w:eastAsia="Times New Roman" w:hAnsi="Times New Roman"/>
          <w:sz w:val="18"/>
          <w:szCs w:val="18"/>
          <w:i w:val="1"/>
          <w:iCs w:val="1"/>
          <w:color w:val="auto"/>
        </w:rPr>
        <w:t>Earn-Out RSUs</w:t>
      </w:r>
      <w:r>
        <w:rPr>
          <w:rFonts w:ascii="Times New Roman" w:cs="Times New Roman" w:eastAsia="Times New Roman" w:hAnsi="Times New Roman"/>
          <w:sz w:val="18"/>
          <w:szCs w:val="18"/>
          <w:color w:val="auto"/>
        </w:rPr>
        <w:t>") and certain inducement awards granted in accordance with Nasdaq Listing Rules. The 2021 EIP and 2021 ESPP contain “evergreen” provisions, pursuant to which on January 1st of each year we automatically add 5% and 1%, respectively, of our shares of Class A Common Stock outstanding on the preceding December 31 to the shares reserved for issuance under the 2021 EIP and 2021 ESPP. In addition, pursuant to a “pour over” provision in our 2021 EIP, options that were cancelled, expired or terminated under the 2017 Plan were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left="340" w:right="220"/>
        <w:spacing w:after="0" w:line="282" w:lineRule="auto"/>
        <w:rPr>
          <w:sz w:val="20"/>
          <w:szCs w:val="20"/>
          <w:color w:val="auto"/>
        </w:rPr>
      </w:pPr>
      <w:r>
        <w:rPr>
          <w:rFonts w:ascii="Times New Roman" w:cs="Times New Roman" w:eastAsia="Times New Roman" w:hAnsi="Times New Roman"/>
          <w:sz w:val="18"/>
          <w:szCs w:val="18"/>
          <w:color w:val="auto"/>
        </w:rPr>
        <w:t>to the number of shares reserved for issuance under our 2021 EIP. All share amounts, exercise prices and other amounts set forth in this section have been adjusted for the impact of the Reverse Stock Split.</w:t>
      </w:r>
    </w:p>
    <w:p>
      <w:pPr>
        <w:spacing w:after="0" w:line="129" w:lineRule="exact"/>
        <w:rPr>
          <w:sz w:val="20"/>
          <w:szCs w:val="20"/>
          <w:color w:val="auto"/>
        </w:rPr>
      </w:pPr>
    </w:p>
    <w:tbl>
      <w:tblPr>
        <w:tblLayout w:type="fixed"/>
        <w:tblInd w:w="574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9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18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700" w:type="dxa"/>
            <w:vAlign w:val="bottom"/>
            <w:vMerge w:val="continue"/>
          </w:tcPr>
          <w:p>
            <w:pPr>
              <w:spacing w:after="0"/>
              <w:rPr>
                <w:sz w:val="12"/>
                <w:szCs w:val="12"/>
                <w:color w:val="auto"/>
              </w:rPr>
            </w:pPr>
          </w:p>
        </w:tc>
        <w:tc>
          <w:tcPr>
            <w:tcW w:w="198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180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c>
          <w:tcPr>
            <w:tcW w:w="0" w:type="dxa"/>
            <w:vAlign w:val="bottom"/>
          </w:tcPr>
          <w:p>
            <w:pPr>
              <w:spacing w:after="0"/>
              <w:rPr>
                <w:sz w:val="1"/>
                <w:szCs w:val="1"/>
                <w:color w:val="auto"/>
              </w:rPr>
            </w:pPr>
          </w:p>
        </w:tc>
      </w:tr>
      <w:tr>
        <w:trPr>
          <w:trHeight w:val="135"/>
        </w:trPr>
        <w:tc>
          <w:tcPr>
            <w:tcW w:w="1800" w:type="dxa"/>
            <w:vAlign w:val="bottom"/>
          </w:tcPr>
          <w:p>
            <w:pPr>
              <w:jc w:val="center"/>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7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980" w:type="dxa"/>
            <w:vAlign w:val="bottom"/>
          </w:tcPr>
          <w:p>
            <w:pPr>
              <w:jc w:val="center"/>
              <w:ind w:left="48"/>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18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17"/>
                <w:szCs w:val="17"/>
                <w:b w:val="1"/>
                <w:bCs w:val="1"/>
                <w:color w:val="auto"/>
                <w:w w:val="99"/>
                <w:vertAlign w:val="superscript"/>
              </w:rPr>
              <w:t>(2)</w:t>
            </w:r>
          </w:p>
        </w:tc>
        <w:tc>
          <w:tcPr>
            <w:tcW w:w="198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203"/>
        </w:trPr>
        <w:tc>
          <w:tcPr>
            <w:tcW w:w="1800" w:type="dxa"/>
            <w:vAlign w:val="bottom"/>
          </w:tcPr>
          <w:p>
            <w:pPr>
              <w:jc w:val="center"/>
              <w:ind w:right="88"/>
              <w:spacing w:after="0" w:line="202" w:lineRule="exact"/>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18"/>
                <w:szCs w:val="18"/>
                <w:b w:val="1"/>
                <w:bCs w:val="1"/>
                <w:color w:val="auto"/>
                <w:w w:val="99"/>
                <w:vertAlign w:val="superscript"/>
              </w:rPr>
              <w:t>(1)</w:t>
            </w:r>
            <w:r>
              <w:rPr>
                <w:rFonts w:ascii="Times New Roman" w:cs="Times New Roman" w:eastAsia="Times New Roman" w:hAnsi="Times New Roman"/>
                <w:sz w:val="14"/>
                <w:szCs w:val="14"/>
                <w:b w:val="1"/>
                <w:bCs w:val="1"/>
                <w:color w:val="auto"/>
                <w:w w:val="99"/>
              </w:rPr>
              <w:t xml:space="preserve"> (#)</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9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Reflected in Column (a))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21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Plan Category</w:t>
            </w:r>
          </w:p>
        </w:tc>
        <w:tc>
          <w:tcPr>
            <w:tcW w:w="1320" w:type="dxa"/>
            <w:vAlign w:val="bottom"/>
            <w:tcBorders>
              <w:top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(a)</w:t>
            </w: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1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222,284</w:t>
            </w:r>
          </w:p>
        </w:tc>
        <w:tc>
          <w:tcPr>
            <w:tcW w:w="600" w:type="dxa"/>
            <w:vAlign w:val="bottom"/>
            <w:vMerge w:val="restart"/>
          </w:tcPr>
          <w:p>
            <w:pPr>
              <w:jc w:val="right"/>
              <w:ind w:right="142"/>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$96.4121</w:t>
            </w:r>
          </w:p>
        </w:tc>
        <w:tc>
          <w:tcPr>
            <w:tcW w:w="1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948,900</w:t>
            </w:r>
          </w:p>
        </w:tc>
        <w:tc>
          <w:tcPr>
            <w:tcW w:w="0" w:type="dxa"/>
            <w:vAlign w:val="bottom"/>
          </w:tcPr>
          <w:p>
            <w:pPr>
              <w:spacing w:after="0"/>
              <w:rPr>
                <w:sz w:val="1"/>
                <w:szCs w:val="1"/>
                <w:color w:val="auto"/>
              </w:rPr>
            </w:pPr>
          </w:p>
        </w:tc>
      </w:tr>
      <w:tr>
        <w:trPr>
          <w:trHeight w:val="147"/>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32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rPr>
              <w:t>578,780</w:t>
            </w: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$32.6700</w:t>
            </w:r>
          </w:p>
        </w:tc>
        <w:tc>
          <w:tcPr>
            <w:tcW w:w="1260" w:type="dxa"/>
            <w:vAlign w:val="bottom"/>
            <w:vMerge w:val="restart"/>
          </w:tcPr>
          <w:p>
            <w:pPr>
              <w:jc w:val="center"/>
              <w:ind w:left="470"/>
              <w:spacing w:after="0"/>
              <w:rPr>
                <w:sz w:val="20"/>
                <w:szCs w:val="20"/>
                <w:color w:val="auto"/>
              </w:rPr>
            </w:pPr>
            <w:r>
              <w:rPr>
                <w:rFonts w:ascii="Times New Roman" w:cs="Times New Roman" w:eastAsia="Times New Roman" w:hAnsi="Times New Roman"/>
                <w:sz w:val="18"/>
                <w:szCs w:val="18"/>
                <w:color w:val="auto"/>
                <w:w w:val="99"/>
              </w:rPr>
              <w:t>146,804</w:t>
            </w:r>
          </w:p>
        </w:tc>
        <w:tc>
          <w:tcPr>
            <w:tcW w:w="0" w:type="dxa"/>
            <w:vAlign w:val="bottom"/>
          </w:tcPr>
          <w:p>
            <w:pPr>
              <w:spacing w:after="0"/>
              <w:rPr>
                <w:sz w:val="1"/>
                <w:szCs w:val="1"/>
                <w:color w:val="auto"/>
              </w:rPr>
            </w:pPr>
          </w:p>
        </w:tc>
      </w:tr>
      <w:tr>
        <w:trPr>
          <w:trHeight w:val="83"/>
        </w:trPr>
        <w:tc>
          <w:tcPr>
            <w:tcW w:w="558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801,064</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6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1,095,704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1398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81"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shares of our Class A Common Stock.</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818" w:lineRule="exact"/>
        <w:rPr>
          <w:sz w:val="20"/>
          <w:szCs w:val="20"/>
          <w:color w:val="auto"/>
        </w:rPr>
      </w:pPr>
    </w:p>
    <w:p>
      <w:pPr>
        <w:sectPr>
          <w:pgSz w:w="11900" w:h="16838" w:orient="portrait"/>
          <w:cols w:equalWidth="0" w:num="2">
            <w:col w:w="10460" w:space="440"/>
            <w:col w:w="340"/>
          </w:cols>
          <w:pgMar w:left="320" w:top="1440" w:right="339" w:bottom="1440" w:gutter="0" w:footer="0" w:header="0"/>
          <w:type w:val="continuous"/>
        </w:sectPr>
      </w:pPr>
    </w:p>
    <w:p>
      <w:pPr>
        <w:ind w:left="340" w:hanging="332"/>
        <w:spacing w:after="0" w:line="26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is calculated based solely on the outstanding stock options. It does not take into account the shares issuable upon vesting of outstanding RSU or PSU awards, which have no exercise price.</w:t>
      </w:r>
    </w:p>
    <w:p>
      <w:pPr>
        <w:jc w:val="both"/>
        <w:ind w:left="340" w:hanging="332"/>
        <w:spacing w:after="0" w:line="257"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adjusting for the Reverse Stock Split, consists of 711,022 shares underlying RSU awards representing the right to acquire shares of our Class A Common Stock, 219,084 shares remaining available for issuance under the 2021 ESPP, and 18,793 shares underlying PSU awards representing the right to acquire shares of our Class A Common Stock. After adjusting for the Reverse Stock Split, (i) on January 9, 2023, an additional 588,653 shares of Class A Common Stock became available for future issuance under the 2021 EIP and an additional 117,730 shares of Class A Common Stock became available for issuance under the 2021 ESPP, both pursuant to each plan’s evergreen provisions; and (ii) on April 14, 2023, an additional 787,878 shares of Class A Common Stock became available under the amended and restated 2021 EIP.</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adjusting for the Reverse Stock Split, consists of (i) outstanding stock options that were assumed in connection with the Business Combination; (ii) inducement option awards granted in accordance with Nasdaq Listing Rules; and (iii) Earn-Out RSUs of 24,019 as of December 31, 2022 with no material changes during the first three months of 2023. No additional awards may be granted under the 2017 Plan pursuant to which such assumed stock options were initially granted.</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the Earn-Out RSUs granted in connection with the Business Combination and (ii) inducement RSU awards granted in accordance with Nasdaq Listing Rules.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description of transactions since January 1, 2021 and currently proposed transactions in which:</w:t>
      </w:r>
    </w:p>
    <w:p>
      <w:pPr>
        <w:spacing w:after="0" w:line="171"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is to be a participant;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the lesser of $120,000 or 1% of the average of our total assets as of year-end for the last two completed fiscal years;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08" w:lineRule="exact"/>
        <w:rPr>
          <w:sz w:val="20"/>
          <w:szCs w:val="20"/>
          <w:color w:val="auto"/>
        </w:rPr>
      </w:pPr>
    </w:p>
    <w:p>
      <w:pPr>
        <w:ind w:right="940" w:firstLine="324"/>
        <w:spacing w:after="0" w:line="525" w:lineRule="auto"/>
        <w:rPr>
          <w:sz w:val="20"/>
          <w:szCs w:val="20"/>
          <w:color w:val="auto"/>
        </w:rPr>
      </w:pPr>
      <w:r>
        <w:rPr>
          <w:rFonts w:ascii="Times New Roman" w:cs="Times New Roman" w:eastAsia="Times New Roman" w:hAnsi="Times New Roman"/>
          <w:sz w:val="18"/>
          <w:szCs w:val="18"/>
          <w:color w:val="auto"/>
        </w:rPr>
        <w:t xml:space="preserve">All share amounts, exercise prices and other amounts set forth in this section have been adjusted for the impact of the Reverse Stock Split. </w:t>
      </w:r>
      <w:r>
        <w:rPr>
          <w:rFonts w:ascii="Times New Roman" w:cs="Times New Roman" w:eastAsia="Times New Roman" w:hAnsi="Times New Roman"/>
          <w:sz w:val="18"/>
          <w:szCs w:val="18"/>
          <w:b w:val="1"/>
          <w:bCs w:val="1"/>
          <w:i w:val="1"/>
          <w:iCs w:val="1"/>
          <w:color w:val="auto"/>
        </w:rPr>
        <w:t xml:space="preserve">Related Party Transactions Related to the Underwritten and Registered Direct Offerings </w:t>
      </w:r>
      <w:r>
        <w:rPr>
          <w:rFonts w:ascii="Times New Roman" w:cs="Times New Roman" w:eastAsia="Times New Roman" w:hAnsi="Times New Roman"/>
          <w:sz w:val="18"/>
          <w:szCs w:val="18"/>
          <w:i w:val="1"/>
          <w:iCs w:val="1"/>
          <w:color w:val="auto"/>
        </w:rPr>
        <w:t>Underwritten Offering</w:t>
      </w:r>
    </w:p>
    <w:p>
      <w:pPr>
        <w:spacing w:after="0" w:line="2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our principal stockholders and their affiliated entities, including certain of our directors and stockholders affiliated with certain of our directors, purchased an aggregate of 208,571,426 shares (or 6,320,343 shares after adjusting for the Reverse Stock Split) of our Class A Common Stock in our underwritten public offering that closed on January 31, 2023 (the “</w:t>
      </w:r>
      <w:r>
        <w:rPr>
          <w:rFonts w:ascii="Times New Roman" w:cs="Times New Roman" w:eastAsia="Times New Roman" w:hAnsi="Times New Roman"/>
          <w:sz w:val="18"/>
          <w:szCs w:val="18"/>
          <w:i w:val="1"/>
          <w:iCs w:val="1"/>
          <w:color w:val="auto"/>
        </w:rPr>
        <w:t>Underwritten Offering</w:t>
      </w:r>
      <w:r>
        <w:rPr>
          <w:rFonts w:ascii="Times New Roman" w:cs="Times New Roman" w:eastAsia="Times New Roman" w:hAnsi="Times New Roman"/>
          <w:sz w:val="18"/>
          <w:szCs w:val="18"/>
          <w:color w:val="auto"/>
        </w:rPr>
        <w:t>”) at an offering price of $0.35 per share (or $11.55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after adjusting for the Reverse Stock Split). The following table summarizes the shares of Class A Common Stock purchased by members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or their affiliates and holders of more than 5% of our outstanding Class A Common Stock: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9891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Casdin</w:t>
      </w:r>
      <w:r>
        <w:rPr>
          <w:rFonts w:ascii="Times New Roman" w:cs="Times New Roman" w:eastAsia="Times New Roman" w:hAnsi="Times New Roman"/>
          <w:sz w:val="23"/>
          <w:szCs w:val="23"/>
          <w:color w:val="auto"/>
          <w:vertAlign w:val="superscript"/>
        </w:rPr>
        <w:t>(1)</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 xml:space="preserve">Entities affiliated with Deerfield </w:t>
      </w:r>
      <w:r>
        <w:rPr>
          <w:rFonts w:ascii="Times New Roman" w:cs="Times New Roman" w:eastAsia="Times New Roman" w:hAnsi="Times New Roman"/>
          <w:sz w:val="23"/>
          <w:szCs w:val="23"/>
          <w:color w:val="auto"/>
          <w:vertAlign w:val="superscript"/>
        </w:rPr>
        <w:t>(2)</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Ichan School of Medicine at Mount Sinai</w:t>
      </w:r>
      <w:r>
        <w:rPr>
          <w:rFonts w:ascii="Times New Roman" w:cs="Times New Roman" w:eastAsia="Times New Roman" w:hAnsi="Times New Roman"/>
          <w:sz w:val="22"/>
          <w:szCs w:val="22"/>
          <w:color w:val="auto"/>
          <w:vertAlign w:val="superscript"/>
        </w:rPr>
        <w:t>(3)</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32 Fund 2, L.P. </w:t>
      </w:r>
      <w:r>
        <w:rPr>
          <w:rFonts w:ascii="Times New Roman" w:cs="Times New Roman" w:eastAsia="Times New Roman" w:hAnsi="Times New Roman"/>
          <w:sz w:val="23"/>
          <w:szCs w:val="23"/>
          <w:color w:val="auto"/>
          <w:vertAlign w:val="superscript"/>
        </w:rPr>
        <w:t>(4)</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OPKO Health, Inc.</w:t>
      </w:r>
      <w:r>
        <w:rPr>
          <w:rFonts w:ascii="Times New Roman" w:cs="Times New Roman" w:eastAsia="Times New Roman" w:hAnsi="Times New Roman"/>
          <w:sz w:val="23"/>
          <w:szCs w:val="23"/>
          <w:color w:val="auto"/>
          <w:vertAlign w:val="superscript"/>
        </w:rPr>
        <w:t>(5)</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Rho Partners</w:t>
      </w:r>
      <w:r>
        <w:rPr>
          <w:rFonts w:ascii="Times New Roman" w:cs="Times New Roman" w:eastAsia="Times New Roman" w:hAnsi="Times New Roman"/>
          <w:sz w:val="23"/>
          <w:szCs w:val="23"/>
          <w:color w:val="auto"/>
          <w:vertAlign w:val="superscript"/>
        </w:rPr>
        <w:t>(6)</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1055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70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tcBorders>
              <w:top w:val="single" w:sz="8" w:color="auto"/>
            </w:tcBorders>
          </w:tcPr>
          <w:p>
            <w:pPr>
              <w:jc w:val="right"/>
              <w:ind w:right="194"/>
              <w:spacing w:after="0" w:line="151" w:lineRule="exact"/>
              <w:rPr>
                <w:sz w:val="20"/>
                <w:szCs w:val="20"/>
                <w:color w:val="auto"/>
              </w:rPr>
            </w:pPr>
            <w:r>
              <w:rPr>
                <w:rFonts w:ascii="Times New Roman" w:cs="Times New Roman" w:eastAsia="Times New Roman" w:hAnsi="Times New Roman"/>
                <w:sz w:val="14"/>
                <w:szCs w:val="14"/>
                <w:b w:val="1"/>
                <w:bCs w:val="1"/>
                <w:color w:val="auto"/>
              </w:rPr>
              <w:t>Aggregate Gross</w:t>
            </w:r>
          </w:p>
        </w:tc>
        <w:tc>
          <w:tcPr>
            <w:tcW w:w="0" w:type="dxa"/>
            <w:vAlign w:val="bottom"/>
          </w:tcPr>
          <w:p>
            <w:pPr>
              <w:spacing w:after="0"/>
              <w:rPr>
                <w:sz w:val="1"/>
                <w:szCs w:val="1"/>
                <w:color w:val="auto"/>
              </w:rPr>
            </w:pPr>
          </w:p>
        </w:tc>
      </w:tr>
      <w:tr>
        <w:trPr>
          <w:trHeight w:val="195"/>
        </w:trPr>
        <w:tc>
          <w:tcPr>
            <w:tcW w:w="1700" w:type="dxa"/>
            <w:vAlign w:val="bottom"/>
            <w:gridSpan w:val="2"/>
            <w:vMerge w:val="continue"/>
          </w:tcPr>
          <w:p>
            <w:pPr>
              <w:spacing w:after="0"/>
              <w:rPr>
                <w:sz w:val="16"/>
                <w:szCs w:val="16"/>
                <w:color w:val="auto"/>
              </w:rPr>
            </w:pPr>
          </w:p>
        </w:tc>
        <w:tc>
          <w:tcPr>
            <w:tcW w:w="15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Consideration ($)</w:t>
            </w:r>
          </w:p>
        </w:tc>
        <w:tc>
          <w:tcPr>
            <w:tcW w:w="0" w:type="dxa"/>
            <w:vAlign w:val="bottom"/>
          </w:tcPr>
          <w:p>
            <w:pPr>
              <w:spacing w:after="0"/>
              <w:rPr>
                <w:sz w:val="1"/>
                <w:szCs w:val="1"/>
                <w:color w:val="auto"/>
              </w:rPr>
            </w:pPr>
          </w:p>
        </w:tc>
      </w:tr>
      <w:tr>
        <w:trPr>
          <w:trHeight w:val="309"/>
        </w:trPr>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2,597,402</w:t>
            </w:r>
          </w:p>
        </w:tc>
        <w:tc>
          <w:tcPr>
            <w:tcW w:w="120" w:type="dxa"/>
            <w:vAlign w:val="bottom"/>
          </w:tcPr>
          <w:p>
            <w:pPr>
              <w:spacing w:after="0"/>
              <w:rPr>
                <w:sz w:val="24"/>
                <w:szCs w:val="2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310"/>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1,428,571</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16,500,000</w:t>
            </w:r>
          </w:p>
        </w:tc>
        <w:tc>
          <w:tcPr>
            <w:tcW w:w="0" w:type="dxa"/>
            <w:vAlign w:val="bottom"/>
          </w:tcPr>
          <w:p>
            <w:pPr>
              <w:spacing w:after="0"/>
              <w:rPr>
                <w:sz w:val="1"/>
                <w:szCs w:val="1"/>
                <w:color w:val="auto"/>
              </w:rPr>
            </w:pPr>
          </w:p>
        </w:tc>
      </w:tr>
      <w:tr>
        <w:trPr>
          <w:trHeight w:val="311"/>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865,800</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310"/>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865,800</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311"/>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432,900</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310"/>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129,870</w:t>
            </w:r>
          </w:p>
        </w:tc>
        <w:tc>
          <w:tcPr>
            <w:tcW w:w="12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6,320,343</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73,000,000</w:t>
            </w:r>
          </w:p>
        </w:tc>
        <w:tc>
          <w:tcPr>
            <w:tcW w:w="0" w:type="dxa"/>
            <w:vAlign w:val="bottom"/>
          </w:tcPr>
          <w:p>
            <w:pPr>
              <w:spacing w:after="0"/>
              <w:rPr>
                <w:sz w:val="1"/>
                <w:szCs w:val="1"/>
                <w:color w:val="auto"/>
              </w:rPr>
            </w:pPr>
          </w:p>
        </w:tc>
      </w:tr>
      <w:tr>
        <w:trPr>
          <w:trHeight w:val="21"/>
        </w:trPr>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-1173480</wp:posOffset>
            </wp:positionV>
            <wp:extent cx="7132320" cy="196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-779145</wp:posOffset>
            </wp:positionV>
            <wp:extent cx="7132320" cy="1968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-385445</wp:posOffset>
            </wp:positionV>
            <wp:extent cx="7132320" cy="196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spacing w:after="0" w:line="101" w:lineRule="exact"/>
        <w:rPr>
          <w:sz w:val="20"/>
          <w:szCs w:val="20"/>
          <w:color w:val="auto"/>
        </w:rPr>
      </w:pPr>
    </w:p>
    <w:p>
      <w:pPr>
        <w:ind w:left="340" w:hanging="332"/>
        <w:spacing w:after="0" w:line="27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2,597,402 shares of Class A Common Stock offered and sold to entities whose general partner is Casdin Capital, LLC. Eli D. Casdin, a member of our Board, is a managing member of Casdin Capital, LLC.</w:t>
      </w:r>
    </w:p>
    <w:p>
      <w:pPr>
        <w:ind w:left="340" w:hanging="332"/>
        <w:spacing w:after="0" w:line="26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1,428,571 shares of Class A Common Stock offered and sold to entities whose investment manager is Deerfield Management Company, L.P., which held more than 5% of our outstanding Class A Common Stock at the time of the Underwritten Offering.</w:t>
      </w:r>
    </w:p>
    <w:p>
      <w:pPr>
        <w:ind w:left="340" w:hanging="332"/>
        <w:spacing w:after="0" w:line="25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865,800 shares of Class A Common Stock offered and sold to Ichan School of Medicine at Mount Sinai, which held more than 5% of our outstanding Class A Common Stock at the time of the Underwritten Offering.</w:t>
      </w:r>
    </w:p>
    <w:p>
      <w:pPr>
        <w:ind w:left="340" w:right="20" w:hanging="332"/>
        <w:spacing w:after="0" w:line="26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865,800 shares of Class A Common Stock offered and sold to Section 32 Fund 2, L.P., which is an affiliate of Michael Pellini, a former member of our Board who resigned in February 2023.</w:t>
      </w:r>
    </w:p>
    <w:p>
      <w:pPr>
        <w:ind w:left="340" w:hanging="332"/>
        <w:spacing w:after="0" w:line="251"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432,900 shares of Class A Common Stock offered and sold to OPKO Health, Inc., which held more than 5% of our outstanding Class A Common Stock at the time of the Underwritten Offering.</w:t>
      </w:r>
    </w:p>
    <w:p>
      <w:pPr>
        <w:ind w:left="340" w:right="200" w:hanging="332"/>
        <w:spacing w:after="0" w:line="283"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99,799 shares of Class A Common Stock offered and sold to Vaal Investment Partners Q9 LP, 20,148 shares of Class A Common Stock offered and sold to Rugu2 LLC, and 9,923 shares of Class A Common Stock offered and sold to Kariba LLC. Rho Partners is an affiliate of Joshua Ruch, a member of our Board.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26, 2023, we entered into subscription agreements with Corvex Select Equity Master Fund LP, Corvex Master Fund LP and Corvex Dynamic Equity Select Master Fund LP (the “</w:t>
      </w:r>
      <w:r>
        <w:rPr>
          <w:rFonts w:ascii="Times New Roman" w:cs="Times New Roman" w:eastAsia="Times New Roman" w:hAnsi="Times New Roman"/>
          <w:sz w:val="18"/>
          <w:szCs w:val="18"/>
          <w:i w:val="1"/>
          <w:iCs w:val="1"/>
          <w:color w:val="auto"/>
        </w:rPr>
        <w:t>Corvex Funds</w:t>
      </w:r>
      <w:r>
        <w:rPr>
          <w:rFonts w:ascii="Times New Roman" w:cs="Times New Roman" w:eastAsia="Times New Roman" w:hAnsi="Times New Roman"/>
          <w:sz w:val="18"/>
          <w:szCs w:val="18"/>
          <w:color w:val="auto"/>
        </w:rPr>
        <w:t>”), which are institutional investors affiliated with Keith Meister, a member of our Board, relating to a registered direct offering (the “</w:t>
      </w:r>
      <w:r>
        <w:rPr>
          <w:rFonts w:ascii="Times New Roman" w:cs="Times New Roman" w:eastAsia="Times New Roman" w:hAnsi="Times New Roman"/>
          <w:sz w:val="18"/>
          <w:szCs w:val="18"/>
          <w:i w:val="1"/>
          <w:iCs w:val="1"/>
          <w:color w:val="auto"/>
        </w:rPr>
        <w:t>Direct Offering</w:t>
      </w:r>
      <w:r>
        <w:rPr>
          <w:rFonts w:ascii="Times New Roman" w:cs="Times New Roman" w:eastAsia="Times New Roman" w:hAnsi="Times New Roman"/>
          <w:sz w:val="18"/>
          <w:szCs w:val="18"/>
          <w:color w:val="auto"/>
        </w:rPr>
        <w:t>”) of 100,000,000 shares of Class A Common Stock at $0.35 per share (or $11.55 per share after adjusting for the Reverse Stock Split) for a total consideration of $35,000,000. On January 31, 2023, we issued 77,663,376 shares (or 2,353,435 shares after adjusting for the Reverse Stock Split) in the Direct Offering, and on April 17, 2023, we issued 22,336,624 shares (or 676,867 shares after adjusting for the Reverse Stock Split) in connection with the Direct Offering. The following table sets forth the aggregate number of shares of our Class A Common Stock that we issued to the Corvex Funds in the Direct Offering: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5"/>
          </w:tcPr>
          <w:p>
            <w:pPr>
              <w:jc w:val="center"/>
              <w:ind w:left="1318"/>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6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Initial Direct Offering</w:t>
            </w:r>
          </w:p>
        </w:tc>
        <w:tc>
          <w:tcPr>
            <w:tcW w:w="1860" w:type="dxa"/>
            <w:vAlign w:val="bottom"/>
            <w:gridSpan w:val="3"/>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Additional Direct</w:t>
            </w:r>
          </w:p>
        </w:tc>
        <w:tc>
          <w:tcPr>
            <w:tcW w:w="1380" w:type="dxa"/>
            <w:vAlign w:val="bottom"/>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Aggregate Gross</w:t>
            </w:r>
          </w:p>
        </w:tc>
        <w:tc>
          <w:tcPr>
            <w:tcW w:w="0" w:type="dxa"/>
            <w:vAlign w:val="bottom"/>
          </w:tcPr>
          <w:p>
            <w:pPr>
              <w:spacing w:after="0"/>
              <w:rPr>
                <w:sz w:val="1"/>
                <w:szCs w:val="1"/>
                <w:color w:val="auto"/>
              </w:rPr>
            </w:pPr>
          </w:p>
        </w:tc>
      </w:tr>
      <w:tr>
        <w:trPr>
          <w:trHeight w:val="195"/>
        </w:trPr>
        <w:tc>
          <w:tcPr>
            <w:tcW w:w="6320" w:type="dxa"/>
            <w:vAlign w:val="bottom"/>
            <w:gridSpan w:val="2"/>
            <w:vMerge w:val="continue"/>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Offering Shares</w:t>
            </w:r>
          </w:p>
        </w:tc>
        <w:tc>
          <w:tcPr>
            <w:tcW w:w="13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Consideration ($)</w:t>
            </w:r>
          </w:p>
        </w:tc>
        <w:tc>
          <w:tcPr>
            <w:tcW w:w="0" w:type="dxa"/>
            <w:vAlign w:val="bottom"/>
          </w:tcPr>
          <w:p>
            <w:pPr>
              <w:spacing w:after="0"/>
              <w:rPr>
                <w:sz w:val="1"/>
                <w:szCs w:val="1"/>
                <w:color w:val="auto"/>
              </w:rPr>
            </w:pPr>
          </w:p>
        </w:tc>
      </w:tr>
      <w:tr>
        <w:trPr>
          <w:trHeight w:val="228"/>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Corvex Master Fund LP</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757,806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11,270,000</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Corvex Select Equity Master Fund LP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1,435,595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21,350,000</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Corvex Dynamic Equity Select Master Fund LP</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160,033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2,380,000</w:t>
            </w:r>
          </w:p>
        </w:tc>
        <w:tc>
          <w:tcPr>
            <w:tcW w:w="0" w:type="dxa"/>
            <w:vAlign w:val="bottom"/>
          </w:tcPr>
          <w:p>
            <w:pPr>
              <w:spacing w:after="0"/>
              <w:rPr>
                <w:sz w:val="1"/>
                <w:szCs w:val="1"/>
                <w:color w:val="auto"/>
              </w:rPr>
            </w:pPr>
          </w:p>
        </w:tc>
      </w:tr>
      <w:tr>
        <w:trPr>
          <w:trHeight w:val="223"/>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2,353,434</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676,866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 Related to the Acquisition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Subscription Agreements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certain investors entered into subscription agreements to purchase an aggregate of 50,000,000 shares of Class A Common Stock from us at $4.00 per share (or $1,515,151 shares at a price of $132.00 per share after adjusting for the Reverse Stock Split), for a gross aggregate purchase price of $200 million in private placements that closed in the first half of 2022. The funds from such private placement were primarily used to fund the Acquisition. The following table sets forth the number of shares of our Class A Common Stock issued to our directors, executive officers and holders of more than 5% of our outstanding Class A Common Stock and their affiliates in this transaction: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Purchaser</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Blackstone</w:t>
      </w:r>
      <w:r>
        <w:rPr>
          <w:rFonts w:ascii="Times New Roman" w:cs="Times New Roman" w:eastAsia="Times New Roman" w:hAnsi="Times New Roman"/>
          <w:sz w:val="23"/>
          <w:szCs w:val="23"/>
          <w:color w:val="auto"/>
          <w:vertAlign w:val="superscript"/>
        </w:rPr>
        <w:t>(1)</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Casdin</w:t>
      </w:r>
      <w:r>
        <w:rPr>
          <w:rFonts w:ascii="Times New Roman" w:cs="Times New Roman" w:eastAsia="Times New Roman" w:hAnsi="Times New Roman"/>
          <w:sz w:val="23"/>
          <w:szCs w:val="23"/>
          <w:color w:val="auto"/>
          <w:vertAlign w:val="superscript"/>
        </w:rPr>
        <w:t>(2)</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Corvex</w:t>
      </w:r>
      <w:r>
        <w:rPr>
          <w:rFonts w:ascii="Times New Roman" w:cs="Times New Roman" w:eastAsia="Times New Roman" w:hAnsi="Times New Roman"/>
          <w:sz w:val="23"/>
          <w:szCs w:val="23"/>
          <w:color w:val="auto"/>
          <w:vertAlign w:val="superscript"/>
        </w:rPr>
        <w:t>(3)</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Ichan School of Medicine at Mount Sinai</w:t>
      </w:r>
      <w:r>
        <w:rPr>
          <w:rFonts w:ascii="Times New Roman" w:cs="Times New Roman" w:eastAsia="Times New Roman" w:hAnsi="Times New Roman"/>
          <w:sz w:val="22"/>
          <w:szCs w:val="22"/>
          <w:color w:val="auto"/>
          <w:vertAlign w:val="superscript"/>
        </w:rPr>
        <w:t>(4)</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Deerfield</w:t>
      </w:r>
      <w:r>
        <w:rPr>
          <w:rFonts w:ascii="Times New Roman" w:cs="Times New Roman" w:eastAsia="Times New Roman" w:hAnsi="Times New Roman"/>
          <w:sz w:val="23"/>
          <w:szCs w:val="23"/>
          <w:color w:val="auto"/>
          <w:vertAlign w:val="superscript"/>
        </w:rPr>
        <w:t>(5)</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Rho Partners</w:t>
      </w:r>
      <w:r>
        <w:rPr>
          <w:rFonts w:ascii="Times New Roman" w:cs="Times New Roman" w:eastAsia="Times New Roman" w:hAnsi="Times New Roman"/>
          <w:sz w:val="23"/>
          <w:szCs w:val="23"/>
          <w:color w:val="auto"/>
          <w:vertAlign w:val="superscript"/>
        </w:rPr>
        <w:t>(6)</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Section 32 Fund 2, L.P.</w:t>
      </w:r>
      <w:r>
        <w:rPr>
          <w:rFonts w:ascii="Times New Roman" w:cs="Times New Roman" w:eastAsia="Times New Roman" w:hAnsi="Times New Roman"/>
          <w:sz w:val="23"/>
          <w:szCs w:val="23"/>
          <w:color w:val="auto"/>
          <w:vertAlign w:val="superscript"/>
        </w:rPr>
        <w:t>(7)</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1055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70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tcBorders>
              <w:top w:val="single" w:sz="8" w:color="auto"/>
            </w:tcBorders>
          </w:tcPr>
          <w:p>
            <w:pPr>
              <w:jc w:val="right"/>
              <w:ind w:right="194"/>
              <w:spacing w:after="0" w:line="151" w:lineRule="exact"/>
              <w:rPr>
                <w:sz w:val="20"/>
                <w:szCs w:val="20"/>
                <w:color w:val="auto"/>
              </w:rPr>
            </w:pPr>
            <w:r>
              <w:rPr>
                <w:rFonts w:ascii="Times New Roman" w:cs="Times New Roman" w:eastAsia="Times New Roman" w:hAnsi="Times New Roman"/>
                <w:sz w:val="14"/>
                <w:szCs w:val="14"/>
                <w:b w:val="1"/>
                <w:bCs w:val="1"/>
                <w:color w:val="auto"/>
              </w:rPr>
              <w:t>Aggregate Gross</w:t>
            </w:r>
          </w:p>
        </w:tc>
        <w:tc>
          <w:tcPr>
            <w:tcW w:w="0" w:type="dxa"/>
            <w:vAlign w:val="bottom"/>
          </w:tcPr>
          <w:p>
            <w:pPr>
              <w:spacing w:after="0"/>
              <w:rPr>
                <w:sz w:val="1"/>
                <w:szCs w:val="1"/>
                <w:color w:val="auto"/>
              </w:rPr>
            </w:pPr>
          </w:p>
        </w:tc>
      </w:tr>
      <w:tr>
        <w:trPr>
          <w:trHeight w:val="195"/>
        </w:trPr>
        <w:tc>
          <w:tcPr>
            <w:tcW w:w="1700" w:type="dxa"/>
            <w:vAlign w:val="bottom"/>
            <w:gridSpan w:val="2"/>
            <w:vMerge w:val="continue"/>
          </w:tcPr>
          <w:p>
            <w:pPr>
              <w:spacing w:after="0"/>
              <w:rPr>
                <w:sz w:val="16"/>
                <w:szCs w:val="16"/>
                <w:color w:val="auto"/>
              </w:rPr>
            </w:pPr>
          </w:p>
        </w:tc>
        <w:tc>
          <w:tcPr>
            <w:tcW w:w="15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Consideration ($)</w:t>
            </w:r>
          </w:p>
        </w:tc>
        <w:tc>
          <w:tcPr>
            <w:tcW w:w="0" w:type="dxa"/>
            <w:vAlign w:val="bottom"/>
          </w:tcPr>
          <w:p>
            <w:pPr>
              <w:spacing w:after="0"/>
              <w:rPr>
                <w:sz w:val="1"/>
                <w:szCs w:val="1"/>
                <w:color w:val="auto"/>
              </w:rPr>
            </w:pPr>
          </w:p>
        </w:tc>
      </w:tr>
      <w:tr>
        <w:trPr>
          <w:trHeight w:val="233"/>
        </w:trPr>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75,757</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92"/>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346,590</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45,750,000</w:t>
            </w:r>
          </w:p>
        </w:tc>
        <w:tc>
          <w:tcPr>
            <w:tcW w:w="0" w:type="dxa"/>
            <w:vAlign w:val="bottom"/>
          </w:tcPr>
          <w:p>
            <w:pPr>
              <w:spacing w:after="0"/>
              <w:rPr>
                <w:sz w:val="1"/>
                <w:szCs w:val="1"/>
                <w:color w:val="auto"/>
              </w:rPr>
            </w:pPr>
          </w:p>
        </w:tc>
      </w:tr>
      <w:tr>
        <w:trPr>
          <w:trHeight w:val="310"/>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346,590</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45,750,000</w:t>
            </w:r>
          </w:p>
        </w:tc>
        <w:tc>
          <w:tcPr>
            <w:tcW w:w="0" w:type="dxa"/>
            <w:vAlign w:val="bottom"/>
          </w:tcPr>
          <w:p>
            <w:pPr>
              <w:spacing w:after="0"/>
              <w:rPr>
                <w:sz w:val="1"/>
                <w:szCs w:val="1"/>
                <w:color w:val="auto"/>
              </w:rPr>
            </w:pPr>
          </w:p>
        </w:tc>
      </w:tr>
      <w:tr>
        <w:trPr>
          <w:trHeight w:val="311"/>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189,393</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310"/>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151,515</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311"/>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64,393</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0" w:type="dxa"/>
            <w:vAlign w:val="bottom"/>
          </w:tcPr>
          <w:p>
            <w:pPr>
              <w:spacing w:after="0"/>
              <w:rPr>
                <w:sz w:val="1"/>
                <w:szCs w:val="1"/>
                <w:color w:val="auto"/>
              </w:rPr>
            </w:pPr>
          </w:p>
        </w:tc>
      </w:tr>
      <w:tr>
        <w:trPr>
          <w:trHeight w:val="310"/>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81"/>
        </w:trPr>
        <w:tc>
          <w:tcPr>
            <w:tcW w:w="15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1,212,116</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160,000,000</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-1173480</wp:posOffset>
            </wp:positionV>
            <wp:extent cx="7132320" cy="196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-779145</wp:posOffset>
            </wp:positionV>
            <wp:extent cx="7132320" cy="196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-385445</wp:posOffset>
            </wp:positionV>
            <wp:extent cx="7132320" cy="196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-1568450</wp:posOffset>
            </wp:positionV>
            <wp:extent cx="7132320" cy="1974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spacing w:after="0" w:line="101" w:lineRule="exact"/>
        <w:rPr>
          <w:sz w:val="20"/>
          <w:szCs w:val="20"/>
          <w:color w:val="auto"/>
        </w:rPr>
      </w:pPr>
    </w:p>
    <w:p>
      <w:pPr>
        <w:jc w:val="both"/>
        <w:ind w:left="340" w:hanging="332"/>
        <w:spacing w:after="0" w:line="266"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73,784 shares of Class A Common Stock offered and sold to BTO Sema4 Holdings L.P., 1,527 shares of Class A Common Stock offered and sold to Blackstone Tactical Opportunities Fund - FD L.P. and 446 shares of Class A Common Stock offered and sold to Blackstone Family Tactical Opportunities Investment Partnership III ESC L.P. The entities purchasing the Class A Common Stock are under control of The Blackstone Group Inc., which beneficially held more than 5% of our outstanding Class A Common Stock at the time of this transactions.</w:t>
      </w:r>
    </w:p>
    <w:p>
      <w:pPr>
        <w:spacing w:after="0" w:line="1"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346,590 shares of Class A Common Stock offered and sold to Casdin Partners Master Fund, L.P., which is affiliated with Eli D. Casdin, a member of our Board.</w:t>
      </w:r>
    </w:p>
    <w:p>
      <w:pPr>
        <w:jc w:val="both"/>
        <w:ind w:left="340" w:hanging="332"/>
        <w:spacing w:after="0" w:line="256"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107,788 shares of Class A Common Stock offered and sold to Corvex Master Fund LP, 221,818 shares of Class A Common Stock offered and sold to Corvex Select Equity Master Fund LP, and 16,984 shares of Class A Common Stock offered and sold to Corvex Dynamic Equity Select Master Fund LP. Corvex Master Fund LP, Corvex Select Equity Master Fund LP and Corvex Dynamic Equity Select Master Fund LP are affiliated with Keith Meister, a member of our Board.</w:t>
      </w:r>
    </w:p>
    <w:p>
      <w:pPr>
        <w:spacing w:after="0" w:line="1" w:lineRule="exact"/>
        <w:rPr>
          <w:rFonts w:ascii="Times New Roman" w:cs="Times New Roman" w:eastAsia="Times New Roman" w:hAnsi="Times New Roman"/>
          <w:sz w:val="14"/>
          <w:szCs w:val="14"/>
          <w:color w:val="auto"/>
        </w:rPr>
      </w:pPr>
    </w:p>
    <w:p>
      <w:pPr>
        <w:ind w:left="340" w:hanging="332"/>
        <w:spacing w:after="0" w:line="259"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189,393 shares of Class A Common Stock offered and sold to Ichan School of Medicine at Mount Sinai, which held more than 5% of our outstanding Class A Common Stock at the time of the transaction.</w:t>
      </w:r>
    </w:p>
    <w:p>
      <w:pPr>
        <w:jc w:val="both"/>
        <w:ind w:left="340" w:hanging="332"/>
        <w:spacing w:after="0" w:line="256"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94,697 shares of Class A Common Stock offered and sold to Deerfield Private Design Fund V, L.P. and 56,818 shares of Class A Common Stock offered and sold to Deerfield Partners, L.P. The investment manager of Deerfield Private Design Fund V, L.P. and Deerfield Partners, L.P is Deerfield Management Company, L.P., which held more than 5% of our outstanding Class A Common Stock at the time of the transaction.</w:t>
      </w:r>
    </w:p>
    <w:p>
      <w:pPr>
        <w:spacing w:after="0" w:line="1" w:lineRule="exact"/>
        <w:rPr>
          <w:rFonts w:ascii="Times New Roman" w:cs="Times New Roman" w:eastAsia="Times New Roman" w:hAnsi="Times New Roman"/>
          <w:sz w:val="14"/>
          <w:szCs w:val="14"/>
          <w:color w:val="auto"/>
        </w:rPr>
      </w:pPr>
    </w:p>
    <w:p>
      <w:pPr>
        <w:ind w:left="340" w:hanging="332"/>
        <w:spacing w:after="0" w:line="259"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49,483 shares of Class A Common Stock offered and sold to Vaal Investment Partners Q9 LP, 9,990 shares of Class A Common Stock offered and sold to Rugu2 LLC, and 4,920 shares of Class A Common Stock offered and sold to Kariba LLC. Rho Partners is an affiliate of Joshua Ruch, a member of our Board.</w:t>
      </w:r>
    </w:p>
    <w:p>
      <w:pPr>
        <w:ind w:left="340" w:hanging="332"/>
        <w:spacing w:after="0" w:line="283"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37,878 shares of Class A Common Stock offered and sold to Section 32 Fund 2, L.P. Section32 is an affiliate of Michael Pellini, a former member of our Board who resigned in February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Support Agreements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OPKO Health, Inc. (“</w:t>
      </w:r>
      <w:r>
        <w:rPr>
          <w:rFonts w:ascii="Times New Roman" w:cs="Times New Roman" w:eastAsia="Times New Roman" w:hAnsi="Times New Roman"/>
          <w:sz w:val="18"/>
          <w:szCs w:val="18"/>
          <w:i w:val="1"/>
          <w:iCs w:val="1"/>
          <w:color w:val="auto"/>
        </w:rPr>
        <w:t>OPKO</w:t>
      </w:r>
      <w:r>
        <w:rPr>
          <w:rFonts w:ascii="Times New Roman" w:cs="Times New Roman" w:eastAsia="Times New Roman" w:hAnsi="Times New Roman"/>
          <w:sz w:val="18"/>
          <w:szCs w:val="18"/>
          <w:color w:val="auto"/>
        </w:rPr>
        <w:t>”), the parent of Legacy GeneDx, and we entered into Support Agreements (the “</w:t>
      </w:r>
      <w:r>
        <w:rPr>
          <w:rFonts w:ascii="Times New Roman" w:cs="Times New Roman" w:eastAsia="Times New Roman" w:hAnsi="Times New Roman"/>
          <w:sz w:val="18"/>
          <w:szCs w:val="18"/>
          <w:i w:val="1"/>
          <w:iCs w:val="1"/>
          <w:color w:val="auto"/>
        </w:rPr>
        <w:t>Support Agreements</w:t>
      </w:r>
      <w:r>
        <w:rPr>
          <w:rFonts w:ascii="Times New Roman" w:cs="Times New Roman" w:eastAsia="Times New Roman" w:hAnsi="Times New Roman"/>
          <w:sz w:val="18"/>
          <w:szCs w:val="18"/>
          <w:color w:val="auto"/>
        </w:rPr>
        <w:t>”) with certain of our stockholders (including CMLS Holdings LLC, Casdin Partners Master Fund, L.P., Corvex Master Fund LP, Corvex Select Equity Master Fund LP, Corvex Dynamic Equity Select Master Fund LP, Icahn School of Medicine at Mount Sinai, and Section 32 Fund 2, L.P., whereby such stockholders agreed to, among other things, (a) vote at any meeting of our stockholders all of their shares of our Class A Common Stock held of record: (i) to approve the issuance of the stock consideration pursuant to the Agreement and Plan of Merger and Reorganization dated January 14, 2022, by and among the Company, GeneDx, Inc., OPKO, Orion Merger Sub I, Inc., Orion Merger Sub II, LLC, and GeneDx Holding 2, Inc. (the “</w:t>
      </w:r>
      <w:r>
        <w:rPr>
          <w:rFonts w:ascii="Times New Roman" w:cs="Times New Roman" w:eastAsia="Times New Roman" w:hAnsi="Times New Roman"/>
          <w:sz w:val="18"/>
          <w:szCs w:val="18"/>
          <w:i w:val="1"/>
          <w:iCs w:val="1"/>
          <w:color w:val="auto"/>
        </w:rPr>
        <w:t>Acquisition Merger Agreement</w:t>
      </w:r>
      <w:r>
        <w:rPr>
          <w:rFonts w:ascii="Times New Roman" w:cs="Times New Roman" w:eastAsia="Times New Roman" w:hAnsi="Times New Roman"/>
          <w:sz w:val="18"/>
          <w:szCs w:val="18"/>
          <w:color w:val="auto"/>
        </w:rPr>
        <w:t>”), and the issuance of our Class A Common Stock pursuant to the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agreements for the Acquisition; (ii) to approve the appointment of two specified designees to the Board for terms that expire no earlier than the end of the Second Milestone Period (as defined in the Acquisition Merger Agreement); (iii) to approve an amendment to our Third Amended and Restated Certificate of Incorporation (as amended,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to increase the number of authorized shares of our Class A Common Stock from 380,000,000 (or 11,515,151 after adjusting for the Reverse Stock Split) to 1,000,000,000 (or 30,303,030 after adjusting for the Reverse Stock Split); (iv) to approve any other proposal included in a proxy statement that is recommended by the Board as necessary to consummate the transactions in connection with the Acquisition Merger Agreement;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us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our Class A Common Stock, prior to the meeting, in each case, on the terms and subject to the conditions set forth in the Support Agreements.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Transition Services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Acquisition, we and OPKO entered into a transition services agreement dated as of April 29, 2022 pursuant to which OPKO agreed to provide, at cost, certain services in support of the acquisition of the Legacy GeneDx business through December 31, 2022, subject to certain limited exceptions, in order to facilitate the transactions contemplated by the Acquisition Merger Agreement, including human resources, information technology support, and finance and accounting. We made direct payments to OPKO of approximately $0.7 million pursuant to such transition services agreement in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Shares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Acquisition Merger Agreement, the Company has reserved 30,864,198 shares of Class A Common Stock (or 935,278 shares after adjusting for the Reverse Stock Split) to be issued to OPKO upon the occurrence of certain Milestone Events (as defined in the Acquisition Merger Agreement) (such shares, the “</w:t>
      </w:r>
      <w:r>
        <w:rPr>
          <w:rFonts w:ascii="Times New Roman" w:cs="Times New Roman" w:eastAsia="Times New Roman" w:hAnsi="Times New Roman"/>
          <w:sz w:val="18"/>
          <w:szCs w:val="18"/>
          <w:i w:val="1"/>
          <w:iCs w:val="1"/>
          <w:color w:val="auto"/>
        </w:rPr>
        <w:t>Milestone Shares</w:t>
      </w:r>
      <w:r>
        <w:rPr>
          <w:rFonts w:ascii="Times New Roman" w:cs="Times New Roman" w:eastAsia="Times New Roman" w:hAnsi="Times New Roman"/>
          <w:sz w:val="18"/>
          <w:szCs w:val="18"/>
          <w:color w:val="auto"/>
        </w:rPr>
        <w:t>”). On April 14, 2023, the Company issued 23,148,148 Milestone Shares (or 701,459 shares after adjusting for the Reverse Stock Split), which amounted to a fair market value of approximately $6.7 million based on the closing price of our Class A Common Stock on April 14, 2023, to OPKO in accordance with the Acquisition Merger Agreement following the achievement of certain Milestone Events.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Adjustment</w:t>
      </w:r>
    </w:p>
    <w:p>
      <w:pPr>
        <w:spacing w:after="0" w:line="17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and pursuant to the terms of the Acquisition Merger Agreement, we received a cash payment totaling approximately $1.3 million from OPKO in March 2023 to account for the Net Working Capital Shortfall (as defined in the Acquisition Merger Agreement) of Legacy GeneDx that was part of the initial consideration for the Acquisition.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Immediate Family Members of Our Executive Officers and Directors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Emilio Schadt, the son of Eric Schadt, our former Chief Executive Officer and former director, was employed with us as a Data Science Software Engineer, where he was responsible for implementing methods to improve data reliability. During the years ended December 31, 2022 and 2021, Mr. Emilio Schadt had total compensation, including base salary and bonus, of $124,631 and $177,543, respectively. Rick Wallsten, the brother of Eric Schadt, our former Chief Executive Officer and former director, was employed by us as a clinical pharmacist from November 2017 to October 2022, where he was responsible for certain aspects of our pharmacogenomics program. During the years ended December 31, 2022 and 2021, Mr. Wallsten had total cash compensation, including base salary and bonus, of $159,350 and $209,563, respectively. Carol Senn, the sister-in-law of James Coffin, our former Chief Operating Officer, was employed with us as an Account Manager from November 2020 to October 2022, where she was responsible for certain aspects of growing the business. During the years ended December 31, 2022 and 2021, Ms. Senn had total compensation, including base salary, of $143,808 and $155,706, respectively. Kelly Peterson, the sister of James Coffin, our former Chief Operating Officer, was employed with us as a Sales Specialist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Oncology from February 2019 to October 2022, where she was responsible for the aspect of growing the business. During the years ended December 31, 2022 and 2021, Ms. Peterson had total compensation, including base salary, of $174,470 and $211,152, respectively. None of the individuals discussed above in this paragraph remain employed or affiliated with the Company.</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and Subleases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were a party to several space license agreements and continue to be a party to sublease agreements with the Mount Sinai Health System (which we refer to together with its related entities as “</w:t>
      </w:r>
      <w:r>
        <w:rPr>
          <w:rFonts w:ascii="Times New Roman" w:cs="Times New Roman" w:eastAsia="Times New Roman" w:hAnsi="Times New Roman"/>
          <w:sz w:val="18"/>
          <w:szCs w:val="18"/>
          <w:i w:val="1"/>
          <w:iCs w:val="1"/>
          <w:color w:val="auto"/>
        </w:rPr>
        <w:t>Mount Sinai</w:t>
      </w:r>
      <w:r>
        <w:rPr>
          <w:rFonts w:ascii="Times New Roman" w:cs="Times New Roman" w:eastAsia="Times New Roman" w:hAnsi="Times New Roman"/>
          <w:sz w:val="18"/>
          <w:szCs w:val="18"/>
          <w:color w:val="auto"/>
        </w:rPr>
        <w:t>”) pursuant to which we leased approximately 124,000 square feet of office and laboratory space in Stamford, Connecticut for our headquarters and laboratory operations. Rent expense for all facilities subleased by Icahn School of Medicine at Mount Sinai (“</w:t>
      </w:r>
      <w:r>
        <w:rPr>
          <w:rFonts w:ascii="Times New Roman" w:cs="Times New Roman" w:eastAsia="Times New Roman" w:hAnsi="Times New Roman"/>
          <w:sz w:val="18"/>
          <w:szCs w:val="18"/>
          <w:i w:val="1"/>
          <w:iCs w:val="1"/>
          <w:color w:val="auto"/>
        </w:rPr>
        <w:t>ISMMS</w:t>
      </w:r>
      <w:r>
        <w:rPr>
          <w:rFonts w:ascii="Times New Roman" w:cs="Times New Roman" w:eastAsia="Times New Roman" w:hAnsi="Times New Roman"/>
          <w:sz w:val="18"/>
          <w:szCs w:val="18"/>
          <w:color w:val="auto"/>
        </w:rPr>
        <w:t>”) to Legacy Sema4, for which sublease we provide guaranty for Legacy Sema4's obligations thereunder, was $2.8 million for the year ended December 31, 2022 and $4.2 million for the year ended December 31, 2021. The total future minimum lease payments due under the sublease was $114.2 million on an undiscounted basis as of January 1, 2022. In March 2023, we executed an agreement with ISMMS to opt in to the early termination clause set forth in the original prime lease agreement that was entered into by Mount Sinai on behalf of us. This will result in a reduction to the future minimum lease payment.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and Employee Compensation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ISMMS provided transition services, under a transition services agreement and other contractual arrangements with us for services related to finance (accounts payable &amp; purchasing, general accounting, financial systems, and payroll), real estate management, insurance coverage, compliance, equipment subleases, and IT. The transition services agreement expired on March 28, 2021. We made direct payments to ISMMS of approximately $1.6 million pursuant to such transition services agreement in 2021.</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partial reimbursement to Mount Sinai for limited compensation, services, and related expenses for certain individuals employed by Mount Sinai and certain individuals employed at both Mount Sinai and our company. For the years ended December 31, 2022 and 2021, the total amount of such reimbursement for employee compensation and expenses incurred by us was equal to approximately $0.8 million and $1.2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Relationships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Mount Sinai</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$0.7 million and $1.4 million for the years ended December 31, 2022 and 2021,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Twist Biosciences</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rely on a limited number of suppliers, one of which is Twist Biosciences Corp. (“</w:t>
      </w:r>
      <w:r>
        <w:rPr>
          <w:rFonts w:ascii="Times New Roman" w:cs="Times New Roman" w:eastAsia="Times New Roman" w:hAnsi="Times New Roman"/>
          <w:sz w:val="18"/>
          <w:szCs w:val="18"/>
          <w:i w:val="1"/>
          <w:iCs w:val="1"/>
          <w:color w:val="auto"/>
        </w:rPr>
        <w:t>Twist</w:t>
      </w:r>
      <w:r>
        <w:rPr>
          <w:rFonts w:ascii="Times New Roman" w:cs="Times New Roman" w:eastAsia="Times New Roman" w:hAnsi="Times New Roman"/>
          <w:sz w:val="18"/>
          <w:szCs w:val="18"/>
          <w:color w:val="auto"/>
        </w:rPr>
        <w:t>”), for certain laboratory reagents, as well as sequencers and other equipment and materials, which we use in our laboratory operations. We entered into a master supply agreement with Twist on January 24, 2023 for the purpose of the supply by Twist of these reagents, equipment and materials to us. Emily Leproust, Ph.D., a member of our Board since September 2020, has been President and Chief Executive Officer of Twist since co-founding Twist in 2013. Since October 2018, she has also served as the chair of the board of directors for Twist. For the years ended December 31, 2022 and 2021, we made payments to Twist of approximately $1.5 million and $1.3 million for lab testing materials,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Charter contains provisions limiting the liability of directors and executive officers,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spacing w:after="0" w:line="129" w:lineRule="exact"/>
        <w:rPr>
          <w:sz w:val="20"/>
          <w:szCs w:val="20"/>
          <w:color w:val="auto"/>
        </w:rPr>
      </w:pPr>
    </w:p>
    <w:p>
      <w:pPr>
        <w:ind w:right="478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Related Party Transactions Entered into in Connection with the Business Combination </w:t>
      </w:r>
      <w:r>
        <w:rPr>
          <w:rFonts w:ascii="Times New Roman" w:cs="Times New Roman" w:eastAsia="Times New Roman" w:hAnsi="Times New Roman"/>
          <w:sz w:val="18"/>
          <w:szCs w:val="18"/>
          <w:i w:val="1"/>
          <w:iCs w:val="1"/>
          <w:color w:val="auto"/>
        </w:rPr>
        <w:t>Business Combination Subscription Agreements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certain investors purchased an aggregate of 35,000,000 shares of Class A Common Stock at $10.00 per share, for an aggregate purchase price of $350 million in private placements that closed in July 2021. The funds from such private placement were used as part of the consideration to Legacy Sema4’s equity holders in connection with the Business Combination. The following table sets forth the number of shares of our Class A Common Stock issued to our directors, executive officers and holders of more than 5% of our outstanding Class A Common Stock and their affiliates in this transaction: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Purchaser</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Casdin</w:t>
      </w:r>
      <w:r>
        <w:rPr>
          <w:rFonts w:ascii="Times New Roman" w:cs="Times New Roman" w:eastAsia="Times New Roman" w:hAnsi="Times New Roman"/>
          <w:sz w:val="23"/>
          <w:szCs w:val="23"/>
          <w:color w:val="auto"/>
          <w:vertAlign w:val="superscript"/>
        </w:rPr>
        <w:t>(1)</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Entities affiliated with Corvex</w:t>
      </w:r>
      <w:r>
        <w:rPr>
          <w:rFonts w:ascii="Times New Roman" w:cs="Times New Roman" w:eastAsia="Times New Roman" w:hAnsi="Times New Roman"/>
          <w:sz w:val="23"/>
          <w:szCs w:val="23"/>
          <w:color w:val="auto"/>
          <w:vertAlign w:val="superscript"/>
        </w:rPr>
        <w:t>(2)</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Entities affiliated with Deerfield</w:t>
      </w:r>
      <w:r>
        <w:rPr>
          <w:rFonts w:ascii="Times New Roman" w:cs="Times New Roman" w:eastAsia="Times New Roman" w:hAnsi="Times New Roman"/>
          <w:sz w:val="22"/>
          <w:szCs w:val="22"/>
          <w:color w:val="auto"/>
          <w:vertAlign w:val="superscript"/>
        </w:rPr>
        <w:t>(3)</w:t>
      </w:r>
    </w:p>
    <w:p>
      <w:pPr>
        <w:spacing w:after="0" w:line="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1055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20656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Aggregate Gross</w:t>
            </w:r>
          </w:p>
        </w:tc>
      </w:tr>
      <w:tr>
        <w:trPr>
          <w:trHeight w:val="198"/>
        </w:trPr>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Consideration ($)</w:t>
            </w:r>
          </w:p>
        </w:tc>
      </w:tr>
      <w:tr>
        <w:trPr>
          <w:trHeight w:val="295"/>
        </w:trPr>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151,515</w:t>
            </w:r>
          </w:p>
        </w:tc>
        <w:tc>
          <w:tcPr>
            <w:tcW w:w="120" w:type="dxa"/>
            <w:vAlign w:val="bottom"/>
          </w:tcPr>
          <w:p>
            <w:pPr>
              <w:spacing w:after="0"/>
              <w:rPr>
                <w:sz w:val="24"/>
                <w:szCs w:val="2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w:t>
            </w:r>
          </w:p>
        </w:tc>
      </w:tr>
      <w:tr>
        <w:trPr>
          <w:trHeight w:val="311"/>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121,212</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r>
      <w:tr>
        <w:trPr>
          <w:trHeight w:val="310"/>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27,500,000</w:t>
            </w:r>
          </w:p>
        </w:tc>
      </w:tr>
      <w:tr>
        <w:trPr>
          <w:trHeight w:val="250"/>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356,060</w:t>
            </w:r>
          </w:p>
        </w:tc>
        <w:tc>
          <w:tcPr>
            <w:tcW w:w="12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117,500,000</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-402590</wp:posOffset>
            </wp:positionV>
            <wp:extent cx="7132320" cy="196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-796290</wp:posOffset>
            </wp:positionV>
            <wp:extent cx="7132320"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1440" w:right="339" w:bottom="1440" w:gutter="0" w:footer="0" w:header="0"/>
          <w:type w:val="continuous"/>
        </w:sectPr>
      </w:pPr>
    </w:p>
    <w:p>
      <w:pPr>
        <w:spacing w:after="0" w:line="101" w:lineRule="exact"/>
        <w:rPr>
          <w:sz w:val="20"/>
          <w:szCs w:val="20"/>
          <w:color w:val="auto"/>
        </w:rPr>
      </w:pPr>
    </w:p>
    <w:p>
      <w:pPr>
        <w:ind w:left="340" w:hanging="332"/>
        <w:spacing w:after="0" w:line="271"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151,515 shares of Class A Common Stock held by affiliates of Casdin Partners Master Fund L.P. which is affiliated with Eli D. Casdin, a member of our Board.</w:t>
      </w:r>
    </w:p>
    <w:p>
      <w:pPr>
        <w:ind w:left="340" w:hanging="332"/>
        <w:spacing w:after="0" w:line="283"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121,212 shares of Class A Common Stock held by affiliates of Corvex Management L.P., whose general partner is under the control of Keith Meister,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135" w:lineRule="exact"/>
        <w:rPr>
          <w:sz w:val="20"/>
          <w:szCs w:val="20"/>
          <w:color w:val="auto"/>
        </w:rPr>
      </w:pPr>
    </w:p>
    <w:p>
      <w:pPr>
        <w:ind w:left="340" w:hanging="332"/>
        <w:spacing w:after="0" w:line="302"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83,333 shares of Class A Common Stock held by affiliates of Deerfield Management Company, L.P. which held more than 5% of our outstanding Class A Common Stock at the time of the transaction.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Registration Rights Agreement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we, CMLS Holdings LLC and certain other parties thereto (collectively, the “</w:t>
      </w:r>
      <w:r>
        <w:rPr>
          <w:rFonts w:ascii="Times New Roman" w:cs="Times New Roman" w:eastAsia="Times New Roman" w:hAnsi="Times New Roman"/>
          <w:sz w:val="18"/>
          <w:szCs w:val="18"/>
          <w:i w:val="1"/>
          <w:iCs w:val="1"/>
          <w:color w:val="auto"/>
        </w:rPr>
        <w:t>rights holders</w:t>
      </w:r>
      <w:r>
        <w:rPr>
          <w:rFonts w:ascii="Times New Roman" w:cs="Times New Roman" w:eastAsia="Times New Roman" w:hAnsi="Times New Roman"/>
          <w:sz w:val="18"/>
          <w:szCs w:val="18"/>
          <w:color w:val="auto"/>
        </w:rPr>
        <w:t>”) entered into an amended and restated registration rights agreement (the “</w:t>
      </w:r>
      <w:r>
        <w:rPr>
          <w:rFonts w:ascii="Times New Roman" w:cs="Times New Roman" w:eastAsia="Times New Roman" w:hAnsi="Times New Roman"/>
          <w:sz w:val="18"/>
          <w:szCs w:val="18"/>
          <w:i w:val="1"/>
          <w:iCs w:val="1"/>
          <w:color w:val="auto"/>
        </w:rPr>
        <w:t>Amended and Restated Registration Rights Agreement</w:t>
      </w:r>
      <w:r>
        <w:rPr>
          <w:rFonts w:ascii="Times New Roman" w:cs="Times New Roman" w:eastAsia="Times New Roman" w:hAnsi="Times New Roman"/>
          <w:sz w:val="18"/>
          <w:szCs w:val="18"/>
          <w:color w:val="auto"/>
        </w:rPr>
        <w:t>”). Pursuant to the terms of the Amended and Restated Registration Rights Agreement, we were required to prepare and file with the SEC, no later than 30 days after the closing date for the Merger, a shelf registration statement for an offering to be made on a continuous basis from time to time with respect to the resale of the registrable shares under the Amended and Restated Registration Rights Agreement. We were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 review such registration statement, subject to extension in the event that the registration is subject comments from the SEC.</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ISMMS Lock-Up Agreement</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that certain Agreement and Plan of Merger, dated as of February 9, 2021, by and among CMLS, S-IV Sub, Inc. and Legacy Sema4 (as amended, the “</w:t>
      </w:r>
      <w:r>
        <w:rPr>
          <w:rFonts w:ascii="Times New Roman" w:cs="Times New Roman" w:eastAsia="Times New Roman" w:hAnsi="Times New Roman"/>
          <w:sz w:val="18"/>
          <w:szCs w:val="18"/>
          <w:i w:val="1"/>
          <w:iCs w:val="1"/>
          <w:color w:val="auto"/>
        </w:rPr>
        <w:t>Business Combination Merger Agreement</w:t>
      </w:r>
      <w:r>
        <w:rPr>
          <w:rFonts w:ascii="Times New Roman" w:cs="Times New Roman" w:eastAsia="Times New Roman" w:hAnsi="Times New Roman"/>
          <w:sz w:val="18"/>
          <w:szCs w:val="18"/>
          <w:color w:val="auto"/>
        </w:rPr>
        <w:t>”), we and ISMMS entered into a lock-up agreement whereby ISMMS agreed to certain transfer restrictions in respect of the shares of our Class A Common Stock issued to ISMMS pursuant to the Business Combination Merger Agreement. These transfer restrictions expired on January 18,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Lock-up Agreements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Merger Agreement, each stockholder of Legacy Sema4 prior to the closing of the Business Combination holding more than 1% of the outstanding common stock of Legacy Sema4 as of the date thereof, entered into a lock-up agreement whereby such shareholder agreed to certain transfer restrictions in respect of the shares of our Class A Common Stock issued to such shareholder pursuant to the Business Combination Merger Agreement. These transfer restrictions expired on January 18,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Katherine Stueland and Jason Ryan, qualifies as an independent director under Nasdaq listing standards. Each director who serves on our Audit Committee, Compensation Committee and Nominating and Corporate Governance Committee are independent under Nasdaq listing standards. See the section entitled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elsewhere in this proxy statement for more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BENEFICIAL OWNERS AND MANAGEMENT</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Class A Common Stock as of April 17, 2023, by:</w:t>
      </w:r>
    </w:p>
    <w:p>
      <w:pPr>
        <w:spacing w:after="0" w:line="17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Class A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share and other amounts set forth in this section have been adjusted for the impact of the Reverse Stock Split. Percentage ownership of our Class A Common Stock is based on 25,587,605 shares of our Class A Common Stock outstanding on April 17, 2023 after adjusting for the Reverse Stock Split. Beneficial ownership is determined according to the rules of the SEC, which generally provide that a person has beneficial ownership of a security if he, she or it possesses sole or shared voting or investment power over that security or has the right to acquire a security, such as through the exercise of warrants or stock options or the vesting of RSUs, within 60 days of the date above. Shares subject to warrants or options that are currently exercisable or exercisable within 60 days of the date above or subject to RSUs that vest within 60 days of such date are considered outstanding and beneficially owned by the person holding such warrants, options or RSUs for the purpose of computing the percentage ownership of that person but are not treated as outstanding for the purpose of computing the percentage ownership of any other person.</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GeneDx Holdings Corp., 333 Ludlow Street, North Tower, 6th Floor, Stamford, Connecticut 06902.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7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Owners</w:t>
            </w:r>
          </w:p>
        </w:tc>
        <w:tc>
          <w:tcPr>
            <w:tcW w:w="16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Class A</w:t>
            </w:r>
          </w:p>
        </w:tc>
        <w:tc>
          <w:tcPr>
            <w:tcW w:w="0" w:type="dxa"/>
            <w:vAlign w:val="bottom"/>
          </w:tcPr>
          <w:p>
            <w:pPr>
              <w:spacing w:after="0"/>
              <w:rPr>
                <w:sz w:val="1"/>
                <w:szCs w:val="1"/>
                <w:color w:val="auto"/>
              </w:rPr>
            </w:pPr>
          </w:p>
        </w:tc>
      </w:tr>
      <w:tr>
        <w:trPr>
          <w:trHeight w:val="203"/>
        </w:trPr>
        <w:tc>
          <w:tcPr>
            <w:tcW w:w="7980" w:type="dxa"/>
            <w:vAlign w:val="bottom"/>
            <w:gridSpan w:val="2"/>
            <w:vMerge w:val="continue"/>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Blackstone Group Inc. </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842,496</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Deerfield Management Company, L.P. </w:t>
            </w:r>
            <w:r>
              <w:rPr>
                <w:rFonts w:ascii="Times New Roman" w:cs="Times New Roman" w:eastAsia="Times New Roman" w:hAnsi="Times New Roman"/>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1,733,093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Icahn School of Medicine at Mount Sinai </w:t>
            </w:r>
            <w:r>
              <w:rPr>
                <w:rFonts w:ascii="Times New Roman" w:cs="Times New Roman" w:eastAsia="Times New Roman" w:hAnsi="Times New Roman"/>
                <w:sz w:val="23"/>
                <w:szCs w:val="23"/>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3,723,633</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OPKO Health, Inc. </w:t>
            </w:r>
            <w:r>
              <w:rPr>
                <w:rFonts w:ascii="Times New Roman" w:cs="Times New Roman" w:eastAsia="Times New Roman" w:hAnsi="Times New Roman"/>
                <w:sz w:val="23"/>
                <w:szCs w:val="23"/>
                <w:color w:val="auto"/>
                <w:vertAlign w:val="superscript"/>
              </w:rPr>
              <w:t>(4)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3,558,601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Casdin Partners Master Fund, L.P.</w:t>
            </w:r>
            <w:r>
              <w:rPr>
                <w:rFonts w:ascii="Times New Roman" w:cs="Times New Roman" w:eastAsia="Times New Roman" w:hAnsi="Times New Roman"/>
                <w:sz w:val="23"/>
                <w:szCs w:val="23"/>
                <w:color w:val="auto"/>
                <w:vertAlign w:val="superscript"/>
              </w:rPr>
              <w:t>(5)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3,095,508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Corvex Management, L.P. </w:t>
            </w:r>
            <w:r>
              <w:rPr>
                <w:rFonts w:ascii="Times New Roman" w:cs="Times New Roman" w:eastAsia="Times New Roman" w:hAnsi="Times New Roman"/>
                <w:sz w:val="23"/>
                <w:szCs w:val="23"/>
                <w:color w:val="auto"/>
                <w:vertAlign w:val="superscript"/>
              </w:rPr>
              <w:t>(6)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3,307,519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Katherine Stueland </w:t>
            </w:r>
            <w:r>
              <w:rPr>
                <w:rFonts w:ascii="Times New Roman" w:cs="Times New Roman" w:eastAsia="Times New Roman" w:hAnsi="Times New Roman"/>
                <w:sz w:val="23"/>
                <w:szCs w:val="23"/>
                <w:color w:val="auto"/>
                <w:vertAlign w:val="superscript"/>
              </w:rPr>
              <w:t>(7)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Eric Schadt </w:t>
            </w:r>
            <w:r>
              <w:rPr>
                <w:rFonts w:ascii="Times New Roman" w:cs="Times New Roman" w:eastAsia="Times New Roman" w:hAnsi="Times New Roman"/>
                <w:sz w:val="23"/>
                <w:szCs w:val="23"/>
                <w:color w:val="auto"/>
                <w:vertAlign w:val="superscript"/>
              </w:rPr>
              <w:t>(8)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241,494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Jason Ryan </w:t>
            </w:r>
            <w:r>
              <w:rPr>
                <w:rFonts w:ascii="Times New Roman" w:cs="Times New Roman" w:eastAsia="Times New Roman" w:hAnsi="Times New Roman"/>
                <w:sz w:val="23"/>
                <w:szCs w:val="23"/>
                <w:color w:val="auto"/>
                <w:vertAlign w:val="superscript"/>
              </w:rPr>
              <w:t>(9)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Kevin Feeley </w:t>
            </w:r>
            <w:r>
              <w:rPr>
                <w:rFonts w:ascii="Times New Roman" w:cs="Times New Roman" w:eastAsia="Times New Roman" w:hAnsi="Times New Roman"/>
                <w:sz w:val="23"/>
                <w:szCs w:val="23"/>
                <w:color w:val="auto"/>
                <w:vertAlign w:val="superscript"/>
              </w:rPr>
              <w:t>(10)</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Dennis Charney</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 D. Casdin </w:t>
            </w:r>
            <w:r>
              <w:rPr>
                <w:rFonts w:ascii="Times New Roman" w:cs="Times New Roman" w:eastAsia="Times New Roman" w:hAnsi="Times New Roman"/>
                <w:sz w:val="23"/>
                <w:szCs w:val="23"/>
                <w:color w:val="auto"/>
                <w:vertAlign w:val="superscript"/>
              </w:rPr>
              <w:t>(11)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3,637,625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Emily Leproust </w:t>
            </w:r>
            <w:r>
              <w:rPr>
                <w:rFonts w:ascii="Times New Roman" w:cs="Times New Roman" w:eastAsia="Times New Roman" w:hAnsi="Times New Roman"/>
                <w:sz w:val="23"/>
                <w:szCs w:val="23"/>
                <w:color w:val="auto"/>
                <w:vertAlign w:val="superscript"/>
              </w:rPr>
              <w:t>(12)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Keith Meister </w:t>
            </w:r>
            <w:r>
              <w:rPr>
                <w:rFonts w:ascii="Times New Roman" w:cs="Times New Roman" w:eastAsia="Times New Roman" w:hAnsi="Times New Roman"/>
                <w:sz w:val="23"/>
                <w:szCs w:val="23"/>
                <w:color w:val="auto"/>
                <w:vertAlign w:val="superscript"/>
              </w:rPr>
              <w:t>(13)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3,848,572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Joshua Ruch </w:t>
            </w:r>
            <w:r>
              <w:rPr>
                <w:rFonts w:ascii="Times New Roman" w:cs="Times New Roman" w:eastAsia="Times New Roman" w:hAnsi="Times New Roman"/>
                <w:sz w:val="23"/>
                <w:szCs w:val="23"/>
                <w:color w:val="auto"/>
                <w:vertAlign w:val="superscript"/>
              </w:rPr>
              <w:t>(14)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Rachel Sherman </w:t>
            </w:r>
            <w:r>
              <w:rPr>
                <w:rFonts w:ascii="Times New Roman" w:cs="Times New Roman" w:eastAsia="Times New Roman" w:hAnsi="Times New Roman"/>
                <w:sz w:val="23"/>
                <w:szCs w:val="23"/>
                <w:color w:val="auto"/>
                <w:vertAlign w:val="superscript"/>
              </w:rPr>
              <w:t>(15)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Richard Pfenniger, Jr. </w:t>
            </w:r>
            <w:r>
              <w:rPr>
                <w:rFonts w:ascii="Times New Roman" w:cs="Times New Roman" w:eastAsia="Times New Roman" w:hAnsi="Times New Roman"/>
                <w:sz w:val="23"/>
                <w:szCs w:val="23"/>
                <w:color w:val="auto"/>
                <w:vertAlign w:val="superscript"/>
              </w:rPr>
              <w:t>(16)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All Current Directors and Executive Officers as a Group (11 Individuals) </w:t>
            </w:r>
            <w:r>
              <w:rPr>
                <w:rFonts w:ascii="Times New Roman" w:cs="Times New Roman" w:eastAsia="Times New Roman" w:hAnsi="Times New Roman"/>
                <w:sz w:val="23"/>
                <w:szCs w:val="23"/>
                <w:b w:val="1"/>
                <w:bCs w:val="1"/>
                <w:color w:val="auto"/>
                <w:vertAlign w:val="superscript"/>
              </w:rPr>
              <w:t>(17)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7,278,453</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055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2"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Less than one percent.</w:t>
      </w:r>
    </w:p>
    <w:p>
      <w:pPr>
        <w:spacing w:after="0" w:line="27" w:lineRule="exact"/>
        <w:rPr>
          <w:sz w:val="20"/>
          <w:szCs w:val="20"/>
          <w:color w:val="auto"/>
        </w:rPr>
      </w:pPr>
    </w:p>
    <w:p>
      <w:pPr>
        <w:jc w:val="both"/>
        <w:ind w:left="340" w:hanging="332"/>
        <w:spacing w:after="0" w:line="258"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February 3, 2023 by Blackstone Holding III L.P. and after adjustment for the Reverse Stock Split. Consists of (i) 813,309 shares of Class A Common Stock held by BTO Sema4 Holdings L.P., (ii) 16,833 shares of Class A Common Stock held by Blackstone Tactical Opportunities Fund - FD L.P., (iii) 4,918 shares of Class A Common Stock held by Blackstone Family Tactical Opportunities Investment Partnership III ESC L.P., and (iv) (a) 0 shares of Class A Common Stock and (b) warrants to purchase 7,436 shares of Class A Common Stock which are exercisable within 60 days of February 3, 2023 held by Blackstone Aqua Master Sub-Fund, a sub-fund of Blackstone Global Master Fund ICAV.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jc w:val="both"/>
        <w:ind w:left="340" w:hanging="332"/>
        <w:spacing w:after="0" w:line="262"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13G/A filed with the SEC on February 1, 2023 by James E. Flynn and after adjustment for the Reverse Stock Split. Consists of 1,733,093 shares of Class A Common Stock held by Deerfield Partners, L.P. (“Deerfield Partners”). Deerfield Management Company, L.P. (“Deerfield Management”) is the investment manager of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35" w:lineRule="exact"/>
        <w:rPr>
          <w:sz w:val="20"/>
          <w:szCs w:val="20"/>
          <w:color w:val="auto"/>
        </w:rPr>
      </w:pPr>
    </w:p>
    <w:p>
      <w:pPr>
        <w:ind w:left="332"/>
        <w:spacing w:after="0" w:line="271" w:lineRule="auto"/>
        <w:rPr>
          <w:sz w:val="20"/>
          <w:szCs w:val="20"/>
          <w:color w:val="auto"/>
        </w:rPr>
      </w:pPr>
      <w:r>
        <w:rPr>
          <w:rFonts w:ascii="Times New Roman" w:cs="Times New Roman" w:eastAsia="Times New Roman" w:hAnsi="Times New Roman"/>
          <w:sz w:val="14"/>
          <w:szCs w:val="14"/>
          <w:color w:val="auto"/>
        </w:rPr>
        <w:t>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jc w:val="both"/>
        <w:ind w:left="332" w:hanging="332"/>
        <w:spacing w:after="0" w:line="257"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February 6, 2023 by ISMMS and after adjustment for the Reverse Stock Split. Consists of 3,732,633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2"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3,558,601 shares of Class A Common Stock after adjusting for the Reverse Stock Split.</w:t>
      </w:r>
    </w:p>
    <w:p>
      <w:pPr>
        <w:spacing w:after="0" w:line="4" w:lineRule="exact"/>
        <w:rPr>
          <w:rFonts w:ascii="Times New Roman" w:cs="Times New Roman" w:eastAsia="Times New Roman" w:hAnsi="Times New Roman"/>
          <w:sz w:val="14"/>
          <w:szCs w:val="14"/>
          <w:color w:val="auto"/>
        </w:rPr>
      </w:pPr>
    </w:p>
    <w:p>
      <w:pPr>
        <w:jc w:val="both"/>
        <w:ind w:left="332" w:hanging="332"/>
        <w:spacing w:after="0" w:line="260"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3,095,508 shares of Class A Common Stock of which Casdin Partners Master Fund, LP as holder of 2,662,607 shares and Casdin Partners FO1-MSV LP as holder of 432,901 shares. Casdin Capital, LLC is the investment adviser to Casdin Partners Master Fund, LP and Casdin Partners FO1-MSV LP, and Casdin Partners GP, LLC is the general partner of Casdin Partners Master Fund LP and Casdin Partners FO1-MSV LP. Eli Casdin is the managing member of Casdin Capital, LLC and Casdin Partners GP, LLC. As such, each of the foregoing may be deemed to have or share beneficial ownership of the Common Stock held directly by Casdin Partners Master Fund, LP.</w:t>
      </w:r>
    </w:p>
    <w:p>
      <w:pPr>
        <w:spacing w:after="0" w:line="1" w:lineRule="exact"/>
        <w:rPr>
          <w:rFonts w:ascii="Times New Roman" w:cs="Times New Roman" w:eastAsia="Times New Roman" w:hAnsi="Times New Roman"/>
          <w:sz w:val="14"/>
          <w:szCs w:val="14"/>
          <w:color w:val="auto"/>
        </w:rPr>
      </w:pPr>
    </w:p>
    <w:p>
      <w:pPr>
        <w:jc w:val="both"/>
        <w:ind w:left="332" w:hanging="332"/>
        <w:spacing w:after="0" w:line="254"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April 20, 2023 by CMLS Holdings LLC and after adjustment for the Reverse Stock Split. Consists of 3,307,519 shares of Class A Common Stock held indirectly by Corvex Management, L.P., which may be deemed to be indirectly beneficially owned by Keith Meister by virtue of Mr. Meister’s control of the general partner of Corvex Management, L.P.</w:t>
      </w:r>
    </w:p>
    <w:p>
      <w:pPr>
        <w:spacing w:after="0" w:line="1" w:lineRule="exact"/>
        <w:rPr>
          <w:rFonts w:ascii="Times New Roman" w:cs="Times New Roman" w:eastAsia="Times New Roman" w:hAnsi="Times New Roman"/>
          <w:sz w:val="14"/>
          <w:szCs w:val="14"/>
          <w:color w:val="auto"/>
        </w:rPr>
      </w:pPr>
    </w:p>
    <w:p>
      <w:pPr>
        <w:ind w:left="332" w:right="20" w:hanging="332"/>
        <w:spacing w:after="0" w:line="261"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(i) 9,350 shares of Class A Common Stock, (ii) 22,042 shares of Class A Common Stock issuable pursuant to RSUs that will vest within 60 days of April 17, 2023, and (iii) 26,902 shares of Class A Common Stock subject to options that are exercisable within 60 days of April 17, 2023.</w:t>
      </w:r>
    </w:p>
    <w:p>
      <w:pPr>
        <w:ind w:left="332" w:hanging="332"/>
        <w:spacing w:after="0" w:line="251"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(i) 88,173 shares of Class A Common Stock and (ii) 153,321 shares of Class A Common Stock subject to options that are exercisable within 60 days of April 17, 2023.</w:t>
      </w:r>
    </w:p>
    <w:p>
      <w:pPr>
        <w:ind w:left="332" w:hanging="332"/>
        <w:spacing w:after="0" w:line="261" w:lineRule="auto"/>
        <w:tabs>
          <w:tab w:leader="none" w:pos="3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(i) 5,746 shares of Class A Common Stock and (ii) 14,072 shares of Class A Common Stock subject to options that are exercisable within 60 days of April 17, 2023.</w:t>
      </w:r>
    </w:p>
    <w:p>
      <w:pPr>
        <w:ind w:left="332" w:right="20" w:hanging="332"/>
        <w:spacing w:after="0" w:line="254"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(i) 2,359 shares of Class A Common Stock, (ii) 6,192 shares of Class A Common Stock issuable pursuant to RSUs that will vest within 60 days of April 17, 2023, and (iii) 6,476 shares of Class A Common Stock subject to options that are exercisable within 60 days of April 17, 2023.</w:t>
      </w:r>
    </w:p>
    <w:p>
      <w:pPr>
        <w:jc w:val="both"/>
        <w:ind w:left="332" w:hanging="332"/>
        <w:spacing w:after="0" w:line="257" w:lineRule="auto"/>
        <w:tabs>
          <w:tab w:leader="none" w:pos="323"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April 20, 2023 by CMLS Holdings LLC and after adjustment for the Reverse Stock Split. Consists of (i) 388 shares of Class A Common Stock directly held by Mr. Casdin, (ii) 3,095,508 shares of Class A Common Stock of which Casdin Partners Master Fund, LP as holder of 2,662,607 shares and Casdin Partners FO1-MSV LP as holder of 432,901 shares. Casdin Capital, LLC is the investment adviser to Casdin Partners Master Fund, LP and Casdin Partners FO1-MSV LP, and Casdin Partners GP, LLC is the general partner of Casdin Partners Master Fund LP and Casdin Partners FO1-MSV LP. Eli Casdin is the managing member of Casdin Capital, LLC and Casdin Partners GP, LLC. As such, each of the foregoing may be deemed to have or share beneficial ownership of the Class A Common Stock held directly by Casdin Partners Master Fund, LP.; (iii) 537,285 shares of Class A Common Stock that includes 333,143 shares and 204,141 shares of Class A Common Stock issuable upon the exercise of private placement warrants of the Company. 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(iv) 3,066 shares of Class A Common Stock issuable to Mr. Casdin upon exercise of stock options exercisable within 60 days of April 17, 2023; and (v) 1,377 shares of Class A Common Stock issuable to Mr. Casdin upon vesting of RSUs within 60 days of April 17, 2023. The business address of the former sponsor is c/o Corvex Management, L.P., 667 Madison Avenue, New York, NY 10065.</w:t>
      </w:r>
    </w:p>
    <w:p>
      <w:pPr>
        <w:spacing w:after="0" w:line="7" w:lineRule="exact"/>
        <w:rPr>
          <w:rFonts w:ascii="Times New Roman" w:cs="Times New Roman" w:eastAsia="Times New Roman" w:hAnsi="Times New Roman"/>
          <w:sz w:val="14"/>
          <w:szCs w:val="14"/>
          <w:color w:val="auto"/>
        </w:rPr>
      </w:pPr>
    </w:p>
    <w:p>
      <w:pPr>
        <w:jc w:val="both"/>
        <w:ind w:left="332" w:hanging="332"/>
        <w:spacing w:after="0" w:line="254"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(i) 1,146 shares of Class A Common Stock, (ii) 5,050 shares of Class A Common Stock underlying private placement warrants that are exercisable within 60 days of April 17, 2023, (iii) 3,066 shares of Class A Common Stock subject to options that are exercisable within 60 days of April 17, 2023, and (iv) 1,377 shares of Class A Common Stock issuable upon vesting of RSUs within 60 days of April 17, 2023.</w:t>
      </w:r>
    </w:p>
    <w:p>
      <w:pPr>
        <w:spacing w:after="0" w:line="1" w:lineRule="exact"/>
        <w:rPr>
          <w:rFonts w:ascii="Times New Roman" w:cs="Times New Roman" w:eastAsia="Times New Roman" w:hAnsi="Times New Roman"/>
          <w:sz w:val="14"/>
          <w:szCs w:val="14"/>
          <w:color w:val="auto"/>
        </w:rPr>
      </w:pPr>
    </w:p>
    <w:p>
      <w:pPr>
        <w:jc w:val="both"/>
        <w:ind w:left="332" w:hanging="332"/>
        <w:spacing w:after="0" w:line="259"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April 20, 2023 by CMLS Holdings LLC and after adjustment for the Reverse Stock Split. Includes (i) 3,307,519 shares of Class A Common Stock held indirectly by Corvex Management, L.P.; (ii) (x) 333,144 shares of Class A Common Stock and (y) 204,141 shares of Class A Common Stock underlying private placement warrants that are exercisable within 60 days of April 17, 2023 held indirectly by CMLS Holdings LLC; (iii) 2,391 shares of Class A Common Stock issuable to Mr. Meister upon exercise of stock options exercisable within 60 days of April 17, 2023; and (iv) 1,377 shares of Class A Common Stock issuable to Mr. Meister upon vesting of RSUs within 60 days of April 17, 2023.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ind w:left="332" w:hanging="332"/>
        <w:spacing w:after="0" w:line="251"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(i) 194,782 shares of Class A Common Stock, (ii) 1,377 shares of Class A Common Stock issuable pursuant to RSUs that will vest within 60 days of April 17, 2023, and (iii) 3,441 shares of Class A Common Stock subject to options that are exercisable within 60 days of April 17, 2023.</w:t>
      </w:r>
    </w:p>
    <w:p>
      <w:pPr>
        <w:ind w:left="332" w:right="20" w:hanging="332"/>
        <w:spacing w:after="0" w:line="283" w:lineRule="auto"/>
        <w:tabs>
          <w:tab w:leader="none" w:pos="329"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(i) 388 shares of Class A Common Stock, (ii) 1,377 shares of Class A Common Stock issuable pursuant to RSUs that will vest within 60 days of April 17, 2023, and (iii) 12,009 shares of Class A Common Stock subject to options that are exercisable within 60 days of April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32"/>
          </w:cols>
          <w:pgMar w:left="328" w:top="1440" w:right="339" w:bottom="1440" w:gutter="0" w:footer="0" w:header="0"/>
        </w:sectPr>
      </w:pPr>
    </w:p>
    <w:bookmarkStart w:id="37" w:name="page38"/>
    <w:bookmarkEnd w:id="37"/>
    <w:p>
      <w:pPr>
        <w:spacing w:after="0" w:line="135" w:lineRule="exact"/>
        <w:rPr>
          <w:sz w:val="20"/>
          <w:szCs w:val="20"/>
          <w:color w:val="auto"/>
        </w:rPr>
      </w:pPr>
    </w:p>
    <w:p>
      <w:pPr>
        <w:ind w:left="340" w:hanging="332"/>
        <w:spacing w:after="0" w:line="271"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(i) 918 shares of Class A Common Stock issuable pursuant to RSUs that will vest within 60 days of April 17, 2023 and (ii) 1,727 shares of Class A Common Stock subject to options that are exercisable within 60 days of April 17, 2023.</w:t>
      </w:r>
    </w:p>
    <w:p>
      <w:pPr>
        <w:jc w:val="both"/>
        <w:ind w:left="340" w:hanging="332"/>
        <w:spacing w:after="0" w:line="262" w:lineRule="auto"/>
        <w:tabs>
          <w:tab w:leader="none" w:pos="33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adjustment for the Reverse Stock Split, consists of (i) 6,956,315 shares of Class A Common Stock held directly and indirectly by all current directors and current executive officers of the Company as a group, (ii) 39,427 shares of Class A Common Stock issuable pursuant to RSUs held directly by all current directors and executive officers of the Company as a group and that will be vested within 60 days of April 17, 2023, (iii) 73,519 shares of Class A Common Stock subject to options held directly by all current directors and executive officers of the Company as a group and that are exercisable within 60 days of April 17, 2023, and (iv) 209,192 shares of Class A Common Stock underlying private placement warrants held directly and indirectly by all current directors and executive officers of the Company as a group and that are exercisable within 60 days of April 17, 2023.</w:t>
      </w:r>
    </w:p>
    <w:p>
      <w:pPr>
        <w:spacing w:after="0" w:line="2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December 31, 2022, with the exception of: Forms 4 with respect to sale-to-cover transactions in respect of tax withholding obligations in connection with the vesting and settlement of RSUs, which were filed 1 day late on February 2, 2022 on behalf of each of Eric Schadt and Daniel Clark; Forms 4 with respect to the exercise of RSUs, which were filed 9 days late on May 12, 2022 on behalf of each of Eli Casdin, Emily Leproust, Michael Pellini, Jason Ryan, Joshua Ruch and Rachel Sherman; a Form 4 with respect to the issuance of RSUs and an associated sale-to-cover transaction in respect of tax withholding obligations in connection with the vesting and settlement of a portion of the RSUs, which was filed 1 day late on May 12, 2022 on behalf of Isaac Ro; a Form 4 with respect to the issuance of Class A Common Stock, which was filed 47 days late on July 12, 2022 on behalf of Joshua Ruch; and a Form 4 with respect to the issuance of RSUs and stock options, which was filed 2 days late on September 8, 2022 on behalf of Kevin Feeley; Forms 4 with respect to sale-to-cover transactions in respect of tax withholding obligations in connection with the vesting and settlement of a portion of the RSUs, which were filed 207 days late on April 28, 2023 on behalf of each of Richard Miao, Kareem Saad and Karen White; and Forms 4 with respect to sale-to-cover transactions in respect of tax withholding obligations in connection with the vesting and settlement of a portion of the RSUs, which have not been timely filed on behalf of each of Shawn Assad, Daniel Clark, Anthony Prentice and Isaac Ro.</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Representatives of our independent registered public accounting firm, Ernst &amp; Young LLP, will be present at the Annual Meeting. The representatives will have the opportunity to make a statement if they so desire and they are expected to be available to respond to appropriate questions.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INFORMATION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133" w:lineRule="exact"/>
        <w:rPr>
          <w:sz w:val="20"/>
          <w:szCs w:val="20"/>
          <w:color w:val="auto"/>
        </w:rPr>
      </w:pPr>
    </w:p>
    <w:p>
      <w:pPr>
        <w:ind w:left="660" w:right="60" w:hanging="328"/>
        <w:spacing w:after="0" w:line="295"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registered in the name of the stockholder, the stockholder should contact us at our offices at GeneDx Holdings Corp., 333 Ludlow Street, North Tower,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Stamford, Connecticut 06902 or by telephone at (800) 298-6470, to inform us of his or her request; or</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the stockholder should contact the bank, broker or other nominee directly.</w:t>
      </w:r>
    </w:p>
    <w:p>
      <w:pPr>
        <w:spacing w:after="0" w:line="16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for our securities is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is aware of no other matter that may be brought before the Annual Meeting. Under Delaware law, only business that is specified in the Notice of Annual Meeting to stockholders may be transacted at the Annual Meeting.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anticipate that the 2024 annual meeting of stockholders will be held no later than June 2024. For any proposal to be considered for inclusion in the proxy statement and form of proxy for the Company’s 2024 annual meeting of stockholders, it must be submitted in writing and comply with the requirements of Rule 14a-8 of the Exchange Act. Such proposals must be received by the Company at its principal executive offices a reasonable time before the Company begins to print and mail its 2024 annual meeting proxy materials in order to be considered for inclusion in the proxy materials for the 2024 annual meeting. Stockholder proposals submitted pursuant to Rule 14a-8 under the Exchange Act and intended to be presented at our 2024 annual meeting of stockholders must have been received by us not later than January 10, 2023 in order to be considered for inclusion in our proxy materials for that meeting.</w:t>
      </w:r>
    </w:p>
    <w:p>
      <w:pPr>
        <w:spacing w:after="0" w:line="135"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In addition to any other applicable requirements, for business and for nominations to be properly brought before an annual meeting by a stockholder, the Bylaws provide that the stockholder must give timely notice in proper written form to our Corporate Secretary at GeneDx Holdings Corp., 333 Ludlow Street, North Tower,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Stamford, Connecticut 06902, Attn: Corporate Secretary, and such business must otherwise be a proper matter for stockholder action. A stockholder’s notice to the Corporate Secretary must set forth as to each matter the stockholder proposes to bring before the annual meeting the information required by the Bylaws. Such notice, to be timely, must be received not less than 75 days nor more than 105 days prior to the first anniversary of the preceding year’s annual meeting. As a result, any notice given by or on behalf of a stockholder pursuant to these provisions of the Bylaws (and not pursuant to SEC Rule 14a-8) must be received by March 31, 2024 (but not before March 1, 2024). However, that in the event that the date of the annual meeting is advanced by more than thirty (30) days, or delayed by more than sixty (60) days, a stockholder’s notice must be so received not earlier than the one hundred and fifth (105th)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spacing w:after="0" w:line="1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complying with the procedures of our Bylaws, including the notice deadlines set forth above and therein, to comply with the universal proxy rules, stockholders who intend to solicit proxies in support of director nominees, other than the Company’s nominees, must also comply with the additional requirements of Rule 14a-19 under the Exchange Act.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as required by the Exchange Act. You can read the Company’s SEC filings, including this proxy statement, over the Internet at the SEC’s website at http://www.sec.gov.</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 or if you have questions about the transaction or the proposals to be presented at the Annual Meeting, you should contact the Company at the following address and telephone number, or email:</w:t>
      </w:r>
    </w:p>
    <w:p>
      <w:pPr>
        <w:spacing w:after="0" w:line="10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333 Ludlow Street</w:t>
      </w:r>
    </w:p>
    <w:p>
      <w:pPr>
        <w:ind w:left="4820"/>
        <w:spacing w:after="0" w:line="222" w:lineRule="auto"/>
        <w:rPr>
          <w:sz w:val="20"/>
          <w:szCs w:val="20"/>
          <w:color w:val="auto"/>
        </w:rPr>
      </w:pPr>
      <w:r>
        <w:rPr>
          <w:rFonts w:ascii="Times New Roman" w:cs="Times New Roman" w:eastAsia="Times New Roman" w:hAnsi="Times New Roman"/>
          <w:sz w:val="18"/>
          <w:szCs w:val="18"/>
          <w:color w:val="auto"/>
        </w:rPr>
        <w:t>North Tower,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p>
      <w:pPr>
        <w:ind w:left="4560"/>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Telephone: (800) 298-6470</w:t>
      </w:r>
    </w:p>
    <w:p>
      <w:pPr>
        <w:jc w:val="center"/>
        <w:spacing w:after="0"/>
        <w:rPr>
          <w:sz w:val="20"/>
          <w:szCs w:val="20"/>
          <w:color w:val="auto"/>
        </w:rPr>
      </w:pPr>
      <w:r>
        <w:rPr>
          <w:rFonts w:ascii="Times New Roman" w:cs="Times New Roman" w:eastAsia="Times New Roman" w:hAnsi="Times New Roman"/>
          <w:sz w:val="18"/>
          <w:szCs w:val="18"/>
          <w:color w:val="auto"/>
        </w:rPr>
        <w:t>Email: Investors@GeneDx.com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the Company’s proxy solicitation agent at the following address and telephone number:</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 are a stockholder of the Company and would like to request documents, please do so no later than five business days before the Annual Meeting in order to receive them before the Annual Meeting. </w:t>
      </w:r>
      <w:r>
        <w:rPr>
          <w:rFonts w:ascii="Times New Roman" w:cs="Times New Roman" w:eastAsia="Times New Roman" w:hAnsi="Times New Roman"/>
          <w:sz w:val="18"/>
          <w:szCs w:val="18"/>
          <w:color w:val="auto"/>
        </w:rPr>
        <w:t>If you request any documents from us, we will mail them to you by first class mail,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equally prompt means.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Delivery of Stockholder Communications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encourage you to help us conserve natural resources, as well as significantly reduce printing and mailing costs, by signing up to receive your stockholder communications electronically via e-mail. With electronic delivery, you will be notified via email as soon as future annual reports and proxy statements are available on the Internet, and you can submit your stockholder votes online. Electronic delivery can also eliminate duplicate mailings and reduce the amount of bulky paper documents you maintain in your personal files. To sign up for electronic delivery:</w:t>
      </w:r>
    </w:p>
    <w:p>
      <w:pPr>
        <w:spacing w:after="0" w:line="122" w:lineRule="exact"/>
        <w:rPr>
          <w:sz w:val="20"/>
          <w:szCs w:val="20"/>
          <w:color w:val="auto"/>
        </w:rPr>
      </w:pPr>
    </w:p>
    <w:p>
      <w:pPr>
        <w:ind w:left="660" w:hanging="328"/>
        <w:spacing w:after="0" w:line="28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Owner </w:t>
      </w:r>
      <w:r>
        <w:rPr>
          <w:rFonts w:ascii="Times New Roman" w:cs="Times New Roman" w:eastAsia="Times New Roman" w:hAnsi="Times New Roman"/>
          <w:sz w:val="18"/>
          <w:szCs w:val="18"/>
          <w:color w:val="auto"/>
        </w:rPr>
        <w:t>(you hold our common stock in your own name through our transfer agent, Continental Stock Transfer &amp; Trust Company,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are in possession of stock certificates): visit www.continentalstock.com and log into your account to enroll.</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 </w:t>
      </w:r>
      <w:r>
        <w:rPr>
          <w:rFonts w:ascii="Times New Roman" w:cs="Times New Roman" w:eastAsia="Times New Roman" w:hAnsi="Times New Roman"/>
          <w:sz w:val="18"/>
          <w:szCs w:val="18"/>
          <w:color w:val="auto"/>
        </w:rPr>
        <w:t>(your shares are held by a brokerage firm, a bank, a trustee or a nominee): If you hold shares beneficially, please follow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instructions provided to you by your broker, bank, trustee or nominee.</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electronic delivery enrollment will be effective until you cancel it. Stockholders who are record owners of shares of our Class A Common Stock may call Continental Stock Transfer &amp; Trust Company, our transfer agent, by phone at (212) 509-5586, by e-mail at cstmail@continentalstock.com, or visit www.continentalstock.com with questions about electronic delivery.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does not presently intend to bring any other business before the Annual Meeting and, so far as is known to our Board,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spacing w:after="0" w:line="16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51435</wp:posOffset>
            </wp:positionV>
            <wp:extent cx="39687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7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May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765175</wp:posOffset>
            </wp:positionH>
            <wp:positionV relativeFrom="page">
              <wp:posOffset>1014730</wp:posOffset>
            </wp:positionV>
            <wp:extent cx="5246370" cy="67894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PROXY CARD</w:t>
      </w:r>
    </w:p>
    <w:p>
      <w:pPr>
        <w:sectPr>
          <w:pgSz w:w="11900" w:h="16838" w:orient="portrait"/>
          <w:cols w:equalWidth="0" w:num="1">
            <w:col w:w="9240"/>
          </w:cols>
          <w:pgMar w:left="1440" w:top="1440" w:right="1219" w:bottom="1440"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1014730</wp:posOffset>
            </wp:positionV>
            <wp:extent cx="5246370" cy="67894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o"/>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3"/>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2"/>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3"/>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3"/>
    </w:lvl>
  </w:abstractNum>
  <w:abstractNum w:abstractNumId="33">
    <w:nsid w:val="5577F8E1"/>
    <w:multiLevelType w:val="hybridMultilevel"/>
    <w:lvl w:ilvl="0">
      <w:lvlJc w:val="left"/>
      <w:lvlText w:val="(%1)"/>
      <w:numFmt w:val="decimal"/>
      <w:start w:val="16"/>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2023-04-28T17:56:32Z</dcterms:created>
  <dcterms:modified xsi:type="dcterms:W3CDTF">2023-04-28T17:56:32Z</dcterms:modified>
</cp:coreProperties>
</file>