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17, 2023 (April 14, 2023)</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GeneDx Holdings Corp.</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001-39482</w:t>
            </w:r>
          </w:p>
        </w:tc>
        <w:tc>
          <w:tcPr>
            <w:tcW w:w="80" w:type="dxa"/>
            <w:vAlign w:val="bottom"/>
          </w:tcPr>
          <w:p>
            <w:pPr>
              <w:spacing w:after="0"/>
              <w:rPr>
                <w:sz w:val="21"/>
                <w:szCs w:val="21"/>
                <w:color w:val="auto"/>
              </w:rPr>
            </w:pPr>
          </w:p>
        </w:tc>
        <w:tc>
          <w:tcPr>
            <w:tcW w:w="4140" w:type="dxa"/>
            <w:vAlign w:val="bottom"/>
          </w:tcPr>
          <w:p>
            <w:pPr>
              <w:jc w:val="right"/>
              <w:ind w:right="1550"/>
              <w:spacing w:after="0"/>
              <w:rPr>
                <w:sz w:val="20"/>
                <w:szCs w:val="20"/>
                <w:color w:val="auto"/>
              </w:rPr>
            </w:pPr>
            <w:r>
              <w:rPr>
                <w:rFonts w:ascii="Arial" w:cs="Arial" w:eastAsia="Arial" w:hAnsi="Arial"/>
                <w:sz w:val="18"/>
                <w:szCs w:val="18"/>
                <w:b w:val="1"/>
                <w:bCs w:val="1"/>
                <w:color w:val="auto"/>
              </w:rPr>
              <w:t>85-1966622</w:t>
            </w:r>
          </w:p>
        </w:tc>
      </w:tr>
      <w:tr>
        <w:trPr>
          <w:trHeight w:val="27"/>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82"/>
        </w:trPr>
        <w:tc>
          <w:tcPr>
            <w:tcW w:w="4280" w:type="dxa"/>
            <w:vAlign w:val="bottom"/>
          </w:tcPr>
          <w:p>
            <w:pPr>
              <w:jc w:val="center"/>
              <w:spacing w:after="0" w:line="182"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60" w:type="dxa"/>
            <w:vAlign w:val="bottom"/>
          </w:tcPr>
          <w:p>
            <w:pPr>
              <w:jc w:val="center"/>
              <w:spacing w:after="0" w:line="182"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5"/>
                <w:szCs w:val="15"/>
                <w:color w:val="auto"/>
              </w:rPr>
            </w:pPr>
          </w:p>
        </w:tc>
        <w:tc>
          <w:tcPr>
            <w:tcW w:w="4140" w:type="dxa"/>
            <w:vAlign w:val="bottom"/>
          </w:tcPr>
          <w:p>
            <w:pPr>
              <w:jc w:val="center"/>
              <w:spacing w:after="0" w:line="182"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97"/>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w:t>
            </w: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83"/>
        </w:trPr>
        <w:tc>
          <w:tcPr>
            <w:tcW w:w="428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(800) 298-6470</w:t>
      </w:r>
    </w:p>
    <w:p>
      <w:pPr>
        <w:spacing w:after="0" w:line="200" w:lineRule="exact"/>
        <w:rPr>
          <w:sz w:val="24"/>
          <w:szCs w:val="24"/>
          <w:color w:val="auto"/>
        </w:rPr>
      </w:pPr>
    </w:p>
    <w:p>
      <w:pPr>
        <w:spacing w:after="0" w:line="24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40" w:firstLine="48"/>
        <w:spacing w:after="0" w:line="396"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1"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23"/>
        </w:trPr>
        <w:tc>
          <w:tcPr>
            <w:tcW w:w="5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WGS</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75"/>
        </w:trPr>
        <w:tc>
          <w:tcPr>
            <w:tcW w:w="50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Warrants to purchase one share of Class A common stock, each at</w:t>
            </w: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WGSWW</w:t>
            </w:r>
          </w:p>
        </w:tc>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an exercise price of $11.50 per share</w:t>
            </w:r>
          </w:p>
        </w:tc>
        <w:tc>
          <w:tcPr>
            <w:tcW w:w="2300" w:type="dxa"/>
            <w:vAlign w:val="bottom"/>
            <w:gridSpan w:val="2"/>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08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further described in Item 5.07 of this Current Report on Form 8-K, on April 14, 2023, the stockholders (the “Stockholders”) of GeneDx Holdings Corp., a Delaware corporation (the “Company”), approved an amendment and restatement of the GeneDx Holdings Corp. 2021 Equity Incentive Plan (as amended and restated, the “Restated 2021 EIP”), which reflects amendments to the plan to increase to the available share reserve by 26,000,000 shares of the Company’s Class A common stock, par value $0.0001 per share (the “Class A Common Stock”).</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 description of the Restated 2021 EIP is set forth in the Company’s Definitive Proxy Statement on Schedule 14A filed with the Securities and Exchange Commission (the “SEC”) on March 31, 2022 (the “Proxy Statement”) in the section entitled “Proposal No. 4 – The Plan Increase Proposal,” which description is incorporated herein by reference. The description is qualified in its entirety by reference to the full text of the Restated 2021 EIP, a copy of which is filed as Exhibit 10.1 to this Current Report on Form 8-K and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described in Item 5.07 of this Current Report on Form 8-K, on April 14, 2023, the Stockholders approved a Certificate of Amendment (the “Section 102(b)(7) Certificate of Amendment”) to the Company’s Third Amended and Restated Certificate of Incorporation, as amended (the “Charter”), to exculpate certain of the Company’s officers from liability in specific circumstances. On April 14, 2023, the Company filed with the Secretary of State of the State of Delaware the Section 102(b)(7) Certificate of Amendment.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the Section 102(b)(7) Certificate of Amendment is set forth in the Proxy Statement in the section entitled “Proposal No. 2 – Officer Exculpation Proposal,” which description is incorporated herein by reference. The description is qualified in its entirety by reference to the full text of the Section 102(b)(7) Certificate of Amendment, a copy of which is filed as Exhibit 3.1 to this Current Report on Form 8-K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14, 2023, the Company held its Special Meeting of Stockholders (the “Special Meeting”). At the Special Meeting, the Stockholders considered and voted on the matters listed below. The proposals are described in detail in the Proxy Statement.</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798,250,894 shares of the Class A Common Stock issued and outstanding on March 24, 2023, the record date for the Special Meeting. The Stockholders voted on the following proposals at the Special Meeting, each of which was approved.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final voting results from the Special Meeting are set forth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 xml:space="preserve">Proposal No. 1 — The Reverse Stock Split Proposal </w:t>
            </w:r>
            <w:r>
              <w:rPr>
                <w:rFonts w:ascii="Arial" w:cs="Arial" w:eastAsia="Arial" w:hAnsi="Arial"/>
                <w:sz w:val="18"/>
                <w:szCs w:val="18"/>
                <w:color w:val="auto"/>
                <w:w w:val="94"/>
              </w:rPr>
              <w:t>— To approve an amendment to the Charter to effect a reverse stock split of Class A</w:t>
            </w:r>
          </w:p>
        </w:tc>
      </w:tr>
      <w:tr>
        <w:trPr>
          <w:trHeight w:val="216"/>
        </w:trPr>
        <w:tc>
          <w:tcPr>
            <w:tcW w:w="600" w:type="dxa"/>
            <w:vAlign w:val="bottom"/>
          </w:tcPr>
          <w:p>
            <w:pPr>
              <w:spacing w:after="0"/>
              <w:rPr>
                <w:sz w:val="18"/>
                <w:szCs w:val="18"/>
                <w:color w:val="auto"/>
              </w:rPr>
            </w:pPr>
          </w:p>
        </w:tc>
        <w:tc>
          <w:tcPr>
            <w:tcW w:w="10640" w:type="dxa"/>
            <w:vAlign w:val="bottom"/>
            <w:gridSpan w:val="5"/>
          </w:tcPr>
          <w:p>
            <w:pPr>
              <w:ind w:left="60"/>
              <w:spacing w:after="0"/>
              <w:rPr>
                <w:sz w:val="20"/>
                <w:szCs w:val="20"/>
                <w:color w:val="auto"/>
              </w:rPr>
            </w:pPr>
            <w:r>
              <w:rPr>
                <w:rFonts w:ascii="Arial" w:cs="Arial" w:eastAsia="Arial" w:hAnsi="Arial"/>
                <w:sz w:val="18"/>
                <w:szCs w:val="18"/>
                <w:color w:val="auto"/>
                <w:w w:val="92"/>
              </w:rPr>
              <w:t>Common Stock at a ratio, ranging from one-for-ten (1:10) to one-for-fifty (1:50), with the exact ratio to be set within that range at the discretion of</w:t>
            </w:r>
          </w:p>
        </w:tc>
      </w:tr>
      <w:tr>
        <w:trPr>
          <w:trHeight w:val="230"/>
        </w:trPr>
        <w:tc>
          <w:tcPr>
            <w:tcW w:w="600" w:type="dxa"/>
            <w:vAlign w:val="bottom"/>
          </w:tcPr>
          <w:p>
            <w:pPr>
              <w:spacing w:after="0"/>
              <w:rPr>
                <w:sz w:val="20"/>
                <w:szCs w:val="20"/>
                <w:color w:val="auto"/>
              </w:rPr>
            </w:pPr>
          </w:p>
        </w:tc>
        <w:tc>
          <w:tcPr>
            <w:tcW w:w="10640" w:type="dxa"/>
            <w:vAlign w:val="bottom"/>
            <w:gridSpan w:val="5"/>
          </w:tcPr>
          <w:p>
            <w:pPr>
              <w:ind w:left="60"/>
              <w:spacing w:after="0"/>
              <w:rPr>
                <w:sz w:val="20"/>
                <w:szCs w:val="20"/>
                <w:color w:val="auto"/>
              </w:rPr>
            </w:pPr>
            <w:r>
              <w:rPr>
                <w:rFonts w:ascii="Arial" w:cs="Arial" w:eastAsia="Arial" w:hAnsi="Arial"/>
                <w:sz w:val="18"/>
                <w:szCs w:val="18"/>
                <w:color w:val="auto"/>
              </w:rPr>
              <w:t>the Company’s board of directors without further approval or authorization of the Stockholders:</w:t>
            </w:r>
          </w:p>
        </w:tc>
      </w:tr>
      <w:tr>
        <w:trPr>
          <w:trHeight w:val="189"/>
        </w:trPr>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80" w:type="dxa"/>
            <w:vAlign w:val="bottom"/>
            <w:gridSpan w:val="2"/>
          </w:tcPr>
          <w:p>
            <w:pPr>
              <w:spacing w:after="0"/>
              <w:rPr>
                <w:sz w:val="16"/>
                <w:szCs w:val="16"/>
                <w:color w:val="auto"/>
              </w:rPr>
            </w:pPr>
          </w:p>
        </w:tc>
      </w:tr>
      <w:tr>
        <w:trPr>
          <w:trHeight w:val="223"/>
        </w:trPr>
        <w:tc>
          <w:tcPr>
            <w:tcW w:w="6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60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599,953,892</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1,068,282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273,185</w:t>
            </w:r>
          </w:p>
        </w:tc>
        <w:tc>
          <w:tcPr>
            <w:tcW w:w="2600" w:type="dxa"/>
            <w:vAlign w:val="bottom"/>
          </w:tcPr>
          <w:p>
            <w:pPr>
              <w:spacing w:after="0"/>
              <w:rPr>
                <w:sz w:val="19"/>
                <w:szCs w:val="19"/>
                <w:color w:val="auto"/>
              </w:rPr>
            </w:pPr>
          </w:p>
        </w:tc>
      </w:tr>
      <w:tr>
        <w:trPr>
          <w:trHeight w:val="452"/>
        </w:trPr>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(b)</w:t>
            </w:r>
          </w:p>
        </w:tc>
        <w:tc>
          <w:tcPr>
            <w:tcW w:w="10640" w:type="dxa"/>
            <w:vAlign w:val="bottom"/>
            <w:gridSpan w:val="5"/>
          </w:tcPr>
          <w:p>
            <w:pPr>
              <w:ind w:left="40"/>
              <w:spacing w:after="0"/>
              <w:rPr>
                <w:sz w:val="20"/>
                <w:szCs w:val="20"/>
                <w:color w:val="auto"/>
              </w:rPr>
            </w:pPr>
            <w:r>
              <w:rPr>
                <w:rFonts w:ascii="Arial" w:cs="Arial" w:eastAsia="Arial" w:hAnsi="Arial"/>
                <w:sz w:val="18"/>
                <w:szCs w:val="18"/>
                <w:b w:val="1"/>
                <w:bCs w:val="1"/>
                <w:color w:val="auto"/>
                <w:w w:val="95"/>
              </w:rPr>
              <w:t xml:space="preserve">Proposal No. 2 </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The Officer Exculpation Proposal </w:t>
            </w:r>
            <w:r>
              <w:rPr>
                <w:rFonts w:ascii="Arial" w:cs="Arial" w:eastAsia="Arial" w:hAnsi="Arial"/>
                <w:sz w:val="18"/>
                <w:szCs w:val="18"/>
                <w:color w:val="auto"/>
                <w:w w:val="95"/>
              </w:rPr>
              <w:t>— To approve the Section 102(b)(7) Certificate of Amendment to limit the liability of</w:t>
            </w:r>
          </w:p>
        </w:tc>
      </w:tr>
      <w:tr>
        <w:trPr>
          <w:trHeight w:val="230"/>
        </w:trPr>
        <w:tc>
          <w:tcPr>
            <w:tcW w:w="600" w:type="dxa"/>
            <w:vAlign w:val="bottom"/>
          </w:tcPr>
          <w:p>
            <w:pPr>
              <w:spacing w:after="0"/>
              <w:rPr>
                <w:sz w:val="20"/>
                <w:szCs w:val="20"/>
                <w:color w:val="auto"/>
              </w:rPr>
            </w:pPr>
          </w:p>
        </w:tc>
        <w:tc>
          <w:tcPr>
            <w:tcW w:w="10640" w:type="dxa"/>
            <w:vAlign w:val="bottom"/>
            <w:gridSpan w:val="5"/>
          </w:tcPr>
          <w:p>
            <w:pPr>
              <w:ind w:left="60"/>
              <w:spacing w:after="0"/>
              <w:rPr>
                <w:sz w:val="20"/>
                <w:szCs w:val="20"/>
                <w:color w:val="auto"/>
              </w:rPr>
            </w:pPr>
            <w:r>
              <w:rPr>
                <w:rFonts w:ascii="Arial" w:cs="Arial" w:eastAsia="Arial" w:hAnsi="Arial"/>
                <w:sz w:val="18"/>
                <w:szCs w:val="18"/>
                <w:color w:val="auto"/>
              </w:rPr>
              <w:t>certain officers of the Company as permitted pursuant to recent amendments to the Delaware General Corporation Law:</w:t>
            </w:r>
          </w:p>
        </w:tc>
      </w:tr>
      <w:tr>
        <w:trPr>
          <w:trHeight w:val="189"/>
        </w:trPr>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80" w:type="dxa"/>
            <w:vAlign w:val="bottom"/>
            <w:gridSpan w:val="2"/>
          </w:tcPr>
          <w:p>
            <w:pPr>
              <w:spacing w:after="0"/>
              <w:rPr>
                <w:sz w:val="16"/>
                <w:szCs w:val="16"/>
                <w:color w:val="auto"/>
              </w:rPr>
            </w:pPr>
          </w:p>
        </w:tc>
      </w:tr>
      <w:tr>
        <w:trPr>
          <w:trHeight w:val="223"/>
        </w:trPr>
        <w:tc>
          <w:tcPr>
            <w:tcW w:w="6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60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567,308,849</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33,433,554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552,956</w:t>
            </w:r>
          </w:p>
        </w:tc>
        <w:tc>
          <w:tcPr>
            <w:tcW w:w="2600" w:type="dxa"/>
            <w:vAlign w:val="bottom"/>
          </w:tcPr>
          <w:p>
            <w:pPr>
              <w:spacing w:after="0"/>
              <w:rPr>
                <w:sz w:val="19"/>
                <w:szCs w:val="19"/>
                <w:color w:val="auto"/>
              </w:rPr>
            </w:pPr>
          </w:p>
        </w:tc>
      </w:tr>
      <w:tr>
        <w:trPr>
          <w:trHeight w:val="1648"/>
        </w:trPr>
        <w:tc>
          <w:tcPr>
            <w:tcW w:w="6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220"/>
        </w:trPr>
        <w:tc>
          <w:tcPr>
            <w:tcW w:w="260" w:type="dxa"/>
            <w:vAlign w:val="bottom"/>
          </w:tcPr>
          <w:p>
            <w:pPr>
              <w:spacing w:after="0"/>
              <w:rPr>
                <w:sz w:val="20"/>
                <w:szCs w:val="20"/>
                <w:color w:val="auto"/>
              </w:rPr>
            </w:pPr>
            <w:r>
              <w:rPr>
                <w:rFonts w:ascii="Arial" w:cs="Arial" w:eastAsia="Arial" w:hAnsi="Arial"/>
                <w:sz w:val="18"/>
                <w:szCs w:val="18"/>
                <w:b w:val="1"/>
                <w:bCs w:val="1"/>
                <w:color w:val="auto"/>
              </w:rPr>
              <w:t>(c)</w:t>
            </w:r>
          </w:p>
        </w:tc>
        <w:tc>
          <w:tcPr>
            <w:tcW w:w="10640" w:type="dxa"/>
            <w:vAlign w:val="bottom"/>
            <w:gridSpan w:val="5"/>
          </w:tcPr>
          <w:p>
            <w:pPr>
              <w:ind w:left="60"/>
              <w:spacing w:after="0"/>
              <w:rPr>
                <w:sz w:val="20"/>
                <w:szCs w:val="20"/>
                <w:color w:val="auto"/>
              </w:rPr>
            </w:pPr>
            <w:r>
              <w:rPr>
                <w:rFonts w:ascii="Arial" w:cs="Arial" w:eastAsia="Arial" w:hAnsi="Arial"/>
                <w:sz w:val="18"/>
                <w:szCs w:val="18"/>
                <w:b w:val="1"/>
                <w:bCs w:val="1"/>
                <w:color w:val="auto"/>
                <w:w w:val="92"/>
              </w:rPr>
              <w:t xml:space="preserve">Proposal No. 3 </w:t>
            </w:r>
            <w:r>
              <w:rPr>
                <w:rFonts w:ascii="Arial" w:cs="Arial" w:eastAsia="Arial" w:hAnsi="Arial"/>
                <w:sz w:val="18"/>
                <w:szCs w:val="18"/>
                <w:color w:val="auto"/>
                <w:w w:val="92"/>
              </w:rPr>
              <w:t>—</w:t>
            </w:r>
            <w:r>
              <w:rPr>
                <w:rFonts w:ascii="Arial" w:cs="Arial" w:eastAsia="Arial" w:hAnsi="Arial"/>
                <w:sz w:val="18"/>
                <w:szCs w:val="18"/>
                <w:b w:val="1"/>
                <w:bCs w:val="1"/>
                <w:color w:val="auto"/>
                <w:w w:val="92"/>
              </w:rPr>
              <w:t xml:space="preserve"> The Stock Issuance Proposal </w:t>
            </w:r>
            <w:r>
              <w:rPr>
                <w:rFonts w:ascii="Arial" w:cs="Arial" w:eastAsia="Arial" w:hAnsi="Arial"/>
                <w:sz w:val="18"/>
                <w:szCs w:val="18"/>
                <w:color w:val="auto"/>
                <w:w w:val="92"/>
              </w:rPr>
              <w:t>— To approve for purposes of complying with Nasdaq Listing Rule 5635(d), the issuance of</w:t>
            </w:r>
          </w:p>
        </w:tc>
      </w:tr>
      <w:tr>
        <w:trPr>
          <w:trHeight w:val="216"/>
        </w:trPr>
        <w:tc>
          <w:tcPr>
            <w:tcW w:w="260" w:type="dxa"/>
            <w:vAlign w:val="bottom"/>
          </w:tcPr>
          <w:p>
            <w:pPr>
              <w:spacing w:after="0"/>
              <w:rPr>
                <w:sz w:val="18"/>
                <w:szCs w:val="18"/>
                <w:color w:val="auto"/>
              </w:rPr>
            </w:pPr>
          </w:p>
        </w:tc>
        <w:tc>
          <w:tcPr>
            <w:tcW w:w="10640" w:type="dxa"/>
            <w:vAlign w:val="bottom"/>
            <w:gridSpan w:val="5"/>
          </w:tcPr>
          <w:p>
            <w:pPr>
              <w:ind w:left="60"/>
              <w:spacing w:after="0"/>
              <w:rPr>
                <w:sz w:val="20"/>
                <w:szCs w:val="20"/>
                <w:color w:val="auto"/>
              </w:rPr>
            </w:pPr>
            <w:r>
              <w:rPr>
                <w:rFonts w:ascii="Arial" w:cs="Arial" w:eastAsia="Arial" w:hAnsi="Arial"/>
                <w:sz w:val="18"/>
                <w:szCs w:val="18"/>
                <w:color w:val="auto"/>
                <w:w w:val="96"/>
              </w:rPr>
              <w:t>22,336,624 shares of Class A Common Stock in connection with the Company’s previously announced $150.0 million offerings of Class A</w:t>
            </w:r>
          </w:p>
        </w:tc>
      </w:tr>
      <w:tr>
        <w:trPr>
          <w:trHeight w:val="230"/>
        </w:trPr>
        <w:tc>
          <w:tcPr>
            <w:tcW w:w="26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color w:val="auto"/>
              </w:rPr>
              <w:t>Common Stock:</w:t>
            </w:r>
          </w:p>
        </w:tc>
        <w:tc>
          <w:tcPr>
            <w:tcW w:w="1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89"/>
        </w:trPr>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80" w:type="dxa"/>
            <w:vAlign w:val="bottom"/>
            <w:gridSpan w:val="2"/>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Votes 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60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595,937,112</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5,121,424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236,823</w:t>
            </w:r>
          </w:p>
        </w:tc>
        <w:tc>
          <w:tcPr>
            <w:tcW w:w="2600" w:type="dxa"/>
            <w:vAlign w:val="bottom"/>
          </w:tcPr>
          <w:p>
            <w:pPr>
              <w:spacing w:after="0"/>
              <w:rPr>
                <w:sz w:val="19"/>
                <w:szCs w:val="19"/>
                <w:color w:val="auto"/>
              </w:rPr>
            </w:pPr>
          </w:p>
        </w:tc>
      </w:tr>
      <w:tr>
        <w:trPr>
          <w:trHeight w:val="452"/>
        </w:trPr>
        <w:tc>
          <w:tcPr>
            <w:tcW w:w="260" w:type="dxa"/>
            <w:vAlign w:val="bottom"/>
          </w:tcPr>
          <w:p>
            <w:pPr>
              <w:spacing w:after="0"/>
              <w:rPr>
                <w:sz w:val="20"/>
                <w:szCs w:val="20"/>
                <w:color w:val="auto"/>
              </w:rPr>
            </w:pPr>
            <w:r>
              <w:rPr>
                <w:rFonts w:ascii="Arial" w:cs="Arial" w:eastAsia="Arial" w:hAnsi="Arial"/>
                <w:sz w:val="18"/>
                <w:szCs w:val="18"/>
                <w:b w:val="1"/>
                <w:bCs w:val="1"/>
                <w:color w:val="auto"/>
              </w:rPr>
              <w:t>(d)</w:t>
            </w:r>
          </w:p>
        </w:tc>
        <w:tc>
          <w:tcPr>
            <w:tcW w:w="10640" w:type="dxa"/>
            <w:vAlign w:val="bottom"/>
            <w:gridSpan w:val="5"/>
          </w:tcPr>
          <w:p>
            <w:pPr>
              <w:ind w:left="40"/>
              <w:spacing w:after="0"/>
              <w:rPr>
                <w:sz w:val="20"/>
                <w:szCs w:val="20"/>
                <w:color w:val="auto"/>
              </w:rPr>
            </w:pPr>
            <w:r>
              <w:rPr>
                <w:rFonts w:ascii="Arial" w:cs="Arial" w:eastAsia="Arial" w:hAnsi="Arial"/>
                <w:sz w:val="18"/>
                <w:szCs w:val="18"/>
                <w:b w:val="1"/>
                <w:bCs w:val="1"/>
                <w:color w:val="auto"/>
                <w:w w:val="93"/>
              </w:rPr>
              <w:t xml:space="preserve">Proposal No. 4 </w:t>
            </w:r>
            <w:r>
              <w:rPr>
                <w:rFonts w:ascii="Arial" w:cs="Arial" w:eastAsia="Arial" w:hAnsi="Arial"/>
                <w:sz w:val="18"/>
                <w:szCs w:val="18"/>
                <w:color w:val="auto"/>
                <w:w w:val="93"/>
              </w:rPr>
              <w:t>—</w:t>
            </w:r>
            <w:r>
              <w:rPr>
                <w:rFonts w:ascii="Arial" w:cs="Arial" w:eastAsia="Arial" w:hAnsi="Arial"/>
                <w:sz w:val="18"/>
                <w:szCs w:val="18"/>
                <w:b w:val="1"/>
                <w:bCs w:val="1"/>
                <w:color w:val="auto"/>
                <w:w w:val="93"/>
              </w:rPr>
              <w:t xml:space="preserve"> The Plan Increase Proposal </w:t>
            </w:r>
            <w:r>
              <w:rPr>
                <w:rFonts w:ascii="Arial" w:cs="Arial" w:eastAsia="Arial" w:hAnsi="Arial"/>
                <w:sz w:val="18"/>
                <w:szCs w:val="18"/>
                <w:color w:val="auto"/>
                <w:w w:val="93"/>
              </w:rPr>
              <w:t>— To approve the Restated 2021 EIP to increase the aggregate number of shares of Class A</w:t>
            </w:r>
          </w:p>
        </w:tc>
      </w:tr>
      <w:tr>
        <w:trPr>
          <w:trHeight w:val="230"/>
        </w:trPr>
        <w:tc>
          <w:tcPr>
            <w:tcW w:w="260" w:type="dxa"/>
            <w:vAlign w:val="bottom"/>
          </w:tcPr>
          <w:p>
            <w:pPr>
              <w:spacing w:after="0"/>
              <w:rPr>
                <w:sz w:val="20"/>
                <w:szCs w:val="20"/>
                <w:color w:val="auto"/>
              </w:rPr>
            </w:pPr>
          </w:p>
        </w:tc>
        <w:tc>
          <w:tcPr>
            <w:tcW w:w="6060" w:type="dxa"/>
            <w:vAlign w:val="bottom"/>
            <w:gridSpan w:val="3"/>
          </w:tcPr>
          <w:p>
            <w:pPr>
              <w:ind w:left="60"/>
              <w:spacing w:after="0"/>
              <w:rPr>
                <w:sz w:val="20"/>
                <w:szCs w:val="20"/>
                <w:color w:val="auto"/>
              </w:rPr>
            </w:pPr>
            <w:r>
              <w:rPr>
                <w:rFonts w:ascii="Arial" w:cs="Arial" w:eastAsia="Arial" w:hAnsi="Arial"/>
                <w:sz w:val="18"/>
                <w:szCs w:val="18"/>
                <w:color w:val="auto"/>
                <w:w w:val="96"/>
              </w:rPr>
              <w:t>Common Stock authorized for issuance under the plan by 26,000,000 shares:</w:t>
            </w:r>
          </w:p>
        </w:tc>
        <w:tc>
          <w:tcPr>
            <w:tcW w:w="1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89"/>
        </w:trPr>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80" w:type="dxa"/>
            <w:vAlign w:val="bottom"/>
            <w:gridSpan w:val="2"/>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Votes 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60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503,854,227</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97,194,746</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246,386</w:t>
            </w:r>
          </w:p>
        </w:tc>
        <w:tc>
          <w:tcPr>
            <w:tcW w:w="2600" w:type="dxa"/>
            <w:vAlign w:val="bottom"/>
          </w:tcPr>
          <w:p>
            <w:pPr>
              <w:spacing w:after="0"/>
              <w:rPr>
                <w:sz w:val="19"/>
                <w:szCs w:val="19"/>
                <w:color w:val="auto"/>
              </w:rPr>
            </w:pPr>
          </w:p>
        </w:tc>
      </w:tr>
    </w:tbl>
    <w:p>
      <w:pPr>
        <w:spacing w:after="0" w:line="225" w:lineRule="exact"/>
        <w:rPr>
          <w:sz w:val="20"/>
          <w:szCs w:val="20"/>
          <w:color w:val="auto"/>
        </w:rPr>
      </w:pPr>
    </w:p>
    <w:p>
      <w:pPr>
        <w:jc w:val="both"/>
        <w:ind w:left="660" w:right="140" w:hanging="323"/>
        <w:spacing w:after="0" w:line="289" w:lineRule="auto"/>
        <w:rPr>
          <w:sz w:val="20"/>
          <w:szCs w:val="20"/>
          <w:color w:val="auto"/>
        </w:rPr>
      </w:pPr>
      <w:r>
        <w:rPr>
          <w:rFonts w:ascii="Arial" w:cs="Arial" w:eastAsia="Arial" w:hAnsi="Arial"/>
          <w:sz w:val="17"/>
          <w:szCs w:val="17"/>
          <w:b w:val="1"/>
          <w:bCs w:val="1"/>
          <w:color w:val="auto"/>
        </w:rPr>
        <w:t xml:space="preserve">(e) Proposal No. 5 — The Adjournment Proposal </w:t>
      </w:r>
      <w:r>
        <w:rPr>
          <w:rFonts w:ascii="Arial" w:cs="Arial" w:eastAsia="Arial" w:hAnsi="Arial"/>
          <w:sz w:val="17"/>
          <w:szCs w:val="17"/>
          <w:color w:val="auto"/>
        </w:rPr>
        <w:t>— To approve a proposal to adjourn the Special Meeting to a later date or dates, if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to permit further solicitation and vote of proxies in the event that there are insufficient votes for, or otherwise in connection with, the approval of the Reverse Stock Split Proposal, the Officer Exculpation Proposal or the Stock Issuance Proposal: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9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Abstentions</w:t>
            </w:r>
          </w:p>
        </w:tc>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3"/>
        </w:trPr>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544,201,334</w:t>
            </w:r>
          </w:p>
        </w:tc>
        <w:tc>
          <w:tcPr>
            <w:tcW w:w="1980" w:type="dxa"/>
            <w:vAlign w:val="bottom"/>
            <w:tcBorders>
              <w:bottom w:val="single" w:sz="8" w:color="auto"/>
              <w:right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56,847,368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246,657</w:t>
            </w:r>
          </w:p>
        </w:tc>
        <w:tc>
          <w:tcPr>
            <w:tcW w:w="1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66"/>
        </w:trPr>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1380" w:type="dxa"/>
            <w:vAlign w:val="bottom"/>
            <w:gridSpan w:val="3"/>
          </w:tcPr>
          <w:p>
            <w:pPr>
              <w:spacing w:after="0"/>
              <w:rPr>
                <w:sz w:val="20"/>
                <w:szCs w:val="20"/>
                <w:color w:val="auto"/>
              </w:rPr>
            </w:pPr>
            <w:r>
              <w:rPr>
                <w:rFonts w:ascii="Arial" w:cs="Arial" w:eastAsia="Arial" w:hAnsi="Arial"/>
                <w:sz w:val="18"/>
                <w:szCs w:val="18"/>
                <w:i w:val="1"/>
                <w:iCs w:val="1"/>
                <w:color w:val="auto"/>
              </w:rPr>
              <w:t>(d) Exhibits.</w:t>
            </w: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Number</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9"/>
        </w:trPr>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8"/>
                <w:szCs w:val="18"/>
                <w:color w:val="auto"/>
              </w:rPr>
            </w:pPr>
          </w:p>
        </w:tc>
        <w:tc>
          <w:tcPr>
            <w:tcW w:w="9860" w:type="dxa"/>
            <w:vAlign w:val="bottom"/>
            <w:gridSpan w:val="9"/>
          </w:tcPr>
          <w:p>
            <w:pPr>
              <w:spacing w:after="0"/>
              <w:rPr>
                <w:sz w:val="20"/>
                <w:szCs w:val="20"/>
                <w:color w:val="auto"/>
              </w:rPr>
            </w:pPr>
            <w:r>
              <w:rPr>
                <w:rFonts w:ascii="Arial" w:cs="Arial" w:eastAsia="Arial" w:hAnsi="Arial"/>
                <w:sz w:val="18"/>
                <w:szCs w:val="18"/>
                <w:color w:val="0000FF"/>
              </w:rPr>
              <w:t>Certificate of Amendment to the Third Amended and Restated Certificate of Incorporation of GeneDx Holdings Corp</w:t>
            </w:r>
          </w:p>
        </w:tc>
      </w:tr>
      <w:tr>
        <w:trPr>
          <w:trHeight w:val="210"/>
        </w:trPr>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8"/>
                <w:szCs w:val="18"/>
                <w:color w:val="auto"/>
              </w:rPr>
            </w:pPr>
          </w:p>
        </w:tc>
        <w:tc>
          <w:tcPr>
            <w:tcW w:w="54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0"/>
              </w:rPr>
              <w:t>GeneDx Holdings Corp. Amended and Restated 2021 Equity Incentive Plan</w:t>
            </w:r>
          </w:p>
        </w:tc>
        <w:tc>
          <w:tcPr>
            <w:tcW w:w="176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6"/>
              </w:rPr>
              <w:t>104</w:t>
            </w:r>
          </w:p>
        </w:tc>
        <w:tc>
          <w:tcPr>
            <w:tcW w:w="60" w:type="dxa"/>
            <w:vAlign w:val="bottom"/>
          </w:tcPr>
          <w:p>
            <w:pPr>
              <w:spacing w:after="0"/>
              <w:rPr>
                <w:sz w:val="21"/>
                <w:szCs w:val="21"/>
                <w:color w:val="auto"/>
              </w:rPr>
            </w:pPr>
          </w:p>
        </w:tc>
        <w:tc>
          <w:tcPr>
            <w:tcW w:w="9860" w:type="dxa"/>
            <w:vAlign w:val="bottom"/>
            <w:gridSpan w:val="9"/>
          </w:tcPr>
          <w:p>
            <w:pPr>
              <w:ind w:left="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68"/>
        </w:trPr>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440" w:type="dxa"/>
            <w:vAlign w:val="bottom"/>
            <w:gridSpan w:val="2"/>
          </w:tcPr>
          <w:p>
            <w:pPr>
              <w:ind w:left="1880"/>
              <w:spacing w:after="0"/>
              <w:rPr>
                <w:sz w:val="20"/>
                <w:szCs w:val="20"/>
                <w:color w:val="auto"/>
              </w:rPr>
            </w:pPr>
            <w:r>
              <w:rPr>
                <w:rFonts w:ascii="Arial" w:cs="Arial" w:eastAsia="Arial" w:hAnsi="Arial"/>
                <w:sz w:val="18"/>
                <w:szCs w:val="18"/>
                <w:b w:val="1"/>
                <w:bCs w:val="1"/>
                <w:color w:val="auto"/>
              </w:rPr>
              <w:t>GeneDx Holdings Corp.</w:t>
            </w:r>
          </w:p>
        </w:tc>
      </w:tr>
      <w:tr>
        <w:trPr>
          <w:trHeight w:val="76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April 17, 2023</w:t>
            </w:r>
          </w:p>
        </w:tc>
        <w:tc>
          <w:tcPr>
            <w:tcW w:w="2640" w:type="dxa"/>
            <w:vAlign w:val="bottom"/>
          </w:tcPr>
          <w:p>
            <w:pPr>
              <w:ind w:left="18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Katherine Stueland</w:t>
            </w:r>
          </w:p>
        </w:tc>
      </w:tr>
      <w:tr>
        <w:trPr>
          <w:trHeight w:val="222"/>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40" w:type="dxa"/>
            <w:vAlign w:val="bottom"/>
          </w:tcPr>
          <w:p>
            <w:pPr>
              <w:ind w:left="188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Katherine Stueland</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40" w:type="dxa"/>
            <w:vAlign w:val="bottom"/>
          </w:tcPr>
          <w:p>
            <w:pPr>
              <w:ind w:left="188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CERTIFICATE OF AMENDMENT TO THE THIRD AMENDED AND RESTATED CERTIFICATE OF INCORPORATION OF GENEDX HOLDINGS CORP.</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GeneDx Holdings Corp.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 corporation organized and existing under and by virtue of the General Corporation Law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as follows:</w:t>
      </w:r>
    </w:p>
    <w:p>
      <w:pPr>
        <w:spacing w:after="0" w:line="157" w:lineRule="exact"/>
        <w:rPr>
          <w:sz w:val="20"/>
          <w:szCs w:val="20"/>
          <w:color w:val="auto"/>
        </w:rPr>
      </w:pPr>
    </w:p>
    <w:p>
      <w:pPr>
        <w:ind w:left="660" w:right="28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Corporation’s Third Amended and Restated Certificate of Incorporation (as amended to the date hereof, the “Certificate of Incorporation”) was filed with the Secretary of State of the State of Delaware on July 22, 2021, under the name Sema4 Holdings Corp.</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Section 242 of the DGCL, this Certificate of Amendment to the Certificate of Incorporation (this “Certificate of Amendment”) amends the provisions of the Corporation’s Certificate of Incorporation.</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Section 242 of the DGCL, the Board of Directors of the Corporation has duly adopted this Certificate of Amendment, and the Corporation’s stockholders have duly approved this Certificate of Amendment.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Article VII of the Certificate of Incorporation is hereby amended and restated in its entirety to read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LIMITATION OF LIABILITY</w:t>
      </w:r>
    </w:p>
    <w:p>
      <w:pPr>
        <w:spacing w:after="0" w:line="171" w:lineRule="exact"/>
        <w:rPr>
          <w:sz w:val="20"/>
          <w:szCs w:val="20"/>
          <w:color w:val="auto"/>
        </w:rPr>
      </w:pPr>
    </w:p>
    <w:p>
      <w:pPr>
        <w:jc w:val="both"/>
        <w:ind w:left="660" w:right="640" w:hanging="4"/>
        <w:spacing w:after="0" w:line="277" w:lineRule="auto"/>
        <w:tabs>
          <w:tab w:leader="none" w:pos="1308"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Limitation of Liability. </w:t>
      </w:r>
      <w:r>
        <w:rPr>
          <w:rFonts w:ascii="Arial" w:cs="Arial" w:eastAsia="Arial" w:hAnsi="Arial"/>
          <w:sz w:val="17"/>
          <w:szCs w:val="17"/>
          <w:color w:val="auto"/>
        </w:rPr>
        <w:t>To the fullest extent permitted by law, neither a director of the Corporation nor an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be 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13" w:lineRule="exact"/>
        <w:rPr>
          <w:rFonts w:ascii="Arial" w:cs="Arial" w:eastAsia="Arial" w:hAnsi="Arial"/>
          <w:sz w:val="17"/>
          <w:szCs w:val="17"/>
          <w:color w:val="auto"/>
        </w:rPr>
      </w:pPr>
    </w:p>
    <w:p>
      <w:pPr>
        <w:jc w:val="both"/>
        <w:ind w:left="660" w:right="660" w:hanging="4"/>
        <w:spacing w:after="0" w:line="261" w:lineRule="auto"/>
        <w:tabs>
          <w:tab w:leader="none" w:pos="1308"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Change in Rights. </w:t>
      </w:r>
      <w:r>
        <w:rPr>
          <w:rFonts w:ascii="Arial" w:cs="Arial" w:eastAsia="Arial" w:hAnsi="Arial"/>
          <w:sz w:val="18"/>
          <w:szCs w:val="18"/>
          <w:color w:val="auto"/>
        </w:rPr>
        <w:t>Neither any amendment nor repeal of this Article VII, nor the adoption of any provision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provisions of this Certificate of Amendment shall be effective upon filing with the Delaware Secretary of State.</w:t>
      </w:r>
    </w:p>
    <w:p>
      <w:pPr>
        <w:sectPr>
          <w:pgSz w:w="11900" w:h="16838" w:orient="portrait"/>
          <w:cols w:equalWidth="0" w:num="1">
            <w:col w:w="11240"/>
          </w:cols>
          <w:pgMar w:left="320" w:top="121"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duly authorized officer this 14th day of April, 2023, and the foregoing facts stated herein are true and correct.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GENEDX HOLDINGS CORP.</w:t>
      </w:r>
    </w:p>
    <w:p>
      <w:pPr>
        <w:spacing w:after="0" w:line="27"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175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5"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Katherine Stueland</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880"/>
          </w:cols>
          <w:pgMar w:left="320" w:top="1421" w:right="699" w:bottom="1440" w:gutter="0" w:footer="0" w:header="0"/>
        </w:sectPr>
      </w:pPr>
    </w:p>
    <w:bookmarkStart w:id="6" w:name="page7"/>
    <w:bookmarkEnd w:id="6"/>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2021 EQUITY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on April 14, 2023)</w:t>
      </w:r>
    </w:p>
    <w:p>
      <w:pPr>
        <w:spacing w:after="0" w:line="171" w:lineRule="exact"/>
        <w:rPr>
          <w:sz w:val="20"/>
          <w:szCs w:val="20"/>
          <w:color w:val="auto"/>
        </w:rPr>
      </w:pPr>
    </w:p>
    <w:p>
      <w:pPr>
        <w:ind w:right="40" w:firstLine="8"/>
        <w:spacing w:after="0" w:line="314" w:lineRule="auto"/>
        <w:tabs>
          <w:tab w:leader="none" w:pos="31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Plan is to provide incentives to attract, retain and motivate eligible persons whose present and potential contributions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87" w:lineRule="exact"/>
        <w:rPr>
          <w:rFonts w:ascii="Arial" w:cs="Arial" w:eastAsia="Arial" w:hAnsi="Arial"/>
          <w:sz w:val="16"/>
          <w:szCs w:val="16"/>
          <w:b w:val="1"/>
          <w:bCs w:val="1"/>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71" w:lineRule="exact"/>
        <w:rPr>
          <w:sz w:val="20"/>
          <w:szCs w:val="20"/>
          <w:color w:val="auto"/>
        </w:rPr>
      </w:pPr>
    </w:p>
    <w:p>
      <w:pPr>
        <w:ind w:right="80" w:firstLine="810"/>
        <w:spacing w:after="0" w:line="289"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available for grant and issuance pursuant to this Plan as of the A&amp;R Effective Date is 86,398,568 Shares plus (a) any reserved shares not issued or subject to outstanding grants under the Company’s 2017 Stock 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12"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u w:val="single" w:color="auto"/>
          <w:color w:val="auto"/>
        </w:rPr>
        <w:t>Lapsed, Returned Awards</w:t>
      </w:r>
      <w:r>
        <w:rPr>
          <w:rFonts w:ascii="Arial" w:cs="Arial" w:eastAsia="Arial" w:hAnsi="Arial"/>
          <w:sz w:val="16"/>
          <w:szCs w:val="16"/>
          <w:color w:val="auto"/>
        </w:rPr>
        <w:t>. Shares subject to Awards, and Shares issued under the Plan under any Award (including, for the avoidance of</w:t>
      </w:r>
      <w:r>
        <w:rPr>
          <w:rFonts w:ascii="Arial" w:cs="Arial" w:eastAsia="Arial" w:hAnsi="Arial"/>
          <w:sz w:val="16"/>
          <w:szCs w:val="16"/>
          <w:b w:val="1"/>
          <w:bCs w:val="1"/>
          <w:color w:val="auto"/>
        </w:rPr>
        <w:t xml:space="preserve"> </w:t>
      </w:r>
      <w:r>
        <w:rPr>
          <w:rFonts w:ascii="Arial" w:cs="Arial" w:eastAsia="Arial" w:hAnsi="Arial"/>
          <w:sz w:val="16"/>
          <w:szCs w:val="16"/>
          <w:color w:val="auto"/>
        </w:rPr>
        <w:t>doubt, Awards granted prior to the A&amp;R Effective Date),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07" w:lineRule="exact"/>
        <w:rPr>
          <w:sz w:val="20"/>
          <w:szCs w:val="20"/>
          <w:color w:val="auto"/>
        </w:rPr>
      </w:pPr>
    </w:p>
    <w:p>
      <w:pPr>
        <w:ind w:right="120" w:firstLine="810"/>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 requirements of all outstanding Awards granted under this Plan.</w:t>
      </w:r>
    </w:p>
    <w:p>
      <w:pPr>
        <w:spacing w:after="0" w:line="108" w:lineRule="exact"/>
        <w:rPr>
          <w:sz w:val="20"/>
          <w:szCs w:val="20"/>
          <w:color w:val="auto"/>
        </w:rPr>
      </w:pPr>
    </w:p>
    <w:p>
      <w:pPr>
        <w:jc w:val="both"/>
        <w:ind w:right="60" w:firstLine="810"/>
        <w:spacing w:after="0" w:line="261"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 1</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259,285,704 Shares shall be issued pursuant to the exercise of ISOs.</w:t>
      </w:r>
    </w:p>
    <w:p>
      <w:pPr>
        <w:spacing w:after="0" w:line="171" w:lineRule="exact"/>
        <w:rPr>
          <w:sz w:val="20"/>
          <w:szCs w:val="20"/>
          <w:color w:val="auto"/>
        </w:rPr>
      </w:pPr>
    </w:p>
    <w:p>
      <w:pPr>
        <w:ind w:right="860" w:firstLine="810"/>
        <w:spacing w:after="0" w:line="28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cash, shares or other property, other than a regular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7" w:name="page8"/>
    <w:bookmarkEnd w:id="7"/>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7" w:lineRule="exact"/>
        <w:rPr>
          <w:sz w:val="20"/>
          <w:szCs w:val="20"/>
          <w:color w:val="auto"/>
        </w:rPr>
      </w:pPr>
    </w:p>
    <w:p>
      <w:pPr>
        <w:ind w:right="120" w:firstLine="8"/>
        <w:spacing w:after="0" w:line="261" w:lineRule="auto"/>
        <w:tabs>
          <w:tab w:leader="none" w:pos="3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ind w:firstLine="810"/>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will be administered by the Committee or by the Board acting as the Committee.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0" w:lineRule="exact"/>
        <w:rPr>
          <w:sz w:val="20"/>
          <w:szCs w:val="20"/>
          <w:color w:val="auto"/>
        </w:rPr>
      </w:pPr>
    </w:p>
    <w:p>
      <w:pPr>
        <w:ind w:left="1680" w:hanging="376"/>
        <w:spacing w:after="0"/>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82" w:lineRule="exact"/>
        <w:rPr>
          <w:rFonts w:ascii="Arial" w:cs="Arial" w:eastAsia="Arial" w:hAnsi="Arial"/>
          <w:sz w:val="17"/>
          <w:szCs w:val="17"/>
          <w:color w:val="auto"/>
        </w:rPr>
      </w:pPr>
    </w:p>
    <w:p>
      <w:pPr>
        <w:ind w:left="1700" w:hanging="396"/>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1680" w:hanging="376"/>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ind w:right="140" w:firstLine="1304"/>
        <w:spacing w:after="0" w:line="257" w:lineRule="auto"/>
        <w:tabs>
          <w:tab w:leader="none" w:pos="168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1680" w:hanging="376"/>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right="200" w:firstLine="1304"/>
        <w:spacing w:after="0" w:line="277" w:lineRule="auto"/>
        <w:tabs>
          <w:tab w:leader="none" w:pos="1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1304"/>
        <w:spacing w:after="0" w:line="308" w:lineRule="auto"/>
        <w:tabs>
          <w:tab w:leader="none" w:pos="1686"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92" w:lineRule="exact"/>
        <w:rPr>
          <w:rFonts w:ascii="Arial" w:cs="Arial" w:eastAsia="Arial" w:hAnsi="Arial"/>
          <w:sz w:val="17"/>
          <w:szCs w:val="17"/>
          <w:color w:val="auto"/>
        </w:rPr>
      </w:pPr>
    </w:p>
    <w:p>
      <w:pPr>
        <w:ind w:left="1700" w:hanging="396"/>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ind w:left="1660" w:hanging="356"/>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1740" w:hanging="436"/>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right="260" w:firstLine="1304"/>
        <w:spacing w:after="0" w:line="308" w:lineRule="auto"/>
        <w:tabs>
          <w:tab w:leader="none" w:pos="1686"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92" w:lineRule="exact"/>
        <w:rPr>
          <w:rFonts w:ascii="Arial" w:cs="Arial" w:eastAsia="Arial" w:hAnsi="Arial"/>
          <w:sz w:val="17"/>
          <w:szCs w:val="17"/>
          <w:color w:val="auto"/>
        </w:rPr>
      </w:pPr>
    </w:p>
    <w:p>
      <w:pPr>
        <w:ind w:right="40" w:firstLine="1304"/>
        <w:spacing w:after="0" w:line="263" w:lineRule="auto"/>
        <w:tabs>
          <w:tab w:leader="none" w:pos="1686"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right="700" w:firstLine="1304"/>
        <w:spacing w:after="0" w:line="277" w:lineRule="auto"/>
        <w:tabs>
          <w:tab w:leader="none" w:pos="1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ind w:right="160" w:firstLine="81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two or more “non-employee directors” (as defined in the regulations promulgated under Section 16 of the Exchange Act).</w:t>
      </w:r>
    </w:p>
    <w:p>
      <w:pPr>
        <w:spacing w:after="0" w:line="108" w:lineRule="exact"/>
        <w:rPr>
          <w:sz w:val="20"/>
          <w:szCs w:val="20"/>
          <w:color w:val="auto"/>
        </w:rPr>
      </w:pPr>
    </w:p>
    <w:p>
      <w:pPr>
        <w:ind w:right="380" w:firstLine="810"/>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the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86"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07" w:lineRule="exact"/>
        <w:rPr>
          <w:sz w:val="20"/>
          <w:szCs w:val="20"/>
          <w:color w:val="auto"/>
        </w:rPr>
      </w:pPr>
    </w:p>
    <w:p>
      <w:pPr>
        <w:ind w:right="180" w:firstLine="170"/>
        <w:spacing w:after="0" w:line="281" w:lineRule="auto"/>
        <w:tabs>
          <w:tab w:leader="none" w:pos="47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ind w:right="40" w:firstLine="810"/>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ind w:right="40" w:firstLine="810"/>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86" w:lineRule="exact"/>
        <w:rPr>
          <w:sz w:val="20"/>
          <w:szCs w:val="20"/>
          <w:color w:val="auto"/>
        </w:rPr>
      </w:pPr>
    </w:p>
    <w:p>
      <w:pPr>
        <w:ind w:firstLine="810"/>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may be vested and exercisable within the times or upon the conditions as set forth in the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governing 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will be exercisable after the expiration of ten (10) years from the date the Option is granted;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19" w:lineRule="exact"/>
        <w:rPr>
          <w:sz w:val="20"/>
          <w:szCs w:val="20"/>
          <w:color w:val="auto"/>
        </w:rPr>
      </w:pPr>
    </w:p>
    <w:p>
      <w:pPr>
        <w:ind w:right="40" w:firstLine="810"/>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9"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u w:val="single" w:color="auto"/>
          <w:color w:val="auto"/>
        </w:rPr>
        <w:t>Method of Exercise</w:t>
      </w:r>
      <w:r>
        <w:rPr>
          <w:rFonts w:ascii="Arial" w:cs="Arial" w:eastAsia="Arial" w:hAnsi="Arial"/>
          <w:sz w:val="16"/>
          <w:szCs w:val="16"/>
          <w:color w:val="auto"/>
        </w:rPr>
        <w:t>. Any Option granted hereunder will be vested and exercisable according to the terms of the Plan and at such times</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Shares thereafter available, both for purposes of the Plan and for sale under the Option, by the number of Shares as to which the Option is exercised.</w:t>
      </w:r>
    </w:p>
    <w:p>
      <w:pPr>
        <w:spacing w:after="0" w:line="179" w:lineRule="exact"/>
        <w:rPr>
          <w:sz w:val="20"/>
          <w:szCs w:val="20"/>
          <w:color w:val="auto"/>
        </w:rPr>
      </w:pPr>
    </w:p>
    <w:p>
      <w:pPr>
        <w:ind w:right="100" w:firstLine="810"/>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7" w:lineRule="exact"/>
        <w:rPr>
          <w:sz w:val="20"/>
          <w:szCs w:val="20"/>
          <w:color w:val="auto"/>
        </w:rPr>
      </w:pPr>
    </w:p>
    <w:p>
      <w:pPr>
        <w:ind w:firstLine="1304"/>
        <w:spacing w:after="0" w:line="255" w:lineRule="auto"/>
        <w:tabs>
          <w:tab w:leader="none" w:pos="16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ind w:right="20" w:firstLine="1304"/>
        <w:spacing w:after="0" w:line="271" w:lineRule="auto"/>
        <w:tabs>
          <w:tab w:leader="none" w:pos="168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ind w:right="100" w:firstLine="1304"/>
        <w:spacing w:after="0" w:line="275" w:lineRule="auto"/>
        <w:tabs>
          <w:tab w:leader="none" w:pos="167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ind w:right="20" w:firstLine="1304"/>
        <w:spacing w:after="0" w:line="254" w:lineRule="auto"/>
        <w:tabs>
          <w:tab w:leader="none" w:pos="168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ind w:right="60" w:firstLine="810"/>
        <w:spacing w:after="0" w:line="25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Value of Shares permitted to be subject to ISOs, such different limit will be automatically incorporated herein and will apply to any Options granted after the effective date of such amendment.</w:t>
      </w:r>
    </w:p>
    <w:p>
      <w:pPr>
        <w:spacing w:after="0" w:line="112"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35" w:lineRule="exact"/>
        <w:rPr>
          <w:sz w:val="20"/>
          <w:szCs w:val="20"/>
          <w:color w:val="auto"/>
        </w:rPr>
      </w:pPr>
    </w:p>
    <w:p>
      <w:pPr>
        <w:jc w:val="both"/>
        <w:ind w:right="160" w:firstLine="810"/>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ind w:right="300" w:firstLine="8"/>
        <w:spacing w:after="0" w:line="261" w:lineRule="auto"/>
        <w:tabs>
          <w:tab w:leader="none" w:pos="31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ind w:firstLine="810"/>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w:t>
      </w:r>
      <w:r>
        <w:rPr>
          <w:rFonts w:ascii="Arial" w:cs="Arial" w:eastAsia="Arial" w:hAnsi="Arial"/>
          <w:sz w:val="18"/>
          <w:szCs w:val="18"/>
          <w:color w:val="auto"/>
        </w:rPr>
        <w:t>t. All purchases under a Restricted Stock Award will be evidenced by an Award Agreement.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ind w:right="60" w:firstLine="810"/>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ind w:right="360" w:firstLine="810"/>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right="40" w:firstLine="8"/>
        <w:spacing w:after="0" w:line="289" w:lineRule="auto"/>
        <w:tabs>
          <w:tab w:leader="none" w:pos="31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 rendered</w:t>
      </w:r>
      <w:r>
        <w:rPr>
          <w:rFonts w:ascii="Arial" w:cs="Arial" w:eastAsia="Arial" w:hAnsi="Arial"/>
          <w:sz w:val="17"/>
          <w:szCs w:val="17"/>
          <w:b w:val="1"/>
          <w:bCs w:val="1"/>
          <w:color w:val="auto"/>
        </w:rPr>
        <w:t xml:space="preserve"> </w:t>
      </w:r>
      <w:r>
        <w:rPr>
          <w:rFonts w:ascii="Arial" w:cs="Arial" w:eastAsia="Arial" w:hAnsi="Arial"/>
          <w:sz w:val="17"/>
          <w:szCs w:val="17"/>
          <w:color w:val="auto"/>
        </w:rPr>
        <w:t>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 Bonus</w:t>
      </w:r>
      <w:r>
        <w:rPr>
          <w:rFonts w:ascii="Arial" w:cs="Arial" w:eastAsia="Arial" w:hAnsi="Arial"/>
          <w:sz w:val="17"/>
          <w:szCs w:val="17"/>
          <w:b w:val="1"/>
          <w:bCs w:val="1"/>
          <w:color w:val="auto"/>
        </w:rPr>
        <w:t xml:space="preserve"> </w:t>
      </w:r>
      <w:r>
        <w:rPr>
          <w:rFonts w:ascii="Arial" w:cs="Arial" w:eastAsia="Arial" w:hAnsi="Arial"/>
          <w:sz w:val="17"/>
          <w:szCs w:val="17"/>
          <w:color w:val="auto"/>
        </w:rPr>
        <w:t>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8" w:lineRule="exact"/>
        <w:rPr>
          <w:sz w:val="20"/>
          <w:szCs w:val="20"/>
          <w:color w:val="auto"/>
        </w:rPr>
      </w:pPr>
    </w:p>
    <w:p>
      <w:pPr>
        <w:ind w:right="340" w:firstLine="810"/>
        <w:spacing w:after="0" w:line="34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u w:val="single" w:color="auto"/>
          <w:color w:val="auto"/>
        </w:rPr>
        <w:t>Form of Payment to Participant</w:t>
      </w:r>
      <w:r>
        <w:rPr>
          <w:rFonts w:ascii="Arial" w:cs="Arial" w:eastAsia="Arial" w:hAnsi="Arial"/>
          <w:sz w:val="16"/>
          <w:szCs w:val="16"/>
          <w:color w:val="auto"/>
        </w:rPr>
        <w:t>. Payment may be made in the form of cash, whole Shares, or a combination thereof, based on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of the Shares earned under a Stock Bonus Award on the date of payment, as determined in the sole discretion of the Committee.</w:t>
      </w:r>
    </w:p>
    <w:p>
      <w:pPr>
        <w:spacing w:after="0" w:line="62" w:lineRule="exact"/>
        <w:rPr>
          <w:sz w:val="20"/>
          <w:szCs w:val="20"/>
          <w:color w:val="auto"/>
        </w:rPr>
      </w:pPr>
    </w:p>
    <w:p>
      <w:pPr>
        <w:ind w:right="400" w:firstLine="810"/>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right="40" w:firstLine="8"/>
        <w:spacing w:after="0" w:line="281" w:lineRule="auto"/>
        <w:tabs>
          <w:tab w:leader="none" w:pos="31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ind w:right="20" w:firstLine="810"/>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right="380" w:firstLine="810"/>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i w:val="1"/>
          <w:i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8"/>
        <w:spacing w:after="0" w:line="266" w:lineRule="auto"/>
        <w:tabs>
          <w:tab w:leader="none" w:pos="31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may be settled in cash or by issuance of those Shares (which may consist of Restricted Stock). No Purchase Price shall apply to an RSU settled in Shares. All RSUs shall be made pursuant to an Award Agreement.</w:t>
      </w:r>
    </w:p>
    <w:p>
      <w:pPr>
        <w:spacing w:after="0" w:line="122"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8" w:lineRule="exact"/>
        <w:rPr>
          <w:sz w:val="20"/>
          <w:szCs w:val="20"/>
          <w:color w:val="auto"/>
        </w:rPr>
      </w:pPr>
    </w:p>
    <w:p>
      <w:pPr>
        <w:ind w:right="100" w:firstLine="810"/>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ind w:right="380" w:firstLine="810"/>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810"/>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ind w:right="140" w:firstLine="8"/>
        <w:spacing w:after="0" w:line="261" w:lineRule="auto"/>
        <w:tabs>
          <w:tab w:leader="none" w:pos="4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that is based upon the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right="40" w:firstLine="810"/>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Sections 10.1(a), 10.1(b) and 10.1(c) </w:t>
      </w:r>
      <w:r>
        <w:rPr>
          <w:rFonts w:ascii="Arial" w:cs="Arial" w:eastAsia="Arial" w:hAnsi="Arial"/>
          <w:sz w:val="18"/>
          <w:szCs w:val="18"/>
          <w:b w:val="1"/>
          <w:bCs w:val="1"/>
          <w:color w:val="auto"/>
        </w:rPr>
        <w:t>below.</w:t>
      </w:r>
    </w:p>
    <w:p>
      <w:pPr>
        <w:spacing w:after="0" w:line="112" w:lineRule="exact"/>
        <w:rPr>
          <w:sz w:val="20"/>
          <w:szCs w:val="20"/>
          <w:color w:val="auto"/>
        </w:rPr>
      </w:pPr>
    </w:p>
    <w:p>
      <w:pPr>
        <w:ind w:right="260" w:firstLine="1304"/>
        <w:spacing w:after="0" w:line="308" w:lineRule="auto"/>
        <w:tabs>
          <w:tab w:leader="none" w:pos="167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2" w:lineRule="exact"/>
        <w:rPr>
          <w:rFonts w:ascii="Arial" w:cs="Arial" w:eastAsia="Arial" w:hAnsi="Arial"/>
          <w:sz w:val="17"/>
          <w:szCs w:val="17"/>
          <w:color w:val="auto"/>
        </w:rPr>
      </w:pPr>
    </w:p>
    <w:p>
      <w:pPr>
        <w:ind w:firstLine="1304"/>
        <w:spacing w:after="0" w:line="277" w:lineRule="auto"/>
        <w:tabs>
          <w:tab w:leader="none" w:pos="168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1680" w:hanging="376"/>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The Committee may also grant cash-settled Performance Awards to Participants under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112"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Performance Awards will be based on the attainment of performance goals using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ind w:right="300" w:firstLine="810"/>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right="100" w:firstLine="8"/>
        <w:spacing w:after="0" w:line="266" w:lineRule="auto"/>
        <w:tabs>
          <w:tab w:leader="none" w:pos="39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1680" w:hanging="376"/>
        <w:spacing w:after="0"/>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180" w:firstLine="1304"/>
        <w:spacing w:after="0" w:line="263" w:lineRule="auto"/>
        <w:tabs>
          <w:tab w:leader="none" w:pos="16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1680" w:hanging="376"/>
        <w:spacing w:after="0"/>
        <w:tabs>
          <w:tab w:leader="none" w:pos="16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304"/>
        <w:spacing w:after="0" w:line="277" w:lineRule="auto"/>
        <w:tabs>
          <w:tab w:leader="none" w:pos="16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1680" w:hanging="376"/>
        <w:spacing w:after="0"/>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ind w:right="40" w:firstLine="8"/>
        <w:spacing w:after="0" w:line="272" w:lineRule="auto"/>
        <w:tabs>
          <w:tab w:leader="none" w:pos="405"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GRANTS TO NON-EMPLOYEE DIRECTORS</w:t>
      </w:r>
      <w:r>
        <w:rPr>
          <w:rFonts w:ascii="Arial" w:cs="Arial" w:eastAsia="Arial" w:hAnsi="Arial"/>
          <w:sz w:val="17"/>
          <w:szCs w:val="17"/>
          <w:color w:val="auto"/>
        </w:rPr>
        <w:t>. Non-Employee Directors are eligible to receive any type of Award offered under this Plan except</w:t>
      </w:r>
      <w:r>
        <w:rPr>
          <w:rFonts w:ascii="Arial" w:cs="Arial" w:eastAsia="Arial" w:hAnsi="Arial"/>
          <w:sz w:val="17"/>
          <w:szCs w:val="17"/>
          <w:b w:val="1"/>
          <w:bCs w:val="1"/>
          <w:color w:val="auto"/>
        </w:rPr>
        <w:t xml:space="preserve"> </w:t>
      </w:r>
      <w:r>
        <w:rPr>
          <w:rFonts w:ascii="Arial" w:cs="Arial" w:eastAsia="Arial" w:hAnsi="Arial"/>
          <w:sz w:val="17"/>
          <w:szCs w:val="17"/>
          <w:color w:val="auto"/>
        </w:rPr>
        <w:t>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29" w:lineRule="exact"/>
        <w:rPr>
          <w:sz w:val="20"/>
          <w:szCs w:val="20"/>
          <w:color w:val="auto"/>
        </w:rPr>
      </w:pPr>
    </w:p>
    <w:p>
      <w:pPr>
        <w:ind w:right="440" w:firstLine="810"/>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or re-elected as a member of the Board will be eligible to receive an Award under this Section 12.</w:t>
      </w:r>
    </w:p>
    <w:p>
      <w:pPr>
        <w:spacing w:after="0" w:line="108" w:lineRule="exact"/>
        <w:rPr>
          <w:sz w:val="20"/>
          <w:szCs w:val="20"/>
          <w:color w:val="auto"/>
        </w:rPr>
      </w:pPr>
    </w:p>
    <w:p>
      <w:pPr>
        <w:ind w:right="200" w:firstLine="810"/>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right="140" w:firstLine="810"/>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 and/or</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71"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may, in its sole discretion and pursuant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ind w:right="40" w:firstLine="810"/>
        <w:spacing w:after="0" w:line="281"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u w:val="single" w:color="auto"/>
          <w:color w:val="auto"/>
        </w:rPr>
        <w:t>Transfer Generally</w:t>
      </w:r>
      <w:r>
        <w:rPr>
          <w:rFonts w:ascii="Arial" w:cs="Arial" w:eastAsia="Arial" w:hAnsi="Arial"/>
          <w:sz w:val="17"/>
          <w:szCs w:val="17"/>
          <w:color w:val="auto"/>
        </w:rPr>
        <w:t>. Unless determined otherwise by the Committee or pursuant to Section 15.2, an Award may not be sold, pledged,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91"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71"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provided, further,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26" w:lineRule="exact"/>
        <w:rPr>
          <w:sz w:val="20"/>
          <w:szCs w:val="20"/>
          <w:color w:val="auto"/>
        </w:rPr>
      </w:pPr>
    </w:p>
    <w:p>
      <w:pPr>
        <w:ind w:right="20" w:firstLine="810"/>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ind w:right="120" w:firstLine="8"/>
        <w:spacing w:after="0" w:line="281" w:lineRule="auto"/>
        <w:tabs>
          <w:tab w:leader="none" w:pos="40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or other securities whether or not certificated, delivered under this Plan will be subject to such stock transfer orders,</w:t>
      </w:r>
      <w:r>
        <w:rPr>
          <w:rFonts w:ascii="Arial" w:cs="Arial" w:eastAsia="Arial" w:hAnsi="Arial"/>
          <w:sz w:val="17"/>
          <w:szCs w:val="17"/>
          <w:b w:val="1"/>
          <w:bCs w:val="1"/>
          <w:color w:val="auto"/>
        </w:rPr>
        <w:t xml:space="preserve"> </w:t>
      </w:r>
      <w:r>
        <w:rPr>
          <w:rFonts w:ascii="Arial" w:cs="Arial" w:eastAsia="Arial" w:hAnsi="Arial"/>
          <w:sz w:val="17"/>
          <w:szCs w:val="17"/>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ind w:right="40" w:firstLine="8"/>
        <w:spacing w:after="0" w:line="254" w:lineRule="auto"/>
        <w:tabs>
          <w:tab w:leader="none" w:pos="40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color w:val="auto"/>
        </w:rPr>
        <w:t>. To enforce any restrictions on a Participant’s Shares, the Committee may require the Participant to deposit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66" w:lineRule="exact"/>
        <w:rPr>
          <w:sz w:val="20"/>
          <w:szCs w:val="20"/>
          <w:color w:val="auto"/>
        </w:rPr>
      </w:pPr>
    </w:p>
    <w:p>
      <w:pPr>
        <w:ind w:right="60" w:firstLine="8"/>
        <w:spacing w:after="0" w:line="258" w:lineRule="auto"/>
        <w:tabs>
          <w:tab w:leader="none" w:pos="40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 SARs</w:t>
      </w:r>
      <w:r>
        <w:rPr>
          <w:rFonts w:ascii="Arial" w:cs="Arial" w:eastAsia="Arial" w:hAnsi="Arial"/>
          <w:sz w:val="18"/>
          <w:szCs w:val="18"/>
          <w:b w:val="1"/>
          <w:bCs w:val="1"/>
          <w:color w:val="auto"/>
        </w:rPr>
        <w:t xml:space="preserve"> </w:t>
      </w:r>
      <w:r>
        <w:rPr>
          <w:rFonts w:ascii="Arial" w:cs="Arial" w:eastAsia="Arial" w:hAnsi="Arial"/>
          <w:sz w:val="18"/>
          <w:szCs w:val="18"/>
          <w:color w:val="auto"/>
        </w:rPr>
        <w:t>(and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ind w:firstLine="8"/>
        <w:spacing w:after="0" w:line="270" w:lineRule="auto"/>
        <w:tabs>
          <w:tab w:leader="none" w:pos="405"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ind w:right="20" w:firstLine="8"/>
        <w:spacing w:after="0" w:line="314" w:lineRule="auto"/>
        <w:tabs>
          <w:tab w:leader="none" w:pos="40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EMPLOY</w:t>
      </w:r>
      <w:r>
        <w:rPr>
          <w:rFonts w:ascii="Arial" w:cs="Arial" w:eastAsia="Arial" w:hAnsi="Arial"/>
          <w:sz w:val="16"/>
          <w:szCs w:val="16"/>
          <w:color w:val="auto"/>
        </w:rPr>
        <w:t>. Nothing in this Plan or any Award granted under this Plan will confer or be deemed to confer on any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87" w:lineRule="exact"/>
        <w:rPr>
          <w:rFonts w:ascii="Arial" w:cs="Arial" w:eastAsia="Arial" w:hAnsi="Arial"/>
          <w:sz w:val="16"/>
          <w:szCs w:val="16"/>
          <w:b w:val="1"/>
          <w:bCs w:val="1"/>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right="100" w:firstLine="810"/>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1680" w:hanging="376"/>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ind w:right="320" w:firstLine="1304"/>
        <w:spacing w:after="0" w:line="259" w:lineRule="auto"/>
        <w:tabs>
          <w:tab w:leader="none" w:pos="16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6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right="180" w:firstLine="1304"/>
        <w:spacing w:after="0" w:line="342" w:lineRule="auto"/>
        <w:tabs>
          <w:tab w:leader="none" w:pos="16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40" w:right="379" w:bottom="1440" w:gutter="0" w:footer="0" w:header="0"/>
        </w:sectPr>
      </w:pPr>
    </w:p>
    <w:bookmarkStart w:id="18" w:name="page19"/>
    <w:bookmarkEnd w:id="18"/>
    <w:p>
      <w:pPr>
        <w:spacing w:after="0" w:line="144" w:lineRule="exact"/>
        <w:rPr>
          <w:sz w:val="20"/>
          <w:szCs w:val="20"/>
          <w:color w:val="auto"/>
        </w:rPr>
      </w:pPr>
    </w:p>
    <w:p>
      <w:pPr>
        <w:ind w:right="80" w:firstLine="1304"/>
        <w:spacing w:after="0" w:line="291" w:lineRule="auto"/>
        <w:tabs>
          <w:tab w:leader="none" w:pos="16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12" w:lineRule="exact"/>
        <w:rPr>
          <w:rFonts w:ascii="Arial" w:cs="Arial" w:eastAsia="Arial" w:hAnsi="Arial"/>
          <w:sz w:val="16"/>
          <w:szCs w:val="16"/>
          <w:color w:val="auto"/>
        </w:rPr>
      </w:pPr>
    </w:p>
    <w:p>
      <w:pPr>
        <w:ind w:left="1660" w:hanging="356"/>
        <w:spacing w:after="0"/>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ind w:right="300" w:firstLine="810"/>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180" w:firstLine="8"/>
        <w:spacing w:after="0" w:line="347" w:lineRule="auto"/>
        <w:tabs>
          <w:tab w:leader="none" w:pos="40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color w:val="auto"/>
        </w:rPr>
        <w:t>. This Plan shall be submitted for the approval of the Company’s stockholders,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within twelve (12) months before or after the date this Plan is adopted by the Board or amended so as to require stockholder approval.</w:t>
      </w:r>
    </w:p>
    <w:p>
      <w:pPr>
        <w:spacing w:after="0" w:line="61" w:lineRule="exact"/>
        <w:rPr>
          <w:rFonts w:ascii="Arial" w:cs="Arial" w:eastAsia="Arial" w:hAnsi="Arial"/>
          <w:sz w:val="16"/>
          <w:szCs w:val="16"/>
          <w:b w:val="1"/>
          <w:bCs w:val="1"/>
          <w:color w:val="auto"/>
        </w:rPr>
      </w:pPr>
    </w:p>
    <w:p>
      <w:pPr>
        <w:ind w:right="160" w:firstLine="8"/>
        <w:spacing w:after="0" w:line="258" w:lineRule="auto"/>
        <w:tabs>
          <w:tab w:leader="none" w:pos="40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This Plan originally became effective on the Effective Date. The amendment and restatement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as approved by the Board on February 28, 2023 will become effective on the date it is approved by the Company’s stockholders (the “</w:t>
      </w:r>
      <w:r>
        <w:rPr>
          <w:rFonts w:ascii="Arial" w:cs="Arial" w:eastAsia="Arial" w:hAnsi="Arial"/>
          <w:sz w:val="18"/>
          <w:szCs w:val="18"/>
          <w:b w:val="1"/>
          <w:bCs w:val="1"/>
          <w:i w:val="1"/>
          <w:iCs w:val="1"/>
          <w:color w:val="auto"/>
        </w:rPr>
        <w:t>A&amp;R 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Unless earlier terminated as provided herein, this Plan will terminate ten (10) years from the date this Plan was first adopted by the Board.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all Awards granted hereunder shall be governed by and construed in accordance with the laws of the State of Delaware (excluding its conflict of law rules).</w:t>
      </w:r>
    </w:p>
    <w:p>
      <w:pPr>
        <w:spacing w:after="0" w:line="129" w:lineRule="exact"/>
        <w:rPr>
          <w:rFonts w:ascii="Arial" w:cs="Arial" w:eastAsia="Arial" w:hAnsi="Arial"/>
          <w:sz w:val="18"/>
          <w:szCs w:val="18"/>
          <w:b w:val="1"/>
          <w:bCs w:val="1"/>
          <w:color w:val="auto"/>
        </w:rPr>
      </w:pPr>
    </w:p>
    <w:p>
      <w:pPr>
        <w:ind w:right="240" w:firstLine="8"/>
        <w:spacing w:after="0" w:line="266" w:lineRule="auto"/>
        <w:tabs>
          <w:tab w:leader="none" w:pos="40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amendment requiring stockholder approval that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by the Board shall be effective until the approval of the stockholders of the Company is obtained;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30" w:lineRule="exact"/>
        <w:rPr>
          <w:sz w:val="20"/>
          <w:szCs w:val="20"/>
          <w:color w:val="auto"/>
        </w:rPr>
      </w:pPr>
    </w:p>
    <w:p>
      <w:pPr>
        <w:ind w:right="400" w:firstLine="8"/>
        <w:spacing w:after="0" w:line="303" w:lineRule="auto"/>
        <w:tabs>
          <w:tab w:leader="none" w:pos="40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NON-EXCLUSIVITY OF THE PLAN</w:t>
      </w:r>
      <w:r>
        <w:rPr>
          <w:rFonts w:ascii="Arial" w:cs="Arial" w:eastAsia="Arial" w:hAnsi="Arial"/>
          <w:sz w:val="16"/>
          <w:szCs w:val="16"/>
          <w:color w:val="auto"/>
        </w:rPr>
        <w:t>. Neither the adoption of this Plan by the Board, the submission of this Plan to the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96" w:lineRule="exact"/>
        <w:rPr>
          <w:rFonts w:ascii="Arial" w:cs="Arial" w:eastAsia="Arial" w:hAnsi="Arial"/>
          <w:sz w:val="16"/>
          <w:szCs w:val="16"/>
          <w:b w:val="1"/>
          <w:bCs w:val="1"/>
          <w:color w:val="auto"/>
        </w:rPr>
      </w:pPr>
    </w:p>
    <w:p>
      <w:pPr>
        <w:ind w:right="60" w:firstLine="8"/>
        <w:spacing w:after="0" w:line="266" w:lineRule="auto"/>
        <w:tabs>
          <w:tab w:leader="none" w:pos="40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ind w:right="40" w:firstLine="8"/>
        <w:spacing w:after="0" w:line="258" w:lineRule="auto"/>
        <w:tabs>
          <w:tab w:leader="none" w:pos="40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 law,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ind w:firstLine="810"/>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any entity that, directly or indirectly, is controlled by, controls, or is under common control with,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(b) any entity in which the Company has a significant equity interest, in either case as determined by the Committee, whether now or hereafter existing.</w:t>
      </w:r>
    </w:p>
    <w:p>
      <w:pPr>
        <w:spacing w:after="0" w:line="62" w:lineRule="exact"/>
        <w:rPr>
          <w:sz w:val="20"/>
          <w:szCs w:val="20"/>
          <w:color w:val="auto"/>
        </w:rPr>
      </w:pPr>
    </w:p>
    <w:p>
      <w:pPr>
        <w:ind w:right="920" w:firstLine="810"/>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award under the Plan, including any Option, Performance Award, Restricted Stock, Stock 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or Restricted Stock Unit.</w:t>
      </w:r>
    </w:p>
    <w:p>
      <w:pPr>
        <w:spacing w:after="0" w:line="108" w:lineRule="exact"/>
        <w:rPr>
          <w:sz w:val="20"/>
          <w:szCs w:val="20"/>
          <w:color w:val="auto"/>
        </w:rPr>
      </w:pPr>
    </w:p>
    <w:p>
      <w:pPr>
        <w:ind w:right="160" w:firstLine="810"/>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97"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Company.</w:t>
      </w:r>
    </w:p>
    <w:p>
      <w:pPr>
        <w:spacing w:after="0" w:line="17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b w:val="1"/>
          <w:bCs w:val="1"/>
          <w:i w:val="1"/>
          <w:iCs w:val="1"/>
          <w:color w:val="auto"/>
        </w:rPr>
        <w:t xml:space="preserve">“Business Combination” </w:t>
      </w:r>
      <w:r>
        <w:rPr>
          <w:rFonts w:ascii="Arial" w:cs="Arial" w:eastAsia="Arial" w:hAnsi="Arial"/>
          <w:sz w:val="16"/>
          <w:szCs w:val="16"/>
          <w:color w:val="auto"/>
        </w:rPr>
        <w:t>means the business combination effected pursuant to the Business Combination Agreement.</w:t>
      </w:r>
    </w:p>
    <w:p>
      <w:pPr>
        <w:spacing w:after="0" w:line="171" w:lineRule="exact"/>
        <w:rPr>
          <w:sz w:val="20"/>
          <w:szCs w:val="20"/>
          <w:color w:val="auto"/>
        </w:rPr>
      </w:pPr>
    </w:p>
    <w:p>
      <w:pPr>
        <w:ind w:right="320" w:firstLine="810"/>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Agreement and Plan of Merger, by and among CM Life Sciences, Inc., Mount Sinai</w:t>
      </w:r>
      <w:r>
        <w:rPr>
          <w:rFonts w:ascii="Arial" w:cs="Arial" w:eastAsia="Arial" w:hAnsi="Arial"/>
          <w:sz w:val="18"/>
          <w:szCs w:val="18"/>
          <w:b w:val="1"/>
          <w:bCs w:val="1"/>
          <w:color w:val="auto"/>
        </w:rPr>
        <w:t xml:space="preserve"> </w:t>
      </w:r>
      <w:r>
        <w:rPr>
          <w:rFonts w:ascii="Arial" w:cs="Arial" w:eastAsia="Arial" w:hAnsi="Arial"/>
          <w:sz w:val="18"/>
          <w:szCs w:val="18"/>
          <w:color w:val="auto"/>
        </w:rPr>
        <w:t>Genomics, Inc. and certain other parties thereto, dated as of February 9, 2021.</w:t>
      </w:r>
    </w:p>
    <w:p>
      <w:pPr>
        <w:spacing w:after="0" w:line="108" w:lineRule="exact"/>
        <w:rPr>
          <w:sz w:val="20"/>
          <w:szCs w:val="20"/>
          <w:color w:val="auto"/>
        </w:rPr>
      </w:pPr>
    </w:p>
    <w:p>
      <w:pPr>
        <w:ind w:right="40" w:firstLine="810"/>
        <w:spacing w:after="0" w:line="261"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Participant’s (a) willful failure substantially to perform his or her duties and responsibilities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08"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i w:val="1"/>
          <w:iCs w:val="1"/>
          <w:color w:val="auto"/>
        </w:rPr>
        <w:t xml:space="preserve">“Code” </w:t>
      </w:r>
      <w:r>
        <w:rPr>
          <w:rFonts w:ascii="Arial" w:cs="Arial" w:eastAsia="Arial" w:hAnsi="Arial"/>
          <w:sz w:val="15"/>
          <w:szCs w:val="15"/>
          <w:color w:val="auto"/>
        </w:rPr>
        <w:t>means the United States Internal Revenue Code of 1986, as amended, and the regulations promulgated thereunder.</w:t>
      </w:r>
    </w:p>
    <w:p>
      <w:pPr>
        <w:spacing w:after="0" w:line="171" w:lineRule="exact"/>
        <w:rPr>
          <w:sz w:val="20"/>
          <w:szCs w:val="20"/>
          <w:color w:val="auto"/>
        </w:rPr>
      </w:pPr>
    </w:p>
    <w:p>
      <w:pPr>
        <w:ind w:firstLine="810"/>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b w:val="1"/>
          <w:bCs w:val="1"/>
          <w:i w:val="1"/>
          <w:iCs w:val="1"/>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Compensation Committee of the Board or those persons to whom administration of the Plan, or part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delegated as permitted by law.</w:t>
      </w:r>
    </w:p>
    <w:p>
      <w:pPr>
        <w:spacing w:after="0" w:line="10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means GeneDx Holdings Corp., or any successor corporation.</w:t>
      </w:r>
    </w:p>
    <w:p>
      <w:pPr>
        <w:spacing w:after="0" w:line="171" w:lineRule="exact"/>
        <w:rPr>
          <w:sz w:val="20"/>
          <w:szCs w:val="20"/>
          <w:color w:val="auto"/>
        </w:rPr>
      </w:pPr>
    </w:p>
    <w:p>
      <w:pPr>
        <w:ind w:right="660" w:firstLine="810"/>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b w:val="1"/>
          <w:bCs w:val="1"/>
          <w:i w:val="1"/>
          <w:iCs w:val="1"/>
          <w:color w:val="auto"/>
        </w:rPr>
        <w:t>“Consultant”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natural person, including an advisor or independent contractor, engaged by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to render services to such entity.</w:t>
      </w:r>
    </w:p>
    <w:p>
      <w:pPr>
        <w:spacing w:after="0" w:line="10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b w:val="1"/>
          <w:bCs w:val="1"/>
          <w:i w:val="1"/>
          <w:iCs w:val="1"/>
          <w:color w:val="auto"/>
        </w:rPr>
        <w:t xml:space="preserve">“Corporate Transaction” </w:t>
      </w:r>
      <w:r>
        <w:rPr>
          <w:rFonts w:ascii="Arial" w:cs="Arial" w:eastAsia="Arial" w:hAnsi="Arial"/>
          <w:sz w:val="16"/>
          <w:szCs w:val="16"/>
          <w:color w:val="auto"/>
        </w:rPr>
        <w:t>means the occurrence of any of the following events:</w:t>
      </w:r>
    </w:p>
    <w:p>
      <w:pPr>
        <w:spacing w:after="0" w:line="175" w:lineRule="exact"/>
        <w:rPr>
          <w:sz w:val="20"/>
          <w:szCs w:val="20"/>
          <w:color w:val="auto"/>
        </w:rPr>
      </w:pPr>
    </w:p>
    <w:p>
      <w:pPr>
        <w:ind w:right="60" w:firstLine="1304"/>
        <w:spacing w:after="0" w:line="257" w:lineRule="auto"/>
        <w:tabs>
          <w:tab w:leader="none" w:pos="1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1700" w:hanging="396"/>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ind w:right="80" w:firstLine="1304"/>
        <w:spacing w:after="0" w:line="301" w:lineRule="auto"/>
        <w:tabs>
          <w:tab w:leader="none" w:pos="16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03" w:lineRule="exact"/>
        <w:rPr>
          <w:rFonts w:ascii="Arial" w:cs="Arial" w:eastAsia="Arial" w:hAnsi="Arial"/>
          <w:sz w:val="16"/>
          <w:szCs w:val="16"/>
          <w:color w:val="auto"/>
        </w:rPr>
      </w:pPr>
    </w:p>
    <w:p>
      <w:pPr>
        <w:ind w:right="80" w:firstLine="1304"/>
        <w:spacing w:after="0" w:line="263" w:lineRule="auto"/>
        <w:tabs>
          <w:tab w:leader="none" w:pos="16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9" w:lineRule="exact"/>
        <w:rPr>
          <w:rFonts w:ascii="Arial" w:cs="Arial" w:eastAsia="Arial" w:hAnsi="Arial"/>
          <w:sz w:val="18"/>
          <w:szCs w:val="18"/>
          <w:color w:val="auto"/>
        </w:rPr>
      </w:pPr>
    </w:p>
    <w:p>
      <w:pPr>
        <w:jc w:val="both"/>
        <w:ind w:right="80" w:firstLine="1304"/>
        <w:spacing w:after="0" w:line="279" w:lineRule="auto"/>
        <w:tabs>
          <w:tab w:leader="none" w:pos="16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3"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b w:val="1"/>
          <w:bCs w:val="1"/>
          <w:i w:val="1"/>
          <w:iCs w:val="1"/>
          <w:color w:val="auto"/>
        </w:rPr>
        <w:t xml:space="preserve">“Director” </w:t>
      </w:r>
      <w:r>
        <w:rPr>
          <w:rFonts w:ascii="Arial" w:cs="Arial" w:eastAsia="Arial" w:hAnsi="Arial"/>
          <w:sz w:val="16"/>
          <w:szCs w:val="16"/>
          <w:color w:val="auto"/>
        </w:rPr>
        <w:t>means a member of the Board.</w:t>
      </w:r>
    </w:p>
    <w:p>
      <w:pPr>
        <w:spacing w:after="0" w:line="171" w:lineRule="exact"/>
        <w:rPr>
          <w:sz w:val="20"/>
          <w:szCs w:val="20"/>
          <w:color w:val="auto"/>
        </w:rPr>
      </w:pPr>
    </w:p>
    <w:p>
      <w:pPr>
        <w:ind w:right="360" w:firstLine="810"/>
        <w:spacing w:after="0" w:line="314" w:lineRule="auto"/>
        <w:rPr>
          <w:sz w:val="20"/>
          <w:szCs w:val="20"/>
          <w:color w:val="auto"/>
        </w:rPr>
      </w:pPr>
      <w:r>
        <w:rPr>
          <w:rFonts w:ascii="Arial" w:cs="Arial" w:eastAsia="Arial" w:hAnsi="Arial"/>
          <w:sz w:val="16"/>
          <w:szCs w:val="16"/>
          <w:b w:val="1"/>
          <w:bCs w:val="1"/>
          <w:color w:val="auto"/>
        </w:rPr>
        <w:t xml:space="preserve">28.14. </w:t>
      </w:r>
      <w:r>
        <w:rPr>
          <w:rFonts w:ascii="Arial" w:cs="Arial" w:eastAsia="Arial" w:hAnsi="Arial"/>
          <w:sz w:val="16"/>
          <w:szCs w:val="16"/>
          <w:b w:val="1"/>
          <w:bCs w:val="1"/>
          <w:i w:val="1"/>
          <w:iCs w:val="1"/>
          <w:color w:val="auto"/>
        </w:rPr>
        <w:t>“Disability”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in the case of ISOs, total and permanent disability as defined in Section 22(e)(3) of the Code and in the case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88" w:lineRule="exact"/>
        <w:rPr>
          <w:sz w:val="20"/>
          <w:szCs w:val="20"/>
          <w:color w:val="auto"/>
        </w:rPr>
      </w:pPr>
    </w:p>
    <w:p>
      <w:pPr>
        <w:jc w:val="both"/>
        <w:ind w:right="60" w:firstLine="810"/>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b w:val="1"/>
          <w:bCs w:val="1"/>
          <w:i w:val="1"/>
          <w:iCs w:val="1"/>
          <w:color w:val="auto"/>
        </w:rPr>
        <w:t>“Dividend Equivalent Right”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of a Participant, granted at the discretion of the Committee or as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b w:val="1"/>
          <w:bCs w:val="1"/>
          <w:i w:val="1"/>
          <w:iCs w:val="1"/>
          <w:color w:val="auto"/>
        </w:rPr>
        <w:t xml:space="preserve">“Effective Date” </w:t>
      </w:r>
      <w:r>
        <w:rPr>
          <w:rFonts w:ascii="Arial" w:cs="Arial" w:eastAsia="Arial" w:hAnsi="Arial"/>
          <w:sz w:val="16"/>
          <w:szCs w:val="16"/>
          <w:color w:val="auto"/>
        </w:rPr>
        <w:t>means July 22, 2021, the closing date of the Business Combination.</w:t>
      </w:r>
    </w:p>
    <w:p>
      <w:pPr>
        <w:spacing w:after="0" w:line="171" w:lineRule="exact"/>
        <w:rPr>
          <w:sz w:val="20"/>
          <w:szCs w:val="20"/>
          <w:color w:val="auto"/>
        </w:rPr>
      </w:pPr>
    </w:p>
    <w:p>
      <w:pPr>
        <w:ind w:right="20" w:firstLine="810"/>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b w:val="1"/>
          <w:bCs w:val="1"/>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including Officers and Directors, employed by the Company or any Parent, Subsidiary or Affiliate.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means the United States Securities Exchange Act of 1934, as amended.</w:t>
      </w:r>
    </w:p>
    <w:p>
      <w:pPr>
        <w:spacing w:after="0" w:line="171" w:lineRule="exact"/>
        <w:rPr>
          <w:sz w:val="20"/>
          <w:szCs w:val="20"/>
          <w:color w:val="auto"/>
        </w:rPr>
      </w:pPr>
    </w:p>
    <w:p>
      <w:pPr>
        <w:ind w:right="200" w:firstLine="810"/>
        <w:spacing w:after="0" w:line="347" w:lineRule="auto"/>
        <w:rPr>
          <w:sz w:val="20"/>
          <w:szCs w:val="20"/>
          <w:color w:val="auto"/>
        </w:rPr>
      </w:pPr>
      <w:r>
        <w:rPr>
          <w:rFonts w:ascii="Arial" w:cs="Arial" w:eastAsia="Arial" w:hAnsi="Arial"/>
          <w:sz w:val="16"/>
          <w:szCs w:val="16"/>
          <w:b w:val="1"/>
          <w:bCs w:val="1"/>
          <w:color w:val="auto"/>
        </w:rPr>
        <w:t xml:space="preserve">28.19. </w:t>
      </w:r>
      <w:r>
        <w:rPr>
          <w:rFonts w:ascii="Arial" w:cs="Arial" w:eastAsia="Arial" w:hAnsi="Arial"/>
          <w:sz w:val="16"/>
          <w:szCs w:val="16"/>
          <w:b w:val="1"/>
          <w:bCs w:val="1"/>
          <w:i w:val="1"/>
          <w:iCs w:val="1"/>
          <w:color w:val="auto"/>
        </w:rPr>
        <w:t>“Exchange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pursuant to which (a) outstanding Awards are surrendered, cancelled or exchanged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type of Award or a different Award (or combination thereof) or (b) the Exercise Price of an outstanding Award is increased or reduced.</w:t>
      </w:r>
    </w:p>
    <w:p>
      <w:pPr>
        <w:spacing w:after="0" w:line="62" w:lineRule="exact"/>
        <w:rPr>
          <w:sz w:val="20"/>
          <w:szCs w:val="20"/>
          <w:color w:val="auto"/>
        </w:rPr>
      </w:pPr>
    </w:p>
    <w:p>
      <w:pPr>
        <w:ind w:right="200" w:firstLine="810"/>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b w:val="1"/>
          <w:bCs w:val="1"/>
          <w:i w:val="1"/>
          <w:iCs w:val="1"/>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10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means, as of any date, the value of a share of the Company’s common stock determined as follows:</w:t>
      </w:r>
    </w:p>
    <w:p>
      <w:pPr>
        <w:spacing w:after="0" w:line="175" w:lineRule="exact"/>
        <w:rPr>
          <w:sz w:val="20"/>
          <w:szCs w:val="20"/>
          <w:color w:val="auto"/>
        </w:rPr>
      </w:pPr>
    </w:p>
    <w:p>
      <w:pPr>
        <w:ind w:right="480" w:firstLine="1304"/>
        <w:spacing w:after="0" w:line="263" w:lineRule="auto"/>
        <w:tabs>
          <w:tab w:leader="none" w:pos="1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9" w:lineRule="exact"/>
        <w:rPr>
          <w:rFonts w:ascii="Arial" w:cs="Arial" w:eastAsia="Arial" w:hAnsi="Arial"/>
          <w:sz w:val="18"/>
          <w:szCs w:val="18"/>
          <w:color w:val="auto"/>
        </w:rPr>
      </w:pPr>
    </w:p>
    <w:p>
      <w:pPr>
        <w:ind w:firstLine="1304"/>
        <w:spacing w:after="0" w:line="263" w:lineRule="auto"/>
        <w:tabs>
          <w:tab w:leader="none" w:pos="16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9" w:lineRule="exact"/>
        <w:rPr>
          <w:rFonts w:ascii="Arial" w:cs="Arial" w:eastAsia="Arial" w:hAnsi="Arial"/>
          <w:sz w:val="18"/>
          <w:szCs w:val="18"/>
          <w:color w:val="auto"/>
        </w:rPr>
      </w:pPr>
    </w:p>
    <w:p>
      <w:pPr>
        <w:ind w:left="1680" w:hanging="376"/>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right="220" w:firstLine="810"/>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b w:val="1"/>
          <w:bCs w:val="1"/>
          <w:i w:val="1"/>
          <w:iCs w:val="1"/>
          <w:color w:val="auto"/>
        </w:rPr>
        <w:t>“Insider”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10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b w:val="1"/>
          <w:bCs w:val="1"/>
          <w:i w:val="1"/>
          <w:iCs w:val="1"/>
          <w:color w:val="auto"/>
        </w:rPr>
        <w:t xml:space="preserve">“IRS” </w:t>
      </w:r>
      <w:r>
        <w:rPr>
          <w:rFonts w:ascii="Arial" w:cs="Arial" w:eastAsia="Arial" w:hAnsi="Arial"/>
          <w:sz w:val="16"/>
          <w:szCs w:val="16"/>
          <w:color w:val="auto"/>
        </w:rPr>
        <w:t>means the United States Internal Revenue Service.</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b w:val="1"/>
          <w:bCs w:val="1"/>
          <w:i w:val="1"/>
          <w:iCs w:val="1"/>
          <w:color w:val="auto"/>
        </w:rPr>
        <w:t xml:space="preserve">“Non-Employee Director” </w:t>
      </w:r>
      <w:r>
        <w:rPr>
          <w:rFonts w:ascii="Arial" w:cs="Arial" w:eastAsia="Arial" w:hAnsi="Arial"/>
          <w:sz w:val="16"/>
          <w:szCs w:val="16"/>
          <w:color w:val="auto"/>
        </w:rPr>
        <w:t>means a Director who is not an Employee of the Company or any Parent, Subsidiary or Affiliate.</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b w:val="1"/>
          <w:bCs w:val="1"/>
          <w:i w:val="1"/>
          <w:iCs w:val="1"/>
          <w:color w:val="auto"/>
        </w:rPr>
        <w:t xml:space="preserve">“Option” </w:t>
      </w:r>
      <w:r>
        <w:rPr>
          <w:rFonts w:ascii="Arial" w:cs="Arial" w:eastAsia="Arial" w:hAnsi="Arial"/>
          <w:sz w:val="16"/>
          <w:szCs w:val="16"/>
          <w:color w:val="auto"/>
        </w:rPr>
        <w:t>means an award of an option to purchase Shares pursuant to Section 5 or Section 12.</w:t>
      </w:r>
    </w:p>
    <w:p>
      <w:pPr>
        <w:spacing w:after="0" w:line="171" w:lineRule="exact"/>
        <w:rPr>
          <w:sz w:val="20"/>
          <w:szCs w:val="20"/>
          <w:color w:val="auto"/>
        </w:rPr>
      </w:pPr>
    </w:p>
    <w:p>
      <w:pPr>
        <w:jc w:val="both"/>
        <w:ind w:right="40" w:firstLine="810"/>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b w:val="1"/>
          <w:bCs w:val="1"/>
          <w:i w:val="1"/>
          <w:iCs w:val="1"/>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b w:val="1"/>
          <w:bCs w:val="1"/>
          <w:i w:val="1"/>
          <w:iCs w:val="1"/>
          <w:color w:val="auto"/>
        </w:rPr>
        <w:t xml:space="preserve">“Participant” </w:t>
      </w:r>
      <w:r>
        <w:rPr>
          <w:rFonts w:ascii="Arial" w:cs="Arial" w:eastAsia="Arial" w:hAnsi="Arial"/>
          <w:sz w:val="16"/>
          <w:szCs w:val="16"/>
          <w:color w:val="auto"/>
        </w:rPr>
        <w:t>means a person who holds an Award under this Plan.</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b w:val="1"/>
          <w:bCs w:val="1"/>
          <w:i w:val="1"/>
          <w:iCs w:val="1"/>
          <w:color w:val="auto"/>
        </w:rPr>
        <w:t xml:space="preserve">“Performance Award” </w:t>
      </w:r>
      <w:r>
        <w:rPr>
          <w:rFonts w:ascii="Arial" w:cs="Arial" w:eastAsia="Arial" w:hAnsi="Arial"/>
          <w:sz w:val="16"/>
          <w:szCs w:val="16"/>
          <w:color w:val="auto"/>
        </w:rPr>
        <w:t>means an award covering cash, Shares or other property granted pursuant to Section 10 or Section 12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3" w:lineRule="exact"/>
        <w:rPr>
          <w:sz w:val="20"/>
          <w:szCs w:val="20"/>
          <w:color w:val="auto"/>
        </w:rPr>
      </w:pPr>
    </w:p>
    <w:p>
      <w:pPr>
        <w:ind w:firstLine="810"/>
        <w:spacing w:after="0" w:line="258"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b w:val="1"/>
          <w:bCs w:val="1"/>
          <w:i w:val="1"/>
          <w:iCs w:val="1"/>
          <w:color w:val="auto"/>
        </w:rPr>
        <w:t>“Performance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of the factors selected by the Committee and specified in an Award Agreement, from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33" w:lineRule="exact"/>
        <w:rPr>
          <w:sz w:val="20"/>
          <w:szCs w:val="20"/>
          <w:color w:val="auto"/>
        </w:rPr>
      </w:pPr>
    </w:p>
    <w:p>
      <w:pPr>
        <w:ind w:left="1680" w:hanging="376"/>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1680" w:hanging="376"/>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right="360" w:firstLine="1304"/>
        <w:spacing w:after="0" w:line="277" w:lineRule="auto"/>
        <w:tabs>
          <w:tab w:leader="none" w:pos="1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660" w:hanging="356"/>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71" w:lineRule="exact"/>
        <w:rPr>
          <w:rFonts w:ascii="Arial" w:cs="Arial" w:eastAsia="Arial" w:hAnsi="Arial"/>
          <w:sz w:val="18"/>
          <w:szCs w:val="18"/>
          <w:color w:val="auto"/>
        </w:rPr>
      </w:pPr>
    </w:p>
    <w:p>
      <w:pPr>
        <w:ind w:left="1660" w:hanging="356"/>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171" w:lineRule="exact"/>
        <w:rPr>
          <w:rFonts w:ascii="Arial" w:cs="Arial" w:eastAsia="Arial" w:hAnsi="Arial"/>
          <w:sz w:val="18"/>
          <w:szCs w:val="18"/>
          <w:color w:val="auto"/>
        </w:rPr>
      </w:pPr>
    </w:p>
    <w:p>
      <w:pPr>
        <w:ind w:left="1740" w:hanging="436"/>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700" w:hanging="396"/>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1740" w:hanging="436"/>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share;</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320" w:top="1440" w:right="439" w:bottom="1440" w:gutter="0" w:footer="0" w:header="0"/>
          <w:type w:val="continuous"/>
        </w:sectPr>
      </w:pPr>
    </w:p>
    <w:bookmarkStart w:id="23" w:name="page24"/>
    <w:bookmarkEnd w:id="23"/>
    <w:p>
      <w:pPr>
        <w:spacing w:after="0" w:line="144" w:lineRule="exact"/>
        <w:rPr>
          <w:sz w:val="20"/>
          <w:szCs w:val="20"/>
          <w:color w:val="auto"/>
        </w:rPr>
      </w:pPr>
    </w:p>
    <w:p>
      <w:pPr>
        <w:ind w:left="580" w:hanging="39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540" w:hanging="35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71" w:lineRule="exact"/>
        <w:rPr>
          <w:rFonts w:ascii="Arial" w:cs="Arial" w:eastAsia="Arial" w:hAnsi="Arial"/>
          <w:sz w:val="18"/>
          <w:szCs w:val="18"/>
          <w:color w:val="auto"/>
        </w:rPr>
      </w:pPr>
    </w:p>
    <w:p>
      <w:pPr>
        <w:ind w:left="560" w:hanging="37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71" w:lineRule="exact"/>
        <w:rPr>
          <w:rFonts w:ascii="Arial" w:cs="Arial" w:eastAsia="Arial" w:hAnsi="Arial"/>
          <w:sz w:val="18"/>
          <w:szCs w:val="18"/>
          <w:color w:val="auto"/>
        </w:rPr>
      </w:pPr>
    </w:p>
    <w:p>
      <w:pPr>
        <w:ind w:left="540" w:hanging="35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620" w:hanging="436"/>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560" w:hanging="37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640" w:hanging="45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640" w:hanging="45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640" w:hanging="45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600" w:hanging="41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620" w:hanging="43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760" w:hanging="576"/>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600" w:hanging="41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620" w:hanging="43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580" w:hanging="3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metric that is capable of measurement as determined by the Committee.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24" w:name="page25"/>
    <w:bookmarkEnd w:id="24"/>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9" w:lineRule="exact"/>
        <w:rPr>
          <w:sz w:val="20"/>
          <w:szCs w:val="20"/>
          <w:color w:val="auto"/>
        </w:rPr>
      </w:pPr>
    </w:p>
    <w:p>
      <w:pPr>
        <w:ind w:right="20" w:firstLine="810"/>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b w:val="1"/>
          <w:bCs w:val="1"/>
          <w:i w:val="1"/>
          <w:iCs w:val="1"/>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one or more periods of time, which may be of varying and overlapping durations, as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select, 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right="540" w:firstLine="810"/>
        <w:spacing w:after="0" w:line="303" w:lineRule="auto"/>
        <w:rPr>
          <w:sz w:val="20"/>
          <w:szCs w:val="20"/>
          <w:color w:val="auto"/>
        </w:rPr>
      </w:pPr>
      <w:r>
        <w:rPr>
          <w:rFonts w:ascii="Arial" w:cs="Arial" w:eastAsia="Arial" w:hAnsi="Arial"/>
          <w:sz w:val="16"/>
          <w:szCs w:val="16"/>
          <w:b w:val="1"/>
          <w:bCs w:val="1"/>
          <w:color w:val="auto"/>
        </w:rPr>
        <w:t xml:space="preserve">28.31. </w:t>
      </w:r>
      <w:r>
        <w:rPr>
          <w:rFonts w:ascii="Arial" w:cs="Arial" w:eastAsia="Arial" w:hAnsi="Arial"/>
          <w:sz w:val="16"/>
          <w:szCs w:val="16"/>
          <w:b w:val="1"/>
          <w:bCs w:val="1"/>
          <w:i w:val="1"/>
          <w:iCs w:val="1"/>
          <w:color w:val="auto"/>
        </w:rPr>
        <w:t>“Performance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Award granted pursuant to Section 10 of the Plan, consisting of a unit valued by reference to a</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97" w:lineRule="exact"/>
        <w:rPr>
          <w:sz w:val="20"/>
          <w:szCs w:val="20"/>
          <w:color w:val="auto"/>
        </w:rPr>
      </w:pPr>
    </w:p>
    <w:p>
      <w:pPr>
        <w:ind w:right="40" w:firstLine="810"/>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b w:val="1"/>
          <w:bCs w:val="1"/>
          <w:i w:val="1"/>
          <w:iCs w:val="1"/>
          <w:color w:val="auto"/>
        </w:rPr>
        <w:t>“Performance Unit”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pursuant to Section 10 of the Plan, consisting of a unit valued by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ind w:firstLine="810"/>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b w:val="1"/>
          <w:bCs w:val="1"/>
          <w:i w:val="1"/>
          <w:iCs w:val="1"/>
          <w:color w:val="auto"/>
        </w:rPr>
        <w:t>“Permitted Transferee”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28.34.</w:t>
      </w:r>
      <w:r>
        <w:rPr>
          <w:sz w:val="20"/>
          <w:szCs w:val="20"/>
          <w:color w:val="auto"/>
        </w:rPr>
        <w:tab/>
      </w: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means this GeneDx Holdings Corp. Amended &amp; Restated 2021 Equity Incentive Plan.</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28.35.</w:t>
      </w:r>
      <w:r>
        <w:rPr>
          <w:sz w:val="20"/>
          <w:szCs w:val="20"/>
          <w:color w:val="auto"/>
        </w:rPr>
        <w:tab/>
      </w:r>
      <w:r>
        <w:rPr>
          <w:rFonts w:ascii="Arial" w:cs="Arial" w:eastAsia="Arial" w:hAnsi="Arial"/>
          <w:sz w:val="16"/>
          <w:szCs w:val="16"/>
          <w:b w:val="1"/>
          <w:bCs w:val="1"/>
          <w:i w:val="1"/>
          <w:iCs w:val="1"/>
          <w:color w:val="auto"/>
        </w:rPr>
        <w:t xml:space="preserve">“Purchase Price” </w:t>
      </w:r>
      <w:r>
        <w:rPr>
          <w:rFonts w:ascii="Arial" w:cs="Arial" w:eastAsia="Arial" w:hAnsi="Arial"/>
          <w:sz w:val="16"/>
          <w:szCs w:val="16"/>
          <w:color w:val="auto"/>
        </w:rPr>
        <w:t>means the price to be paid for Shares acquired under the Plan, other than Shares acquired upon exercise of an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SAR.</w:t>
      </w:r>
    </w:p>
    <w:p>
      <w:pPr>
        <w:spacing w:after="0" w:line="153" w:lineRule="exact"/>
        <w:rPr>
          <w:sz w:val="20"/>
          <w:szCs w:val="20"/>
          <w:color w:val="auto"/>
        </w:rPr>
      </w:pPr>
    </w:p>
    <w:p>
      <w:pPr>
        <w:ind w:right="300" w:firstLine="810"/>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b w:val="1"/>
          <w:bCs w:val="1"/>
          <w:i w:val="1"/>
          <w:iCs w:val="1"/>
          <w:color w:val="auto"/>
        </w:rPr>
        <w:t>“Restricted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Shares pursuant to Section 6 or Section 12 of the Plan, or issued pursuant to the early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w:t>
      </w:r>
    </w:p>
    <w:p>
      <w:pPr>
        <w:spacing w:after="0" w:line="10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b w:val="1"/>
          <w:bCs w:val="1"/>
          <w:i w:val="1"/>
          <w:iCs w:val="1"/>
          <w:color w:val="auto"/>
        </w:rPr>
        <w:t xml:space="preserve">“Restricted Stock Unit” </w:t>
      </w:r>
      <w:r>
        <w:rPr>
          <w:rFonts w:ascii="Arial" w:cs="Arial" w:eastAsia="Arial" w:hAnsi="Arial"/>
          <w:sz w:val="16"/>
          <w:szCs w:val="16"/>
          <w:color w:val="auto"/>
        </w:rPr>
        <w:t>means an Award granted pursuant to Section 9 or Section 12 of the Plan.</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28.38.</w:t>
      </w:r>
      <w:r>
        <w:rPr>
          <w:sz w:val="20"/>
          <w:szCs w:val="20"/>
          <w:color w:val="auto"/>
        </w:rPr>
        <w:tab/>
      </w:r>
      <w:r>
        <w:rPr>
          <w:rFonts w:ascii="Arial" w:cs="Arial" w:eastAsia="Arial" w:hAnsi="Arial"/>
          <w:sz w:val="16"/>
          <w:szCs w:val="16"/>
          <w:b w:val="1"/>
          <w:bCs w:val="1"/>
          <w:i w:val="1"/>
          <w:iCs w:val="1"/>
          <w:color w:val="auto"/>
        </w:rPr>
        <w:t xml:space="preserve">“SEC” </w:t>
      </w:r>
      <w:r>
        <w:rPr>
          <w:rFonts w:ascii="Arial" w:cs="Arial" w:eastAsia="Arial" w:hAnsi="Arial"/>
          <w:sz w:val="16"/>
          <w:szCs w:val="16"/>
          <w:color w:val="auto"/>
        </w:rPr>
        <w:t>means the United States Securities and Exchange Commission.</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5"/>
          <w:szCs w:val="15"/>
          <w:b w:val="1"/>
          <w:bCs w:val="1"/>
          <w:i w:val="1"/>
          <w:iCs w:val="1"/>
          <w:color w:val="auto"/>
        </w:rPr>
        <w:t xml:space="preserve">“Securities Act” </w:t>
      </w:r>
      <w:r>
        <w:rPr>
          <w:rFonts w:ascii="Arial" w:cs="Arial" w:eastAsia="Arial" w:hAnsi="Arial"/>
          <w:sz w:val="15"/>
          <w:szCs w:val="15"/>
          <w:color w:val="auto"/>
        </w:rPr>
        <w:t>means the United States Securities Act of 1933, as amended.</w:t>
      </w:r>
    </w:p>
    <w:p>
      <w:pPr>
        <w:spacing w:after="0" w:line="171"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b w:val="1"/>
          <w:bCs w:val="1"/>
          <w:i w:val="1"/>
          <w:iCs w:val="1"/>
          <w:color w:val="auto"/>
        </w:rPr>
        <w:t>“Service”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service as an Employee, Consultant, Director or Non-Employee Director, subject to such further limitations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provided, however,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20"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b w:val="1"/>
          <w:bCs w:val="1"/>
          <w:i w:val="1"/>
          <w:iCs w:val="1"/>
          <w:color w:val="auto"/>
        </w:rPr>
        <w:t xml:space="preserve">“Shares” </w:t>
      </w:r>
      <w:r>
        <w:rPr>
          <w:rFonts w:ascii="Arial" w:cs="Arial" w:eastAsia="Arial" w:hAnsi="Arial"/>
          <w:sz w:val="16"/>
          <w:szCs w:val="16"/>
          <w:color w:val="auto"/>
        </w:rPr>
        <w:t>means shares of the common stock of the Company and the common stock of any successor entity.</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b w:val="1"/>
          <w:bCs w:val="1"/>
          <w:i w:val="1"/>
          <w:iCs w:val="1"/>
          <w:color w:val="auto"/>
        </w:rPr>
        <w:t xml:space="preserve">“Stock Appreciation Right” </w:t>
      </w:r>
      <w:r>
        <w:rPr>
          <w:rFonts w:ascii="Arial" w:cs="Arial" w:eastAsia="Arial" w:hAnsi="Arial"/>
          <w:sz w:val="16"/>
          <w:szCs w:val="16"/>
          <w:color w:val="auto"/>
        </w:rPr>
        <w:t>means an Award granted pursuant to Section 8 of the Plan.</w:t>
      </w:r>
    </w:p>
    <w:p>
      <w:pPr>
        <w:spacing w:after="0" w:line="171"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5"/>
          <w:szCs w:val="15"/>
          <w:b w:val="1"/>
          <w:bCs w:val="1"/>
          <w:i w:val="1"/>
          <w:iCs w:val="1"/>
          <w:color w:val="auto"/>
        </w:rPr>
        <w:t xml:space="preserve">“Stock Bonus” </w:t>
      </w:r>
      <w:r>
        <w:rPr>
          <w:rFonts w:ascii="Arial" w:cs="Arial" w:eastAsia="Arial" w:hAnsi="Arial"/>
          <w:sz w:val="15"/>
          <w:szCs w:val="15"/>
          <w:color w:val="auto"/>
        </w:rPr>
        <w:t>means an Award granted pursuant to Section 7 of the Plan.</w:t>
      </w:r>
    </w:p>
    <w:p>
      <w:pPr>
        <w:spacing w:after="0" w:line="171" w:lineRule="exact"/>
        <w:rPr>
          <w:sz w:val="20"/>
          <w:szCs w:val="20"/>
          <w:color w:val="auto"/>
        </w:rPr>
      </w:pPr>
    </w:p>
    <w:p>
      <w:pPr>
        <w:ind w:right="240" w:firstLine="810"/>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b w:val="1"/>
          <w:bCs w:val="1"/>
          <w:i w:val="1"/>
          <w:iCs w:val="1"/>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b w:val="1"/>
          <w:bCs w:val="1"/>
          <w:i w:val="1"/>
          <w:iCs w:val="1"/>
          <w:color w:val="auto"/>
        </w:rPr>
        <w:t xml:space="preserve">“Treasury Regulations” </w:t>
      </w:r>
      <w:r>
        <w:rPr>
          <w:rFonts w:ascii="Arial" w:cs="Arial" w:eastAsia="Arial" w:hAnsi="Arial"/>
          <w:sz w:val="16"/>
          <w:szCs w:val="16"/>
          <w:color w:val="auto"/>
        </w:rPr>
        <w:t>means regulations promulgated by the United States Treasury Department.</w:t>
      </w:r>
    </w:p>
    <w:p>
      <w:pPr>
        <w:spacing w:after="0" w:line="175" w:lineRule="exact"/>
        <w:rPr>
          <w:sz w:val="20"/>
          <w:szCs w:val="20"/>
          <w:color w:val="auto"/>
        </w:rPr>
      </w:pPr>
    </w:p>
    <w:p>
      <w:pPr>
        <w:ind w:right="720" w:firstLine="818"/>
        <w:spacing w:after="0" w:line="277" w:lineRule="auto"/>
        <w:tabs>
          <w:tab w:leader="none" w:pos="1215"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“Unvested Shares” </w:t>
      </w:r>
      <w:r>
        <w:rPr>
          <w:rFonts w:ascii="Arial" w:cs="Arial" w:eastAsia="Arial" w:hAnsi="Arial"/>
          <w:sz w:val="18"/>
          <w:szCs w:val="18"/>
          <w:color w:val="auto"/>
        </w:rPr>
        <w:t>means Shares that have not yet vested or are subject to a right of repurchase in favor of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successor thereto).</w:t>
      </w:r>
    </w:p>
    <w:p>
      <w:pPr>
        <w:spacing w:after="0" w:line="112" w:lineRule="exact"/>
        <w:rPr>
          <w:rFonts w:ascii="Arial" w:cs="Arial" w:eastAsia="Arial" w:hAnsi="Arial"/>
          <w:sz w:val="18"/>
          <w:szCs w:val="18"/>
          <w:b w:val="1"/>
          <w:bCs w:val="1"/>
          <w:color w:val="auto"/>
        </w:rPr>
      </w:pPr>
    </w:p>
    <w:p>
      <w:pPr>
        <w:ind w:firstLine="8"/>
        <w:spacing w:after="0" w:line="287" w:lineRule="auto"/>
        <w:tabs>
          <w:tab w:leader="none" w:pos="40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Plan and Awards granted hereunder are intended to comply with Section 409A of the Code and the regulations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guidance promulgated thereunder (collectively, “Section 409A”)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“Deferred Amounts”) shall instead be paid on the first payroll date after the earlier of (i) the six-month anniversary of the Participant’s “separation from service” (as defined in Section 409A) or (ii) the Participant’s death (such date, the “Section 409A Payment Date”),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lvl w:ilvl="1">
      <w:lvlJc w:val="left"/>
      <w:lvlText w:val="%2."/>
      <w:numFmt w:val="decimal"/>
      <w:start w:val="1"/>
    </w:lvl>
  </w:abstractNum>
  <w:abstractNum w:abstractNumId="3">
    <w:nsid w:val="3F2DBA31"/>
    <w:multiLevelType w:val="hybridMultilevel"/>
    <w:lvl w:ilvl="0">
      <w:lvlJc w:val="left"/>
      <w:lvlText w:val="%1."/>
      <w:numFmt w:val="decimal"/>
      <w:start w:val="5"/>
    </w:lvl>
    <w:lvl w:ilvl="1">
      <w:lvlJc w:val="left"/>
      <w:lvlText w:val="%2"/>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0"/>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11"/>
    </w:lvl>
    <w:lvl w:ilvl="1">
      <w:lvlJc w:val="left"/>
      <w:lvlText w:val="(%2)"/>
      <w:numFmt w:val="lowerLetter"/>
      <w:start w:val="1"/>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4"/>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1."/>
      <w:numFmt w:val="decimal"/>
      <w:start w:val="16"/>
    </w:lvl>
  </w:abstractNum>
  <w:abstractNum w:abstractNumId="21">
    <w:nsid w:val="71F32454"/>
    <w:multiLevelType w:val="hybridMultilevel"/>
    <w:lvl w:ilvl="0">
      <w:lvlJc w:val="left"/>
      <w:lvlText w:val="%1."/>
      <w:numFmt w:val="decimal"/>
      <w:start w:val="18"/>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5"/>
    </w:lvl>
  </w:abstractNum>
  <w:abstractNum w:abstractNumId="24">
    <w:nsid w:val="2901D82"/>
    <w:multiLevelType w:val="hybridMultilevel"/>
    <w:lvl w:ilvl="0">
      <w:lvlJc w:val="left"/>
      <w:lvlText w:val="%1."/>
      <w:numFmt w:val="decimal"/>
      <w:start w:val="22"/>
    </w:lvl>
  </w:abstractNum>
  <w:abstractNum w:abstractNumId="25">
    <w:nsid w:val="3A95F874"/>
    <w:multiLevelType w:val="hybridMultilevel"/>
    <w:lvl w:ilvl="0">
      <w:lvlJc w:val="left"/>
      <w:lvlText w:val="%1."/>
      <w:numFmt w:val="decimal"/>
      <w:start w:val="2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7"/>
    </w:lvl>
  </w:abstractNum>
  <w:abstractNum w:abstractNumId="30">
    <w:nsid w:val="6CEAF087"/>
    <w:multiLevelType w:val="hybridMultilevel"/>
    <w:lvl w:ilvl="0">
      <w:lvlJc w:val="left"/>
      <w:lvlText w:val="(%1)"/>
      <w:numFmt w:val="lowerLetter"/>
      <w:start w:val="27"/>
    </w:lvl>
  </w:abstractNum>
  <w:abstractNum w:abstractNumId="31">
    <w:nsid w:val="22221A70"/>
    <w:multiLevelType w:val="hybridMultilevel"/>
    <w:lvl w:ilvl="0">
      <w:lvlJc w:val="left"/>
      <w:lvlText w:val="%1"/>
      <w:numFmt w:val="decimal"/>
      <w:start w:val="1"/>
    </w:lvl>
    <w:lvl w:ilvl="1">
      <w:lvlJc w:val="left"/>
      <w:lvlText w:val="%2."/>
      <w:numFmt w:val="decimal"/>
      <w:start w:val="28"/>
    </w:lvl>
  </w:abstractNum>
  <w:abstractNum w:abstractNumId="32">
    <w:nsid w:val="4516DDE9"/>
    <w:multiLevelType w:val="hybridMultilevel"/>
    <w:lvl w:ilvl="0">
      <w:lvlJc w:val="left"/>
      <w:lvlText w:val="%1."/>
      <w:numFmt w:val="decimal"/>
      <w:start w:val="2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2023-04-17T16:25:59Z</dcterms:created>
  <dcterms:modified xsi:type="dcterms:W3CDTF">2023-04-17T16:25:59Z</dcterms:modified>
</cp:coreProperties>
</file>