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ind w:left="360"/>
        <w:spacing w:after="0" w:line="25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31750</wp:posOffset>
            </wp:positionH>
            <wp:positionV relativeFrom="paragraph">
              <wp:posOffset>-231140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4"/>
        </w:trPr>
        <w:tc>
          <w:tcPr>
            <w:tcW w:w="622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59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79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5219700</wp:posOffset>
            </wp:positionH>
            <wp:positionV relativeFrom="paragraph">
              <wp:posOffset>-607695</wp:posOffset>
            </wp:positionV>
            <wp:extent cx="57150" cy="62103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1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3933190</wp:posOffset>
            </wp:positionH>
            <wp:positionV relativeFrom="paragraph">
              <wp:posOffset>-607695</wp:posOffset>
            </wp:positionV>
            <wp:extent cx="57150" cy="62103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1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-1688465</wp:posOffset>
            </wp:positionH>
            <wp:positionV relativeFrom="paragraph">
              <wp:posOffset>19685</wp:posOffset>
            </wp:positionV>
            <wp:extent cx="7048500" cy="43694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0" cy="43694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180" w:space="460"/>
            <w:col w:w="8440"/>
          </w:cols>
          <w:pgMar w:left="460" w:top="214" w:right="359" w:bottom="1440" w:gutter="0" w:footer="0" w:header="0"/>
        </w:sectPr>
      </w:pP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0"/>
          <w:szCs w:val="20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Saad Kareem</w:t>
        </w:r>
      </w:hyperlink>
    </w:p>
    <w:p>
      <w:pPr>
        <w:spacing w:after="0" w:line="28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1"/>
          <w:szCs w:val="11"/>
          <w:color w:val="auto"/>
        </w:rPr>
        <w:t>(Middle)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GENEDX HOLDINGS CORP.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333 LUDLOW ST, NORTH TOWER, 6TH FL.</w:t>
      </w:r>
    </w:p>
    <w:p>
      <w:pPr>
        <w:spacing w:after="0" w:line="27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STAMFORD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CT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06902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1"/>
          <w:szCs w:val="11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00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GeneDx Holdings Corp.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WGS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 w:line="1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 w:line="1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04/26/2023</w:t>
            </w: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Chief Transformation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100"/>
        <w:spacing w:after="0" w:line="228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Form filed by More than One Reporting Person</w:t>
      </w:r>
    </w:p>
    <w:p>
      <w:pPr>
        <w:spacing w:after="0" w:line="160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Rule 10b5-1(c) Transaction Indication</w:t>
      </w: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ind w:left="320" w:right="320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220" w:space="620"/>
            <w:col w:w="7240"/>
          </w:cols>
          <w:pgMar w:left="460" w:top="214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2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6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6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6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 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 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2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2,700,000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8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04/26/2023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2,700,000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20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2,700,000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160" w:hanging="122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("RSU") represents a contingent right to receive 1 share of the Issuer's Class A Common Stock upon settlement for no consideration.</w:t>
      </w:r>
    </w:p>
    <w:p>
      <w:pPr>
        <w:spacing w:after="0" w:line="38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2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6.25% vest in quarterly installments over the four-year period commencing on March 16, 2023 until fully vested, subject to the Reporting Person's continued service to the Issuer on each vesting date.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/s/ Bridget Brown,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8"/>
              </w:rPr>
              <w:t>04/27/2023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80" w:type="dxa"/>
            <w:vAlign w:val="bottom"/>
            <w:vMerge w:val="restart"/>
          </w:tcPr>
          <w:p>
            <w:pPr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4"/>
              </w:rPr>
              <w:t>Fact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jc w:val="both"/>
        <w:ind w:left="40" w:right="3820" w:hanging="2"/>
        <w:spacing w:after="0" w:line="355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1"/>
          <w:szCs w:val="11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1"/>
          <w:szCs w:val="11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4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873805" TargetMode="External"/><Relationship Id="rId13" Type="http://schemas.openxmlformats.org/officeDocument/2006/relationships/hyperlink" Target="http://www.sec.gov/cgi-bin/browse-edgar?action=getcompany&amp;CIK=000181833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2023-04-27T18:42:59Z</dcterms:created>
  <dcterms:modified xsi:type="dcterms:W3CDTF">2023-04-27T18:42:59Z</dcterms:modified>
</cp:coreProperties>
</file>