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gridSpan w:val="3"/>
            <w:vMerge w:val="restart"/>
          </w:tcPr>
          <w:p>
            <w:pPr>
              <w:ind w:left="20"/>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Schadt Eric</w:t>
              </w:r>
            </w:hyperlink>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77"/>
        <w:spacing w:after="0"/>
        <w:rPr>
          <w:sz w:val="20"/>
          <w:szCs w:val="20"/>
          <w:color w:val="auto"/>
        </w:rPr>
      </w:pPr>
      <w:r>
        <w:rPr>
          <w:rFonts w:ascii="Arial" w:cs="Arial" w:eastAsia="Arial" w:hAnsi="Arial"/>
          <w:sz w:val="17"/>
          <w:szCs w:val="17"/>
          <w:color w:val="0000FF"/>
        </w:rPr>
        <w:t>Chief Executive Officer</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6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10/25/2021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Arial" w:cs="Arial" w:eastAsia="Arial" w:hAnsi="Arial"/>
                <w:sz w:val="17"/>
                <w:szCs w:val="17"/>
                <w:color w:val="0000FF"/>
                <w:w w:val="84"/>
              </w:rPr>
              <w:t>78,812</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7"/>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Arial" w:cs="Arial" w:eastAsia="Arial" w:hAnsi="Arial"/>
                <w:sz w:val="17"/>
                <w:szCs w:val="17"/>
                <w:color w:val="0000FF"/>
              </w:rPr>
              <w:t>78,812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33,332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7.54</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45,480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78,812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78,812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160"/>
              <w:spacing w:after="0" w:line="142" w:lineRule="exact"/>
              <w:rPr>
                <w:sz w:val="20"/>
                <w:szCs w:val="20"/>
                <w:color w:val="auto"/>
              </w:rPr>
            </w:pPr>
            <w:r>
              <w:rPr>
                <w:rFonts w:ascii="Arial" w:cs="Arial" w:eastAsia="Arial" w:hAnsi="Arial"/>
                <w:sz w:val="13"/>
                <w:szCs w:val="13"/>
                <w:color w:val="0000FF"/>
              </w:rPr>
              <w:t>1,182,187</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four-year period commencing on July 25, 2021 until fully vested, subject to the Reporting Person's continued service to the Issuer on each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2021-11-02T19:21:56Z</dcterms:created>
  <dcterms:modified xsi:type="dcterms:W3CDTF">2021-11-02T19:21:56Z</dcterms:modified>
</cp:coreProperties>
</file>