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12/09/2025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0"/>
          <w:szCs w:val="20"/>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12/09/2025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6,547</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61"/>
              <w:spacing w:after="0"/>
              <w:rPr>
                <w:sz w:val="20"/>
                <w:szCs w:val="20"/>
                <w:color w:val="auto"/>
              </w:rPr>
            </w:pPr>
            <w:r>
              <w:rPr>
                <w:rFonts w:ascii="Times New Roman" w:cs="Times New Roman" w:eastAsia="Times New Roman" w:hAnsi="Times New Roman"/>
                <w:sz w:val="17"/>
                <w:szCs w:val="17"/>
                <w:color w:val="0000FF"/>
              </w:rPr>
              <w:t>9,983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12/09/2025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3,639</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159.28</w:t>
            </w:r>
          </w:p>
        </w:tc>
        <w:tc>
          <w:tcPr>
            <w:tcW w:w="1200" w:type="dxa"/>
            <w:vAlign w:val="bottom"/>
            <w:tcBorders>
              <w:bottom w:val="single" w:sz="8" w:color="2C2C2C"/>
            </w:tcBorders>
            <w:gridSpan w:val="2"/>
          </w:tcPr>
          <w:p>
            <w:pPr>
              <w:jc w:val="center"/>
              <w:ind w:right="281"/>
              <w:spacing w:after="0"/>
              <w:rPr>
                <w:sz w:val="20"/>
                <w:szCs w:val="20"/>
                <w:color w:val="auto"/>
              </w:rPr>
            </w:pPr>
            <w:r>
              <w:rPr>
                <w:rFonts w:ascii="Times New Roman" w:cs="Times New Roman" w:eastAsia="Times New Roman" w:hAnsi="Times New Roman"/>
                <w:sz w:val="17"/>
                <w:szCs w:val="17"/>
                <w:color w:val="0000FF"/>
              </w:rPr>
              <w:t>6,344</w:t>
            </w:r>
            <w:r>
              <w:rPr>
                <w:rFonts w:ascii="Times New Roman" w:cs="Times New Roman" w:eastAsia="Times New Roman" w:hAnsi="Times New Roman"/>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6,547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12/09/2025</w:t>
            </w:r>
          </w:p>
        </w:tc>
        <w:tc>
          <w:tcPr>
            <w:tcW w:w="110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82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6,547</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26,186</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jc w:val="both"/>
        <w:ind w:left="40" w:right="4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 undertaken to satisfy tax withholding liabilities, in addition to the 6,344 shares of Class A Common Stock beneficially owned by the Reporting Person, the Reporting Person beneficially owned RSUs representing contingent rights to receive up to an aggregate of 434,118 shares of Class A Common Stock and options to purchase up to an aggregate of 107,610 shares of Class A Common Stock, which RSUs and options vest according to their respective terms.</w:t>
      </w:r>
    </w:p>
    <w:p>
      <w:pPr>
        <w:spacing w:after="0" w:line="25" w:lineRule="exact"/>
        <w:rPr>
          <w:rFonts w:ascii="Times New Roman" w:cs="Times New Roman" w:eastAsia="Times New Roman" w:hAnsi="Times New Roman"/>
          <w:sz w:val="13"/>
          <w:szCs w:val="13"/>
          <w:color w:val="008000"/>
        </w:rPr>
      </w:pPr>
    </w:p>
    <w:p>
      <w:pPr>
        <w:ind w:left="40" w:right="30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of the total award vested or vests quarterly, subject to the Reporting Person's continued service to the Issuer on each vesting date, and with the first tranche vested on March 9, 2023. These RSUs do not have an expiration date; they either vest or are cancelled prior to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2025-12-11T15:36:43Z</dcterms:created>
  <dcterms:modified xsi:type="dcterms:W3CDTF">2025-12-11T15:36:43Z</dcterms:modified>
</cp:coreProperties>
</file>