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SCHEDULE 13D</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20955</wp:posOffset>
            </wp:positionV>
            <wp:extent cx="3797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(Name of Issuer)</w:t>
      </w:r>
    </w:p>
    <w:p>
      <w:pPr>
        <w:spacing w:after="0" w:line="35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20320</wp:posOffset>
            </wp:positionV>
            <wp:extent cx="3797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29210</wp:posOffset>
            </wp:positionV>
            <wp:extent cx="1080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(CUSIP Number)</w:t>
      </w:r>
    </w:p>
    <w:p>
      <w:pPr>
        <w:spacing w:after="0" w:line="136" w:lineRule="exact"/>
        <w:rPr>
          <w:sz w:val="24"/>
          <w:szCs w:val="24"/>
          <w:color w:val="auto"/>
        </w:rPr>
      </w:pPr>
    </w:p>
    <w:p>
      <w:pPr>
        <w:ind w:left="5040"/>
        <w:spacing w:after="0"/>
        <w:rPr>
          <w:sz w:val="20"/>
          <w:szCs w:val="20"/>
          <w:color w:val="auto"/>
        </w:rPr>
      </w:pPr>
      <w:r>
        <w:rPr>
          <w:rFonts w:ascii="Arial" w:cs="Arial" w:eastAsia="Arial" w:hAnsi="Arial"/>
          <w:sz w:val="16"/>
          <w:szCs w:val="16"/>
          <w:b w:val="1"/>
          <w:bCs w:val="1"/>
          <w:color w:val="auto"/>
        </w:rPr>
        <w:t>Steven D. Rubin</w:t>
      </w:r>
    </w:p>
    <w:p>
      <w:pPr>
        <w:ind w:left="4160"/>
        <w:spacing w:after="0" w:line="211" w:lineRule="auto"/>
        <w:rPr>
          <w:sz w:val="20"/>
          <w:szCs w:val="20"/>
          <w:color w:val="auto"/>
        </w:rPr>
      </w:pPr>
      <w:r>
        <w:rPr>
          <w:rFonts w:ascii="Arial" w:cs="Arial" w:eastAsia="Arial" w:hAnsi="Arial"/>
          <w:sz w:val="16"/>
          <w:szCs w:val="16"/>
          <w:b w:val="1"/>
          <w:bCs w:val="1"/>
          <w:color w:val="auto"/>
        </w:rPr>
        <w:t>Executive Vice President - Administration</w:t>
      </w:r>
    </w:p>
    <w:p>
      <w:pPr>
        <w:ind w:left="4940"/>
        <w:spacing w:after="0" w:line="211" w:lineRule="auto"/>
        <w:rPr>
          <w:sz w:val="20"/>
          <w:szCs w:val="20"/>
          <w:color w:val="auto"/>
        </w:rPr>
      </w:pPr>
      <w:r>
        <w:rPr>
          <w:rFonts w:ascii="Arial" w:cs="Arial" w:eastAsia="Arial" w:hAnsi="Arial"/>
          <w:sz w:val="16"/>
          <w:szCs w:val="16"/>
          <w:b w:val="1"/>
          <w:bCs w:val="1"/>
          <w:color w:val="auto"/>
        </w:rPr>
        <w:t>OPKO Health, Inc.</w:t>
      </w:r>
    </w:p>
    <w:p>
      <w:pPr>
        <w:ind w:left="4740"/>
        <w:spacing w:after="0" w:line="211" w:lineRule="auto"/>
        <w:rPr>
          <w:sz w:val="20"/>
          <w:szCs w:val="20"/>
          <w:color w:val="auto"/>
        </w:rPr>
      </w:pPr>
      <w:r>
        <w:rPr>
          <w:rFonts w:ascii="Arial" w:cs="Arial" w:eastAsia="Arial" w:hAnsi="Arial"/>
          <w:sz w:val="16"/>
          <w:szCs w:val="16"/>
          <w:b w:val="1"/>
          <w:bCs w:val="1"/>
          <w:color w:val="auto"/>
        </w:rPr>
        <w:t>4400 Biscayne Boulevard</w:t>
      </w:r>
    </w:p>
    <w:p>
      <w:pPr>
        <w:ind w:left="4860"/>
        <w:spacing w:after="0" w:line="212" w:lineRule="auto"/>
        <w:rPr>
          <w:sz w:val="20"/>
          <w:szCs w:val="20"/>
          <w:color w:val="auto"/>
        </w:rPr>
      </w:pPr>
      <w:r>
        <w:rPr>
          <w:rFonts w:ascii="Arial" w:cs="Arial" w:eastAsia="Arial" w:hAnsi="Arial"/>
          <w:sz w:val="16"/>
          <w:szCs w:val="16"/>
          <w:b w:val="1"/>
          <w:bCs w:val="1"/>
          <w:color w:val="auto"/>
        </w:rPr>
        <w:t>Miami, Florida 33137</w:t>
      </w:r>
    </w:p>
    <w:p>
      <w:pPr>
        <w:ind w:left="4720"/>
        <w:spacing w:after="0"/>
        <w:rPr>
          <w:sz w:val="20"/>
          <w:szCs w:val="20"/>
          <w:color w:val="auto"/>
        </w:rPr>
      </w:pPr>
      <w:r>
        <w:rPr>
          <w:rFonts w:ascii="Arial" w:cs="Arial" w:eastAsia="Arial" w:hAnsi="Arial"/>
          <w:sz w:val="16"/>
          <w:szCs w:val="16"/>
          <w:b w:val="1"/>
          <w:bCs w:val="1"/>
          <w:color w:val="auto"/>
        </w:rPr>
        <w:t>Telephone: (305) 575-4100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8890</wp:posOffset>
            </wp:positionV>
            <wp:extent cx="4568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20320</wp:posOffset>
            </wp:positionV>
            <wp:extent cx="258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333" w:lineRule="exact"/>
        <w:rPr>
          <w:sz w:val="24"/>
          <w:szCs w:val="24"/>
          <w:color w:val="auto"/>
        </w:rPr>
      </w:pPr>
    </w:p>
    <w:p>
      <w:pPr>
        <w:ind w:right="60"/>
        <w:spacing w:after="0" w:line="200" w:lineRule="exact"/>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1" w:lineRule="exact"/>
        <w:rPr>
          <w:sz w:val="24"/>
          <w:szCs w:val="24"/>
          <w:color w:val="auto"/>
        </w:rPr>
      </w:pPr>
    </w:p>
    <w:p>
      <w:pPr>
        <w:ind w:right="260"/>
        <w:spacing w:after="0" w:line="263"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Schedules filed in paper format shall include a signed original and five copies of the Schedule, including all exhibits. See Rule 13d-7 for other parties to whom</w:t>
      </w:r>
      <w:r>
        <w:rPr>
          <w:rFonts w:ascii="Arial" w:cs="Arial" w:eastAsia="Arial" w:hAnsi="Arial"/>
          <w:sz w:val="16"/>
          <w:szCs w:val="16"/>
          <w:b w:val="1"/>
          <w:bCs w:val="1"/>
          <w:color w:val="auto"/>
        </w:rPr>
        <w:t xml:space="preserve"> </w:t>
      </w:r>
      <w:r>
        <w:rPr>
          <w:rFonts w:ascii="Arial" w:cs="Arial" w:eastAsia="Arial" w:hAnsi="Arial"/>
          <w:sz w:val="16"/>
          <w:szCs w:val="16"/>
          <w:color w:val="auto"/>
        </w:rPr>
        <w:t>copies are to be sent.</w:t>
      </w:r>
    </w:p>
    <w:p>
      <w:pPr>
        <w:spacing w:after="0" w:line="87" w:lineRule="exact"/>
        <w:rPr>
          <w:sz w:val="24"/>
          <w:szCs w:val="24"/>
          <w:color w:val="auto"/>
        </w:rPr>
      </w:pPr>
    </w:p>
    <w:p>
      <w:pPr>
        <w:ind w:left="320" w:right="540" w:hanging="294"/>
        <w:spacing w:after="0" w:line="258"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7"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The information required on the remainder of this cover page shall not be deemed to be “filed” for purpose of Section 18 of the Securities Exchange Act of 1934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780" w:type="dxa"/>
            <w:vAlign w:val="bottom"/>
            <w:tcBorders>
              <w:top w:val="single" w:sz="8" w:color="auto"/>
              <w:left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1</w:t>
            </w:r>
          </w:p>
        </w:tc>
        <w:tc>
          <w:tcPr>
            <w:tcW w:w="580" w:type="dxa"/>
            <w:vAlign w:val="bottom"/>
            <w:tcBorders>
              <w:top w:val="single" w:sz="8" w:color="auto"/>
              <w:right w:val="single" w:sz="8" w:color="auto"/>
            </w:tcBorders>
          </w:tcPr>
          <w:p>
            <w:pPr>
              <w:spacing w:after="0"/>
              <w:rPr>
                <w:sz w:val="21"/>
                <w:szCs w:val="21"/>
                <w:color w:val="auto"/>
              </w:rPr>
            </w:pPr>
          </w:p>
        </w:tc>
        <w:tc>
          <w:tcPr>
            <w:tcW w:w="968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346"/>
        </w:trPr>
        <w:tc>
          <w:tcPr>
            <w:tcW w:w="7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96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rPr>
              <w:t>OPKO Health, Inc.</w:t>
            </w:r>
          </w:p>
        </w:tc>
        <w:tc>
          <w:tcPr>
            <w:tcW w:w="0" w:type="dxa"/>
            <w:vAlign w:val="bottom"/>
          </w:tcPr>
          <w:p>
            <w:pPr>
              <w:spacing w:after="0"/>
              <w:rPr>
                <w:sz w:val="1"/>
                <w:szCs w:val="1"/>
                <w:color w:val="auto"/>
              </w:rPr>
            </w:pPr>
          </w:p>
        </w:tc>
      </w:tr>
      <w:tr>
        <w:trPr>
          <w:trHeight w:val="169"/>
        </w:trPr>
        <w:tc>
          <w:tcPr>
            <w:tcW w:w="780" w:type="dxa"/>
            <w:vAlign w:val="bottom"/>
            <w:tcBorders>
              <w:left w:val="single" w:sz="8" w:color="auto"/>
            </w:tcBorders>
          </w:tcPr>
          <w:p>
            <w:pPr>
              <w:jc w:val="center"/>
              <w:ind w:left="310"/>
              <w:spacing w:after="0" w:line="169" w:lineRule="exact"/>
              <w:rPr>
                <w:sz w:val="20"/>
                <w:szCs w:val="20"/>
                <w:color w:val="auto"/>
              </w:rPr>
            </w:pPr>
            <w:r>
              <w:rPr>
                <w:rFonts w:ascii="Arial" w:cs="Arial" w:eastAsia="Arial" w:hAnsi="Arial"/>
                <w:sz w:val="18"/>
                <w:szCs w:val="18"/>
                <w:b w:val="1"/>
                <w:bCs w:val="1"/>
                <w:color w:val="auto"/>
                <w:w w:val="99"/>
              </w:rPr>
              <w:t>2</w:t>
            </w:r>
          </w:p>
        </w:tc>
        <w:tc>
          <w:tcPr>
            <w:tcW w:w="580" w:type="dxa"/>
            <w:vAlign w:val="bottom"/>
            <w:tcBorders>
              <w:right w:val="single" w:sz="8" w:color="auto"/>
            </w:tcBorders>
          </w:tcPr>
          <w:p>
            <w:pPr>
              <w:spacing w:after="0"/>
              <w:rPr>
                <w:sz w:val="14"/>
                <w:szCs w:val="14"/>
                <w:color w:val="auto"/>
              </w:rPr>
            </w:pPr>
          </w:p>
        </w:tc>
        <w:tc>
          <w:tcPr>
            <w:tcW w:w="968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54"/>
        </w:trPr>
        <w:tc>
          <w:tcPr>
            <w:tcW w:w="780" w:type="dxa"/>
            <w:vAlign w:val="bottom"/>
            <w:tcBorders>
              <w:lef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3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6"/>
                <w:szCs w:val="16"/>
                <w:color w:val="auto"/>
              </w:rPr>
              <w:t>☐</w:t>
            </w:r>
            <w:r>
              <w:rPr>
                <w:rFonts w:ascii="Arial" w:cs="Arial" w:eastAsia="Arial" w:hAnsi="Arial"/>
                <w:sz w:val="18"/>
                <w:szCs w:val="18"/>
                <w:color w:val="auto"/>
              </w:rPr>
              <w:t xml:space="preserve">(b) </w:t>
            </w:r>
            <w:r>
              <w:rPr>
                <w:rFonts w:ascii="MS PGothic" w:cs="MS PGothic" w:eastAsia="MS PGothic" w:hAnsi="MS PGothic"/>
                <w:sz w:val="16"/>
                <w:szCs w:val="16"/>
                <w:color w:val="auto"/>
              </w:rPr>
              <w:t>☐</w:t>
            </w:r>
          </w:p>
        </w:tc>
        <w:tc>
          <w:tcPr>
            <w:tcW w:w="60" w:type="dxa"/>
            <w:vAlign w:val="bottom"/>
          </w:tcPr>
          <w:p>
            <w:pPr>
              <w:spacing w:after="0"/>
              <w:rPr>
                <w:sz w:val="22"/>
                <w:szCs w:val="22"/>
                <w:color w:val="auto"/>
              </w:rPr>
            </w:pPr>
          </w:p>
        </w:tc>
        <w:tc>
          <w:tcPr>
            <w:tcW w:w="8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780" w:type="dxa"/>
            <w:vAlign w:val="bottom"/>
            <w:tcBorders>
              <w:left w:val="single" w:sz="8" w:color="auto"/>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3</w:t>
            </w:r>
          </w:p>
        </w:tc>
        <w:tc>
          <w:tcPr>
            <w:tcW w:w="580" w:type="dxa"/>
            <w:vAlign w:val="bottom"/>
            <w:tcBorders>
              <w:right w:val="single" w:sz="8" w:color="auto"/>
            </w:tcBorders>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w w:val="99"/>
              </w:rPr>
              <w:t>SEC USE ONLY</w:t>
            </w:r>
          </w:p>
        </w:tc>
        <w:tc>
          <w:tcPr>
            <w:tcW w:w="60" w:type="dxa"/>
            <w:vAlign w:val="bottom"/>
          </w:tcPr>
          <w:p>
            <w:pPr>
              <w:spacing w:after="0"/>
              <w:rPr>
                <w:sz w:val="19"/>
                <w:szCs w:val="19"/>
                <w:color w:val="auto"/>
              </w:rPr>
            </w:pPr>
          </w:p>
        </w:tc>
        <w:tc>
          <w:tcPr>
            <w:tcW w:w="8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80" w:type="dxa"/>
            <w:vAlign w:val="bottom"/>
            <w:tcBorders>
              <w:left w:val="single" w:sz="8" w:color="auto"/>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9680" w:type="dxa"/>
            <w:vAlign w:val="bottom"/>
            <w:tcBorders>
              <w:bottom w:val="single" w:sz="8" w:color="auto"/>
              <w:right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4</w:t>
            </w:r>
          </w:p>
        </w:tc>
        <w:tc>
          <w:tcPr>
            <w:tcW w:w="580" w:type="dxa"/>
            <w:vAlign w:val="bottom"/>
            <w:tcBorders>
              <w:right w:val="single" w:sz="8" w:color="auto"/>
            </w:tcBorders>
          </w:tcPr>
          <w:p>
            <w:pPr>
              <w:spacing w:after="0"/>
              <w:rPr>
                <w:sz w:val="19"/>
                <w:szCs w:val="19"/>
                <w:color w:val="auto"/>
              </w:rPr>
            </w:pPr>
          </w:p>
        </w:tc>
        <w:tc>
          <w:tcPr>
            <w:tcW w:w="9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515"/>
        </w:trPr>
        <w:tc>
          <w:tcPr>
            <w:tcW w:w="7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OO</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tcBorders>
          </w:tcPr>
          <w:p>
            <w:pPr>
              <w:jc w:val="center"/>
              <w:ind w:left="310"/>
              <w:spacing w:after="0" w:line="176" w:lineRule="exact"/>
              <w:rPr>
                <w:sz w:val="20"/>
                <w:szCs w:val="20"/>
                <w:color w:val="auto"/>
              </w:rPr>
            </w:pPr>
            <w:r>
              <w:rPr>
                <w:rFonts w:ascii="Arial" w:cs="Arial" w:eastAsia="Arial" w:hAnsi="Arial"/>
                <w:sz w:val="18"/>
                <w:szCs w:val="18"/>
                <w:b w:val="1"/>
                <w:bCs w:val="1"/>
                <w:color w:val="auto"/>
                <w:w w:val="99"/>
              </w:rPr>
              <w:t>5</w:t>
            </w:r>
          </w:p>
        </w:tc>
        <w:tc>
          <w:tcPr>
            <w:tcW w:w="580" w:type="dxa"/>
            <w:vAlign w:val="bottom"/>
            <w:tcBorders>
              <w:right w:val="single" w:sz="8" w:color="auto"/>
            </w:tcBorders>
          </w:tcPr>
          <w:p>
            <w:pPr>
              <w:spacing w:after="0"/>
              <w:rPr>
                <w:sz w:val="15"/>
                <w:szCs w:val="15"/>
                <w:color w:val="auto"/>
              </w:rPr>
            </w:pPr>
          </w:p>
        </w:tc>
        <w:tc>
          <w:tcPr>
            <w:tcW w:w="968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6</w:t>
            </w:r>
          </w:p>
        </w:tc>
        <w:tc>
          <w:tcPr>
            <w:tcW w:w="580" w:type="dxa"/>
            <w:vAlign w:val="bottom"/>
            <w:tcBorders>
              <w:right w:val="single" w:sz="8" w:color="auto"/>
            </w:tcBorders>
          </w:tcPr>
          <w:p>
            <w:pPr>
              <w:spacing w:after="0"/>
              <w:rPr>
                <w:sz w:val="19"/>
                <w:szCs w:val="19"/>
                <w:color w:val="auto"/>
              </w:rPr>
            </w:pPr>
          </w:p>
        </w:tc>
        <w:tc>
          <w:tcPr>
            <w:tcW w:w="9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515"/>
        </w:trPr>
        <w:tc>
          <w:tcPr>
            <w:tcW w:w="7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Delaware</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4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7</w:t>
            </w:r>
          </w:p>
        </w:tc>
        <w:tc>
          <w:tcPr>
            <w:tcW w:w="60" w:type="dxa"/>
            <w:vAlign w:val="bottom"/>
            <w:tcBorders>
              <w:right w:val="single" w:sz="8" w:color="auto"/>
            </w:tcBorders>
          </w:tcPr>
          <w:p>
            <w:pPr>
              <w:spacing w:after="0"/>
              <w:rPr>
                <w:sz w:val="20"/>
                <w:szCs w:val="20"/>
                <w:color w:val="auto"/>
              </w:rPr>
            </w:pPr>
          </w:p>
        </w:tc>
        <w:tc>
          <w:tcPr>
            <w:tcW w:w="8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823"/>
        </w:trPr>
        <w:tc>
          <w:tcPr>
            <w:tcW w:w="7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jc w:val="right"/>
              <w:ind w:right="6990"/>
              <w:spacing w:after="0"/>
              <w:rPr>
                <w:sz w:val="20"/>
                <w:szCs w:val="20"/>
                <w:color w:val="auto"/>
              </w:rPr>
            </w:pPr>
            <w:r>
              <w:rPr>
                <w:rFonts w:ascii="Arial" w:cs="Arial" w:eastAsia="Arial" w:hAnsi="Arial"/>
                <w:sz w:val="18"/>
                <w:szCs w:val="18"/>
                <w:color w:val="auto"/>
              </w:rPr>
              <w:t>80,000,000</w:t>
            </w: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4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8</w:t>
            </w:r>
          </w:p>
        </w:tc>
        <w:tc>
          <w:tcPr>
            <w:tcW w:w="60" w:type="dxa"/>
            <w:vAlign w:val="bottom"/>
            <w:tcBorders>
              <w:right w:val="single" w:sz="8" w:color="auto"/>
            </w:tcBorders>
          </w:tcPr>
          <w:p>
            <w:pPr>
              <w:spacing w:after="0"/>
              <w:rPr>
                <w:sz w:val="19"/>
                <w:szCs w:val="19"/>
                <w:color w:val="auto"/>
              </w:rPr>
            </w:pPr>
          </w:p>
        </w:tc>
        <w:tc>
          <w:tcPr>
            <w:tcW w:w="8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50"/>
        </w:trPr>
        <w:tc>
          <w:tcPr>
            <w:tcW w:w="2240" w:type="dxa"/>
            <w:vAlign w:val="bottom"/>
            <w:tcBorders>
              <w:left w:val="single" w:sz="8" w:color="auto"/>
              <w:right w:val="single" w:sz="8" w:color="auto"/>
            </w:tcBorders>
            <w:gridSpan w:val="3"/>
          </w:tcPr>
          <w:p>
            <w:pPr>
              <w:jc w:val="center"/>
              <w:ind w:right="97"/>
              <w:spacing w:after="0"/>
              <w:rPr>
                <w:sz w:val="20"/>
                <w:szCs w:val="20"/>
                <w:color w:val="auto"/>
              </w:rPr>
            </w:pPr>
            <w:r>
              <w:rPr>
                <w:rFonts w:ascii="Arial" w:cs="Arial" w:eastAsia="Arial" w:hAnsi="Arial"/>
                <w:sz w:val="18"/>
                <w:szCs w:val="18"/>
                <w:color w:val="auto"/>
                <w:w w:val="96"/>
              </w:rPr>
              <w:t>NUMBER OF  SHARES</w:t>
            </w:r>
          </w:p>
        </w:tc>
        <w:tc>
          <w:tcPr>
            <w:tcW w:w="4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280" w:type="dxa"/>
            <w:vAlign w:val="bottom"/>
            <w:tcBorders>
              <w:right w:val="single" w:sz="8" w:color="auto"/>
            </w:tcBorders>
          </w:tcPr>
          <w:p>
            <w:pPr>
              <w:jc w:val="right"/>
              <w:ind w:right="69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240" w:type="dxa"/>
            <w:vAlign w:val="bottom"/>
            <w:tcBorders>
              <w:left w:val="single" w:sz="8" w:color="auto"/>
              <w:right w:val="single" w:sz="8" w:color="auto"/>
            </w:tcBorders>
            <w:gridSpan w:val="3"/>
            <w:vMerge w:val="restart"/>
          </w:tcPr>
          <w:p>
            <w:pPr>
              <w:jc w:val="center"/>
              <w:ind w:right="97"/>
              <w:spacing w:after="0" w:line="162" w:lineRule="exact"/>
              <w:rPr>
                <w:sz w:val="20"/>
                <w:szCs w:val="20"/>
                <w:color w:val="auto"/>
              </w:rPr>
            </w:pPr>
            <w:r>
              <w:rPr>
                <w:rFonts w:ascii="Arial" w:cs="Arial" w:eastAsia="Arial" w:hAnsi="Arial"/>
                <w:sz w:val="18"/>
                <w:szCs w:val="18"/>
                <w:color w:val="auto"/>
                <w:w w:val="98"/>
              </w:rPr>
              <w:t>BENEFICIALLY OWNED</w:t>
            </w: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240" w:type="dxa"/>
            <w:vAlign w:val="bottom"/>
            <w:tcBorders>
              <w:left w:val="single" w:sz="8" w:color="auto"/>
              <w:right w:val="single" w:sz="8" w:color="auto"/>
            </w:tcBorders>
            <w:gridSpan w:val="3"/>
            <w:vMerge w:val="continue"/>
          </w:tcPr>
          <w:p>
            <w:pPr>
              <w:spacing w:after="0"/>
              <w:rPr>
                <w:sz w:val="7"/>
                <w:szCs w:val="7"/>
                <w:color w:val="auto"/>
              </w:rPr>
            </w:pPr>
          </w:p>
        </w:tc>
        <w:tc>
          <w:tcPr>
            <w:tcW w:w="4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9"/>
              </w:rPr>
              <w:t>9</w:t>
            </w:r>
          </w:p>
        </w:tc>
        <w:tc>
          <w:tcPr>
            <w:tcW w:w="60" w:type="dxa"/>
            <w:vAlign w:val="bottom"/>
            <w:tcBorders>
              <w:right w:val="single" w:sz="8" w:color="auto"/>
            </w:tcBorders>
          </w:tcPr>
          <w:p>
            <w:pPr>
              <w:spacing w:after="0"/>
              <w:rPr>
                <w:sz w:val="7"/>
                <w:szCs w:val="7"/>
                <w:color w:val="auto"/>
              </w:rPr>
            </w:pPr>
          </w:p>
        </w:tc>
        <w:tc>
          <w:tcPr>
            <w:tcW w:w="8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780" w:type="dxa"/>
            <w:vAlign w:val="bottom"/>
            <w:tcBorders>
              <w:left w:val="single" w:sz="8" w:color="auto"/>
            </w:tcBorders>
          </w:tcPr>
          <w:p>
            <w:pPr>
              <w:spacing w:after="0"/>
              <w:rPr>
                <w:sz w:val="11"/>
                <w:szCs w:val="11"/>
                <w:color w:val="auto"/>
              </w:rPr>
            </w:pPr>
          </w:p>
        </w:tc>
        <w:tc>
          <w:tcPr>
            <w:tcW w:w="58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99"/>
              </w:rPr>
              <w:t>BY</w:t>
            </w:r>
          </w:p>
        </w:tc>
        <w:tc>
          <w:tcPr>
            <w:tcW w:w="880" w:type="dxa"/>
            <w:vAlign w:val="bottom"/>
            <w:tcBorders>
              <w:right w:val="single" w:sz="8" w:color="auto"/>
            </w:tcBorders>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80" w:type="dxa"/>
            <w:vAlign w:val="bottom"/>
            <w:tcBorders>
              <w:left w:val="single" w:sz="8" w:color="auto"/>
            </w:tcBorders>
          </w:tcPr>
          <w:p>
            <w:pPr>
              <w:spacing w:after="0"/>
              <w:rPr>
                <w:sz w:val="3"/>
                <w:szCs w:val="3"/>
                <w:color w:val="auto"/>
              </w:rPr>
            </w:pPr>
          </w:p>
        </w:tc>
        <w:tc>
          <w:tcPr>
            <w:tcW w:w="580" w:type="dxa"/>
            <w:vAlign w:val="bottom"/>
            <w:vMerge w:val="continue"/>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82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tcBorders>
              <w:left w:val="single" w:sz="8" w:color="auto"/>
              <w:right w:val="single" w:sz="8" w:color="auto"/>
            </w:tcBorders>
            <w:gridSpan w:val="3"/>
          </w:tcPr>
          <w:p>
            <w:pPr>
              <w:jc w:val="center"/>
              <w:ind w:right="97"/>
              <w:spacing w:after="0" w:line="176" w:lineRule="exact"/>
              <w:rPr>
                <w:sz w:val="20"/>
                <w:szCs w:val="20"/>
                <w:color w:val="auto"/>
              </w:rPr>
            </w:pPr>
            <w:r>
              <w:rPr>
                <w:rFonts w:ascii="Arial" w:cs="Arial" w:eastAsia="Arial" w:hAnsi="Arial"/>
                <w:sz w:val="18"/>
                <w:szCs w:val="18"/>
                <w:color w:val="auto"/>
                <w:w w:val="95"/>
              </w:rPr>
              <w:t>EACH REPORTING</w:t>
            </w:r>
          </w:p>
        </w:tc>
        <w:tc>
          <w:tcPr>
            <w:tcW w:w="4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tcBorders>
              <w:left w:val="single" w:sz="8" w:color="auto"/>
              <w:right w:val="single" w:sz="8" w:color="auto"/>
            </w:tcBorders>
            <w:gridSpan w:val="3"/>
          </w:tcPr>
          <w:p>
            <w:pPr>
              <w:jc w:val="center"/>
              <w:ind w:right="137"/>
              <w:spacing w:after="0" w:line="176" w:lineRule="exact"/>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1460" w:type="dxa"/>
            <w:vAlign w:val="bottom"/>
            <w:tcBorders>
              <w:right w:val="single" w:sz="8" w:color="auto"/>
            </w:tcBorders>
            <w:gridSpan w:val="2"/>
          </w:tcPr>
          <w:p>
            <w:pPr>
              <w:jc w:val="center"/>
              <w:ind w:right="697"/>
              <w:spacing w:after="0"/>
              <w:rPr>
                <w:sz w:val="20"/>
                <w:szCs w:val="20"/>
                <w:color w:val="auto"/>
              </w:rPr>
            </w:pPr>
            <w:r>
              <w:rPr>
                <w:rFonts w:ascii="Arial" w:cs="Arial" w:eastAsia="Arial" w:hAnsi="Arial"/>
                <w:sz w:val="18"/>
                <w:szCs w:val="18"/>
                <w:color w:val="auto"/>
              </w:rPr>
              <w:t>WITH</w:t>
            </w:r>
          </w:p>
        </w:tc>
        <w:tc>
          <w:tcPr>
            <w:tcW w:w="4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7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jc w:val="right"/>
              <w:ind w:right="6990"/>
              <w:spacing w:after="0"/>
              <w:rPr>
                <w:sz w:val="20"/>
                <w:szCs w:val="20"/>
                <w:color w:val="auto"/>
              </w:rPr>
            </w:pPr>
            <w:r>
              <w:rPr>
                <w:rFonts w:ascii="Arial" w:cs="Arial" w:eastAsia="Arial" w:hAnsi="Arial"/>
                <w:sz w:val="18"/>
                <w:szCs w:val="18"/>
                <w:color w:val="auto"/>
              </w:rPr>
              <w:t>80,000,000</w:t>
            </w: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4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10</w:t>
            </w:r>
          </w:p>
        </w:tc>
        <w:tc>
          <w:tcPr>
            <w:tcW w:w="60" w:type="dxa"/>
            <w:vAlign w:val="bottom"/>
            <w:tcBorders>
              <w:right w:val="single" w:sz="8" w:color="auto"/>
            </w:tcBorders>
          </w:tcPr>
          <w:p>
            <w:pPr>
              <w:spacing w:after="0"/>
              <w:rPr>
                <w:sz w:val="19"/>
                <w:szCs w:val="19"/>
                <w:color w:val="auto"/>
              </w:rPr>
            </w:pPr>
          </w:p>
        </w:tc>
        <w:tc>
          <w:tcPr>
            <w:tcW w:w="8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66"/>
        </w:trPr>
        <w:tc>
          <w:tcPr>
            <w:tcW w:w="7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jc w:val="right"/>
              <w:ind w:right="69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8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11</w:t>
            </w:r>
          </w:p>
        </w:tc>
        <w:tc>
          <w:tcPr>
            <w:tcW w:w="580" w:type="dxa"/>
            <w:vAlign w:val="bottom"/>
            <w:tcBorders>
              <w:right w:val="single" w:sz="8" w:color="auto"/>
            </w:tcBorders>
          </w:tcPr>
          <w:p>
            <w:pPr>
              <w:spacing w:after="0"/>
              <w:rPr>
                <w:sz w:val="19"/>
                <w:szCs w:val="19"/>
                <w:color w:val="auto"/>
              </w:rPr>
            </w:pPr>
          </w:p>
        </w:tc>
        <w:tc>
          <w:tcPr>
            <w:tcW w:w="9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832"/>
        </w:trPr>
        <w:tc>
          <w:tcPr>
            <w:tcW w:w="7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w w:val="93"/>
              </w:rPr>
              <w:t>80,000,000</w:t>
            </w:r>
          </w:p>
        </w:tc>
        <w:tc>
          <w:tcPr>
            <w:tcW w:w="60" w:type="dxa"/>
            <w:vAlign w:val="bottom"/>
            <w:tcBorders>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12</w:t>
            </w:r>
          </w:p>
        </w:tc>
        <w:tc>
          <w:tcPr>
            <w:tcW w:w="580" w:type="dxa"/>
            <w:vAlign w:val="bottom"/>
            <w:tcBorders>
              <w:bottom w:val="single" w:sz="8" w:color="auto"/>
              <w:right w:val="single" w:sz="8" w:color="auto"/>
            </w:tcBorders>
          </w:tcPr>
          <w:p>
            <w:pPr>
              <w:spacing w:after="0"/>
              <w:rPr>
                <w:sz w:val="19"/>
                <w:szCs w:val="19"/>
                <w:color w:val="auto"/>
              </w:rPr>
            </w:pPr>
          </w:p>
        </w:tc>
        <w:tc>
          <w:tcPr>
            <w:tcW w:w="9680" w:type="dxa"/>
            <w:vAlign w:val="bottom"/>
            <w:tcBorders>
              <w:bottom w:val="single" w:sz="8" w:color="auto"/>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13</w:t>
            </w:r>
          </w:p>
        </w:tc>
        <w:tc>
          <w:tcPr>
            <w:tcW w:w="580" w:type="dxa"/>
            <w:vAlign w:val="bottom"/>
            <w:tcBorders>
              <w:right w:val="single" w:sz="8" w:color="auto"/>
            </w:tcBorders>
          </w:tcPr>
          <w:p>
            <w:pPr>
              <w:spacing w:after="0"/>
              <w:rPr>
                <w:sz w:val="18"/>
                <w:szCs w:val="18"/>
                <w:color w:val="auto"/>
              </w:rPr>
            </w:pPr>
          </w:p>
        </w:tc>
        <w:tc>
          <w:tcPr>
            <w:tcW w:w="9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114"/>
        </w:trPr>
        <w:tc>
          <w:tcPr>
            <w:tcW w:w="780" w:type="dxa"/>
            <w:vAlign w:val="bottom"/>
            <w:tcBorders>
              <w:lef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880" w:type="dxa"/>
            <w:vAlign w:val="bottom"/>
          </w:tcPr>
          <w:p>
            <w:pPr>
              <w:jc w:val="right"/>
              <w:spacing w:after="0" w:line="114" w:lineRule="exact"/>
              <w:rPr>
                <w:sz w:val="20"/>
                <w:szCs w:val="20"/>
                <w:color w:val="auto"/>
              </w:rPr>
            </w:pPr>
            <w:r>
              <w:rPr>
                <w:rFonts w:ascii="Arial" w:cs="Arial" w:eastAsia="Arial" w:hAnsi="Arial"/>
                <w:sz w:val="12"/>
                <w:szCs w:val="12"/>
                <w:color w:val="auto"/>
              </w:rPr>
              <w:t>(1)</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ind w:left="480"/>
              <w:spacing w:after="0" w:line="108" w:lineRule="exact"/>
              <w:rPr>
                <w:sz w:val="20"/>
                <w:szCs w:val="20"/>
                <w:color w:val="auto"/>
              </w:rPr>
            </w:pPr>
            <w:r>
              <w:rPr>
                <w:rFonts w:ascii="Arial" w:cs="Arial" w:eastAsia="Arial" w:hAnsi="Arial"/>
                <w:sz w:val="12"/>
                <w:szCs w:val="12"/>
                <w:color w:val="auto"/>
              </w:rPr>
              <w:t>21.%2</w:t>
            </w:r>
          </w:p>
        </w:tc>
        <w:tc>
          <w:tcPr>
            <w:tcW w:w="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80" w:type="dxa"/>
            <w:vAlign w:val="bottom"/>
            <w:tcBorders>
              <w:left w:val="single" w:sz="8" w:color="auto"/>
            </w:tcBorders>
          </w:tcPr>
          <w:p>
            <w:pPr>
              <w:jc w:val="center"/>
              <w:ind w:left="310"/>
              <w:spacing w:after="0" w:line="169" w:lineRule="exact"/>
              <w:rPr>
                <w:sz w:val="20"/>
                <w:szCs w:val="20"/>
                <w:color w:val="auto"/>
              </w:rPr>
            </w:pPr>
            <w:r>
              <w:rPr>
                <w:rFonts w:ascii="Arial" w:cs="Arial" w:eastAsia="Arial" w:hAnsi="Arial"/>
                <w:sz w:val="18"/>
                <w:szCs w:val="18"/>
                <w:b w:val="1"/>
                <w:bCs w:val="1"/>
                <w:color w:val="auto"/>
                <w:w w:val="89"/>
              </w:rPr>
              <w:t>14</w:t>
            </w:r>
          </w:p>
        </w:tc>
        <w:tc>
          <w:tcPr>
            <w:tcW w:w="580" w:type="dxa"/>
            <w:vAlign w:val="bottom"/>
            <w:tcBorders>
              <w:right w:val="single" w:sz="8" w:color="auto"/>
            </w:tcBorders>
          </w:tcPr>
          <w:p>
            <w:pPr>
              <w:spacing w:after="0"/>
              <w:rPr>
                <w:sz w:val="14"/>
                <w:szCs w:val="14"/>
                <w:color w:val="auto"/>
              </w:rPr>
            </w:pPr>
          </w:p>
        </w:tc>
        <w:tc>
          <w:tcPr>
            <w:tcW w:w="968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29"/>
        </w:trPr>
        <w:tc>
          <w:tcPr>
            <w:tcW w:w="78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80" w:hanging="172"/>
        <w:spacing w:after="0" w:line="215" w:lineRule="auto"/>
        <w:tabs>
          <w:tab w:leader="none" w:pos="271"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Based on 377,249,186 shares of Class A Common Stock, par value $0.0001 per share, of Sema4 Holdings Corp.,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April 30, 2022, as set forth in the Issuer’s Registration Statement on Form S-1 (File No. 333-264626) filed with the SEC on May 2, 2022.</w:t>
      </w:r>
    </w:p>
    <w:p>
      <w:pPr>
        <w:sectPr>
          <w:pgSz w:w="11900" w:h="16838" w:orient="portrait"/>
          <w:cols w:equalWidth="0" w:num="1">
            <w:col w:w="11200"/>
          </w:cols>
          <w:pgMar w:left="360" w:top="1440" w:right="339" w:bottom="1440" w:gutter="0" w:footer="0" w:header="0"/>
        </w:sectPr>
      </w:pPr>
    </w:p>
    <w:bookmarkStart w:id="2" w:name="page3"/>
    <w:bookmarkEnd w:id="2"/>
    <w:p>
      <w:pPr>
        <w:spacing w:after="0" w:line="113"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9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This Schedule 13D is filed with respect to the Class A common stock, par value $0.0001 per share (“</w:t>
      </w:r>
      <w:r>
        <w:rPr>
          <w:rFonts w:ascii="Arial" w:cs="Arial" w:eastAsia="Arial" w:hAnsi="Arial"/>
          <w:sz w:val="18"/>
          <w:szCs w:val="18"/>
          <w:u w:val="single" w:color="auto"/>
          <w:color w:val="auto"/>
        </w:rPr>
        <w:t>Sema4 Common Stock</w:t>
      </w:r>
      <w:r>
        <w:rPr>
          <w:rFonts w:ascii="Arial" w:cs="Arial" w:eastAsia="Arial" w:hAnsi="Arial"/>
          <w:sz w:val="18"/>
          <w:szCs w:val="18"/>
          <w:color w:val="auto"/>
        </w:rPr>
        <w:t>”), of Sema4 Holdings Corp., a Delaware corporation (“</w:t>
      </w:r>
      <w:r>
        <w:rPr>
          <w:rFonts w:ascii="Arial" w:cs="Arial" w:eastAsia="Arial" w:hAnsi="Arial"/>
          <w:sz w:val="18"/>
          <w:szCs w:val="18"/>
          <w:u w:val="single" w:color="auto"/>
          <w:color w:val="auto"/>
        </w:rPr>
        <w:t>Sema4</w:t>
      </w:r>
      <w:r>
        <w:rPr>
          <w:rFonts w:ascii="Arial" w:cs="Arial" w:eastAsia="Arial" w:hAnsi="Arial"/>
          <w:sz w:val="18"/>
          <w:szCs w:val="18"/>
          <w:color w:val="auto"/>
        </w:rPr>
        <w:t>” or the “</w:t>
      </w:r>
      <w:r>
        <w:rPr>
          <w:rFonts w:ascii="Arial" w:cs="Arial" w:eastAsia="Arial" w:hAnsi="Arial"/>
          <w:sz w:val="18"/>
          <w:szCs w:val="18"/>
          <w:u w:val="single" w:color="auto"/>
          <w:color w:val="auto"/>
        </w:rPr>
        <w:t>Issuer</w:t>
      </w:r>
      <w:r>
        <w:rPr>
          <w:rFonts w:ascii="Arial" w:cs="Arial" w:eastAsia="Arial" w:hAnsi="Arial"/>
          <w:sz w:val="18"/>
          <w:szCs w:val="18"/>
          <w:color w:val="auto"/>
        </w:rPr>
        <w:t>”). The principal executive offices of the Issuer are located at 333 Ludlow Street, North Tower, 8th Floor, Stamford, Connecticut 06902.</w:t>
      </w:r>
    </w:p>
    <w:p>
      <w:pPr>
        <w:spacing w:after="0" w:line="198"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97"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color w:val="auto"/>
        </w:rPr>
        <w:t>(a), (f) This Schedule 13D is filed by OPKO Health,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OPKO</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Set forth on Schedule I to this Schedule 13D are the name, business address and present principal occupation or employment and citizenship of each executive officer and director of the Company.</w:t>
      </w:r>
    </w:p>
    <w:p>
      <w:pPr>
        <w:spacing w:after="0" w:line="148"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of the Company’s principal executive office is 4400 Biscayne Blvd., Miami, Florida 33137.</w:t>
      </w:r>
    </w:p>
    <w:p>
      <w:pPr>
        <w:spacing w:after="0" w:line="157" w:lineRule="exact"/>
        <w:rPr>
          <w:rFonts w:ascii="Arial" w:cs="Arial" w:eastAsia="Arial" w:hAnsi="Arial"/>
          <w:sz w:val="18"/>
          <w:szCs w:val="18"/>
          <w:color w:val="auto"/>
        </w:rPr>
      </w:pPr>
    </w:p>
    <w:p>
      <w:pPr>
        <w:ind w:left="900" w:hanging="568"/>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is a diversified healthcare company that seeks to establish industry-leading positions in large and rapidly growing medical</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markets.</w:t>
      </w:r>
    </w:p>
    <w:p>
      <w:pPr>
        <w:spacing w:after="0" w:line="14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7"/>
          <w:szCs w:val="17"/>
          <w:color w:val="auto"/>
        </w:rPr>
        <w:t>(d), (e) Except as described herein, during the last five years, neither the Reporting Persons nor any of the persons listed on Schedule I hereto (i) has been convicted in a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w:t>
      </w:r>
    </w:p>
    <w:p>
      <w:pPr>
        <w:spacing w:after="0" w:line="144"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8"/>
          <w:szCs w:val="18"/>
          <w:color w:val="auto"/>
        </w:rPr>
        <w:t>On September 7, 2018,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filed a civil complaint in the Southern District of New York (the “</w:t>
      </w:r>
      <w:r>
        <w:rPr>
          <w:rFonts w:ascii="Arial" w:cs="Arial" w:eastAsia="Arial" w:hAnsi="Arial"/>
          <w:sz w:val="18"/>
          <w:szCs w:val="18"/>
          <w:u w:val="single" w:color="auto"/>
          <w:color w:val="auto"/>
        </w:rPr>
        <w:t>Complaint</w:t>
      </w:r>
      <w:r>
        <w:rPr>
          <w:rFonts w:ascii="Arial" w:cs="Arial" w:eastAsia="Arial" w:hAnsi="Arial"/>
          <w:sz w:val="18"/>
          <w:szCs w:val="18"/>
          <w:color w:val="auto"/>
        </w:rPr>
        <w:t>”), against a number of individuals and entities, including OPKO and its CEO and Chairman, Dr. Phillip Frost and Frost Gamma Investments Trust (“</w:t>
      </w:r>
      <w:r>
        <w:rPr>
          <w:rFonts w:ascii="Arial" w:cs="Arial" w:eastAsia="Arial" w:hAnsi="Arial"/>
          <w:sz w:val="18"/>
          <w:szCs w:val="18"/>
          <w:u w:val="single" w:color="auto"/>
          <w:color w:val="auto"/>
        </w:rPr>
        <w:t>FGIT</w:t>
      </w:r>
      <w:r>
        <w:rPr>
          <w:rFonts w:ascii="Arial" w:cs="Arial" w:eastAsia="Arial" w:hAnsi="Arial"/>
          <w:sz w:val="18"/>
          <w:szCs w:val="18"/>
          <w:color w:val="auto"/>
        </w:rPr>
        <w:t>”), an entity of which Dr. Frost is trustee. In December 2018, OPKO, Dr. Frost and FGIT entered into settlements with the SEC, which, upon approval by the court in January 2019, resolved the claims against OPKO, Dr. Frost and FGIT. Under the terms of the settlement between the SEC, Dr. Frost and FGIT, and without admitting or denying any of the allegations in the Complaint, Dr. Frost agreed to injunctions from violations of Sections 5(a) and (c) and 17(a)(2)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claims which may be satisfied by strict liability and negligence, respectively, and Section 13(d)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also a strict liability claim; to pay a civil monetary penalty, disgorgement and pre-judgment interest, which have been paid; and to be prohibited, with certain exceptions, from trading in penny stocks. Pursuant to the settlement between OPKO and the SEC, and without admitting or denying any of the allegations of the Complaint, OPKO agreed to be enjoined from future violations of Section 13(d) of the Exchange Act, a claim that requires no showing of scienter, and to pay a civil monetary penalty, which has been paid.</w:t>
      </w:r>
    </w:p>
    <w:p>
      <w:pPr>
        <w:spacing w:after="0" w:line="18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310"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On January 14, 2022, the Company entered into an Agreement and Plan of Merger and Reorganization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Sema4, its two wholly owned subsidiaries, Orion Merger Sub I, Inc., a Delaware corporation, and Orion Merger Sub II, LLC, a Delaware limited liability company, GeneDx Inc., a New Jersey corporation and an indirect wholly owned subsidiary of the Company (“</w:t>
      </w:r>
      <w:r>
        <w:rPr>
          <w:rFonts w:ascii="Arial" w:cs="Arial" w:eastAsia="Arial" w:hAnsi="Arial"/>
          <w:sz w:val="18"/>
          <w:szCs w:val="18"/>
          <w:u w:val="single" w:color="auto"/>
          <w:color w:val="auto"/>
        </w:rPr>
        <w:t>GeneDx</w:t>
      </w:r>
      <w:r>
        <w:rPr>
          <w:rFonts w:ascii="Arial" w:cs="Arial" w:eastAsia="Arial" w:hAnsi="Arial"/>
          <w:sz w:val="18"/>
          <w:szCs w:val="18"/>
          <w:color w:val="auto"/>
        </w:rPr>
        <w:t>”), and GeneDx Holding 2, Inc., a Delaware corporation and wholly owned subsidiary of the Company.</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On April 29, 2022, the transactions contemplated by the Merger Agreement closed (the “</w:t>
      </w:r>
      <w:r>
        <w:rPr>
          <w:rFonts w:ascii="Arial" w:cs="Arial" w:eastAsia="Arial" w:hAnsi="Arial"/>
          <w:sz w:val="18"/>
          <w:szCs w:val="18"/>
          <w:u w:val="single" w:color="auto"/>
          <w:color w:val="auto"/>
        </w:rPr>
        <w:t>Closing</w:t>
      </w:r>
      <w:r>
        <w:rPr>
          <w:rFonts w:ascii="Arial" w:cs="Arial" w:eastAsia="Arial" w:hAnsi="Arial"/>
          <w:sz w:val="18"/>
          <w:szCs w:val="18"/>
          <w:color w:val="auto"/>
        </w:rPr>
        <w:t>”), with GeneDx (now a Delaware limited liability company) surviving the mergers contemplated thereby as a wholly owned indirect subsidiary of Sema4.</w:t>
      </w:r>
    </w:p>
    <w:p>
      <w:pPr>
        <w:spacing w:after="0" w:line="1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At Closing, Sema4 paid to the Company aggregate consideration of $150.0 million in cash (before deduction of transaction expenses and other customary purchase price adjustments), together with 80.0 million shares of Sema4 Common Stock (the “</w:t>
      </w:r>
      <w:r>
        <w:rPr>
          <w:rFonts w:ascii="Arial" w:cs="Arial" w:eastAsia="Arial" w:hAnsi="Arial"/>
          <w:sz w:val="16"/>
          <w:szCs w:val="16"/>
          <w:u w:val="single" w:color="auto"/>
          <w:color w:val="auto"/>
        </w:rPr>
        <w:t>Closing Shares</w:t>
      </w:r>
      <w:r>
        <w:rPr>
          <w:rFonts w:ascii="Arial" w:cs="Arial" w:eastAsia="Arial" w:hAnsi="Arial"/>
          <w:sz w:val="16"/>
          <w:szCs w:val="16"/>
          <w:color w:val="auto"/>
        </w:rPr>
        <w:t>”). Additionally, Sema4 has agreed to pay the Company up to an additional $150.0 million, which may be paid in Sema4 Common Stock, cash or a combination thereof in Sema4’s discretion,</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53" w:lineRule="auto"/>
        <w:rPr>
          <w:sz w:val="20"/>
          <w:szCs w:val="20"/>
          <w:color w:val="auto"/>
        </w:rPr>
      </w:pPr>
      <w:r>
        <w:rPr>
          <w:rFonts w:ascii="Arial" w:cs="Arial" w:eastAsia="Arial" w:hAnsi="Arial"/>
          <w:sz w:val="17"/>
          <w:szCs w:val="17"/>
          <w:color w:val="auto"/>
        </w:rPr>
        <w:t>subject to GeneDx achieving certain revenue targets for the fiscal years ending December 31, 2022 and 2023 (the “</w:t>
      </w:r>
      <w:r>
        <w:rPr>
          <w:rFonts w:ascii="Arial" w:cs="Arial" w:eastAsia="Arial" w:hAnsi="Arial"/>
          <w:sz w:val="17"/>
          <w:szCs w:val="17"/>
          <w:u w:val="single" w:color="auto"/>
          <w:color w:val="auto"/>
        </w:rPr>
        <w:t>Milestone Consideration</w:t>
      </w:r>
      <w:r>
        <w:rPr>
          <w:rFonts w:ascii="Arial" w:cs="Arial" w:eastAsia="Arial" w:hAnsi="Arial"/>
          <w:sz w:val="17"/>
          <w:szCs w:val="17"/>
          <w:color w:val="auto"/>
        </w:rPr>
        <w:t>”). If the Milestone Consideration in respect of the year ending December 31, 2022 becomes payable in full, then the Milestone Consideration conditionally payable in respect of the year ending December 31, 2023 is subject to acceleration in the event of a change in control of Sema4.</w:t>
      </w:r>
    </w:p>
    <w:p>
      <w:pPr>
        <w:spacing w:after="0" w:line="174"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31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7"/>
          <w:szCs w:val="17"/>
          <w:color w:val="auto"/>
        </w:rPr>
        <w:t>All Common Shares beneficially owned by the Company are held solely for investment purposes. The Company has no present plan or proposal that relates to, or could result in, any of the events referred to in paragraphs (a) through (j), inclusive, of Item 4 of Schedule 13D. Pursuant to the terms of the Merger Agreement, the Company designated one of its current independent directors, Richard C. Pfenniger, Jr., as a director designee to serve on Sema4’s board of directors (the “</w:t>
      </w:r>
      <w:r>
        <w:rPr>
          <w:rFonts w:ascii="Arial" w:cs="Arial" w:eastAsia="Arial" w:hAnsi="Arial"/>
          <w:sz w:val="17"/>
          <w:szCs w:val="17"/>
          <w:u w:val="single" w:color="auto"/>
          <w:color w:val="auto"/>
        </w:rPr>
        <w:t>Sema4 Board</w:t>
      </w:r>
      <w:r>
        <w:rPr>
          <w:rFonts w:ascii="Arial" w:cs="Arial" w:eastAsia="Arial" w:hAnsi="Arial"/>
          <w:sz w:val="17"/>
          <w:szCs w:val="17"/>
          <w:color w:val="auto"/>
        </w:rPr>
        <w:t>”). At a special meeting of Sema4’s stockholders held on April 27, 2022, Mr. Pfenniger was elected to serve as a director on the Sema4 Board for a term expiring at Sema4’s 2024 annual meeting of stockholders.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Reporting Person may, at any time or from time to time, formulate plans or proposals regarding the Issuer or its securities to the extent deemed advisable by the Reporting Person in light of its general investment policies, market conditions, subsequent developments affecting the Issuer, the general business and future prospects of the Issuer, or other factors. The Reporting Person intends to review its investment in the Issuer on a continuing basis. Depending on various factors, including, without limitation, the Issuer’s financial position and strategic direction, actions taken by the Sema4 Board, price levels of shares of the Sema4 Common Stock, other investment opportunities available to the Reporting Person, concentration of positions in the portfolios managed by the Reporting Person, market conditions and general economic and industry conditions, the Reporting Person may in the future take such actions with respect to its investments in the Issuer as it deems appropriate (subject to the terms of the Shareholder Agreement, as defined in Item 6 of this Schedule 13D), including, without limitation, purchasing additional shares of the Sema4 Common Stock or other financial instruments related to the Issuer or selling some or all of its beneficial or economic holdings, engaging in hedging or similar transactions with respect to the securities relating to the Issuer and/or otherwise changing its intention with respect to any and all matters referred to in this Item 4 of Schedule 13D.</w:t>
      </w:r>
    </w:p>
    <w:p>
      <w:pPr>
        <w:spacing w:after="0" w:line="18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97"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Company’s beneficial ownership of Sema4 Common Stock is as set forth in the table below:</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vMerge w:val="restart"/>
          </w:tcPr>
          <w:p>
            <w:pPr>
              <w:jc w:val="center"/>
              <w:ind w:left="150"/>
              <w:spacing w:after="0"/>
              <w:rPr>
                <w:sz w:val="20"/>
                <w:szCs w:val="20"/>
                <w:color w:val="auto"/>
              </w:rPr>
            </w:pPr>
            <w:r>
              <w:rPr>
                <w:rFonts w:ascii="Arial" w:cs="Arial" w:eastAsia="Arial" w:hAnsi="Arial"/>
                <w:sz w:val="18"/>
                <w:szCs w:val="18"/>
                <w:b w:val="1"/>
                <w:bCs w:val="1"/>
                <w:color w:val="auto"/>
                <w:w w:val="90"/>
              </w:rPr>
              <w:t>Number of Outstanding Shares</w:t>
            </w:r>
          </w:p>
        </w:tc>
        <w:tc>
          <w:tcPr>
            <w:tcW w:w="2400" w:type="dxa"/>
            <w:vAlign w:val="bottom"/>
          </w:tcPr>
          <w:p>
            <w:pPr>
              <w:ind w:left="840"/>
              <w:spacing w:after="0"/>
              <w:rPr>
                <w:sz w:val="20"/>
                <w:szCs w:val="20"/>
                <w:color w:val="auto"/>
              </w:rPr>
            </w:pPr>
            <w:r>
              <w:rPr>
                <w:rFonts w:ascii="Arial" w:cs="Arial" w:eastAsia="Arial" w:hAnsi="Arial"/>
                <w:sz w:val="18"/>
                <w:szCs w:val="18"/>
                <w:b w:val="1"/>
                <w:bCs w:val="1"/>
                <w:color w:val="auto"/>
              </w:rPr>
              <w:t>Percentage of</w:t>
            </w:r>
          </w:p>
        </w:tc>
        <w:tc>
          <w:tcPr>
            <w:tcW w:w="0" w:type="dxa"/>
            <w:vAlign w:val="bottom"/>
          </w:tcPr>
          <w:p>
            <w:pPr>
              <w:spacing w:after="0"/>
              <w:rPr>
                <w:sz w:val="1"/>
                <w:szCs w:val="1"/>
                <w:color w:val="auto"/>
              </w:rPr>
            </w:pPr>
          </w:p>
        </w:tc>
      </w:tr>
      <w:tr>
        <w:trPr>
          <w:trHeight w:val="175"/>
        </w:trPr>
        <w:tc>
          <w:tcPr>
            <w:tcW w:w="40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Name and Title of Beneficial Owner</w:t>
            </w:r>
          </w:p>
        </w:tc>
        <w:tc>
          <w:tcPr>
            <w:tcW w:w="3000" w:type="dxa"/>
            <w:vAlign w:val="bottom"/>
            <w:gridSpan w:val="2"/>
            <w:vMerge w:val="continue"/>
          </w:tcPr>
          <w:p>
            <w:pPr>
              <w:spacing w:after="0"/>
              <w:rPr>
                <w:sz w:val="15"/>
                <w:szCs w:val="15"/>
                <w:color w:val="auto"/>
              </w:rPr>
            </w:pPr>
          </w:p>
        </w:tc>
        <w:tc>
          <w:tcPr>
            <w:tcW w:w="2400" w:type="dxa"/>
            <w:vAlign w:val="bottom"/>
          </w:tcPr>
          <w:p>
            <w:pPr>
              <w:ind w:left="60"/>
              <w:spacing w:after="0" w:line="176" w:lineRule="exact"/>
              <w:rPr>
                <w:sz w:val="20"/>
                <w:szCs w:val="20"/>
                <w:color w:val="auto"/>
              </w:rPr>
            </w:pPr>
            <w:r>
              <w:rPr>
                <w:rFonts w:ascii="Arial" w:cs="Arial" w:eastAsia="Arial" w:hAnsi="Arial"/>
                <w:sz w:val="18"/>
                <w:szCs w:val="18"/>
                <w:b w:val="1"/>
                <w:bCs w:val="1"/>
                <w:color w:val="auto"/>
                <w:w w:val="91"/>
              </w:rPr>
              <w:t>Outstanding Common Shares</w:t>
            </w:r>
          </w:p>
        </w:tc>
        <w:tc>
          <w:tcPr>
            <w:tcW w:w="0" w:type="dxa"/>
            <w:vAlign w:val="bottom"/>
          </w:tcPr>
          <w:p>
            <w:pPr>
              <w:spacing w:after="0"/>
              <w:rPr>
                <w:sz w:val="1"/>
                <w:szCs w:val="1"/>
                <w:color w:val="auto"/>
              </w:rPr>
            </w:pPr>
          </w:p>
        </w:tc>
      </w:tr>
      <w:tr>
        <w:trPr>
          <w:trHeight w:val="162"/>
        </w:trPr>
        <w:tc>
          <w:tcPr>
            <w:tcW w:w="4020" w:type="dxa"/>
            <w:vAlign w:val="bottom"/>
            <w:gridSpan w:val="2"/>
            <w:vMerge w:val="continue"/>
          </w:tcPr>
          <w:p>
            <w:pPr>
              <w:spacing w:after="0"/>
              <w:rPr>
                <w:sz w:val="14"/>
                <w:szCs w:val="14"/>
                <w:color w:val="auto"/>
              </w:rPr>
            </w:pPr>
          </w:p>
        </w:tc>
        <w:tc>
          <w:tcPr>
            <w:tcW w:w="3000" w:type="dxa"/>
            <w:vAlign w:val="bottom"/>
            <w:gridSpan w:val="2"/>
          </w:tcPr>
          <w:p>
            <w:pPr>
              <w:ind w:left="700"/>
              <w:spacing w:after="0" w:line="162" w:lineRule="exact"/>
              <w:rPr>
                <w:sz w:val="20"/>
                <w:szCs w:val="20"/>
                <w:color w:val="auto"/>
              </w:rPr>
            </w:pPr>
            <w:r>
              <w:rPr>
                <w:rFonts w:ascii="Arial" w:cs="Arial" w:eastAsia="Arial" w:hAnsi="Arial"/>
                <w:sz w:val="18"/>
                <w:szCs w:val="18"/>
                <w:b w:val="1"/>
                <w:bCs w:val="1"/>
                <w:color w:val="auto"/>
              </w:rPr>
              <w:t>Beneficially Owned</w:t>
            </w:r>
          </w:p>
        </w:tc>
        <w:tc>
          <w:tcPr>
            <w:tcW w:w="2400" w:type="dxa"/>
            <w:vAlign w:val="bottom"/>
          </w:tcPr>
          <w:p>
            <w:pPr>
              <w:ind w:left="1140"/>
              <w:spacing w:after="0"/>
              <w:rPr>
                <w:sz w:val="20"/>
                <w:szCs w:val="20"/>
                <w:color w:val="auto"/>
              </w:rPr>
            </w:pP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24"/>
        </w:trPr>
        <w:tc>
          <w:tcPr>
            <w:tcW w:w="39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OPKO Health, Inc.</w:t>
            </w:r>
          </w:p>
        </w:tc>
        <w:tc>
          <w:tcPr>
            <w:tcW w:w="100" w:type="dxa"/>
            <w:vAlign w:val="bottom"/>
          </w:tcPr>
          <w:p>
            <w:pPr>
              <w:spacing w:after="0"/>
              <w:rPr>
                <w:sz w:val="19"/>
                <w:szCs w:val="19"/>
                <w:color w:val="auto"/>
              </w:rPr>
            </w:pPr>
          </w:p>
        </w:tc>
        <w:tc>
          <w:tcPr>
            <w:tcW w:w="29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80,000,000</w:t>
            </w:r>
          </w:p>
        </w:tc>
        <w:tc>
          <w:tcPr>
            <w:tcW w:w="80" w:type="dxa"/>
            <w:vAlign w:val="bottom"/>
          </w:tcPr>
          <w:p>
            <w:pPr>
              <w:spacing w:after="0"/>
              <w:rPr>
                <w:sz w:val="19"/>
                <w:szCs w:val="19"/>
                <w:color w:val="auto"/>
              </w:rPr>
            </w:pPr>
          </w:p>
        </w:tc>
        <w:tc>
          <w:tcPr>
            <w:tcW w:w="240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45" w:lineRule="exact"/>
        <w:rPr>
          <w:sz w:val="20"/>
          <w:szCs w:val="20"/>
          <w:color w:val="auto"/>
        </w:rPr>
      </w:pPr>
    </w:p>
    <w:p>
      <w:pPr>
        <w:ind w:left="340" w:right="140" w:hanging="332"/>
        <w:spacing w:after="0" w:line="253" w:lineRule="auto"/>
        <w:tabs>
          <w:tab w:leader="none" w:pos="218" w:val="left"/>
        </w:tabs>
        <w:numPr>
          <w:ilvl w:val="0"/>
          <w:numId w:val="4"/>
        </w:numPr>
        <w:rPr>
          <w:rFonts w:ascii="Arial" w:cs="Arial" w:eastAsia="Arial" w:hAnsi="Arial"/>
          <w:sz w:val="9"/>
          <w:szCs w:val="9"/>
          <w:color w:val="auto"/>
        </w:rPr>
      </w:pPr>
      <w:r>
        <w:rPr>
          <w:rFonts w:ascii="Arial" w:cs="Arial" w:eastAsia="Arial" w:hAnsi="Arial"/>
          <w:sz w:val="14"/>
          <w:szCs w:val="14"/>
          <w:color w:val="auto"/>
        </w:rPr>
        <w:t>Based on 377,249,186 shares of Sema4 Common Stock outstanding as of April 30, 2022, as set forth in the Issuer’s Registration Statement on Form S-1 (File No. 333-264626) filed with the SEC on May 2, 2022.</w:t>
      </w:r>
    </w:p>
    <w:p>
      <w:pPr>
        <w:spacing w:after="0" w:line="137" w:lineRule="exact"/>
        <w:rPr>
          <w:rFonts w:ascii="Arial" w:cs="Arial" w:eastAsia="Arial" w:hAnsi="Arial"/>
          <w:sz w:val="9"/>
          <w:szCs w:val="9"/>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Items 7-10, inclusive, set forth on the cover page to this Schedule 13D are hereby incorporated by reference in this Item 5.</w:t>
      </w:r>
    </w:p>
    <w:p>
      <w:pPr>
        <w:spacing w:after="0" w:line="157" w:lineRule="exact"/>
        <w:rPr>
          <w:rFonts w:ascii="Arial" w:cs="Arial" w:eastAsia="Arial" w:hAnsi="Arial"/>
          <w:sz w:val="18"/>
          <w:szCs w:val="18"/>
          <w:color w:val="auto"/>
        </w:rPr>
      </w:pPr>
    </w:p>
    <w:p>
      <w:pPr>
        <w:ind w:left="700" w:hanging="368"/>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information contained in Item 3 of this Schedule 13D is incorporated by reference in this Item 5.</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8"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contained in Item 3 of this Schedule 13D is incorporated by reference in this Item 6.</w:t>
      </w:r>
    </w:p>
    <w:p>
      <w:pPr>
        <w:spacing w:after="0" w:line="15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In connection with the transactions contemplated by the Merger Agreement, on January 14, 2022, the Company entered into a Shareholder Agreement (the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with Sema4, pursuant to which the Company</w:t>
      </w:r>
    </w:p>
    <w:p>
      <w:pPr>
        <w:sectPr>
          <w:pgSz w:w="11900" w:h="16838" w:orient="portrait"/>
          <w:cols w:equalWidth="0" w:num="1">
            <w:col w:w="11240"/>
          </w:cols>
          <w:pgMar w:left="320" w:top="1408" w:right="33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17"/>
          <w:szCs w:val="17"/>
          <w:color w:val="auto"/>
        </w:rPr>
        <w:t>has agreed to, among other things, be subject to a lock-up period with respect to its shares of Sema4 Common Stock (the “</w:t>
      </w:r>
      <w:r>
        <w:rPr>
          <w:rFonts w:ascii="Arial" w:cs="Arial" w:eastAsia="Arial" w:hAnsi="Arial"/>
          <w:sz w:val="17"/>
          <w:szCs w:val="17"/>
          <w:u w:val="single" w:color="auto"/>
          <w:color w:val="auto"/>
        </w:rPr>
        <w:t>Lock-Up Shares</w:t>
      </w:r>
      <w:r>
        <w:rPr>
          <w:rFonts w:ascii="Arial" w:cs="Arial" w:eastAsia="Arial" w:hAnsi="Arial"/>
          <w:sz w:val="17"/>
          <w:szCs w:val="17"/>
          <w:color w:val="auto"/>
        </w:rPr>
        <w:t>”), which include the Closing Shares, together with any shares issued in respect of the Milestone Consideration (the “</w:t>
      </w:r>
      <w:r>
        <w:rPr>
          <w:rFonts w:ascii="Arial" w:cs="Arial" w:eastAsia="Arial" w:hAnsi="Arial"/>
          <w:sz w:val="17"/>
          <w:szCs w:val="17"/>
          <w:u w:val="single" w:color="auto"/>
          <w:color w:val="auto"/>
        </w:rPr>
        <w:t>Milestone Shares</w:t>
      </w:r>
      <w:r>
        <w:rPr>
          <w:rFonts w:ascii="Arial" w:cs="Arial" w:eastAsia="Arial" w:hAnsi="Arial"/>
          <w:sz w:val="17"/>
          <w:szCs w:val="17"/>
          <w:color w:val="auto"/>
        </w:rPr>
        <w:t>”). The lock-up period extends from the Closing until (a) in the case of the Closing Shares, April 29, 2023, (b) if and to the extent earned, in the case of the Milestone Shares for the first payment in respect of the Milestone Consideration, the date that is one (1) year from the date of issuance for such stock and (c) if and to the extent earned, in the case of the Milestone Shares for the second payment in respect of the Milestone Consideration, the date that is six (6) months from the date of issuance for such stock (as applicable, the “</w:t>
      </w:r>
      <w:r>
        <w:rPr>
          <w:rFonts w:ascii="Arial" w:cs="Arial" w:eastAsia="Arial" w:hAnsi="Arial"/>
          <w:sz w:val="17"/>
          <w:szCs w:val="17"/>
          <w:u w:val="single" w:color="auto"/>
          <w:color w:val="auto"/>
        </w:rPr>
        <w:t>Lock-Up Period</w:t>
      </w:r>
      <w:r>
        <w:rPr>
          <w:rFonts w:ascii="Arial" w:cs="Arial" w:eastAsia="Arial" w:hAnsi="Arial"/>
          <w:sz w:val="17"/>
          <w:szCs w:val="17"/>
          <w:color w:val="auto"/>
        </w:rPr>
        <w:t>”). During this Lock-Up Period, the Company may not transfer any Lock-Up Shares or engage in any short sales or other hedging or derivative transactions, subject to certain limited exceptions. Following such Lock-Up Period, the Company has agreed to dispose of its Lock-Up Shares in a marketed sale process under certain circumstances for so long as it continues to hold at least 5% of the outstanding shares of Sema4 Common Stock.</w:t>
      </w:r>
    </w:p>
    <w:p>
      <w:pPr>
        <w:spacing w:after="0" w:line="139"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8"/>
          <w:szCs w:val="18"/>
          <w:color w:val="auto"/>
        </w:rPr>
        <w:t>In addition, the Company has further agreed to certain standstill provisions whereby, subject to certain exceptions, it is obligated to refrain from taking certain actions with respect to the Sema4 Common Stock. The Company has also agreed to vote its shares of Sema4 Common Stock in accordance with the recommendations of the Sema4 Board for so long as it continues to hold at least 5% of the outstanding shares of Sema4 Common Stock. Further, Sema4 has also granted the Company certain customary shelf, piggyback and demand registration rights that require Sema4 to register the Company’s Lock-Up Shares for resale under the Securities Act.</w:t>
      </w:r>
    </w:p>
    <w:p>
      <w:pPr>
        <w:spacing w:after="0" w:line="20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97" w:lineRule="exact"/>
        <w:rPr>
          <w:sz w:val="20"/>
          <w:szCs w:val="20"/>
          <w:color w:val="auto"/>
        </w:rPr>
      </w:pPr>
    </w:p>
    <w:p>
      <w:pPr>
        <w:jc w:val="both"/>
        <w:ind w:left="1240" w:hanging="971"/>
        <w:spacing w:after="0" w:line="235"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Exhibit 1.</w:t>
      </w:r>
      <w:r>
        <w:rPr>
          <w:sz w:val="20"/>
          <w:szCs w:val="20"/>
          <w:color w:val="auto"/>
        </w:rPr>
        <w:tab/>
      </w:r>
      <w:hyperlink r:id="rId17">
        <w:r>
          <w:rPr>
            <w:rFonts w:ascii="Arial" w:cs="Arial" w:eastAsia="Arial" w:hAnsi="Arial"/>
            <w:sz w:val="18"/>
            <w:szCs w:val="18"/>
            <w:u w:val="single" w:color="auto"/>
            <w:color w:val="0000FF"/>
          </w:rPr>
          <w:t>Agreement and Plan of Merger and Reorganization, dated as of January 14, 2022, by and among the Company, Sema4, Orion Merger Sub</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I, Inc., Orion Merger Sub II, LLC, GeneDx Inc. and GeneDx Holding 2, Inc. (incorporated by reference to Exhibit 2.1 to the Company’s</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Current Report on Form 8-K filed with the SEC on January 18, 2022).</w:t>
        </w:r>
      </w:hyperlink>
    </w:p>
    <w:p>
      <w:pPr>
        <w:spacing w:after="0" w:line="148" w:lineRule="exact"/>
        <w:rPr>
          <w:rFonts w:ascii="Arial" w:cs="Arial" w:eastAsia="Arial" w:hAnsi="Arial"/>
          <w:sz w:val="18"/>
          <w:szCs w:val="18"/>
          <w:u w:val="single" w:color="auto"/>
          <w:color w:val="0000FF"/>
        </w:rPr>
      </w:pPr>
    </w:p>
    <w:p>
      <w:pPr>
        <w:jc w:val="both"/>
        <w:ind w:left="1240" w:hanging="971"/>
        <w:spacing w:after="0" w:line="246"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Exhibit 2.</w:t>
      </w:r>
      <w:r>
        <w:rPr>
          <w:sz w:val="20"/>
          <w:szCs w:val="20"/>
          <w:color w:val="auto"/>
        </w:rPr>
        <w:tab/>
      </w:r>
      <w:hyperlink r:id="rId18">
        <w:r>
          <w:rPr>
            <w:rFonts w:ascii="Arial" w:cs="Arial" w:eastAsia="Arial" w:hAnsi="Arial"/>
            <w:sz w:val="18"/>
            <w:szCs w:val="18"/>
            <w:u w:val="single" w:color="auto"/>
            <w:color w:val="0000FF"/>
          </w:rPr>
          <w:t>Shareholder Agreement, dated as of January 14, 2022, by and among the Company and Sema4 Holdings Corp (incorporated by reference</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to Exhibit 10.1 to the Company’s Current Report on Form 8-K filed with the SEC on January 18, 2022).</w:t>
        </w:r>
      </w:hyperlink>
    </w:p>
    <w:p>
      <w:pPr>
        <w:sectPr>
          <w:pgSz w:w="11900" w:h="16838" w:orient="portrait"/>
          <w:cols w:equalWidth="0" w:num="1">
            <w:col w:w="11240"/>
          </w:cols>
          <w:pgMar w:left="320" w:top="14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2"/>
          </w:tcPr>
          <w:p>
            <w:pPr>
              <w:ind w:left="2060"/>
              <w:spacing w:after="0"/>
              <w:rPr>
                <w:sz w:val="20"/>
                <w:szCs w:val="20"/>
                <w:color w:val="auto"/>
              </w:rPr>
            </w:pPr>
            <w:r>
              <w:rPr>
                <w:rFonts w:ascii="Arial" w:cs="Arial" w:eastAsia="Arial" w:hAnsi="Arial"/>
                <w:sz w:val="18"/>
                <w:szCs w:val="18"/>
                <w:b w:val="1"/>
                <w:bCs w:val="1"/>
                <w:color w:val="auto"/>
              </w:rPr>
              <w:t>OPKO Health, Inc.</w:t>
            </w:r>
          </w:p>
        </w:tc>
        <w:tc>
          <w:tcPr>
            <w:tcW w:w="0" w:type="dxa"/>
            <w:vAlign w:val="bottom"/>
          </w:tcPr>
          <w:p>
            <w:pPr>
              <w:spacing w:after="0"/>
              <w:rPr>
                <w:sz w:val="1"/>
                <w:szCs w:val="1"/>
                <w:color w:val="auto"/>
              </w:rPr>
            </w:pPr>
          </w:p>
        </w:tc>
      </w:tr>
      <w:tr>
        <w:trPr>
          <w:trHeight w:val="527"/>
        </w:trPr>
        <w:tc>
          <w:tcPr>
            <w:tcW w:w="3580" w:type="dxa"/>
            <w:vAlign w:val="bottom"/>
          </w:tcPr>
          <w:p>
            <w:pPr>
              <w:spacing w:after="0"/>
              <w:rPr>
                <w:sz w:val="24"/>
                <w:szCs w:val="24"/>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By:</w:t>
            </w:r>
          </w:p>
        </w:tc>
        <w:tc>
          <w:tcPr>
            <w:tcW w:w="4720" w:type="dxa"/>
            <w:vAlign w:val="bottom"/>
          </w:tcPr>
          <w:p>
            <w:pPr>
              <w:ind w:left="60"/>
              <w:spacing w:after="0"/>
              <w:rPr>
                <w:sz w:val="20"/>
                <w:szCs w:val="20"/>
                <w:color w:val="auto"/>
              </w:rPr>
            </w:pPr>
            <w:r>
              <w:rPr>
                <w:rFonts w:ascii="Arial" w:cs="Arial" w:eastAsia="Arial" w:hAnsi="Arial"/>
                <w:sz w:val="18"/>
                <w:szCs w:val="18"/>
                <w:color w:val="auto"/>
              </w:rPr>
              <w:t>/s/ Steven D. Rubin</w:t>
            </w:r>
          </w:p>
        </w:tc>
        <w:tc>
          <w:tcPr>
            <w:tcW w:w="0" w:type="dxa"/>
            <w:vAlign w:val="bottom"/>
          </w:tcPr>
          <w:p>
            <w:pPr>
              <w:spacing w:after="0"/>
              <w:rPr>
                <w:sz w:val="1"/>
                <w:szCs w:val="1"/>
                <w:color w:val="auto"/>
              </w:rPr>
            </w:pPr>
          </w:p>
        </w:tc>
      </w:tr>
      <w:tr>
        <w:trPr>
          <w:trHeight w:val="41"/>
        </w:trPr>
        <w:tc>
          <w:tcPr>
            <w:tcW w:w="3580" w:type="dxa"/>
            <w:vAlign w:val="bottom"/>
            <w:vMerge w:val="restart"/>
          </w:tcPr>
          <w:p>
            <w:pPr>
              <w:spacing w:after="0"/>
              <w:rPr>
                <w:sz w:val="20"/>
                <w:szCs w:val="20"/>
                <w:color w:val="auto"/>
              </w:rPr>
            </w:pPr>
            <w:r>
              <w:rPr>
                <w:rFonts w:ascii="Arial" w:cs="Arial" w:eastAsia="Arial" w:hAnsi="Arial"/>
                <w:sz w:val="18"/>
                <w:szCs w:val="18"/>
                <w:color w:val="auto"/>
              </w:rPr>
              <w:t>Date: March 9, 2022</w:t>
            </w:r>
          </w:p>
        </w:tc>
        <w:tc>
          <w:tcPr>
            <w:tcW w:w="2920" w:type="dxa"/>
            <w:vAlign w:val="bottom"/>
            <w:vMerge w:val="restart"/>
          </w:tcPr>
          <w:p>
            <w:pPr>
              <w:ind w:left="206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580" w:type="dxa"/>
            <w:vAlign w:val="bottom"/>
            <w:vMerge w:val="continue"/>
          </w:tcPr>
          <w:p>
            <w:pPr>
              <w:spacing w:after="0"/>
              <w:rPr>
                <w:sz w:val="19"/>
                <w:szCs w:val="19"/>
                <w:color w:val="auto"/>
              </w:rPr>
            </w:pPr>
          </w:p>
        </w:tc>
        <w:tc>
          <w:tcPr>
            <w:tcW w:w="2920" w:type="dxa"/>
            <w:vAlign w:val="bottom"/>
            <w:vMerge w:val="continue"/>
          </w:tcPr>
          <w:p>
            <w:pPr>
              <w:spacing w:after="0"/>
              <w:rPr>
                <w:sz w:val="19"/>
                <w:szCs w:val="19"/>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rPr>
              <w:t>Steven D. Rubin</w:t>
            </w:r>
          </w:p>
        </w:tc>
        <w:tc>
          <w:tcPr>
            <w:tcW w:w="0" w:type="dxa"/>
            <w:vAlign w:val="bottom"/>
          </w:tcPr>
          <w:p>
            <w:pPr>
              <w:spacing w:after="0"/>
              <w:rPr>
                <w:sz w:val="1"/>
                <w:szCs w:val="1"/>
                <w:color w:val="auto"/>
              </w:rPr>
            </w:pPr>
          </w:p>
        </w:tc>
      </w:tr>
      <w:tr>
        <w:trPr>
          <w:trHeight w:val="269"/>
        </w:trPr>
        <w:tc>
          <w:tcPr>
            <w:tcW w:w="3580" w:type="dxa"/>
            <w:vAlign w:val="bottom"/>
          </w:tcPr>
          <w:p>
            <w:pPr>
              <w:spacing w:after="0"/>
              <w:rPr>
                <w:sz w:val="23"/>
                <w:szCs w:val="23"/>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Title:</w:t>
            </w:r>
          </w:p>
        </w:tc>
        <w:tc>
          <w:tcPr>
            <w:tcW w:w="4720" w:type="dxa"/>
            <w:vAlign w:val="bottom"/>
          </w:tcPr>
          <w:p>
            <w:pPr>
              <w:ind w:left="60"/>
              <w:spacing w:after="0"/>
              <w:rPr>
                <w:sz w:val="20"/>
                <w:szCs w:val="20"/>
                <w:color w:val="auto"/>
              </w:rPr>
            </w:pPr>
            <w:r>
              <w:rPr>
                <w:rFonts w:ascii="Arial" w:cs="Arial" w:eastAsia="Arial" w:hAnsi="Arial"/>
                <w:sz w:val="18"/>
                <w:szCs w:val="18"/>
                <w:color w:val="auto"/>
              </w:rPr>
              <w:t>Executive Vice President-Administration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0" w:type="dxa"/>
            <w:vAlign w:val="bottom"/>
            <w:gridSpan w:val="5"/>
          </w:tcPr>
          <w:p>
            <w:pPr>
              <w:spacing w:after="0"/>
              <w:rPr>
                <w:sz w:val="20"/>
                <w:szCs w:val="20"/>
                <w:color w:val="auto"/>
              </w:rPr>
            </w:pPr>
            <w:r>
              <w:rPr>
                <w:rFonts w:ascii="Arial" w:cs="Arial" w:eastAsia="Arial" w:hAnsi="Arial"/>
                <w:sz w:val="18"/>
                <w:szCs w:val="18"/>
                <w:b w:val="1"/>
                <w:bCs w:val="1"/>
                <w:color w:val="auto"/>
              </w:rPr>
              <w:t>SCHEDULE I</w:t>
            </w:r>
          </w:p>
        </w:tc>
        <w:tc>
          <w:tcPr>
            <w:tcW w:w="2160" w:type="dxa"/>
            <w:vAlign w:val="bottom"/>
          </w:tcPr>
          <w:p>
            <w:pPr>
              <w:spacing w:after="0"/>
              <w:rPr>
                <w:sz w:val="17"/>
                <w:szCs w:val="17"/>
                <w:color w:val="auto"/>
              </w:rPr>
            </w:pPr>
          </w:p>
        </w:tc>
      </w:tr>
      <w:tr>
        <w:trPr>
          <w:trHeight w:val="344"/>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Directors of OPKO</w:t>
            </w:r>
          </w:p>
        </w:tc>
        <w:tc>
          <w:tcPr>
            <w:tcW w:w="194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53"/>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Name</w:t>
            </w:r>
          </w:p>
        </w:tc>
        <w:tc>
          <w:tcPr>
            <w:tcW w:w="2540" w:type="dxa"/>
            <w:vAlign w:val="bottom"/>
            <w:gridSpan w:val="3"/>
          </w:tcPr>
          <w:p>
            <w:pPr>
              <w:ind w:left="580"/>
              <w:spacing w:after="0"/>
              <w:rPr>
                <w:sz w:val="20"/>
                <w:szCs w:val="20"/>
                <w:color w:val="auto"/>
              </w:rPr>
            </w:pPr>
            <w:r>
              <w:rPr>
                <w:rFonts w:ascii="Arial" w:cs="Arial" w:eastAsia="Arial" w:hAnsi="Arial"/>
                <w:sz w:val="18"/>
                <w:szCs w:val="18"/>
                <w:color w:val="auto"/>
              </w:rPr>
              <w:t>Business Address</w:t>
            </w:r>
          </w:p>
        </w:tc>
        <w:tc>
          <w:tcPr>
            <w:tcW w:w="3100" w:type="dxa"/>
            <w:vAlign w:val="bottom"/>
            <w:gridSpan w:val="3"/>
          </w:tcPr>
          <w:p>
            <w:pPr>
              <w:ind w:left="160"/>
              <w:spacing w:after="0"/>
              <w:rPr>
                <w:sz w:val="20"/>
                <w:szCs w:val="20"/>
                <w:color w:val="auto"/>
              </w:rPr>
            </w:pPr>
            <w:r>
              <w:rPr>
                <w:rFonts w:ascii="Arial" w:cs="Arial" w:eastAsia="Arial" w:hAnsi="Arial"/>
                <w:sz w:val="18"/>
                <w:szCs w:val="18"/>
                <w:color w:val="auto"/>
              </w:rPr>
              <w:t>Principal Occupation or Employment</w:t>
            </w:r>
          </w:p>
        </w:tc>
        <w:tc>
          <w:tcPr>
            <w:tcW w:w="2160" w:type="dxa"/>
            <w:vAlign w:val="bottom"/>
          </w:tcPr>
          <w:p>
            <w:pPr>
              <w:ind w:left="680"/>
              <w:spacing w:after="0"/>
              <w:rPr>
                <w:sz w:val="20"/>
                <w:szCs w:val="20"/>
                <w:color w:val="auto"/>
              </w:rPr>
            </w:pPr>
            <w:r>
              <w:rPr>
                <w:rFonts w:ascii="Arial" w:cs="Arial" w:eastAsia="Arial" w:hAnsi="Arial"/>
                <w:sz w:val="18"/>
                <w:szCs w:val="18"/>
                <w:color w:val="auto"/>
              </w:rPr>
              <w:t>Citizenship</w:t>
            </w:r>
          </w:p>
        </w:tc>
      </w:tr>
      <w:tr>
        <w:trPr>
          <w:trHeight w:val="182"/>
        </w:trPr>
        <w:tc>
          <w:tcPr>
            <w:tcW w:w="3340" w:type="dxa"/>
            <w:vAlign w:val="bottom"/>
            <w:tcBorders>
              <w:top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Phillip Frost, M.D.</w:t>
            </w:r>
          </w:p>
        </w:tc>
        <w:tc>
          <w:tcPr>
            <w:tcW w:w="100" w:type="dxa"/>
            <w:vAlign w:val="bottom"/>
          </w:tcPr>
          <w:p>
            <w:pPr>
              <w:spacing w:after="0"/>
              <w:rPr>
                <w:sz w:val="15"/>
                <w:szCs w:val="15"/>
                <w:color w:val="auto"/>
              </w:rPr>
            </w:pPr>
          </w:p>
        </w:tc>
        <w:tc>
          <w:tcPr>
            <w:tcW w:w="2440" w:type="dxa"/>
            <w:vAlign w:val="bottom"/>
            <w:tcBorders>
              <w:top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c/o OPKO Health, Inc.</w:t>
            </w:r>
          </w:p>
        </w:tc>
        <w:tc>
          <w:tcPr>
            <w:tcW w:w="100" w:type="dxa"/>
            <w:vAlign w:val="bottom"/>
          </w:tcPr>
          <w:p>
            <w:pPr>
              <w:spacing w:after="0"/>
              <w:rPr>
                <w:sz w:val="15"/>
                <w:szCs w:val="15"/>
                <w:color w:val="auto"/>
              </w:rPr>
            </w:pPr>
          </w:p>
        </w:tc>
        <w:tc>
          <w:tcPr>
            <w:tcW w:w="3000" w:type="dxa"/>
            <w:vAlign w:val="bottom"/>
            <w:tcBorders>
              <w:top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Chairman of the Board and Chief</w:t>
            </w:r>
          </w:p>
        </w:tc>
        <w:tc>
          <w:tcPr>
            <w:tcW w:w="100" w:type="dxa"/>
            <w:vAlign w:val="bottom"/>
          </w:tcPr>
          <w:p>
            <w:pPr>
              <w:spacing w:after="0"/>
              <w:rPr>
                <w:sz w:val="15"/>
                <w:szCs w:val="15"/>
                <w:color w:val="auto"/>
              </w:rPr>
            </w:pPr>
          </w:p>
        </w:tc>
        <w:tc>
          <w:tcPr>
            <w:tcW w:w="2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3100" w:type="dxa"/>
            <w:vAlign w:val="bottom"/>
            <w:gridSpan w:val="3"/>
          </w:tcPr>
          <w:p>
            <w:pPr>
              <w:ind w:left="20"/>
              <w:spacing w:after="0" w:line="189" w:lineRule="exact"/>
              <w:rPr>
                <w:sz w:val="20"/>
                <w:szCs w:val="20"/>
                <w:color w:val="auto"/>
              </w:rPr>
            </w:pPr>
            <w:r>
              <w:rPr>
                <w:rFonts w:ascii="Arial" w:cs="Arial" w:eastAsia="Arial" w:hAnsi="Arial"/>
                <w:sz w:val="18"/>
                <w:szCs w:val="18"/>
                <w:color w:val="auto"/>
                <w:w w:val="98"/>
              </w:rPr>
              <w:t>Executive Officer of OPKO Health, Inc.</w:t>
            </w: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Jane H. Hsiao, Ph.D, MBA</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Vice Chairman of the Board and Chief</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3100" w:type="dxa"/>
            <w:vAlign w:val="bottom"/>
            <w:gridSpan w:val="3"/>
          </w:tcPr>
          <w:p>
            <w:pPr>
              <w:ind w:left="20"/>
              <w:spacing w:after="0" w:line="189" w:lineRule="exact"/>
              <w:rPr>
                <w:sz w:val="20"/>
                <w:szCs w:val="20"/>
                <w:color w:val="auto"/>
              </w:rPr>
            </w:pPr>
            <w:r>
              <w:rPr>
                <w:rFonts w:ascii="Arial" w:cs="Arial" w:eastAsia="Arial" w:hAnsi="Arial"/>
                <w:sz w:val="18"/>
                <w:szCs w:val="18"/>
                <w:color w:val="auto"/>
                <w:w w:val="99"/>
              </w:rPr>
              <w:t>Technical Officer of OPKO Health, Inc.</w:t>
            </w: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Steven D. Rubin</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Executive Vice President -</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31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Administration of OPKO Health Inc.</w:t>
            </w: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Jon R. Cohen, M.D.</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8"/>
              </w:rPr>
              <w:t>Senior Vice President of OPKO Health,</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31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Inc. and Chairperson of BioReference</w:t>
            </w: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3100" w:type="dxa"/>
            <w:vAlign w:val="bottom"/>
            <w:gridSpan w:val="3"/>
          </w:tcPr>
          <w:p>
            <w:pPr>
              <w:ind w:left="20"/>
              <w:spacing w:after="0"/>
              <w:rPr>
                <w:sz w:val="20"/>
                <w:szCs w:val="20"/>
                <w:color w:val="auto"/>
              </w:rPr>
            </w:pPr>
            <w:r>
              <w:rPr>
                <w:rFonts w:ascii="Arial" w:cs="Arial" w:eastAsia="Arial" w:hAnsi="Arial"/>
                <w:sz w:val="18"/>
                <w:szCs w:val="18"/>
                <w:color w:val="auto"/>
              </w:rPr>
              <w:t>Health, LLC</w:t>
            </w: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Richard M. Krasno, Ph.D.</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Director of BioCardia, Inc.</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2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Prem A. Lachman, M.D.</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General Partner of Maximus Capital,</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31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LLC</w:t>
            </w: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Roger J. Medel, M.D.</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Director of MEDNAX, Inc.</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2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John A. Paganelli</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3"/>
              </w:rPr>
              <w:t>Former Chairman of the Board of Pharos</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31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Systems International</w:t>
            </w: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Richard C. Pfenniger, Jr.</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Former Chairman, Chief Executive</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31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Officer and President of Continucare</w:t>
            </w: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3100" w:type="dxa"/>
            <w:vAlign w:val="bottom"/>
            <w:gridSpan w:val="3"/>
          </w:tcPr>
          <w:p>
            <w:pPr>
              <w:ind w:left="20"/>
              <w:spacing w:after="0"/>
              <w:rPr>
                <w:sz w:val="20"/>
                <w:szCs w:val="20"/>
                <w:color w:val="auto"/>
              </w:rPr>
            </w:pPr>
            <w:r>
              <w:rPr>
                <w:rFonts w:ascii="Arial" w:cs="Arial" w:eastAsia="Arial" w:hAnsi="Arial"/>
                <w:sz w:val="18"/>
                <w:szCs w:val="18"/>
                <w:color w:val="auto"/>
              </w:rPr>
              <w:t>Corporation</w:t>
            </w:r>
          </w:p>
        </w:tc>
        <w:tc>
          <w:tcPr>
            <w:tcW w:w="2160" w:type="dxa"/>
            <w:vAlign w:val="bottom"/>
          </w:tcPr>
          <w:p>
            <w:pPr>
              <w:spacing w:after="0"/>
              <w:rPr>
                <w:sz w:val="20"/>
                <w:szCs w:val="20"/>
                <w:color w:val="auto"/>
              </w:rPr>
            </w:pP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Alice Lin-Tsing Yu, M.D., Ph.D.</w:t>
            </w:r>
          </w:p>
        </w:tc>
        <w:tc>
          <w:tcPr>
            <w:tcW w:w="25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 OPKO Health, Inc.</w:t>
            </w:r>
          </w:p>
        </w:tc>
        <w:tc>
          <w:tcPr>
            <w:tcW w:w="31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Emeriti Professor of Pediatrics at</w:t>
            </w:r>
          </w:p>
        </w:tc>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United States</w:t>
            </w:r>
          </w:p>
        </w:tc>
      </w:tr>
      <w:tr>
        <w:trPr>
          <w:trHeight w:val="189"/>
        </w:trPr>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4400 Biscayne Blvd.</w:t>
            </w:r>
          </w:p>
        </w:tc>
        <w:tc>
          <w:tcPr>
            <w:tcW w:w="31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University of California in San Diego</w:t>
            </w:r>
          </w:p>
        </w:tc>
        <w:tc>
          <w:tcPr>
            <w:tcW w:w="216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Miami, Florida 33137</w:t>
            </w: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ectPr>
          <w:pgSz w:w="11900" w:h="16838" w:orient="portrait"/>
          <w:cols w:equalWidth="0" w:num="1">
            <w:col w:w="11240"/>
          </w:cols>
          <w:pgMar w:left="320" w:top="139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Officers of OPKO</w:t>
            </w:r>
          </w:p>
        </w:tc>
        <w:tc>
          <w:tcPr>
            <w:tcW w:w="204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263"/>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Name</w:t>
            </w:r>
          </w:p>
        </w:tc>
        <w:tc>
          <w:tcPr>
            <w:tcW w:w="2440" w:type="dxa"/>
            <w:vAlign w:val="bottom"/>
          </w:tcPr>
          <w:p>
            <w:pPr>
              <w:ind w:left="580"/>
              <w:spacing w:after="0"/>
              <w:rPr>
                <w:sz w:val="20"/>
                <w:szCs w:val="20"/>
                <w:color w:val="auto"/>
              </w:rPr>
            </w:pPr>
            <w:r>
              <w:rPr>
                <w:rFonts w:ascii="Arial" w:cs="Arial" w:eastAsia="Arial" w:hAnsi="Arial"/>
                <w:sz w:val="18"/>
                <w:szCs w:val="18"/>
                <w:color w:val="auto"/>
              </w:rPr>
              <w:t>Business Address</w:t>
            </w:r>
          </w:p>
        </w:tc>
      </w:tr>
      <w:tr>
        <w:trPr>
          <w:trHeight w:val="182"/>
        </w:trPr>
        <w:tc>
          <w:tcPr>
            <w:tcW w:w="3340" w:type="dxa"/>
            <w:vAlign w:val="bottom"/>
            <w:tcBorders>
              <w:top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Phillip Frost, M.D.</w:t>
            </w:r>
          </w:p>
        </w:tc>
        <w:tc>
          <w:tcPr>
            <w:tcW w:w="100" w:type="dxa"/>
            <w:vAlign w:val="bottom"/>
          </w:tcPr>
          <w:p>
            <w:pPr>
              <w:spacing w:after="0"/>
              <w:rPr>
                <w:sz w:val="15"/>
                <w:szCs w:val="15"/>
                <w:color w:val="auto"/>
              </w:rPr>
            </w:pPr>
          </w:p>
        </w:tc>
        <w:tc>
          <w:tcPr>
            <w:tcW w:w="24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c/o OPKO Health, Inc.</w:t>
            </w:r>
          </w:p>
        </w:tc>
      </w:tr>
      <w:tr>
        <w:trPr>
          <w:trHeight w:val="189"/>
        </w:trPr>
        <w:tc>
          <w:tcPr>
            <w:tcW w:w="1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ind w:left="20"/>
              <w:spacing w:after="0" w:line="189" w:lineRule="exact"/>
              <w:rPr>
                <w:sz w:val="20"/>
                <w:szCs w:val="20"/>
                <w:color w:val="auto"/>
              </w:rPr>
            </w:pPr>
            <w:r>
              <w:rPr>
                <w:rFonts w:ascii="Arial" w:cs="Arial" w:eastAsia="Arial" w:hAnsi="Arial"/>
                <w:sz w:val="18"/>
                <w:szCs w:val="18"/>
                <w:color w:val="auto"/>
              </w:rPr>
              <w:t>4400 Biscayne Blvd.</w:t>
            </w:r>
          </w:p>
        </w:tc>
      </w:tr>
      <w:tr>
        <w:trPr>
          <w:trHeight w:val="230"/>
        </w:trPr>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Miami, Florida 33137</w:t>
            </w: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Jane H. Hsiao, Ph.D, MBA</w:t>
            </w:r>
          </w:p>
        </w:tc>
        <w:tc>
          <w:tcPr>
            <w:tcW w:w="2440" w:type="dxa"/>
            <w:vAlign w:val="bottom"/>
          </w:tcPr>
          <w:p>
            <w:pPr>
              <w:ind w:left="20"/>
              <w:spacing w:after="0" w:line="201" w:lineRule="exact"/>
              <w:rPr>
                <w:sz w:val="20"/>
                <w:szCs w:val="20"/>
                <w:color w:val="auto"/>
              </w:rPr>
            </w:pPr>
            <w:r>
              <w:rPr>
                <w:rFonts w:ascii="Arial" w:cs="Arial" w:eastAsia="Arial" w:hAnsi="Arial"/>
                <w:sz w:val="18"/>
                <w:szCs w:val="18"/>
                <w:color w:val="auto"/>
              </w:rPr>
              <w:t>c/o OPKO Health, Inc.</w:t>
            </w:r>
          </w:p>
        </w:tc>
      </w:tr>
      <w:tr>
        <w:trPr>
          <w:trHeight w:val="189"/>
        </w:trPr>
        <w:tc>
          <w:tcPr>
            <w:tcW w:w="1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ind w:left="20"/>
              <w:spacing w:after="0" w:line="189" w:lineRule="exact"/>
              <w:rPr>
                <w:sz w:val="20"/>
                <w:szCs w:val="20"/>
                <w:color w:val="auto"/>
              </w:rPr>
            </w:pPr>
            <w:r>
              <w:rPr>
                <w:rFonts w:ascii="Arial" w:cs="Arial" w:eastAsia="Arial" w:hAnsi="Arial"/>
                <w:sz w:val="18"/>
                <w:szCs w:val="18"/>
                <w:color w:val="auto"/>
              </w:rPr>
              <w:t>4400 Biscayne Blvd.</w:t>
            </w:r>
          </w:p>
        </w:tc>
      </w:tr>
      <w:tr>
        <w:trPr>
          <w:trHeight w:val="230"/>
        </w:trPr>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Miami, Florida 33137</w:t>
            </w: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Steven D. Rubin</w:t>
            </w:r>
          </w:p>
        </w:tc>
        <w:tc>
          <w:tcPr>
            <w:tcW w:w="2440" w:type="dxa"/>
            <w:vAlign w:val="bottom"/>
          </w:tcPr>
          <w:p>
            <w:pPr>
              <w:ind w:left="20"/>
              <w:spacing w:after="0" w:line="201" w:lineRule="exact"/>
              <w:rPr>
                <w:sz w:val="20"/>
                <w:szCs w:val="20"/>
                <w:color w:val="auto"/>
              </w:rPr>
            </w:pPr>
            <w:r>
              <w:rPr>
                <w:rFonts w:ascii="Arial" w:cs="Arial" w:eastAsia="Arial" w:hAnsi="Arial"/>
                <w:sz w:val="18"/>
                <w:szCs w:val="18"/>
                <w:color w:val="auto"/>
              </w:rPr>
              <w:t>c/o OPKO Health, Inc.</w:t>
            </w:r>
          </w:p>
        </w:tc>
      </w:tr>
      <w:tr>
        <w:trPr>
          <w:trHeight w:val="189"/>
        </w:trPr>
        <w:tc>
          <w:tcPr>
            <w:tcW w:w="1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ind w:left="20"/>
              <w:spacing w:after="0" w:line="189" w:lineRule="exact"/>
              <w:rPr>
                <w:sz w:val="20"/>
                <w:szCs w:val="20"/>
                <w:color w:val="auto"/>
              </w:rPr>
            </w:pPr>
            <w:r>
              <w:rPr>
                <w:rFonts w:ascii="Arial" w:cs="Arial" w:eastAsia="Arial" w:hAnsi="Arial"/>
                <w:sz w:val="18"/>
                <w:szCs w:val="18"/>
                <w:color w:val="auto"/>
              </w:rPr>
              <w:t>4400 Biscayne Blvd.</w:t>
            </w:r>
          </w:p>
        </w:tc>
      </w:tr>
      <w:tr>
        <w:trPr>
          <w:trHeight w:val="230"/>
        </w:trPr>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Miami, Florida 33137</w:t>
            </w: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Jon R. Cohen, M.D.</w:t>
            </w:r>
          </w:p>
        </w:tc>
        <w:tc>
          <w:tcPr>
            <w:tcW w:w="2440" w:type="dxa"/>
            <w:vAlign w:val="bottom"/>
          </w:tcPr>
          <w:p>
            <w:pPr>
              <w:ind w:left="20"/>
              <w:spacing w:after="0" w:line="201" w:lineRule="exact"/>
              <w:rPr>
                <w:sz w:val="20"/>
                <w:szCs w:val="20"/>
                <w:color w:val="auto"/>
              </w:rPr>
            </w:pPr>
            <w:r>
              <w:rPr>
                <w:rFonts w:ascii="Arial" w:cs="Arial" w:eastAsia="Arial" w:hAnsi="Arial"/>
                <w:sz w:val="18"/>
                <w:szCs w:val="18"/>
                <w:color w:val="auto"/>
              </w:rPr>
              <w:t>c/o OPKO Health, Inc.</w:t>
            </w:r>
          </w:p>
        </w:tc>
      </w:tr>
      <w:tr>
        <w:trPr>
          <w:trHeight w:val="189"/>
        </w:trPr>
        <w:tc>
          <w:tcPr>
            <w:tcW w:w="1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ind w:left="20"/>
              <w:spacing w:after="0" w:line="189" w:lineRule="exact"/>
              <w:rPr>
                <w:sz w:val="20"/>
                <w:szCs w:val="20"/>
                <w:color w:val="auto"/>
              </w:rPr>
            </w:pPr>
            <w:r>
              <w:rPr>
                <w:rFonts w:ascii="Arial" w:cs="Arial" w:eastAsia="Arial" w:hAnsi="Arial"/>
                <w:sz w:val="18"/>
                <w:szCs w:val="18"/>
                <w:color w:val="auto"/>
              </w:rPr>
              <w:t>4400 Biscayne Blvd.</w:t>
            </w:r>
          </w:p>
        </w:tc>
      </w:tr>
      <w:tr>
        <w:trPr>
          <w:trHeight w:val="230"/>
        </w:trPr>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Miami, Florida 33137</w:t>
            </w:r>
          </w:p>
        </w:tc>
      </w:tr>
      <w:tr>
        <w:trPr>
          <w:trHeight w:val="202"/>
        </w:trPr>
        <w:tc>
          <w:tcPr>
            <w:tcW w:w="3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Adam Logal</w:t>
            </w:r>
          </w:p>
        </w:tc>
        <w:tc>
          <w:tcPr>
            <w:tcW w:w="2440" w:type="dxa"/>
            <w:vAlign w:val="bottom"/>
          </w:tcPr>
          <w:p>
            <w:pPr>
              <w:ind w:left="20"/>
              <w:spacing w:after="0" w:line="201" w:lineRule="exact"/>
              <w:rPr>
                <w:sz w:val="20"/>
                <w:szCs w:val="20"/>
                <w:color w:val="auto"/>
              </w:rPr>
            </w:pPr>
            <w:r>
              <w:rPr>
                <w:rFonts w:ascii="Arial" w:cs="Arial" w:eastAsia="Arial" w:hAnsi="Arial"/>
                <w:sz w:val="18"/>
                <w:szCs w:val="18"/>
                <w:color w:val="auto"/>
              </w:rPr>
              <w:t>c/o OPKO Health, Inc.</w:t>
            </w:r>
          </w:p>
        </w:tc>
      </w:tr>
      <w:tr>
        <w:trPr>
          <w:trHeight w:val="189"/>
        </w:trPr>
        <w:tc>
          <w:tcPr>
            <w:tcW w:w="1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ind w:left="20"/>
              <w:spacing w:after="0" w:line="189" w:lineRule="exact"/>
              <w:rPr>
                <w:sz w:val="20"/>
                <w:szCs w:val="20"/>
                <w:color w:val="auto"/>
              </w:rPr>
            </w:pPr>
            <w:r>
              <w:rPr>
                <w:rFonts w:ascii="Arial" w:cs="Arial" w:eastAsia="Arial" w:hAnsi="Arial"/>
                <w:sz w:val="18"/>
                <w:szCs w:val="18"/>
                <w:color w:val="auto"/>
              </w:rPr>
              <w:t>4400 Biscayne Blvd.</w:t>
            </w:r>
          </w:p>
        </w:tc>
      </w:tr>
      <w:tr>
        <w:trPr>
          <w:trHeight w:val="230"/>
        </w:trPr>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Miami, Florida 33137</w:t>
            </w:r>
          </w:p>
        </w:tc>
      </w:tr>
    </w:tbl>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100" w:type="dxa"/>
            <w:vAlign w:val="bottom"/>
            <w:gridSpan w:val="2"/>
          </w:tcPr>
          <w:p>
            <w:pPr>
              <w:ind w:left="160"/>
              <w:spacing w:after="0"/>
              <w:rPr>
                <w:sz w:val="20"/>
                <w:szCs w:val="20"/>
                <w:color w:val="auto"/>
              </w:rPr>
            </w:pPr>
            <w:r>
              <w:rPr>
                <w:rFonts w:ascii="Arial" w:cs="Arial" w:eastAsia="Arial" w:hAnsi="Arial"/>
                <w:sz w:val="18"/>
                <w:szCs w:val="18"/>
                <w:color w:val="auto"/>
              </w:rPr>
              <w:t>Principal Occupation or Employment</w:t>
            </w:r>
          </w:p>
        </w:tc>
        <w:tc>
          <w:tcPr>
            <w:tcW w:w="2160" w:type="dxa"/>
            <w:vAlign w:val="bottom"/>
          </w:tcPr>
          <w:p>
            <w:pPr>
              <w:ind w:left="680"/>
              <w:spacing w:after="0"/>
              <w:rPr>
                <w:sz w:val="20"/>
                <w:szCs w:val="20"/>
                <w:color w:val="auto"/>
              </w:rPr>
            </w:pPr>
            <w:r>
              <w:rPr>
                <w:rFonts w:ascii="Arial" w:cs="Arial" w:eastAsia="Arial" w:hAnsi="Arial"/>
                <w:sz w:val="18"/>
                <w:szCs w:val="18"/>
                <w:color w:val="auto"/>
              </w:rPr>
              <w:t>Citizenship</w:t>
            </w:r>
          </w:p>
        </w:tc>
      </w:tr>
      <w:tr>
        <w:trPr>
          <w:trHeight w:val="182"/>
        </w:trPr>
        <w:tc>
          <w:tcPr>
            <w:tcW w:w="30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w w:val="98"/>
              </w:rPr>
              <w:t>Chief Executive Officer and Chairman</w:t>
            </w:r>
          </w:p>
        </w:tc>
        <w:tc>
          <w:tcPr>
            <w:tcW w:w="100" w:type="dxa"/>
            <w:vAlign w:val="bottom"/>
          </w:tcPr>
          <w:p>
            <w:pPr>
              <w:spacing w:after="0"/>
              <w:rPr>
                <w:sz w:val="15"/>
                <w:szCs w:val="15"/>
                <w:color w:val="auto"/>
              </w:rPr>
            </w:pPr>
          </w:p>
        </w:tc>
        <w:tc>
          <w:tcPr>
            <w:tcW w:w="2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United States</w:t>
            </w: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of the Board</w:t>
            </w:r>
          </w:p>
        </w:tc>
        <w:tc>
          <w:tcPr>
            <w:tcW w:w="2160" w:type="dxa"/>
            <w:vAlign w:val="bottom"/>
          </w:tcPr>
          <w:p>
            <w:pPr>
              <w:spacing w:after="0"/>
              <w:rPr>
                <w:sz w:val="20"/>
                <w:szCs w:val="20"/>
                <w:color w:val="auto"/>
              </w:rPr>
            </w:pPr>
          </w:p>
        </w:tc>
      </w:tr>
      <w:tr>
        <w:trPr>
          <w:trHeight w:val="391"/>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Chief Technical Officer and Vice</w:t>
            </w: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160" w:type="dxa"/>
            <w:vAlign w:val="bottom"/>
          </w:tcPr>
          <w:p>
            <w:pPr>
              <w:spacing w:after="0"/>
              <w:rPr>
                <w:sz w:val="20"/>
                <w:szCs w:val="20"/>
                <w:color w:val="auto"/>
              </w:rPr>
            </w:pPr>
          </w:p>
        </w:tc>
      </w:tr>
      <w:tr>
        <w:trPr>
          <w:trHeight w:val="391"/>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w:t>
            </w: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Administration</w:t>
            </w:r>
          </w:p>
        </w:tc>
        <w:tc>
          <w:tcPr>
            <w:tcW w:w="2160" w:type="dxa"/>
            <w:vAlign w:val="bottom"/>
          </w:tcPr>
          <w:p>
            <w:pPr>
              <w:spacing w:after="0"/>
              <w:rPr>
                <w:sz w:val="20"/>
                <w:szCs w:val="20"/>
                <w:color w:val="auto"/>
              </w:rPr>
            </w:pPr>
          </w:p>
        </w:tc>
      </w:tr>
      <w:tr>
        <w:trPr>
          <w:trHeight w:val="432"/>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Senior Vice President</w:t>
            </w: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58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w:t>
            </w: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189"/>
        </w:trPr>
        <w:tc>
          <w:tcPr>
            <w:tcW w:w="31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Officer, Chief Accounting Officer and</w:t>
            </w:r>
          </w:p>
        </w:tc>
        <w:tc>
          <w:tcPr>
            <w:tcW w:w="2160" w:type="dxa"/>
            <w:vAlign w:val="bottom"/>
          </w:tcPr>
          <w:p>
            <w:pPr>
              <w:spacing w:after="0"/>
              <w:rPr>
                <w:sz w:val="16"/>
                <w:szCs w:val="16"/>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Treasurer</w:t>
            </w:r>
          </w:p>
        </w:tc>
        <w:tc>
          <w:tcPr>
            <w:tcW w:w="21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2">
        <w:col w:w="5880" w:space="100"/>
        <w:col w:w="526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hyperlink" Target="https://www.sec.gov/Archives/edgar/data/944809/000094480922000002/ex2-1mergeragmt.htm" TargetMode="External"/><Relationship Id="rId18" Type="http://schemas.openxmlformats.org/officeDocument/2006/relationships/hyperlink" Target="https://www.sec.gov/Archives/edgar/data/944809/000094480922000002/ex10-1sh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2022-05-09T16:51:19Z</dcterms:created>
  <dcterms:modified xsi:type="dcterms:W3CDTF">2022-05-09T16:51:19Z</dcterms:modified>
</cp:coreProperties>
</file>