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7189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718947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Casdin Eli</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460"/>
        <w:spacing w:after="0" w:line="338"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7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6"/>
          <w:szCs w:val="16"/>
          <w:color w:val="0000FF"/>
        </w:rPr>
        <w:t>10019</w:t>
      </w:r>
    </w:p>
    <w:p>
      <w:pPr>
        <w:spacing w:after="0" w:line="31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06/18/2025</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1860" w:type="dxa"/>
            <w:vAlign w:val="bottom"/>
            <w:tcBorders>
              <w:bottom w:val="single" w:sz="8" w:color="2C2C2C"/>
            </w:tcBorders>
          </w:tcPr>
          <w:p>
            <w:pPr>
              <w:spacing w:after="0"/>
              <w:rPr>
                <w:sz w:val="23"/>
                <w:szCs w:val="23"/>
                <w:color w:val="auto"/>
              </w:rPr>
            </w:pPr>
          </w:p>
        </w:tc>
        <w:tc>
          <w:tcPr>
            <w:tcW w:w="178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216"/>
        </w:trPr>
        <w:tc>
          <w:tcPr>
            <w:tcW w:w="2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06/23/2025</w:t>
            </w:r>
          </w:p>
        </w:tc>
        <w:tc>
          <w:tcPr>
            <w:tcW w:w="1780" w:type="dxa"/>
            <w:vAlign w:val="bottom"/>
          </w:tcPr>
          <w:p>
            <w:pPr>
              <w:spacing w:after="0"/>
              <w:rPr>
                <w:sz w:val="18"/>
                <w:szCs w:val="18"/>
                <w:color w:val="auto"/>
              </w:rPr>
            </w:pP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5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120" w:space="72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184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84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jc w:val="right"/>
              <w:ind w:right="205"/>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06/18/2025</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12,924</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105"/>
              <w:spacing w:after="0" w:line="305"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20,518</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04"/>
        </w:trPr>
        <w:tc>
          <w:tcPr>
            <w:tcW w:w="2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Casdin</w:t>
            </w:r>
          </w:p>
        </w:tc>
        <w:tc>
          <w:tcPr>
            <w:tcW w:w="0" w:type="dxa"/>
            <w:vAlign w:val="bottom"/>
          </w:tcPr>
          <w:p>
            <w:pPr>
              <w:spacing w:after="0"/>
              <w:rPr>
                <w:sz w:val="1"/>
                <w:szCs w:val="1"/>
                <w:color w:val="auto"/>
              </w:rPr>
            </w:pPr>
          </w:p>
        </w:tc>
      </w:tr>
      <w:tr>
        <w:trPr>
          <w:trHeight w:val="204"/>
        </w:trPr>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3,507,164</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14"/>
        </w:trPr>
        <w:tc>
          <w:tcPr>
            <w:tcW w:w="250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Master</w:t>
            </w:r>
          </w:p>
        </w:tc>
        <w:tc>
          <w:tcPr>
            <w:tcW w:w="0" w:type="dxa"/>
            <w:vAlign w:val="bottom"/>
          </w:tcPr>
          <w:p>
            <w:pPr>
              <w:spacing w:after="0"/>
              <w:rPr>
                <w:sz w:val="1"/>
                <w:szCs w:val="1"/>
                <w:color w:val="auto"/>
              </w:rPr>
            </w:pPr>
          </w:p>
        </w:tc>
      </w:tr>
      <w:tr>
        <w:trPr>
          <w:trHeight w:val="90"/>
        </w:trPr>
        <w:tc>
          <w:tcPr>
            <w:tcW w:w="25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Fund,</w:t>
            </w:r>
          </w:p>
        </w:tc>
        <w:tc>
          <w:tcPr>
            <w:tcW w:w="0" w:type="dxa"/>
            <w:vAlign w:val="bottom"/>
          </w:tcPr>
          <w:p>
            <w:pPr>
              <w:spacing w:after="0"/>
              <w:rPr>
                <w:sz w:val="1"/>
                <w:szCs w:val="1"/>
                <w:color w:val="auto"/>
              </w:rPr>
            </w:pPr>
          </w:p>
        </w:tc>
      </w:tr>
      <w:tr>
        <w:trPr>
          <w:trHeight w:val="273"/>
        </w:trPr>
        <w:tc>
          <w:tcPr>
            <w:tcW w:w="2500" w:type="dxa"/>
            <w:vAlign w:val="bottom"/>
            <w:tcBorders>
              <w:bottom w:val="single" w:sz="8" w:color="2C2C2C"/>
            </w:tcBorders>
          </w:tcPr>
          <w:p>
            <w:pPr>
              <w:spacing w:after="0"/>
              <w:rPr>
                <w:sz w:val="23"/>
                <w:szCs w:val="23"/>
                <w:color w:val="auto"/>
              </w:rPr>
            </w:pPr>
          </w:p>
        </w:tc>
        <w:tc>
          <w:tcPr>
            <w:tcW w:w="18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line="268" w:lineRule="exact"/>
              <w:rPr>
                <w:sz w:val="20"/>
                <w:szCs w:val="20"/>
                <w:color w:val="auto"/>
              </w:rPr>
            </w:pPr>
            <w:r>
              <w:rPr>
                <w:rFonts w:ascii="Times New Roman" w:cs="Times New Roman" w:eastAsia="Times New Roman" w:hAnsi="Times New Roman"/>
                <w:sz w:val="31"/>
                <w:szCs w:val="31"/>
                <w:color w:val="0000FF"/>
                <w:vertAlign w:val="subscript"/>
              </w:rPr>
              <w:t>LP</w:t>
            </w:r>
            <w:r>
              <w:rPr>
                <w:rFonts w:ascii="Times New Roman" w:cs="Times New Roman" w:eastAsia="Times New Roman" w:hAnsi="Times New Roman"/>
                <w:sz w:val="10"/>
                <w:szCs w:val="10"/>
                <w:color w:val="008000"/>
              </w:rPr>
              <w:t>(3)</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04"/>
        </w:trPr>
        <w:tc>
          <w:tcPr>
            <w:tcW w:w="2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Casdin</w:t>
            </w:r>
          </w:p>
        </w:tc>
        <w:tc>
          <w:tcPr>
            <w:tcW w:w="0" w:type="dxa"/>
            <w:vAlign w:val="bottom"/>
          </w:tcPr>
          <w:p>
            <w:pPr>
              <w:spacing w:after="0"/>
              <w:rPr>
                <w:sz w:val="1"/>
                <w:szCs w:val="1"/>
                <w:color w:val="auto"/>
              </w:rPr>
            </w:pPr>
          </w:p>
        </w:tc>
      </w:tr>
      <w:tr>
        <w:trPr>
          <w:trHeight w:val="204"/>
        </w:trPr>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19,247</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04"/>
        </w:trPr>
        <w:tc>
          <w:tcPr>
            <w:tcW w:w="25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GP,</w:t>
            </w:r>
          </w:p>
        </w:tc>
        <w:tc>
          <w:tcPr>
            <w:tcW w:w="0" w:type="dxa"/>
            <w:vAlign w:val="bottom"/>
          </w:tcPr>
          <w:p>
            <w:pPr>
              <w:spacing w:after="0"/>
              <w:rPr>
                <w:sz w:val="1"/>
                <w:szCs w:val="1"/>
                <w:color w:val="auto"/>
              </w:rPr>
            </w:pPr>
          </w:p>
        </w:tc>
      </w:tr>
      <w:tr>
        <w:trPr>
          <w:trHeight w:val="273"/>
        </w:trPr>
        <w:tc>
          <w:tcPr>
            <w:tcW w:w="2500" w:type="dxa"/>
            <w:vAlign w:val="bottom"/>
            <w:tcBorders>
              <w:bottom w:val="single" w:sz="8" w:color="2C2C2C"/>
            </w:tcBorders>
          </w:tcPr>
          <w:p>
            <w:pPr>
              <w:spacing w:after="0"/>
              <w:rPr>
                <w:sz w:val="23"/>
                <w:szCs w:val="23"/>
                <w:color w:val="auto"/>
              </w:rPr>
            </w:pPr>
          </w:p>
        </w:tc>
        <w:tc>
          <w:tcPr>
            <w:tcW w:w="18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20" w:type="dxa"/>
            <w:vAlign w:val="bottom"/>
            <w:tcBorders>
              <w:bottom w:val="single" w:sz="8" w:color="2C2C2C"/>
            </w:tcBorders>
          </w:tcPr>
          <w:p>
            <w:pPr>
              <w:spacing w:after="0"/>
              <w:rPr>
                <w:sz w:val="23"/>
                <w:szCs w:val="23"/>
                <w:color w:val="auto"/>
              </w:rPr>
            </w:pPr>
          </w:p>
        </w:tc>
        <w:tc>
          <w:tcPr>
            <w:tcW w:w="94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line="268" w:lineRule="exact"/>
              <w:rPr>
                <w:sz w:val="20"/>
                <w:szCs w:val="20"/>
                <w:color w:val="auto"/>
              </w:rPr>
            </w:pPr>
            <w:r>
              <w:rPr>
                <w:rFonts w:ascii="Times New Roman" w:cs="Times New Roman" w:eastAsia="Times New Roman" w:hAnsi="Times New Roman"/>
                <w:sz w:val="31"/>
                <w:szCs w:val="31"/>
                <w:color w:val="0000FF"/>
                <w:vertAlign w:val="subscript"/>
              </w:rPr>
              <w:t>LLC</w:t>
            </w: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243"/>
        </w:trPr>
        <w:tc>
          <w:tcPr>
            <w:tcW w:w="25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04"/>
        </w:trPr>
        <w:tc>
          <w:tcPr>
            <w:tcW w:w="25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333,144</w:t>
            </w:r>
          </w:p>
        </w:tc>
        <w:tc>
          <w:tcPr>
            <w:tcW w:w="9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CMLS</w:t>
            </w:r>
          </w:p>
        </w:tc>
        <w:tc>
          <w:tcPr>
            <w:tcW w:w="0" w:type="dxa"/>
            <w:vAlign w:val="bottom"/>
          </w:tcPr>
          <w:p>
            <w:pPr>
              <w:spacing w:after="0"/>
              <w:rPr>
                <w:sz w:val="1"/>
                <w:szCs w:val="1"/>
                <w:color w:val="auto"/>
              </w:rPr>
            </w:pPr>
          </w:p>
        </w:tc>
      </w:tr>
      <w:tr>
        <w:trPr>
          <w:trHeight w:val="114"/>
        </w:trPr>
        <w:tc>
          <w:tcPr>
            <w:tcW w:w="2500" w:type="dxa"/>
            <w:vAlign w:val="bottom"/>
            <w:vMerge w:val="continue"/>
          </w:tcPr>
          <w:p>
            <w:pPr>
              <w:spacing w:after="0"/>
              <w:rPr>
                <w:sz w:val="9"/>
                <w:szCs w:val="9"/>
                <w:color w:val="auto"/>
              </w:rPr>
            </w:pPr>
          </w:p>
        </w:tc>
        <w:tc>
          <w:tcPr>
            <w:tcW w:w="1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(5)</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3,576</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06/18/2025</w:t>
            </w:r>
          </w:p>
        </w:tc>
        <w:tc>
          <w:tcPr>
            <w:tcW w:w="1080" w:type="dxa"/>
            <w:vAlign w:val="bottom"/>
          </w:tcPr>
          <w:p>
            <w:pPr>
              <w:spacing w:after="0"/>
              <w:rPr>
                <w:sz w:val="5"/>
                <w:szCs w:val="5"/>
                <w:color w:val="auto"/>
              </w:rPr>
            </w:pPr>
          </w:p>
        </w:tc>
        <w:tc>
          <w:tcPr>
            <w:tcW w:w="7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3,576</w:t>
            </w:r>
          </w:p>
        </w:tc>
        <w:tc>
          <w:tcPr>
            <w:tcW w:w="4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right"/>
              <w:ind w:right="241"/>
              <w:spacing w:after="0" w:line="141" w:lineRule="exact"/>
              <w:rPr>
                <w:sz w:val="20"/>
                <w:szCs w:val="20"/>
                <w:color w:val="auto"/>
              </w:rPr>
            </w:pPr>
            <w:r>
              <w:rPr>
                <w:rFonts w:ascii="Times New Roman" w:cs="Times New Roman" w:eastAsia="Times New Roman" w:hAnsi="Times New Roman"/>
                <w:sz w:val="13"/>
                <w:szCs w:val="13"/>
                <w:color w:val="0000FF"/>
              </w:rPr>
              <w:t>3,576</w:t>
            </w:r>
          </w:p>
        </w:tc>
        <w:tc>
          <w:tcPr>
            <w:tcW w:w="74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12,924</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06/18/2025</w:t>
            </w:r>
          </w:p>
        </w:tc>
        <w:tc>
          <w:tcPr>
            <w:tcW w:w="1080" w:type="dxa"/>
            <w:vAlign w:val="bottom"/>
          </w:tcPr>
          <w:p>
            <w:pPr>
              <w:spacing w:after="0"/>
              <w:rPr>
                <w:sz w:val="5"/>
                <w:szCs w:val="5"/>
                <w:color w:val="auto"/>
              </w:rPr>
            </w:pPr>
          </w:p>
        </w:tc>
        <w:tc>
          <w:tcPr>
            <w:tcW w:w="78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40" w:type="dxa"/>
            <w:vAlign w:val="bottom"/>
          </w:tcPr>
          <w:p>
            <w:pPr>
              <w:spacing w:after="0"/>
              <w:rPr>
                <w:sz w:val="5"/>
                <w:szCs w:val="5"/>
                <w:color w:val="auto"/>
              </w:rPr>
            </w:pPr>
          </w:p>
        </w:tc>
        <w:tc>
          <w:tcPr>
            <w:tcW w:w="4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12,924</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right"/>
              <w:ind w:right="36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74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jc w:val="both"/>
        <w:ind w:left="40" w:right="200"/>
        <w:spacing w:after="0" w:line="238"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clerical errors in prior filings, (i) the number of Class A Common Shares held directly by Eli Casdin was overstated by 1,376 shares in Form 4 filings filed from March 6th, 2024 through June 5th, 2024; and (ii) the Form 4 filed on August 5, 2024 understated Mr. Casdin's direct Class A Common Share holdings by 4,452 shares, as it did not reflect the correct total of 7,594 shares held directly following the vesting of 5,828 RSUs on June 20, 2024. These discrepancies in Class A Common Shares held by Eli Casdin have been corrected in subsequent filings.</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1" w:lineRule="exact"/>
        <w:rPr>
          <w:rFonts w:ascii="Times New Roman" w:cs="Times New Roman" w:eastAsia="Times New Roman" w:hAnsi="Times New Roman"/>
          <w:sz w:val="13"/>
          <w:szCs w:val="13"/>
          <w:color w:val="008000"/>
        </w:rPr>
      </w:pPr>
    </w:p>
    <w:p>
      <w:pPr>
        <w:ind w:left="40" w:right="24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the Casdin Partners Master Fund, L.P. (the "Master Fund") and may be deemed to be indirectly beneficially owned by (i) Casdin Capital, LLC, the investment adviser to the Master Fund ("Casdin"), (ii) Casdin Partners GP, LLC, the general partner of the Master Fund (the "GP"), and (iii) Eli Casdin, the managing member of Casdin and the GP.</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the GP and may be deemed to be indirectly beneficially owned by Eli Casdin, the managing member of the GP.</w:t>
      </w:r>
    </w:p>
    <w:p>
      <w:pPr>
        <w:spacing w:after="0" w:line="41" w:lineRule="exact"/>
        <w:rPr>
          <w:rFonts w:ascii="Times New Roman" w:cs="Times New Roman" w:eastAsia="Times New Roman" w:hAnsi="Times New Roman"/>
          <w:sz w:val="13"/>
          <w:szCs w:val="13"/>
          <w:color w:val="008000"/>
        </w:rPr>
      </w:pPr>
    </w:p>
    <w:p>
      <w:pPr>
        <w:ind w:left="40" w:right="66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CMLS Holdings LLC ("CMLS Holdings"). The Board of Managers of CMLS Holdings includes Eli Casdin, who, as a member of the Board of Managers of CMLS Holdings, shares voting and investment discretion with respect to the common stock held by CMLS Holdings.</w:t>
      </w:r>
    </w:p>
    <w:p>
      <w:pPr>
        <w:spacing w:after="0" w:line="19" w:lineRule="exact"/>
        <w:rPr>
          <w:rFonts w:ascii="Times New Roman" w:cs="Times New Roman" w:eastAsia="Times New Roman" w:hAnsi="Times New Roman"/>
          <w:sz w:val="13"/>
          <w:szCs w:val="13"/>
          <w:color w:val="008000"/>
        </w:rPr>
      </w:pPr>
    </w:p>
    <w:p>
      <w:pPr>
        <w:ind w:left="40" w:right="52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ectPr>
          <w:pgSz w:w="11900" w:h="16838" w:orient="portrait"/>
          <w:cols w:equalWidth="0" w:num="1">
            <w:col w:w="11080"/>
          </w:cols>
          <w:pgMar w:left="460" w:top="216" w:right="359" w:bottom="0" w:gutter="0" w:footer="0" w:header="0"/>
          <w:type w:val="continuous"/>
        </w:sectPr>
      </w:pPr>
    </w:p>
    <w:p>
      <w:pPr>
        <w:spacing w:after="0" w:line="1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line="251" w:lineRule="auto"/>
        <w:rPr>
          <w:sz w:val="20"/>
          <w:szCs w:val="20"/>
          <w:color w:val="auto"/>
        </w:rPr>
      </w:pPr>
      <w:r>
        <w:rPr>
          <w:rFonts w:ascii="Times New Roman" w:cs="Times New Roman" w:eastAsia="Times New Roman" w:hAnsi="Times New Roman"/>
          <w:sz w:val="13"/>
          <w:szCs w:val="13"/>
          <w:color w:val="008000"/>
        </w:rPr>
        <w:t>This Form 4 is being amended to include footnote 1. The Reporting Person disclaims beneficial ownership in the securities reported on this Form 4 except to the extent of its pecuniary interest, if any, therein, and this report shall not be deemed to be an admission that the Reporting Person is the beneficial owner of such securities for purposes of Section 16 or for any other purpose.</w:t>
      </w:r>
    </w:p>
    <w:p>
      <w:pPr>
        <w:spacing w:after="0" w:line="28"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Eli Casdin, Eli Casdin</w:t>
            </w:r>
          </w:p>
        </w:tc>
        <w:tc>
          <w:tcPr>
            <w:tcW w:w="5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08/07/2025</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440"/>
        <w:spacing w:after="0" w:line="332"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34264"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2025-08-07T18:44:04Z</dcterms:created>
  <dcterms:modified xsi:type="dcterms:W3CDTF">2025-08-07T18:44:04Z</dcterms:modified>
</cp:coreProperties>
</file>