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296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29666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051"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2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RUCH JOSHUA</w:t>
              </w:r>
            </w:hyperlink>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gridSpan w:val="6"/>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GeneDx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WGS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4"/>
            <w:vMerge w:val="continue"/>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1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1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780" w:type="dxa"/>
            <w:vAlign w:val="bottom"/>
            <w:gridSpan w:val="3"/>
            <w:vMerge w:val="restart"/>
          </w:tcPr>
          <w:p>
            <w:pPr>
              <w:ind w:left="6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vMerge w:val="restart"/>
          </w:tcPr>
          <w:p>
            <w:pPr>
              <w:ind w:left="200"/>
              <w:spacing w:after="0"/>
              <w:rPr>
                <w:sz w:val="20"/>
                <w:szCs w:val="20"/>
                <w:color w:val="auto"/>
              </w:rPr>
            </w:pPr>
            <w:r>
              <w:rPr>
                <w:rFonts w:ascii="Arial" w:cs="Arial" w:eastAsia="Arial" w:hAnsi="Arial"/>
                <w:sz w:val="13"/>
                <w:szCs w:val="13"/>
                <w:color w:val="auto"/>
                <w:w w:val="97"/>
              </w:rPr>
              <w:t>Officer (give title</w:t>
            </w:r>
          </w:p>
        </w:tc>
        <w:tc>
          <w:tcPr>
            <w:tcW w:w="1780" w:type="dxa"/>
            <w:vAlign w:val="bottom"/>
            <w:gridSpan w:val="3"/>
            <w:vMerge w:val="restart"/>
          </w:tcPr>
          <w:p>
            <w:pPr>
              <w:ind w:left="6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56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gridSpan w:val="6"/>
            <w:vMerge w:val="continue"/>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ind w:left="200"/>
              <w:spacing w:after="0" w:line="121" w:lineRule="exact"/>
              <w:rPr>
                <w:sz w:val="20"/>
                <w:szCs w:val="20"/>
                <w:color w:val="auto"/>
              </w:rPr>
            </w:pPr>
            <w:r>
              <w:rPr>
                <w:rFonts w:ascii="Arial" w:cs="Arial" w:eastAsia="Arial" w:hAnsi="Arial"/>
                <w:sz w:val="13"/>
                <w:szCs w:val="13"/>
                <w:color w:val="auto"/>
              </w:rPr>
              <w:t>below)</w:t>
            </w:r>
          </w:p>
        </w:tc>
        <w:tc>
          <w:tcPr>
            <w:tcW w:w="1780" w:type="dxa"/>
            <w:vAlign w:val="bottom"/>
            <w:gridSpan w:val="3"/>
          </w:tcPr>
          <w:p>
            <w:pPr>
              <w:ind w:left="6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220" w:type="dxa"/>
            <w:vAlign w:val="bottom"/>
            <w:gridSpan w:val="5"/>
            <w:vMerge w:val="restart"/>
          </w:tcPr>
          <w:p>
            <w:pPr>
              <w:ind w:left="780"/>
              <w:spacing w:after="0"/>
              <w:rPr>
                <w:sz w:val="20"/>
                <w:szCs w:val="20"/>
                <w:color w:val="auto"/>
              </w:rPr>
            </w:pPr>
            <w:r>
              <w:rPr>
                <w:rFonts w:ascii="Arial" w:cs="Arial" w:eastAsia="Arial" w:hAnsi="Arial"/>
                <w:sz w:val="17"/>
                <w:szCs w:val="17"/>
                <w:color w:val="0000FF"/>
              </w:rPr>
              <w:t>05/02/2023</w:t>
            </w: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3"/>
              </w:rPr>
              <w:t>C/O GENEDX HOLDINGS CORP.</w:t>
            </w:r>
          </w:p>
        </w:tc>
        <w:tc>
          <w:tcPr>
            <w:tcW w:w="56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7"/>
            <w:vMerge w:val="restart"/>
          </w:tcPr>
          <w:p>
            <w:pPr>
              <w:ind w:left="20"/>
              <w:spacing w:after="0"/>
              <w:rPr>
                <w:sz w:val="20"/>
                <w:szCs w:val="20"/>
                <w:color w:val="auto"/>
              </w:rPr>
            </w:pPr>
            <w:r>
              <w:rPr>
                <w:rFonts w:ascii="Arial" w:cs="Arial" w:eastAsia="Arial" w:hAnsi="Arial"/>
                <w:sz w:val="17"/>
                <w:szCs w:val="17"/>
                <w:color w:val="0000FF"/>
              </w:rPr>
              <w:t>333 LUDLOW ST, NORTH TOWER, 6TH FL.</w:t>
            </w:r>
          </w:p>
        </w:tc>
        <w:tc>
          <w:tcPr>
            <w:tcW w:w="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7"/>
            <w:vMerge w:val="continue"/>
          </w:tcPr>
          <w:p>
            <w:pPr>
              <w:spacing w:after="0"/>
              <w:rPr>
                <w:sz w:val="8"/>
                <w:szCs w:val="8"/>
                <w:color w:val="auto"/>
              </w:rPr>
            </w:pPr>
          </w:p>
        </w:tc>
        <w:tc>
          <w:tcPr>
            <w:tcW w:w="35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320" w:type="dxa"/>
            <w:vAlign w:val="bottom"/>
            <w:gridSpan w:val="6"/>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40" w:type="dxa"/>
            <w:vAlign w:val="bottom"/>
            <w:gridSpan w:val="7"/>
            <w:vMerge w:val="continue"/>
          </w:tcPr>
          <w:p>
            <w:pPr>
              <w:spacing w:after="0"/>
              <w:rPr>
                <w:sz w:val="7"/>
                <w:szCs w:val="7"/>
                <w:color w:val="auto"/>
              </w:rPr>
            </w:pPr>
          </w:p>
        </w:tc>
        <w:tc>
          <w:tcPr>
            <w:tcW w:w="280" w:type="dxa"/>
            <w:vAlign w:val="bottom"/>
          </w:tcPr>
          <w:p>
            <w:pPr>
              <w:spacing w:after="0"/>
              <w:rPr>
                <w:sz w:val="7"/>
                <w:szCs w:val="7"/>
                <w:color w:val="auto"/>
              </w:rPr>
            </w:pPr>
          </w:p>
        </w:tc>
        <w:tc>
          <w:tcPr>
            <w:tcW w:w="33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6"/>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STAMFORD</w:t>
            </w:r>
          </w:p>
        </w:tc>
        <w:tc>
          <w:tcPr>
            <w:tcW w:w="1380" w:type="dxa"/>
            <w:vAlign w:val="bottom"/>
            <w:gridSpan w:val="2"/>
          </w:tcPr>
          <w:p>
            <w:pPr>
              <w:ind w:left="160"/>
              <w:spacing w:after="0"/>
              <w:rPr>
                <w:sz w:val="20"/>
                <w:szCs w:val="20"/>
                <w:color w:val="auto"/>
              </w:rPr>
            </w:pPr>
            <w:r>
              <w:rPr>
                <w:rFonts w:ascii="Arial" w:cs="Arial" w:eastAsia="Arial" w:hAnsi="Arial"/>
                <w:sz w:val="17"/>
                <w:szCs w:val="17"/>
                <w:color w:val="0000FF"/>
              </w:rPr>
              <w:t>CT</w:t>
            </w:r>
          </w:p>
        </w:tc>
        <w:tc>
          <w:tcPr>
            <w:tcW w:w="560" w:type="dxa"/>
            <w:vAlign w:val="bottom"/>
          </w:tcPr>
          <w:p>
            <w:pPr>
              <w:spacing w:after="0"/>
              <w:rPr>
                <w:sz w:val="20"/>
                <w:szCs w:val="20"/>
                <w:color w:val="auto"/>
              </w:rPr>
            </w:pPr>
            <w:r>
              <w:rPr>
                <w:rFonts w:ascii="Arial" w:cs="Arial" w:eastAsia="Arial" w:hAnsi="Arial"/>
                <w:sz w:val="17"/>
                <w:szCs w:val="17"/>
                <w:color w:val="0000FF"/>
              </w:rPr>
              <w:t>06902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ind w:left="200"/>
              <w:spacing w:after="0" w:line="130" w:lineRule="exact"/>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560" w:type="dxa"/>
            <w:vAlign w:val="bottom"/>
          </w:tcPr>
          <w:p>
            <w:pPr>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4"/>
          </w:tcPr>
          <w:p>
            <w:pPr>
              <w:ind w:left="12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6"/>
                <w:szCs w:val="6"/>
                <w:color w:val="auto"/>
              </w:rPr>
            </w:pPr>
          </w:p>
        </w:tc>
        <w:tc>
          <w:tcPr>
            <w:tcW w:w="92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4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560" w:type="dxa"/>
            <w:vAlign w:val="bottom"/>
          </w:tcPr>
          <w:p>
            <w:pPr>
              <w:spacing w:after="0"/>
              <w:rPr>
                <w:sz w:val="22"/>
                <w:szCs w:val="22"/>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7"/>
                <w:szCs w:val="17"/>
                <w:color w:val="0000FF"/>
              </w:rPr>
              <w:t>05/02/2023</w:t>
            </w:r>
          </w:p>
        </w:tc>
        <w:tc>
          <w:tcPr>
            <w:tcW w:w="1100" w:type="dxa"/>
            <w:vAlign w:val="bottom"/>
          </w:tcPr>
          <w:p>
            <w:pPr>
              <w:spacing w:after="0"/>
              <w:rPr>
                <w:sz w:val="22"/>
                <w:szCs w:val="22"/>
                <w:color w:val="auto"/>
              </w:rPr>
            </w:pPr>
          </w:p>
        </w:tc>
        <w:tc>
          <w:tcPr>
            <w:tcW w:w="78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160"/>
              <w:spacing w:after="0"/>
              <w:rPr>
                <w:sz w:val="20"/>
                <w:szCs w:val="20"/>
                <w:color w:val="auto"/>
              </w:rPr>
            </w:pPr>
            <w:r>
              <w:rPr>
                <w:rFonts w:ascii="Arial" w:cs="Arial" w:eastAsia="Arial" w:hAnsi="Arial"/>
                <w:sz w:val="17"/>
                <w:szCs w:val="17"/>
                <w:color w:val="0000FF"/>
              </w:rPr>
              <w:t>45,454</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right"/>
              <w:ind w:right="4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22"/>
                <w:szCs w:val="22"/>
                <w:color w:val="auto"/>
              </w:rPr>
            </w:pPr>
          </w:p>
        </w:tc>
        <w:tc>
          <w:tcPr>
            <w:tcW w:w="1140" w:type="dxa"/>
            <w:vAlign w:val="bottom"/>
          </w:tcPr>
          <w:p>
            <w:pPr>
              <w:jc w:val="center"/>
              <w:ind w:right="13"/>
              <w:spacing w:after="0"/>
              <w:rPr>
                <w:sz w:val="20"/>
                <w:szCs w:val="20"/>
                <w:color w:val="auto"/>
              </w:rPr>
            </w:pPr>
            <w:r>
              <w:rPr>
                <w:rFonts w:ascii="Arial" w:cs="Arial" w:eastAsia="Arial" w:hAnsi="Arial"/>
                <w:sz w:val="17"/>
                <w:szCs w:val="17"/>
                <w:color w:val="0000FF"/>
                <w:w w:val="88"/>
              </w:rPr>
              <w:t>62,568</w:t>
            </w:r>
          </w:p>
        </w:tc>
        <w:tc>
          <w:tcPr>
            <w:tcW w:w="860" w:type="dxa"/>
            <w:vAlign w:val="bottom"/>
          </w:tcPr>
          <w:p>
            <w:pPr>
              <w:ind w:left="360"/>
              <w:spacing w:after="0"/>
              <w:rPr>
                <w:sz w:val="20"/>
                <w:szCs w:val="20"/>
                <w:color w:val="auto"/>
              </w:rPr>
            </w:pPr>
            <w:r>
              <w:rPr>
                <w:rFonts w:ascii="Arial" w:cs="Arial" w:eastAsia="Arial" w:hAnsi="Arial"/>
                <w:sz w:val="17"/>
                <w:szCs w:val="17"/>
                <w:color w:val="0000FF"/>
              </w:rPr>
              <w:t>D</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vMerge w:val="restart"/>
          </w:tcPr>
          <w:p>
            <w:pPr>
              <w:jc w:val="center"/>
              <w:ind w:right="13"/>
              <w:spacing w:after="0"/>
              <w:rPr>
                <w:sz w:val="20"/>
                <w:szCs w:val="20"/>
                <w:color w:val="auto"/>
              </w:rPr>
            </w:pPr>
            <w:r>
              <w:rPr>
                <w:rFonts w:ascii="Arial" w:cs="Arial" w:eastAsia="Arial" w:hAnsi="Arial"/>
                <w:sz w:val="17"/>
                <w:szCs w:val="17"/>
                <w:color w:val="0000FF"/>
                <w:w w:val="87"/>
              </w:rPr>
              <w:t>489,846</w:t>
            </w:r>
          </w:p>
        </w:tc>
        <w:tc>
          <w:tcPr>
            <w:tcW w:w="860" w:type="dxa"/>
            <w:vAlign w:val="bottom"/>
            <w:vMerge w:val="restart"/>
          </w:tcPr>
          <w:p>
            <w:pPr>
              <w:ind w:left="400"/>
              <w:spacing w:after="0"/>
              <w:rPr>
                <w:sz w:val="20"/>
                <w:szCs w:val="20"/>
                <w:color w:val="auto"/>
              </w:rPr>
            </w:pPr>
            <w:r>
              <w:rPr>
                <w:rFonts w:ascii="Arial" w:cs="Arial" w:eastAsia="Arial" w:hAnsi="Arial"/>
                <w:sz w:val="17"/>
                <w:szCs w:val="17"/>
                <w:color w:val="0000FF"/>
              </w:rPr>
              <w:t>I</w:t>
            </w:r>
          </w:p>
        </w:tc>
        <w:tc>
          <w:tcPr>
            <w:tcW w:w="920" w:type="dxa"/>
            <w:vAlign w:val="bottom"/>
            <w:gridSpan w:val="2"/>
          </w:tcPr>
          <w:p>
            <w:pPr>
              <w:ind w:left="100"/>
              <w:spacing w:after="0"/>
              <w:rPr>
                <w:sz w:val="20"/>
                <w:szCs w:val="20"/>
                <w:color w:val="auto"/>
              </w:rPr>
            </w:pPr>
            <w:r>
              <w:rPr>
                <w:rFonts w:ascii="Arial" w:cs="Arial" w:eastAsia="Arial" w:hAnsi="Arial"/>
                <w:sz w:val="17"/>
                <w:szCs w:val="17"/>
                <w:color w:val="0000FF"/>
              </w:rPr>
              <w:t>By Kariba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00" w:type="dxa"/>
            <w:vAlign w:val="bottom"/>
            <w:vMerge w:val="restart"/>
          </w:tcPr>
          <w:p>
            <w:pPr>
              <w:ind w:left="10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center"/>
              <w:ind w:right="13"/>
              <w:spacing w:after="0"/>
              <w:rPr>
                <w:sz w:val="20"/>
                <w:szCs w:val="20"/>
                <w:color w:val="auto"/>
              </w:rPr>
            </w:pPr>
            <w:r>
              <w:rPr>
                <w:rFonts w:ascii="Arial" w:cs="Arial" w:eastAsia="Arial" w:hAnsi="Arial"/>
                <w:sz w:val="17"/>
                <w:szCs w:val="17"/>
                <w:color w:val="0000FF"/>
                <w:w w:val="87"/>
              </w:rPr>
              <w:t>994,534</w:t>
            </w:r>
          </w:p>
        </w:tc>
        <w:tc>
          <w:tcPr>
            <w:tcW w:w="860" w:type="dxa"/>
            <w:vAlign w:val="bottom"/>
          </w:tcPr>
          <w:p>
            <w:pPr>
              <w:ind w:left="400"/>
              <w:spacing w:after="0"/>
              <w:rPr>
                <w:sz w:val="20"/>
                <w:szCs w:val="20"/>
                <w:color w:val="auto"/>
              </w:rPr>
            </w:pPr>
            <w:r>
              <w:rPr>
                <w:rFonts w:ascii="Arial" w:cs="Arial" w:eastAsia="Arial" w:hAnsi="Arial"/>
                <w:sz w:val="17"/>
                <w:szCs w:val="17"/>
                <w:color w:val="0000FF"/>
              </w:rPr>
              <w:t>I</w:t>
            </w:r>
          </w:p>
        </w:tc>
        <w:tc>
          <w:tcPr>
            <w:tcW w:w="920" w:type="dxa"/>
            <w:vAlign w:val="bottom"/>
            <w:gridSpan w:val="2"/>
          </w:tcPr>
          <w:p>
            <w:pPr>
              <w:ind w:left="100"/>
              <w:spacing w:after="0"/>
              <w:rPr>
                <w:sz w:val="20"/>
                <w:szCs w:val="20"/>
                <w:color w:val="auto"/>
              </w:rPr>
            </w:pPr>
            <w:r>
              <w:rPr>
                <w:rFonts w:ascii="Arial" w:cs="Arial" w:eastAsia="Arial" w:hAnsi="Arial"/>
                <w:sz w:val="17"/>
                <w:szCs w:val="17"/>
                <w:color w:val="0000FF"/>
              </w:rPr>
              <w:t>RUGU2</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color w:val="0000FF"/>
              </w:rPr>
              <w:t>By VAAL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vMerge w:val="restart"/>
          </w:tcPr>
          <w:p>
            <w:pPr>
              <w:jc w:val="center"/>
              <w:ind w:right="13"/>
              <w:spacing w:after="0"/>
              <w:rPr>
                <w:sz w:val="20"/>
                <w:szCs w:val="20"/>
                <w:color w:val="auto"/>
              </w:rPr>
            </w:pPr>
            <w:r>
              <w:rPr>
                <w:rFonts w:ascii="Arial" w:cs="Arial" w:eastAsia="Arial" w:hAnsi="Arial"/>
                <w:sz w:val="17"/>
                <w:szCs w:val="17"/>
                <w:color w:val="0000FF"/>
                <w:w w:val="87"/>
              </w:rPr>
              <w:t>4,926,334</w:t>
            </w:r>
          </w:p>
        </w:tc>
        <w:tc>
          <w:tcPr>
            <w:tcW w:w="860" w:type="dxa"/>
            <w:vAlign w:val="bottom"/>
            <w:vMerge w:val="restart"/>
          </w:tcPr>
          <w:p>
            <w:pPr>
              <w:ind w:left="400"/>
              <w:spacing w:after="0"/>
              <w:rPr>
                <w:sz w:val="20"/>
                <w:szCs w:val="20"/>
                <w:color w:val="auto"/>
              </w:rPr>
            </w:pPr>
            <w:r>
              <w:rPr>
                <w:rFonts w:ascii="Arial" w:cs="Arial" w:eastAsia="Arial" w:hAnsi="Arial"/>
                <w:sz w:val="17"/>
                <w:szCs w:val="17"/>
                <w:color w:val="0000FF"/>
              </w:rPr>
              <w:t>I</w:t>
            </w:r>
          </w:p>
        </w:tc>
        <w:tc>
          <w:tcPr>
            <w:tcW w:w="920" w:type="dxa"/>
            <w:vAlign w:val="bottom"/>
            <w:gridSpan w:val="2"/>
          </w:tcPr>
          <w:p>
            <w:pPr>
              <w:ind w:left="100"/>
              <w:spacing w:after="0"/>
              <w:rPr>
                <w:sz w:val="20"/>
                <w:szCs w:val="20"/>
                <w:color w:val="auto"/>
              </w:rPr>
            </w:pPr>
            <w:r>
              <w:rPr>
                <w:rFonts w:ascii="Arial" w:cs="Arial" w:eastAsia="Arial" w:hAnsi="Arial"/>
                <w:sz w:val="17"/>
                <w:szCs w:val="17"/>
                <w:color w:val="0000FF"/>
                <w:w w:val="96"/>
              </w:rPr>
              <w:t>Investment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Arial" w:cs="Arial" w:eastAsia="Arial" w:hAnsi="Arial"/>
          <w:sz w:val="17"/>
          <w:szCs w:val="17"/>
          <w:color w:val="0000FF"/>
        </w:rPr>
        <w:t>Q9 LP</w:t>
      </w:r>
      <w:r>
        <w:rPr>
          <w:rFonts w:ascii="Arial" w:cs="Arial" w:eastAsia="Arial" w:hAnsi="Arial"/>
          <w:sz w:val="21"/>
          <w:szCs w:val="21"/>
          <w:color w:val="008000"/>
          <w:vertAlign w:val="superscript"/>
        </w:rPr>
        <w:t>(1)</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45,454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2" w:lineRule="exact"/>
              <w:rPr>
                <w:sz w:val="20"/>
                <w:szCs w:val="20"/>
                <w:color w:val="auto"/>
              </w:rPr>
            </w:pPr>
            <w:r>
              <w:rPr>
                <w:rFonts w:ascii="Arial" w:cs="Arial" w:eastAsia="Arial" w:hAnsi="Arial"/>
                <w:sz w:val="13"/>
                <w:szCs w:val="13"/>
                <w:color w:val="0000FF"/>
              </w:rPr>
              <w:t>05/02/2023</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80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45,454</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vMerge w:val="restart"/>
          </w:tcPr>
          <w:p>
            <w:pPr>
              <w:ind w:left="440"/>
              <w:spacing w:after="0" w:line="142"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2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Ruch is (i) a managing member of the managing member of the general partner of Vaal Investment Partners Q9 LP ("Q9"), (ii) a managing member of RUGU2 LLC ("RUGU2") and (iii) a managing member of Kariba LLC ("Kariba"). As such, Mr. Ruch exercises voting and investment power with respect to the shares owned by Q9, RUGU2 and Kariba. Mr. Ruch disclaims beneficial ownership of such securities, except to the extent of his pecuniary interest therein.</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underlying shares shall vest on the earlier of the (a) date of the 2023 annual meeting of the Issuer's stockholders, and (b) first anniversary of the grant date, subject to the Reporting Person continuing to provide services to the Issuer on the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right="300"/>
        <w:spacing w:after="0" w:line="248" w:lineRule="auto"/>
        <w:rPr>
          <w:sz w:val="20"/>
          <w:szCs w:val="20"/>
          <w:color w:val="auto"/>
        </w:rPr>
      </w:pPr>
      <w:r>
        <w:rPr>
          <w:rFonts w:ascii="Arial" w:cs="Arial" w:eastAsia="Arial" w:hAnsi="Arial"/>
          <w:sz w:val="13"/>
          <w:szCs w:val="13"/>
          <w:color w:val="008000"/>
        </w:rPr>
        <w:t>For avoidance of doubt, all numbers above are presented before giving effect to the 33:1 reverse stock split the Issuer's stockholders approved on April 14, 2023, which was previously disclosed in the Current Reports on Form 8-K filed by the Issuer on April 17, 2023 and April 28, 2023, and which shall become effective on May 4, 2023.</w:t>
      </w:r>
    </w:p>
    <w:p>
      <w:pPr>
        <w:ind w:left="6600"/>
        <w:spacing w:after="0" w:line="184" w:lineRule="auto"/>
        <w:rPr>
          <w:sz w:val="20"/>
          <w:szCs w:val="20"/>
          <w:color w:val="auto"/>
        </w:rPr>
      </w:pPr>
      <w:r>
        <w:rPr>
          <w:rFonts w:ascii="Arial" w:cs="Arial" w:eastAsia="Arial" w:hAnsi="Arial"/>
          <w:sz w:val="16"/>
          <w:szCs w:val="16"/>
          <w:color w:val="0000FF"/>
        </w:rPr>
        <w:t xml:space="preserve">/s/ Eunkyung Lee, Attorney-in- </w:t>
      </w:r>
      <w:r>
        <w:rPr>
          <w:rFonts w:ascii="Arial" w:cs="Arial" w:eastAsia="Arial" w:hAnsi="Arial"/>
          <w:sz w:val="31"/>
          <w:szCs w:val="31"/>
          <w:color w:val="0000FF"/>
          <w:vertAlign w:val="subscript"/>
        </w:rPr>
        <w:t>05/04/2023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0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434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2023-05-04T15:47:16Z</dcterms:created>
  <dcterms:modified xsi:type="dcterms:W3CDTF">2023-05-04T15:47:16Z</dcterms:modified>
</cp:coreProperties>
</file>