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UNITED STATES</w:t>
      </w:r>
    </w:p>
    <w:p>
      <w:pPr>
        <w:spacing w:after="0" w:line="45"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8-K/A</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1)</w:t>
      </w:r>
    </w:p>
    <w:p>
      <w:pPr>
        <w:spacing w:after="0" w:line="10"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CURRENT REPORT</w:t>
      </w:r>
    </w:p>
    <w:p>
      <w:pPr>
        <w:ind w:left="3480"/>
        <w:spacing w:after="0"/>
        <w:rPr>
          <w:sz w:val="20"/>
          <w:szCs w:val="20"/>
          <w:color w:val="auto"/>
        </w:rPr>
      </w:pPr>
      <w:r>
        <w:rPr>
          <w:rFonts w:ascii="Arial" w:cs="Arial" w:eastAsia="Arial" w:hAnsi="Arial"/>
          <w:sz w:val="20"/>
          <w:szCs w:val="20"/>
          <w:b w:val="1"/>
          <w:bCs w:val="1"/>
          <w:color w:val="auto"/>
        </w:rPr>
        <w:t>PURSUANT TO SECTION 13 OR 15(d) OF THE</w:t>
      </w:r>
    </w:p>
    <w:p>
      <w:pPr>
        <w:ind w:left="3820"/>
        <w:spacing w:after="0"/>
        <w:rPr>
          <w:sz w:val="20"/>
          <w:szCs w:val="20"/>
          <w:color w:val="auto"/>
        </w:rPr>
      </w:pPr>
      <w:r>
        <w:rPr>
          <w:rFonts w:ascii="Arial" w:cs="Arial" w:eastAsia="Arial" w:hAnsi="Arial"/>
          <w:sz w:val="20"/>
          <w:szCs w:val="20"/>
          <w:b w:val="1"/>
          <w:bCs w:val="1"/>
          <w:color w:val="auto"/>
        </w:rPr>
        <w:t>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 xml:space="preserve">Date of Report (Date of earliest event reported): </w:t>
      </w:r>
      <w:r>
        <w:rPr>
          <w:rFonts w:ascii="Arial" w:cs="Arial" w:eastAsia="Arial" w:hAnsi="Arial"/>
          <w:sz w:val="20"/>
          <w:szCs w:val="20"/>
          <w:b w:val="1"/>
          <w:bCs w:val="1"/>
          <w:color w:val="auto"/>
        </w:rPr>
        <w:t>July 28, 2021 (July 22, 2021)</w:t>
      </w:r>
    </w:p>
    <w:p>
      <w:pPr>
        <w:spacing w:after="0" w:line="233"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Sema4 Holdings Corp.</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260" w:type="dxa"/>
            <w:vAlign w:val="bottom"/>
            <w:gridSpan w:val="7"/>
          </w:tcPr>
          <w:p>
            <w:pPr>
              <w:jc w:val="center"/>
              <w:ind w:right="140"/>
              <w:spacing w:after="0"/>
              <w:rPr>
                <w:sz w:val="20"/>
                <w:szCs w:val="20"/>
                <w:color w:val="auto"/>
              </w:rPr>
            </w:pPr>
            <w:r>
              <w:rPr>
                <w:rFonts w:ascii="Arial" w:cs="Arial" w:eastAsia="Arial" w:hAnsi="Arial"/>
                <w:sz w:val="20"/>
                <w:szCs w:val="20"/>
                <w:color w:val="auto"/>
                <w:w w:val="89"/>
              </w:rPr>
              <w:t>(Exact name of registrant as specified in its charter)</w:t>
            </w:r>
          </w:p>
        </w:tc>
        <w:tc>
          <w:tcPr>
            <w:tcW w:w="33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510"/>
        </w:trPr>
        <w:tc>
          <w:tcPr>
            <w:tcW w:w="60" w:type="dxa"/>
            <w:vAlign w:val="bottom"/>
          </w:tcPr>
          <w:p>
            <w:pPr>
              <w:spacing w:after="0"/>
              <w:rPr>
                <w:sz w:val="24"/>
                <w:szCs w:val="24"/>
                <w:color w:val="auto"/>
              </w:rPr>
            </w:pPr>
          </w:p>
        </w:tc>
        <w:tc>
          <w:tcPr>
            <w:tcW w:w="4740" w:type="dxa"/>
            <w:vAlign w:val="bottom"/>
            <w:gridSpan w:val="3"/>
          </w:tcPr>
          <w:p>
            <w:pPr>
              <w:jc w:val="center"/>
              <w:ind w:right="1300"/>
              <w:spacing w:after="0"/>
              <w:rPr>
                <w:sz w:val="20"/>
                <w:szCs w:val="20"/>
                <w:color w:val="auto"/>
              </w:rPr>
            </w:pPr>
            <w:r>
              <w:rPr>
                <w:rFonts w:ascii="Arial" w:cs="Arial" w:eastAsia="Arial" w:hAnsi="Arial"/>
                <w:sz w:val="20"/>
                <w:szCs w:val="20"/>
                <w:b w:val="1"/>
                <w:bCs w:val="1"/>
                <w:color w:val="auto"/>
                <w:w w:val="91"/>
              </w:rPr>
              <w:t>Delaware</w:t>
            </w:r>
          </w:p>
        </w:tc>
        <w:tc>
          <w:tcPr>
            <w:tcW w:w="2720" w:type="dxa"/>
            <w:vAlign w:val="bottom"/>
            <w:gridSpan w:val="3"/>
          </w:tcPr>
          <w:p>
            <w:pPr>
              <w:jc w:val="center"/>
              <w:ind w:right="1100"/>
              <w:spacing w:after="0"/>
              <w:rPr>
                <w:sz w:val="20"/>
                <w:szCs w:val="20"/>
                <w:color w:val="auto"/>
              </w:rPr>
            </w:pPr>
            <w:r>
              <w:rPr>
                <w:rFonts w:ascii="Arial" w:cs="Arial" w:eastAsia="Arial" w:hAnsi="Arial"/>
                <w:sz w:val="20"/>
                <w:szCs w:val="20"/>
                <w:b w:val="1"/>
                <w:bCs w:val="1"/>
                <w:color w:val="auto"/>
                <w:w w:val="89"/>
              </w:rPr>
              <w:t>001-39482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20"/>
                <w:szCs w:val="20"/>
                <w:b w:val="1"/>
                <w:bCs w:val="1"/>
                <w:color w:val="auto"/>
                <w:w w:val="88"/>
              </w:rPr>
              <w:t>85-1966622</w:t>
            </w:r>
          </w:p>
        </w:tc>
        <w:tc>
          <w:tcPr>
            <w:tcW w:w="80" w:type="dxa"/>
            <w:vAlign w:val="bottom"/>
          </w:tcPr>
          <w:p>
            <w:pPr>
              <w:spacing w:after="0"/>
              <w:rPr>
                <w:sz w:val="24"/>
                <w:szCs w:val="24"/>
                <w:color w:val="auto"/>
              </w:rPr>
            </w:pPr>
          </w:p>
        </w:tc>
      </w:tr>
      <w:tr>
        <w:trPr>
          <w:trHeight w:val="23"/>
        </w:trPr>
        <w:tc>
          <w:tcPr>
            <w:tcW w:w="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33"/>
        </w:trPr>
        <w:tc>
          <w:tcPr>
            <w:tcW w:w="60" w:type="dxa"/>
            <w:vAlign w:val="bottom"/>
          </w:tcPr>
          <w:p>
            <w:pPr>
              <w:spacing w:after="0"/>
              <w:rPr>
                <w:sz w:val="20"/>
                <w:szCs w:val="20"/>
                <w:color w:val="auto"/>
              </w:rPr>
            </w:pPr>
          </w:p>
        </w:tc>
        <w:tc>
          <w:tcPr>
            <w:tcW w:w="4740" w:type="dxa"/>
            <w:vAlign w:val="bottom"/>
            <w:gridSpan w:val="3"/>
          </w:tcPr>
          <w:p>
            <w:pPr>
              <w:jc w:val="center"/>
              <w:ind w:right="1300"/>
              <w:spacing w:after="0"/>
              <w:rPr>
                <w:sz w:val="20"/>
                <w:szCs w:val="20"/>
                <w:color w:val="auto"/>
              </w:rPr>
            </w:pPr>
            <w:r>
              <w:rPr>
                <w:rFonts w:ascii="Arial" w:cs="Arial" w:eastAsia="Arial" w:hAnsi="Arial"/>
                <w:sz w:val="20"/>
                <w:szCs w:val="20"/>
                <w:color w:val="auto"/>
                <w:w w:val="91"/>
              </w:rPr>
              <w:t>(State or other jurisdiction</w:t>
            </w:r>
          </w:p>
        </w:tc>
        <w:tc>
          <w:tcPr>
            <w:tcW w:w="3020" w:type="dxa"/>
            <w:vAlign w:val="bottom"/>
            <w:gridSpan w:val="5"/>
          </w:tcPr>
          <w:p>
            <w:pPr>
              <w:jc w:val="center"/>
              <w:ind w:right="1400"/>
              <w:spacing w:after="0"/>
              <w:rPr>
                <w:sz w:val="20"/>
                <w:szCs w:val="20"/>
                <w:color w:val="auto"/>
              </w:rPr>
            </w:pPr>
            <w:r>
              <w:rPr>
                <w:rFonts w:ascii="Arial" w:cs="Arial" w:eastAsia="Arial" w:hAnsi="Arial"/>
                <w:sz w:val="20"/>
                <w:szCs w:val="20"/>
                <w:color w:val="auto"/>
                <w:w w:val="90"/>
              </w:rPr>
              <w:t>(Commission</w:t>
            </w:r>
          </w:p>
        </w:tc>
        <w:tc>
          <w:tcPr>
            <w:tcW w:w="3400" w:type="dxa"/>
            <w:vAlign w:val="bottom"/>
            <w:gridSpan w:val="2"/>
          </w:tcPr>
          <w:p>
            <w:pPr>
              <w:jc w:val="center"/>
              <w:ind w:right="140"/>
              <w:spacing w:after="0"/>
              <w:rPr>
                <w:sz w:val="20"/>
                <w:szCs w:val="20"/>
                <w:color w:val="auto"/>
              </w:rPr>
            </w:pPr>
            <w:r>
              <w:rPr>
                <w:rFonts w:ascii="Arial" w:cs="Arial" w:eastAsia="Arial" w:hAnsi="Arial"/>
                <w:sz w:val="20"/>
                <w:szCs w:val="20"/>
                <w:color w:val="auto"/>
                <w:w w:val="93"/>
              </w:rPr>
              <w:t>(IRS Employer</w:t>
            </w:r>
          </w:p>
        </w:tc>
      </w:tr>
      <w:tr>
        <w:trPr>
          <w:trHeight w:val="250"/>
        </w:trPr>
        <w:tc>
          <w:tcPr>
            <w:tcW w:w="60" w:type="dxa"/>
            <w:vAlign w:val="bottom"/>
          </w:tcPr>
          <w:p>
            <w:pPr>
              <w:spacing w:after="0"/>
              <w:rPr>
                <w:sz w:val="21"/>
                <w:szCs w:val="21"/>
                <w:color w:val="auto"/>
              </w:rPr>
            </w:pPr>
          </w:p>
        </w:tc>
        <w:tc>
          <w:tcPr>
            <w:tcW w:w="4740" w:type="dxa"/>
            <w:vAlign w:val="bottom"/>
            <w:gridSpan w:val="3"/>
          </w:tcPr>
          <w:p>
            <w:pPr>
              <w:jc w:val="center"/>
              <w:ind w:right="1280"/>
              <w:spacing w:after="0"/>
              <w:rPr>
                <w:sz w:val="20"/>
                <w:szCs w:val="20"/>
                <w:color w:val="auto"/>
              </w:rPr>
            </w:pPr>
            <w:r>
              <w:rPr>
                <w:rFonts w:ascii="Arial" w:cs="Arial" w:eastAsia="Arial" w:hAnsi="Arial"/>
                <w:sz w:val="20"/>
                <w:szCs w:val="20"/>
                <w:color w:val="auto"/>
                <w:w w:val="92"/>
              </w:rPr>
              <w:t>of incorporation)</w:t>
            </w:r>
          </w:p>
        </w:tc>
        <w:tc>
          <w:tcPr>
            <w:tcW w:w="3020" w:type="dxa"/>
            <w:vAlign w:val="bottom"/>
            <w:gridSpan w:val="5"/>
          </w:tcPr>
          <w:p>
            <w:pPr>
              <w:jc w:val="center"/>
              <w:ind w:right="1380"/>
              <w:spacing w:after="0"/>
              <w:rPr>
                <w:sz w:val="20"/>
                <w:szCs w:val="20"/>
                <w:color w:val="auto"/>
              </w:rPr>
            </w:pPr>
            <w:r>
              <w:rPr>
                <w:rFonts w:ascii="Arial" w:cs="Arial" w:eastAsia="Arial" w:hAnsi="Arial"/>
                <w:sz w:val="20"/>
                <w:szCs w:val="20"/>
                <w:color w:val="auto"/>
                <w:w w:val="93"/>
              </w:rPr>
              <w:t>File Number)</w:t>
            </w:r>
          </w:p>
        </w:tc>
        <w:tc>
          <w:tcPr>
            <w:tcW w:w="3400" w:type="dxa"/>
            <w:vAlign w:val="bottom"/>
            <w:gridSpan w:val="2"/>
          </w:tcPr>
          <w:p>
            <w:pPr>
              <w:jc w:val="center"/>
              <w:ind w:right="140"/>
              <w:spacing w:after="0"/>
              <w:rPr>
                <w:sz w:val="20"/>
                <w:szCs w:val="20"/>
                <w:color w:val="auto"/>
              </w:rPr>
            </w:pPr>
            <w:r>
              <w:rPr>
                <w:rFonts w:ascii="Arial" w:cs="Arial" w:eastAsia="Arial" w:hAnsi="Arial"/>
                <w:sz w:val="20"/>
                <w:szCs w:val="20"/>
                <w:color w:val="auto"/>
                <w:w w:val="93"/>
              </w:rPr>
              <w:t>Identification No.)</w:t>
            </w:r>
          </w:p>
        </w:tc>
      </w:tr>
      <w:tr>
        <w:trPr>
          <w:trHeight w:val="756"/>
        </w:trPr>
        <w:tc>
          <w:tcPr>
            <w:tcW w:w="60" w:type="dxa"/>
            <w:vAlign w:val="bottom"/>
          </w:tcPr>
          <w:p>
            <w:pPr>
              <w:spacing w:after="0"/>
              <w:rPr>
                <w:sz w:val="24"/>
                <w:szCs w:val="24"/>
                <w:color w:val="auto"/>
              </w:rPr>
            </w:pPr>
          </w:p>
        </w:tc>
        <w:tc>
          <w:tcPr>
            <w:tcW w:w="4740" w:type="dxa"/>
            <w:vAlign w:val="bottom"/>
            <w:gridSpan w:val="3"/>
          </w:tcPr>
          <w:p>
            <w:pPr>
              <w:jc w:val="center"/>
              <w:ind w:left="481"/>
              <w:spacing w:after="0"/>
              <w:rPr>
                <w:sz w:val="20"/>
                <w:szCs w:val="20"/>
                <w:color w:val="auto"/>
              </w:rPr>
            </w:pPr>
            <w:r>
              <w:rPr>
                <w:rFonts w:ascii="Arial" w:cs="Arial" w:eastAsia="Arial" w:hAnsi="Arial"/>
                <w:sz w:val="20"/>
                <w:szCs w:val="20"/>
                <w:b w:val="1"/>
                <w:bCs w:val="1"/>
                <w:color w:val="auto"/>
                <w:w w:val="90"/>
              </w:rPr>
              <w:t>333 Ludlow Street, North Tower, 8th Floor</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60" w:type="dxa"/>
            <w:vAlign w:val="bottom"/>
          </w:tcPr>
          <w:p>
            <w:pPr>
              <w:spacing w:after="0"/>
              <w:rPr>
                <w:sz w:val="24"/>
                <w:szCs w:val="24"/>
                <w:color w:val="auto"/>
              </w:rPr>
            </w:pPr>
          </w:p>
        </w:tc>
        <w:tc>
          <w:tcPr>
            <w:tcW w:w="4740" w:type="dxa"/>
            <w:vAlign w:val="bottom"/>
            <w:gridSpan w:val="3"/>
          </w:tcPr>
          <w:p>
            <w:pPr>
              <w:ind w:left="1780"/>
              <w:spacing w:after="0"/>
              <w:rPr>
                <w:sz w:val="20"/>
                <w:szCs w:val="20"/>
                <w:color w:val="auto"/>
              </w:rPr>
            </w:pPr>
            <w:r>
              <w:rPr>
                <w:rFonts w:ascii="Arial" w:cs="Arial" w:eastAsia="Arial" w:hAnsi="Arial"/>
                <w:sz w:val="20"/>
                <w:szCs w:val="20"/>
                <w:b w:val="1"/>
                <w:bCs w:val="1"/>
                <w:color w:val="auto"/>
              </w:rPr>
              <w:t>Stamford, Connecticut</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tcPr>
          <w:p>
            <w:pPr>
              <w:jc w:val="right"/>
              <w:ind w:right="2401"/>
              <w:spacing w:after="0"/>
              <w:rPr>
                <w:sz w:val="20"/>
                <w:szCs w:val="20"/>
                <w:color w:val="auto"/>
              </w:rPr>
            </w:pPr>
            <w:r>
              <w:rPr>
                <w:rFonts w:ascii="Arial" w:cs="Arial" w:eastAsia="Arial" w:hAnsi="Arial"/>
                <w:sz w:val="20"/>
                <w:szCs w:val="20"/>
                <w:b w:val="1"/>
                <w:bCs w:val="1"/>
                <w:color w:val="auto"/>
              </w:rPr>
              <w:t>06902</w:t>
            </w:r>
          </w:p>
        </w:tc>
        <w:tc>
          <w:tcPr>
            <w:tcW w:w="80" w:type="dxa"/>
            <w:vAlign w:val="bottom"/>
          </w:tcPr>
          <w:p>
            <w:pPr>
              <w:spacing w:after="0"/>
              <w:rPr>
                <w:sz w:val="24"/>
                <w:szCs w:val="24"/>
                <w:color w:val="auto"/>
              </w:rPr>
            </w:pPr>
          </w:p>
        </w:tc>
      </w:tr>
      <w:tr>
        <w:trPr>
          <w:trHeight w:val="23"/>
        </w:trPr>
        <w:tc>
          <w:tcPr>
            <w:tcW w:w="60" w:type="dxa"/>
            <w:vAlign w:val="bottom"/>
          </w:tcPr>
          <w:p>
            <w:pPr>
              <w:spacing w:after="0"/>
              <w:rPr>
                <w:sz w:val="2"/>
                <w:szCs w:val="2"/>
                <w:color w:val="auto"/>
              </w:rPr>
            </w:pPr>
          </w:p>
        </w:tc>
        <w:tc>
          <w:tcPr>
            <w:tcW w:w="47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4"/>
        </w:trPr>
        <w:tc>
          <w:tcPr>
            <w:tcW w:w="60" w:type="dxa"/>
            <w:vAlign w:val="bottom"/>
          </w:tcPr>
          <w:p>
            <w:pPr>
              <w:spacing w:after="0"/>
              <w:rPr>
                <w:sz w:val="22"/>
                <w:szCs w:val="22"/>
                <w:color w:val="auto"/>
              </w:rPr>
            </w:pPr>
          </w:p>
        </w:tc>
        <w:tc>
          <w:tcPr>
            <w:tcW w:w="4740" w:type="dxa"/>
            <w:vAlign w:val="bottom"/>
            <w:gridSpan w:val="3"/>
          </w:tcPr>
          <w:p>
            <w:pPr>
              <w:jc w:val="center"/>
              <w:ind w:left="501"/>
              <w:spacing w:after="0"/>
              <w:rPr>
                <w:sz w:val="20"/>
                <w:szCs w:val="20"/>
                <w:color w:val="auto"/>
              </w:rPr>
            </w:pPr>
            <w:r>
              <w:rPr>
                <w:rFonts w:ascii="Arial" w:cs="Arial" w:eastAsia="Arial" w:hAnsi="Arial"/>
                <w:sz w:val="20"/>
                <w:szCs w:val="20"/>
                <w:color w:val="auto"/>
                <w:w w:val="91"/>
              </w:rPr>
              <w:t>(Address of principal executive offices)</w:t>
            </w: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0" w:type="dxa"/>
            <w:vAlign w:val="bottom"/>
            <w:gridSpan w:val="2"/>
          </w:tcPr>
          <w:p>
            <w:pPr>
              <w:jc w:val="center"/>
              <w:ind w:right="2240"/>
              <w:spacing w:after="0"/>
              <w:rPr>
                <w:sz w:val="20"/>
                <w:szCs w:val="20"/>
                <w:color w:val="auto"/>
              </w:rPr>
            </w:pPr>
            <w:r>
              <w:rPr>
                <w:rFonts w:ascii="Arial" w:cs="Arial" w:eastAsia="Arial" w:hAnsi="Arial"/>
                <w:sz w:val="20"/>
                <w:szCs w:val="20"/>
                <w:color w:val="auto"/>
                <w:w w:val="93"/>
              </w:rPr>
              <w:t>(Zip Code)</w:t>
            </w:r>
          </w:p>
        </w:tc>
      </w:tr>
    </w:tbl>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(800) 298-6470</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37"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CM Life Sciences,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 Corvex Management</w:t>
      </w:r>
    </w:p>
    <w:p>
      <w:pPr>
        <w:jc w:val="center"/>
        <w:ind w:right="-19"/>
        <w:spacing w:after="0"/>
        <w:rPr>
          <w:sz w:val="20"/>
          <w:szCs w:val="20"/>
          <w:color w:val="auto"/>
        </w:rPr>
      </w:pPr>
      <w:r>
        <w:rPr>
          <w:rFonts w:ascii="Arial" w:cs="Arial" w:eastAsia="Arial" w:hAnsi="Arial"/>
          <w:sz w:val="20"/>
          <w:szCs w:val="20"/>
          <w:b w:val="1"/>
          <w:bCs w:val="1"/>
          <w:color w:val="auto"/>
        </w:rPr>
        <w:t>667 Madison Avenue</w:t>
      </w:r>
    </w:p>
    <w:p>
      <w:pPr>
        <w:jc w:val="center"/>
        <w:ind w:right="40"/>
        <w:spacing w:after="0"/>
        <w:rPr>
          <w:sz w:val="20"/>
          <w:szCs w:val="20"/>
          <w:color w:val="auto"/>
        </w:rPr>
      </w:pPr>
      <w:r>
        <w:rPr>
          <w:rFonts w:ascii="Arial" w:cs="Arial" w:eastAsia="Arial" w:hAnsi="Arial"/>
          <w:sz w:val="20"/>
          <w:szCs w:val="20"/>
          <w:b w:val="1"/>
          <w:bCs w:val="1"/>
          <w:color w:val="auto"/>
        </w:rPr>
        <w:t>New York, New York</w:t>
      </w: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58" w:lineRule="exact"/>
        <w:rPr>
          <w:sz w:val="24"/>
          <w:szCs w:val="24"/>
          <w:color w:val="auto"/>
        </w:rPr>
      </w:pPr>
    </w:p>
    <w:p>
      <w:pPr>
        <w:ind w:left="460" w:hanging="430"/>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107" w:lineRule="exact"/>
        <w:rPr>
          <w:rFonts w:ascii="MS PGothic" w:cs="MS PGothic" w:eastAsia="MS PGothic" w:hAnsi="MS PGothic"/>
          <w:sz w:val="20"/>
          <w:szCs w:val="20"/>
          <w:color w:val="auto"/>
        </w:rPr>
      </w:pPr>
    </w:p>
    <w:p>
      <w:pPr>
        <w:ind w:left="460" w:hanging="430"/>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07" w:lineRule="exact"/>
        <w:rPr>
          <w:rFonts w:ascii="MS PGothic" w:cs="MS PGothic" w:eastAsia="MS PGothic" w:hAnsi="MS PGothic"/>
          <w:sz w:val="20"/>
          <w:szCs w:val="20"/>
          <w:color w:val="auto"/>
        </w:rPr>
      </w:pPr>
    </w:p>
    <w:p>
      <w:pPr>
        <w:ind w:left="460" w:hanging="430"/>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107" w:lineRule="exact"/>
        <w:rPr>
          <w:rFonts w:ascii="MS PGothic" w:cs="MS PGothic" w:eastAsia="MS PGothic" w:hAnsi="MS PGothic"/>
          <w:sz w:val="20"/>
          <w:szCs w:val="20"/>
          <w:color w:val="auto"/>
        </w:rPr>
      </w:pPr>
    </w:p>
    <w:p>
      <w:pPr>
        <w:ind w:left="460" w:hanging="430"/>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1240790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2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7"/>
              </w:rPr>
              <w:t>Title of each class</w:t>
            </w:r>
          </w:p>
        </w:tc>
        <w:tc>
          <w:tcPr>
            <w:tcW w:w="342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9"/>
              </w:rPr>
              <w:t>Trading Symbol(s)</w:t>
            </w:r>
          </w:p>
        </w:tc>
        <w:tc>
          <w:tcPr>
            <w:tcW w:w="3980" w:type="dxa"/>
            <w:vAlign w:val="bottom"/>
          </w:tcPr>
          <w:p>
            <w:pPr>
              <w:jc w:val="center"/>
              <w:spacing w:after="0"/>
              <w:rPr>
                <w:sz w:val="20"/>
                <w:szCs w:val="20"/>
                <w:color w:val="auto"/>
              </w:rPr>
            </w:pPr>
            <w:r>
              <w:rPr>
                <w:rFonts w:ascii="Arial" w:cs="Arial" w:eastAsia="Arial" w:hAnsi="Arial"/>
                <w:sz w:val="20"/>
                <w:szCs w:val="20"/>
                <w:b w:val="1"/>
                <w:bCs w:val="1"/>
                <w:color w:val="auto"/>
                <w:w w:val="87"/>
              </w:rPr>
              <w:t>Name of each exchange on which registered</w:t>
            </w:r>
          </w:p>
        </w:tc>
      </w:tr>
      <w:tr>
        <w:trPr>
          <w:trHeight w:val="23"/>
        </w:trPr>
        <w:tc>
          <w:tcPr>
            <w:tcW w:w="35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3"/>
        </w:trPr>
        <w:tc>
          <w:tcPr>
            <w:tcW w:w="382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89"/>
              </w:rPr>
              <w:t>Class A common stock, par value $0.0001</w:t>
            </w:r>
          </w:p>
        </w:tc>
        <w:tc>
          <w:tcPr>
            <w:tcW w:w="3420" w:type="dxa"/>
            <w:vAlign w:val="bottom"/>
            <w:gridSpan w:val="2"/>
            <w:shd w:val="clear" w:color="auto" w:fill="CCEEFF"/>
          </w:tcPr>
          <w:p>
            <w:pPr>
              <w:jc w:val="center"/>
              <w:ind w:right="260"/>
              <w:spacing w:after="0"/>
              <w:rPr>
                <w:sz w:val="20"/>
                <w:szCs w:val="20"/>
                <w:color w:val="auto"/>
              </w:rPr>
            </w:pPr>
            <w:r>
              <w:rPr>
                <w:rFonts w:ascii="Arial" w:cs="Arial" w:eastAsia="Arial" w:hAnsi="Arial"/>
                <w:sz w:val="20"/>
                <w:szCs w:val="20"/>
                <w:color w:val="auto"/>
                <w:w w:val="91"/>
              </w:rPr>
              <w:t>SMFR</w:t>
            </w:r>
          </w:p>
        </w:tc>
        <w:tc>
          <w:tcPr>
            <w:tcW w:w="39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The Nasdaq Global Select Market</w:t>
            </w:r>
          </w:p>
        </w:tc>
      </w:tr>
      <w:tr>
        <w:trPr>
          <w:trHeight w:val="253"/>
        </w:trPr>
        <w:tc>
          <w:tcPr>
            <w:tcW w:w="38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20"/>
                <w:szCs w:val="20"/>
                <w:color w:val="auto"/>
                <w:w w:val="85"/>
              </w:rPr>
              <w:t>per share</w:t>
            </w:r>
          </w:p>
        </w:tc>
        <w:tc>
          <w:tcPr>
            <w:tcW w:w="3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2"/>
                <w:szCs w:val="22"/>
                <w:color w:val="auto"/>
              </w:rPr>
            </w:pPr>
          </w:p>
        </w:tc>
      </w:tr>
      <w:tr>
        <w:trPr>
          <w:trHeight w:val="240"/>
        </w:trPr>
        <w:tc>
          <w:tcPr>
            <w:tcW w:w="3820" w:type="dxa"/>
            <w:vAlign w:val="bottom"/>
            <w:gridSpan w:val="2"/>
          </w:tcPr>
          <w:p>
            <w:pPr>
              <w:jc w:val="center"/>
              <w:ind w:right="240"/>
              <w:spacing w:after="0"/>
              <w:rPr>
                <w:sz w:val="20"/>
                <w:szCs w:val="20"/>
                <w:color w:val="auto"/>
              </w:rPr>
            </w:pPr>
            <w:r>
              <w:rPr>
                <w:rFonts w:ascii="Arial" w:cs="Arial" w:eastAsia="Arial" w:hAnsi="Arial"/>
                <w:sz w:val="20"/>
                <w:szCs w:val="20"/>
                <w:color w:val="auto"/>
                <w:w w:val="87"/>
              </w:rPr>
              <w:t>Warrants to purchase one share of Class A</w:t>
            </w:r>
          </w:p>
        </w:tc>
        <w:tc>
          <w:tcPr>
            <w:tcW w:w="3420" w:type="dxa"/>
            <w:vAlign w:val="bottom"/>
            <w:gridSpan w:val="2"/>
          </w:tcPr>
          <w:p>
            <w:pPr>
              <w:jc w:val="center"/>
              <w:ind w:right="240"/>
              <w:spacing w:after="0"/>
              <w:rPr>
                <w:sz w:val="20"/>
                <w:szCs w:val="20"/>
                <w:color w:val="auto"/>
              </w:rPr>
            </w:pPr>
            <w:r>
              <w:rPr>
                <w:rFonts w:ascii="Arial" w:cs="Arial" w:eastAsia="Arial" w:hAnsi="Arial"/>
                <w:sz w:val="20"/>
                <w:szCs w:val="20"/>
                <w:color w:val="auto"/>
                <w:w w:val="92"/>
              </w:rPr>
              <w:t>SMFRW</w:t>
            </w:r>
          </w:p>
        </w:tc>
        <w:tc>
          <w:tcPr>
            <w:tcW w:w="3980" w:type="dxa"/>
            <w:vAlign w:val="bottom"/>
          </w:tcPr>
          <w:p>
            <w:pPr>
              <w:jc w:val="center"/>
              <w:spacing w:after="0"/>
              <w:rPr>
                <w:sz w:val="20"/>
                <w:szCs w:val="20"/>
                <w:color w:val="auto"/>
              </w:rPr>
            </w:pPr>
            <w:r>
              <w:rPr>
                <w:rFonts w:ascii="Arial" w:cs="Arial" w:eastAsia="Arial" w:hAnsi="Arial"/>
                <w:sz w:val="20"/>
                <w:szCs w:val="20"/>
                <w:color w:val="auto"/>
                <w:w w:val="89"/>
              </w:rPr>
              <w:t>The Nasdaq Global Select Market</w:t>
            </w:r>
          </w:p>
        </w:tc>
      </w:tr>
      <w:tr>
        <w:trPr>
          <w:trHeight w:val="229"/>
        </w:trPr>
        <w:tc>
          <w:tcPr>
            <w:tcW w:w="3820" w:type="dxa"/>
            <w:vAlign w:val="bottom"/>
            <w:gridSpan w:val="2"/>
          </w:tcPr>
          <w:p>
            <w:pPr>
              <w:jc w:val="center"/>
              <w:ind w:right="240"/>
              <w:spacing w:after="0"/>
              <w:rPr>
                <w:sz w:val="20"/>
                <w:szCs w:val="20"/>
                <w:color w:val="auto"/>
              </w:rPr>
            </w:pPr>
            <w:r>
              <w:rPr>
                <w:rFonts w:ascii="Arial" w:cs="Arial" w:eastAsia="Arial" w:hAnsi="Arial"/>
                <w:sz w:val="20"/>
                <w:szCs w:val="20"/>
                <w:color w:val="auto"/>
                <w:w w:val="88"/>
              </w:rPr>
              <w:t>common stock, each at an exercise price of</w:t>
            </w:r>
          </w:p>
        </w:tc>
        <w:tc>
          <w:tcPr>
            <w:tcW w:w="3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250"/>
        </w:trPr>
        <w:tc>
          <w:tcPr>
            <w:tcW w:w="3820" w:type="dxa"/>
            <w:vAlign w:val="bottom"/>
            <w:gridSpan w:val="2"/>
          </w:tcPr>
          <w:p>
            <w:pPr>
              <w:jc w:val="center"/>
              <w:ind w:right="240"/>
              <w:spacing w:after="0"/>
              <w:rPr>
                <w:sz w:val="20"/>
                <w:szCs w:val="20"/>
                <w:color w:val="auto"/>
              </w:rPr>
            </w:pPr>
            <w:r>
              <w:rPr>
                <w:rFonts w:ascii="Arial" w:cs="Arial" w:eastAsia="Arial" w:hAnsi="Arial"/>
                <w:sz w:val="20"/>
                <w:szCs w:val="20"/>
                <w:color w:val="auto"/>
                <w:w w:val="85"/>
              </w:rPr>
              <w:t>$11.50 per share</w:t>
            </w:r>
          </w:p>
        </w:tc>
        <w:tc>
          <w:tcPr>
            <w:tcW w:w="3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80" w:type="dxa"/>
            <w:vAlign w:val="bottom"/>
          </w:tcPr>
          <w:p>
            <w:pPr>
              <w:spacing w:after="0"/>
              <w:rPr>
                <w:sz w:val="21"/>
                <w:szCs w:val="21"/>
                <w:color w:val="auto"/>
              </w:rPr>
            </w:pPr>
          </w:p>
        </w:tc>
      </w:tr>
    </w:tbl>
    <w:p>
      <w:pPr>
        <w:spacing w:after="0" w:line="200" w:lineRule="exact"/>
        <w:rPr>
          <w:sz w:val="20"/>
          <w:szCs w:val="20"/>
          <w:color w:val="auto"/>
        </w:rPr>
      </w:pP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6" w:lineRule="exact"/>
        <w:rPr>
          <w:sz w:val="20"/>
          <w:szCs w:val="20"/>
          <w:color w:val="auto"/>
        </w:rPr>
      </w:pPr>
    </w:p>
    <w:p>
      <w:pPr>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280" w:lineRule="exact"/>
        <w:rPr>
          <w:sz w:val="20"/>
          <w:szCs w:val="20"/>
          <w:color w:val="auto"/>
        </w:rPr>
      </w:pPr>
    </w:p>
    <w:p>
      <w:pPr>
        <w:jc w:val="both"/>
        <w:spacing w:after="0" w:line="251"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EXPLANATORY NOTE</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July 28, 2021, Sema4 Holdings Corp. (“</w:t>
      </w:r>
      <w:r>
        <w:rPr>
          <w:rFonts w:ascii="Arial" w:cs="Arial" w:eastAsia="Arial" w:hAnsi="Arial"/>
          <w:sz w:val="20"/>
          <w:szCs w:val="20"/>
          <w:i w:val="1"/>
          <w:iCs w:val="1"/>
          <w:color w:val="auto"/>
        </w:rPr>
        <w:t>Sema4 Holdings</w:t>
      </w:r>
      <w:r>
        <w:rPr>
          <w:rFonts w:ascii="Arial" w:cs="Arial" w:eastAsia="Arial" w:hAnsi="Arial"/>
          <w:sz w:val="20"/>
          <w:szCs w:val="20"/>
          <w:color w:val="auto"/>
        </w:rPr>
        <w:t>”) (formerly known as CM Life Sciences, Inc. (“</w:t>
      </w:r>
      <w:r>
        <w:rPr>
          <w:rFonts w:ascii="Arial" w:cs="Arial" w:eastAsia="Arial" w:hAnsi="Arial"/>
          <w:sz w:val="20"/>
          <w:szCs w:val="20"/>
          <w:i w:val="1"/>
          <w:iCs w:val="1"/>
          <w:color w:val="auto"/>
        </w:rPr>
        <w:t>CMLS</w:t>
      </w:r>
      <w:r>
        <w:rPr>
          <w:rFonts w:ascii="Arial" w:cs="Arial" w:eastAsia="Arial" w:hAnsi="Arial"/>
          <w:sz w:val="20"/>
          <w:szCs w:val="20"/>
          <w:color w:val="auto"/>
        </w:rPr>
        <w:t>”)), a Delaware corporation, filed a Current Report on Form 8-K (the “</w:t>
      </w:r>
      <w:r>
        <w:rPr>
          <w:rFonts w:ascii="Arial" w:cs="Arial" w:eastAsia="Arial" w:hAnsi="Arial"/>
          <w:sz w:val="20"/>
          <w:szCs w:val="20"/>
          <w:i w:val="1"/>
          <w:iCs w:val="1"/>
          <w:color w:val="auto"/>
        </w:rPr>
        <w:t>Original 8-K</w:t>
      </w:r>
      <w:r>
        <w:rPr>
          <w:rFonts w:ascii="Arial" w:cs="Arial" w:eastAsia="Arial" w:hAnsi="Arial"/>
          <w:sz w:val="20"/>
          <w:szCs w:val="20"/>
          <w:color w:val="auto"/>
        </w:rPr>
        <w:t>”) to report that it completed the transactions contemplated by that certain Agreement and Plan of Merger, dated February 9, 2021 (as amended, the “</w:t>
      </w:r>
      <w:r>
        <w:rPr>
          <w:rFonts w:ascii="Arial" w:cs="Arial" w:eastAsia="Arial" w:hAnsi="Arial"/>
          <w:sz w:val="20"/>
          <w:szCs w:val="20"/>
          <w:i w:val="1"/>
          <w:iCs w:val="1"/>
          <w:color w:val="auto"/>
        </w:rPr>
        <w:t>Merger Agreement</w:t>
      </w:r>
      <w:r>
        <w:rPr>
          <w:rFonts w:ascii="Arial" w:cs="Arial" w:eastAsia="Arial" w:hAnsi="Arial"/>
          <w:sz w:val="20"/>
          <w:szCs w:val="20"/>
          <w:color w:val="auto"/>
        </w:rPr>
        <w:t>”), among CMLS, S-IV Sub, Inc., a wholly-owned subsidiary of CMLS (“</w:t>
      </w:r>
      <w:r>
        <w:rPr>
          <w:rFonts w:ascii="Arial" w:cs="Arial" w:eastAsia="Arial" w:hAnsi="Arial"/>
          <w:sz w:val="20"/>
          <w:szCs w:val="20"/>
          <w:i w:val="1"/>
          <w:iCs w:val="1"/>
          <w:color w:val="auto"/>
        </w:rPr>
        <w:t>Merger Sub</w:t>
      </w:r>
      <w:r>
        <w:rPr>
          <w:rFonts w:ascii="Arial" w:cs="Arial" w:eastAsia="Arial" w:hAnsi="Arial"/>
          <w:sz w:val="20"/>
          <w:szCs w:val="20"/>
          <w:color w:val="auto"/>
        </w:rPr>
        <w:t>”), and Mount Sinai Genomics, Inc. d/b/a Sema4 (“</w:t>
      </w:r>
      <w:r>
        <w:rPr>
          <w:rFonts w:ascii="Arial" w:cs="Arial" w:eastAsia="Arial" w:hAnsi="Arial"/>
          <w:sz w:val="20"/>
          <w:szCs w:val="20"/>
          <w:i w:val="1"/>
          <w:iCs w:val="1"/>
          <w:color w:val="auto"/>
        </w:rPr>
        <w:t>Sema4</w:t>
      </w:r>
      <w:r>
        <w:rPr>
          <w:rFonts w:ascii="Arial" w:cs="Arial" w:eastAsia="Arial" w:hAnsi="Arial"/>
          <w:sz w:val="20"/>
          <w:szCs w:val="20"/>
          <w:color w:val="auto"/>
        </w:rPr>
        <w:t>”). On July 22, 2021, as contemplated by the Merger Agreement, Merger Sub was merged with and into Sema4, with Sema4 surviving the Merger (the “</w:t>
      </w:r>
      <w:r>
        <w:rPr>
          <w:rFonts w:ascii="Arial" w:cs="Arial" w:eastAsia="Arial" w:hAnsi="Arial"/>
          <w:sz w:val="20"/>
          <w:szCs w:val="20"/>
          <w:i w:val="1"/>
          <w:iCs w:val="1"/>
          <w:color w:val="auto"/>
        </w:rPr>
        <w:t>Surviving Corporation</w:t>
      </w:r>
      <w:r>
        <w:rPr>
          <w:rFonts w:ascii="Arial" w:cs="Arial" w:eastAsia="Arial" w:hAnsi="Arial"/>
          <w:sz w:val="20"/>
          <w:szCs w:val="20"/>
          <w:color w:val="auto"/>
        </w:rPr>
        <w:t>”) as a wholly-owned subsidiary of CMLS (the “</w:t>
      </w:r>
      <w:r>
        <w:rPr>
          <w:rFonts w:ascii="Arial" w:cs="Arial" w:eastAsia="Arial" w:hAnsi="Arial"/>
          <w:sz w:val="20"/>
          <w:szCs w:val="20"/>
          <w:i w:val="1"/>
          <w:iCs w:val="1"/>
          <w:color w:val="auto"/>
        </w:rPr>
        <w:t>Merger</w:t>
      </w:r>
      <w:r>
        <w:rPr>
          <w:rFonts w:ascii="Arial" w:cs="Arial" w:eastAsia="Arial" w:hAnsi="Arial"/>
          <w:sz w:val="20"/>
          <w:szCs w:val="20"/>
          <w:color w:val="auto"/>
        </w:rPr>
        <w:t>” and, together with the other transactions contemplated by the Merger Agreement, the “</w:t>
      </w:r>
      <w:r>
        <w:rPr>
          <w:rFonts w:ascii="Arial" w:cs="Arial" w:eastAsia="Arial" w:hAnsi="Arial"/>
          <w:sz w:val="20"/>
          <w:szCs w:val="20"/>
          <w:i w:val="1"/>
          <w:iCs w:val="1"/>
          <w:color w:val="auto"/>
        </w:rPr>
        <w:t>Business Combination</w:t>
      </w:r>
      <w:r>
        <w:rPr>
          <w:rFonts w:ascii="Arial" w:cs="Arial" w:eastAsia="Arial" w:hAnsi="Arial"/>
          <w:sz w:val="20"/>
          <w:szCs w:val="20"/>
          <w:color w:val="auto"/>
        </w:rPr>
        <w:t>”).</w:t>
      </w:r>
    </w:p>
    <w:p>
      <w:pPr>
        <w:spacing w:after="0" w:line="1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Original 8-K was filed by Sema4 Holdings to describe certain material changes to its business as a result of and following the Business Combination. This Amendment No. 1 on Form 8-K/A to the Original 8-K (this “</w:t>
      </w:r>
      <w:r>
        <w:rPr>
          <w:rFonts w:ascii="Arial" w:cs="Arial" w:eastAsia="Arial" w:hAnsi="Arial"/>
          <w:sz w:val="18"/>
          <w:szCs w:val="18"/>
          <w:i w:val="1"/>
          <w:iCs w:val="1"/>
          <w:color w:val="auto"/>
        </w:rPr>
        <w:t>Amendment</w:t>
      </w:r>
      <w:r>
        <w:rPr>
          <w:rFonts w:ascii="Arial" w:cs="Arial" w:eastAsia="Arial" w:hAnsi="Arial"/>
          <w:sz w:val="18"/>
          <w:szCs w:val="18"/>
          <w:color w:val="auto"/>
        </w:rPr>
        <w:t>” and the Original 8-K, as amended by this Amendment, this “</w:t>
      </w:r>
      <w:r>
        <w:rPr>
          <w:rFonts w:ascii="Arial" w:cs="Arial" w:eastAsia="Arial" w:hAnsi="Arial"/>
          <w:sz w:val="18"/>
          <w:szCs w:val="18"/>
          <w:i w:val="1"/>
          <w:iCs w:val="1"/>
          <w:color w:val="auto"/>
        </w:rPr>
        <w:t>Report</w:t>
      </w:r>
      <w:r>
        <w:rPr>
          <w:rFonts w:ascii="Arial" w:cs="Arial" w:eastAsia="Arial" w:hAnsi="Arial"/>
          <w:sz w:val="18"/>
          <w:szCs w:val="18"/>
          <w:color w:val="auto"/>
        </w:rPr>
        <w:t>”) is being filed to (a) provide updated financial statements including (i) the unaudited financial statements of Sema4 for the three and six months ended June 30, 2021, and (ii) the pro forma financial statements for the combined entities as of and for the three and six months ended June 30, 2021 and for the year ended December 31, 2020, and (b) amend the section entitled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which was part of the Form 10 information disclosed under and</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to Item 2.01 to the Original 8-K to reflect such unaudited financial statements.</w:t>
      </w:r>
    </w:p>
    <w:p>
      <w:pPr>
        <w:spacing w:after="0" w:line="1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Except as described above, no other changes have been made to the Original 8-K and this Amendment does not modify or update any other information in the Original 8-K. Accordingly, this Amendment should be read in conjunction with the Original 8-K and Sema4 Holdings’ filings made with the Securities and Exchange Commission (the “</w:t>
      </w:r>
      <w:r>
        <w:rPr>
          <w:rFonts w:ascii="Arial" w:cs="Arial" w:eastAsia="Arial" w:hAnsi="Arial"/>
          <w:sz w:val="19"/>
          <w:szCs w:val="19"/>
          <w:i w:val="1"/>
          <w:iCs w:val="1"/>
          <w:color w:val="auto"/>
        </w:rPr>
        <w:t>SEC</w:t>
      </w:r>
      <w:r>
        <w:rPr>
          <w:rFonts w:ascii="Arial" w:cs="Arial" w:eastAsia="Arial" w:hAnsi="Arial"/>
          <w:sz w:val="19"/>
          <w:szCs w:val="19"/>
          <w:color w:val="auto"/>
        </w:rPr>
        <w:t>”) subsequent to the date of the Original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20"/>
          <w:szCs w:val="20"/>
          <w:b w:val="1"/>
          <w:bCs w:val="1"/>
          <w:color w:val="auto"/>
        </w:rPr>
        <w:t>Item 2.01.</w:t>
      </w:r>
      <w:r>
        <w:rPr>
          <w:sz w:val="20"/>
          <w:szCs w:val="20"/>
          <w:color w:val="auto"/>
        </w:rPr>
        <w:tab/>
      </w:r>
      <w:r>
        <w:rPr>
          <w:rFonts w:ascii="Arial" w:cs="Arial" w:eastAsia="Arial" w:hAnsi="Arial"/>
          <w:sz w:val="16"/>
          <w:szCs w:val="16"/>
          <w:b w:val="1"/>
          <w:bCs w:val="1"/>
          <w:color w:val="auto"/>
        </w:rPr>
        <w:t>Completion of Acquisition or Disposition of Assets.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Financial Information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 FINANCIAL CONDITION AND RESULTS OF OPERATIONS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The following discussion and analysis of our financial condition and results of operations should be read in conjunction with our financial statements and related notes and other financial information appearing elsewhere in this Report.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Report, our actual results could differ materially from the results described in or implied by the forward-looking statements contained in the following discussion and analysis.</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Unless the context otherwise requires, references herein to the “Company,” “we,” “us” or “our” refers to Sema4, prior to the consummation of the Business Combination (the “Closing,” and such date of the consummation of the Business Combination, the “Closing Date”) and to Sema4 Holdings and its subsidiary following the Business Combination.</w:t>
      </w:r>
    </w:p>
    <w:p>
      <w:pPr>
        <w:spacing w:after="0" w:line="13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We are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116"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We were established out of the Icahn School of Medicine at Mount Sinai, or ISMMS, and commenced operations in June 2017 as a commercial entity that could effectively engage diverse patient populations and health care institutions at scale. We have since established and deployed our comprehensive and integrated genomic and clinical data platform and established a mature diagnostic testing business. We now maintain a database that includes more than 11.7 million de-identified individual clinical records, many with genomic profiles. We also manage a data asset over 35 petabytes in size, expanding at 1.2 petabytes per month with an accelerating growth rate.</w:t>
      </w:r>
    </w:p>
    <w:p>
      <w:pPr>
        <w:spacing w:after="0" w:line="11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Currently, we derive the majority of revenue from our diagnostic test solutions. Our diagnostic business generates revenue and engages with patients primarily through our Women’s Health and Oncology solutions.</w:t>
      </w:r>
    </w:p>
    <w:p>
      <w:pPr>
        <w:spacing w:after="0" w:line="123"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Our Women’s Health solutions sequence and analyze an industry-leading number of genes and use interpretive information tools to translate raw sequencing and clinical data efficiently and accurately into digestible clinical reports that guide decision-making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the risk of cancer or informs on cancer treatment. We believe our Signal Whole Exome and Transcriptome solution is one of the most comprehensive molecular profiling solutions from a commercial entity to receive New York State approval. Beginning in May of 2020, we were also able to expand our diagnostic testing services to include testing for the presence of COVID-19 infection.</w:t>
      </w:r>
    </w:p>
    <w:p>
      <w:pPr>
        <w:spacing w:after="0" w:line="14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We have also expanded beyond diagnostic testing to enter into collaboration service agreements with third parties to provide diagnostic testing, research, and related data aggregation reporting services.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both"/>
        <w:spacing w:after="0" w:line="250" w:lineRule="auto"/>
        <w:rPr>
          <w:sz w:val="20"/>
          <w:szCs w:val="20"/>
          <w:color w:val="auto"/>
        </w:rPr>
      </w:pPr>
      <w:r>
        <w:rPr>
          <w:rFonts w:ascii="Arial" w:cs="Arial" w:eastAsia="Arial" w:hAnsi="Arial"/>
          <w:sz w:val="20"/>
          <w:szCs w:val="20"/>
          <w:color w:val="auto"/>
        </w:rPr>
        <w:t>have established and continue to seek strategic relationships with pharmaceutical and biotech, or 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Affecting Our Performance</w:t>
      </w:r>
    </w:p>
    <w:p>
      <w:pPr>
        <w:spacing w:after="0" w:line="16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believe several important factors have impacted, and that we expect will continue to impact, our performance and results of operations. While each of these areas presents significant opportunities for us, they also pose significant risks and challenges that we must address. See the section titled “Risk Factors” for more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Number of accessioned and resulted tests</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We believe the number of accessioned and resulted tests in any period is an important indicator of the growth in our diagnostic testing services and correlates with long-term patient relationships and the size of our genomic database. A test is accessioned when we receive the test at our laboratory, the relevant information about the test is entered into our computer system and the test sample is routed to the appropriate workflow. Once the appropriate workflow is completed, the test is resulted and details are provided to ordered patients or healthcare professionals for reviews.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Success obtaining and maintaining reimbursement</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4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and we have in the past needed additional time and resources to comply with them.</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We expect to continue to focus our resources on increasing the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its business could suffer.</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Ability to lower the costs associated with performing our tests</w:t>
      </w:r>
    </w:p>
    <w:p>
      <w:pPr>
        <w:spacing w:after="0" w:line="16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Reducing the costs associated with performing our diagnostic tests is both a focus and a strategic objective of ours. We source, and will continue to source, components of our diagnostic testing workflows from third parties. We also rely upon third-party service providers for data storage and workflow management.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Increasing adoption of our services by existing and new customers</w:t>
      </w:r>
    </w:p>
    <w:p>
      <w:pPr>
        <w:spacing w:after="0" w:line="1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Our performance depends on our ability to retain and broaden the adoption of our services with existing customers as well as our ability to attract new customers. Our success in retaining and gaining customers is dependent on the market’s confidence in our services and the willingness of customers to continue to seek more comprehensive and integrated genomic and clinical data insights.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i w:val="1"/>
          <w:iCs w:val="1"/>
          <w:color w:val="auto"/>
        </w:rPr>
        <w:t>Investment in platform innovation to support commercial growth</w:t>
      </w:r>
    </w:p>
    <w:p>
      <w:pPr>
        <w:spacing w:after="0" w:line="16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are seeking to leverage and deploy our Centrellis and Traversa platforms to develop a pipeline of future disease-specific research and diagnostic and therapeutic products and services. We have limited experience with the development or commercialization of clinical or research products in connection with our database and our Centrellis platform.</w:t>
      </w:r>
    </w:p>
    <w:p>
      <w:pPr>
        <w:spacing w:after="0" w:line="13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168"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principal focus of our commercial operations is to offer our diagnostic tests through both our direct sales force and laboratory distribution partners. Test volume correlates with genomic database size and long-term patient relationships - thus driving database diversity and enabling potential identification of variants of unknown significance and population-specific insights. The number of tests that we accession is a key indicator that we use to assess the operational efficiency of our business. A test is accessioned when we receive the test at our laboratory, the relevant information about the test is entered into our computer system and the test sample is routed into the appropriate workflow.</w:t>
      </w:r>
    </w:p>
    <w:p>
      <w:pPr>
        <w:spacing w:after="0" w:line="142"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During the year ended December 31, 2020, we accessioned approximately 520,660 tests in our laboratories, 311,987 tests of which were for COVID-19, compared to December 31, 2019, in which we accessioned approximately 225,863 tests in our laboratories, and December 31, 2018, in which we accessioned approximately 154,151 tests in our laboratories. The 47% increase in volume from 2018 to 2019 represents a continuous expansion to a national footprint and expanded test offerings, and the 131% increase from 2019 to 2020 largely resulted from newly entered service agreements for COVID-19 testing, offset by a slowdown in the base diagnostic business during the beginning of the pandemic given that many of our customers, including hospitals and clinics, had suspended non-emergency appointments and services. Once the appropriate workflow is completed, the test is resulted and details are provided to ordered patients or healthcare professionals for reviews.</w:t>
      </w:r>
    </w:p>
    <w:p>
      <w:pPr>
        <w:spacing w:after="0" w:line="14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During the six months ended June 30, 2021, we accessioned approximately 350,173 tests in our laboratories, 216,552 tests of which were for COVID-19, compared to the period ended June 30, 2020, in which we accessioned approximately 99,449 tests in our laboratories, 3,872 of which were for COVID-19. We resulted approximately 357,404 tests in our laboratories, 218,757 tests of which were for COVID-19, compared to the period ended June 30, 2020, in which we resulted approximately 112,008 tests in our laboratories, 16,411 of which were for COVID-19. This 252% and 219% increase in accessioned and resulted volumes, respectively, from 2020 to 2021 largely resulted from newly entered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6" w:name="page7"/>
    <w:bookmarkEnd w:id="6"/>
    <w:p>
      <w:pPr>
        <w:jc w:val="both"/>
        <w:ind w:right="20"/>
        <w:spacing w:after="0" w:line="260" w:lineRule="auto"/>
        <w:rPr>
          <w:sz w:val="20"/>
          <w:szCs w:val="20"/>
          <w:color w:val="auto"/>
        </w:rPr>
      </w:pPr>
      <w:r>
        <w:rPr>
          <w:rFonts w:ascii="Arial" w:cs="Arial" w:eastAsia="Arial" w:hAnsi="Arial"/>
          <w:sz w:val="20"/>
          <w:szCs w:val="20"/>
          <w:color w:val="auto"/>
        </w:rPr>
        <w:t>service agreements for COVID-19 testing as well as an increase in non-COVID-19 institutional testing. The volume of resulted tests during the periods may include tests accessioned in prior periods that are completed and delivered during the period.</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Impact</w:t>
      </w:r>
    </w:p>
    <w:p>
      <w:pPr>
        <w:spacing w:after="0" w:line="16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In March 2020, the World Health Organization declared the recent novel coronavirus, or COVID-19, outbreak a pandemic. COVID-19 has had, and continues to have, an extensive impact on the global health and economic environments. Many jurisdictions, including those in which we have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0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Beginning in April 2020, our diagnostic test volumes decreased significantly as compared to the prior year as a result of COVID-19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the year. To support the rapid expansion of COVID-19 test volumes, we have increased our workforce through both temporary contractors and employees. In addition, while most of our revenues from genetic testing rely upon reimbursements from third-party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w:t>
      </w:r>
    </w:p>
    <w:p>
      <w:pPr>
        <w:spacing w:after="0" w:line="11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As part of our response to COVID-19, we have implemented the following strategies to mitigate operating risks, reduce costs and improve cash collections.</w:t>
      </w:r>
    </w:p>
    <w:p>
      <w:pPr>
        <w:spacing w:after="0" w:line="123" w:lineRule="exact"/>
        <w:rPr>
          <w:sz w:val="20"/>
          <w:szCs w:val="20"/>
          <w:color w:val="auto"/>
        </w:rPr>
      </w:pPr>
    </w:p>
    <w:p>
      <w:pPr>
        <w:ind w:left="660" w:hanging="328"/>
        <w:spacing w:after="0" w:line="26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Made significant advance purchases of test-related inventory in order to reduce the risk of potential business interruptions related to supply chain disruption;</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Engaged third-party vendors to collect and test COVID-19 samples to reduce operating risks related to employee health;</w:t>
      </w:r>
    </w:p>
    <w:p>
      <w:pPr>
        <w:spacing w:after="0" w:line="173" w:lineRule="exact"/>
        <w:rPr>
          <w:rFonts w:ascii="Arial" w:cs="Arial" w:eastAsia="Arial" w:hAnsi="Arial"/>
          <w:sz w:val="19"/>
          <w:szCs w:val="19"/>
          <w:color w:val="auto"/>
        </w:rPr>
      </w:pPr>
    </w:p>
    <w:p>
      <w:pPr>
        <w:jc w:val="both"/>
        <w:ind w:left="660" w:hanging="328"/>
        <w:spacing w:after="0" w:line="25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Cancelled the 2020 annual merit compensation increase temporarily implemented the employee salary reduction programs from May through July 2020, and deferred the 401(k) employer match from May through December 2020. The employer match was reinstated in January 2021, and the deferred portion was funded on March 9, 2021; and</w:t>
      </w:r>
    </w:p>
    <w:p>
      <w:pPr>
        <w:spacing w:after="0" w:line="131" w:lineRule="exact"/>
        <w:rPr>
          <w:rFonts w:ascii="Arial" w:cs="Arial" w:eastAsia="Arial" w:hAnsi="Arial"/>
          <w:sz w:val="20"/>
          <w:szCs w:val="20"/>
          <w:color w:val="auto"/>
        </w:rPr>
      </w:pPr>
    </w:p>
    <w:p>
      <w:pPr>
        <w:jc w:val="both"/>
        <w:ind w:left="660" w:hanging="328"/>
        <w:spacing w:after="0" w:line="246"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To support our sales employees with a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spacing w:after="0" w:line="13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As conditions begin to improve, we are focused on overhauling our revenue cycle, and as part of transformational activities have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7" w:name="page8"/>
    <w:bookmarkEnd w:id="7"/>
    <w:p>
      <w:pPr>
        <w:jc w:val="both"/>
        <w:ind w:firstLine="324"/>
        <w:spacing w:after="0" w:line="242" w:lineRule="auto"/>
        <w:rPr>
          <w:sz w:val="20"/>
          <w:szCs w:val="20"/>
          <w:color w:val="auto"/>
        </w:rPr>
      </w:pPr>
      <w:r>
        <w:rPr>
          <w:rFonts w:ascii="Arial" w:cs="Arial" w:eastAsia="Arial" w:hAnsi="Arial"/>
          <w:sz w:val="20"/>
          <w:szCs w:val="20"/>
          <w:color w:val="auto"/>
        </w:rPr>
        <w:t>While test volumes have since improved, we continue to experience changes in the mix of tests due to the impact of COVID-19. We anticipate that demand for COVID-19 tests will eventually decrease as vaccines continue to be developed and deployed to the general population. However, no additional decline is expected for our other revenue streams for the remainder of 2021.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 and the economic impact on local, regional, national and international markets and supply chains. Therefore, COVID-19 could continue to have a material impact on our results of operations, cash flows, and financial condition for the foreseeable future.</w:t>
      </w:r>
    </w:p>
    <w:p>
      <w:pPr>
        <w:spacing w:after="0" w:line="14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In March 2020, the Coronavirus Aid, Relief and Economic Security Act, or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or PRF, distribution and $2.8 million received under the Employee Retention Credit, or ERC, distribution. In 2021, we received an additional $5.6 million under the PRF distribution.</w:t>
      </w:r>
    </w:p>
    <w:p>
      <w:pPr>
        <w:spacing w:after="0" w:line="140"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distributions in other income (expense), net in the statements of operations, and comprehensive loss during the periods in which we received the distributions.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balance sheets.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w:t>
      </w:r>
    </w:p>
    <w:p>
      <w:pPr>
        <w:spacing w:after="0" w:line="176" w:lineRule="exact"/>
        <w:rPr>
          <w:sz w:val="20"/>
          <w:szCs w:val="20"/>
          <w:color w:val="auto"/>
        </w:rPr>
      </w:pPr>
    </w:p>
    <w:p>
      <w:pPr>
        <w:ind w:right="60" w:firstLine="324"/>
        <w:spacing w:after="0" w:line="343" w:lineRule="auto"/>
        <w:rPr>
          <w:sz w:val="20"/>
          <w:szCs w:val="20"/>
          <w:color w:val="auto"/>
        </w:rPr>
      </w:pPr>
      <w:r>
        <w:rPr>
          <w:rFonts w:ascii="Arial" w:cs="Arial" w:eastAsia="Arial" w:hAnsi="Arial"/>
          <w:sz w:val="19"/>
          <w:szCs w:val="19"/>
          <w:color w:val="auto"/>
        </w:rPr>
        <w:t>On July 22, 2021, CMLS and Sema4 consummated the merger contemplated by the Merger Agreement, whereby Merger Sub merged with and into Sema4, with Sema4 being the surviving corporation and a wholly-owned subsidiary of CMLS.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6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derive the majority of our revenue from diagnostic testing services, which primarily relate to Women’s Health, Oncology, and COVID-19. We also recognize revenue from collaboration service agreements with Biopharma companies and other third parties under which we provide diagnostic testing and related data aggregation reporting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8" w:name="page9"/>
    <w:bookmarkEnd w:id="8"/>
    <w:p>
      <w:pPr>
        <w:jc w:val="both"/>
        <w:ind w:firstLine="324"/>
        <w:spacing w:after="0" w:line="250" w:lineRule="auto"/>
        <w:rPr>
          <w:sz w:val="20"/>
          <w:szCs w:val="20"/>
          <w:color w:val="auto"/>
        </w:rPr>
      </w:pPr>
      <w:r>
        <w:rPr>
          <w:rFonts w:ascii="Arial" w:cs="Arial" w:eastAsia="Arial" w:hAnsi="Arial"/>
          <w:sz w:val="20"/>
          <w:szCs w:val="20"/>
          <w:color w:val="auto"/>
        </w:rPr>
        <w:t xml:space="preserve">In accordance with the Accounting Standards Codification Topic 606, </w:t>
      </w:r>
      <w:r>
        <w:rPr>
          <w:rFonts w:ascii="Arial" w:cs="Arial" w:eastAsia="Arial" w:hAnsi="Arial"/>
          <w:sz w:val="20"/>
          <w:szCs w:val="20"/>
          <w:i w:val="1"/>
          <w:iCs w:val="1"/>
          <w:color w:val="auto"/>
        </w:rPr>
        <w:t>Revenue from Contracts with Customers</w:t>
      </w:r>
      <w:r>
        <w:rPr>
          <w:rFonts w:ascii="Arial" w:cs="Arial" w:eastAsia="Arial" w:hAnsi="Arial"/>
          <w:sz w:val="20"/>
          <w:szCs w:val="20"/>
          <w:color w:val="auto"/>
        </w:rPr>
        <w:t xml:space="preserve"> (“ASC 606”), we recognize revenue when control of the promised goods or services is transferred to the customer in an amount that reflects the consideration which we expect to be entitled to in exchange for those goods or services.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Diagnostic Test Revenue</w:t>
      </w:r>
    </w:p>
    <w:p>
      <w:pPr>
        <w:spacing w:after="0" w:line="162"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6"/>
          <w:szCs w:val="16"/>
          <w:color w:val="auto"/>
        </w:rPr>
        <w:t>We primarily generate revenue from performing diagnostic testing services for three groups of customers: patients with third-party insurance coverage; patients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several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patients with third-party insurance coverage.</w:t>
      </w:r>
    </w:p>
    <w:p>
      <w:pPr>
        <w:spacing w:after="0" w:line="8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 accordance with the ASC 606, revenue is recognized at the point in time in which test results are delivered to customers in an amount that reflects what we expect to collect in exchange for our services.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Revenue</w:t>
      </w:r>
    </w:p>
    <w:p>
      <w:pPr>
        <w:spacing w:after="0" w:line="16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We generate revenue from providing diagnostic testing and related data aggregation reporting services under both short-term and long-term project-based collaboration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37"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In accordance with the ASC 606, we recognize revenue for collaboration service agreements over time, based on costs incurred during the contract period.</w:t>
      </w:r>
    </w:p>
    <w:p>
      <w:pPr>
        <w:spacing w:after="0" w:line="12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Services</w:t>
      </w:r>
    </w:p>
    <w:p>
      <w:pPr>
        <w:spacing w:after="0" w:line="16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cost of services reflect the aggregate costs incurred in performing diagnostic testing and collaboration services. These costs include expenses for reagents and laboratory supplies, personnel-related expenses (comprising salaries and benefits), stock-based compensation, shipping and handling fees, costs of third-party reference lab testing and third-party providers of genetic counseling and phlebotomy services, amortization of software development costs and equipment and allocated facility costs associated with testing. Allocated facility costs include depreciation of laboratory equipment, facility occupancy, and information technology costs. The cost of services are recorded as the services are performed.</w:t>
      </w:r>
    </w:p>
    <w:p>
      <w:pPr>
        <w:spacing w:after="0" w:line="14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reductions may be offset by new tests which often have a higher cost per test during the introductory phases before we can gain efficiencies.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cost per test may fluctuate from quarter to quarter.</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Expenses</w:t>
      </w:r>
    </w:p>
    <w:p>
      <w:pPr>
        <w:spacing w:after="0" w:line="16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costs of reagents and laboratory supplies, costs of consultants and third-party services, equipment and related depreciation expenses, non-capitalizable software development costs, and allocated facility and information technology costs associated with genomics medical research. Research and development costs are expensed as incurred.</w:t>
      </w:r>
    </w:p>
    <w:p>
      <w:pPr>
        <w:spacing w:after="0" w:line="14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and Marketing Expenses</w:t>
      </w:r>
    </w:p>
    <w:p>
      <w:pPr>
        <w:spacing w:after="0" w:line="16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Selling and marketing expenses primarily consist of personnel-related expenses (comprising salaries, and benefits) and stock-based compensation for employees performing commercial sales, account management, marketing, and medical education. Selling and marketing costs are expensed as incurred.</w:t>
      </w:r>
    </w:p>
    <w:p>
      <w:pPr>
        <w:spacing w:after="0" w:line="13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and Administrative Expenses</w:t>
      </w:r>
    </w:p>
    <w:p>
      <w:pPr>
        <w:spacing w:after="0" w:line="16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13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Related Party Expenses</w:t>
      </w:r>
    </w:p>
    <w:p>
      <w:pPr>
        <w:spacing w:after="0" w:line="1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Related party expenses consist of amounts due to ISMMS for expenses under our transition service agreement which expired at the end of the first quarter of 2021, and other service agreements and arrangements. Additional information can be found in Sema4’s audited financial statements in Note 6, “Related Party Transactions” included within CMLS's definitive proxy statement filed with the SEC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color w:val="auto"/>
        </w:rPr>
        <w:t>July 2, 2021 and Sema4's unaudited condensed financial statements in Note 6, “Related Party Transactions.”</w:t>
      </w:r>
    </w:p>
    <w:p>
      <w:pPr>
        <w:spacing w:after="0" w:line="162"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We expect related party expenses to decrease as we establish our own internal and external resources to fulfill the administrative and other services we have historically procured from ISMMS.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Income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Interest income consists of interest earned on money market funds.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Interest expense consists of interest costs related to our capital leases and our long-term debt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162" w:lineRule="exact"/>
        <w:rPr>
          <w:sz w:val="20"/>
          <w:szCs w:val="20"/>
          <w:color w:val="auto"/>
        </w:rPr>
      </w:pPr>
    </w:p>
    <w:p>
      <w:pPr>
        <w:ind w:right="40" w:firstLine="324"/>
        <w:spacing w:after="0" w:line="244" w:lineRule="auto"/>
        <w:rPr>
          <w:sz w:val="20"/>
          <w:szCs w:val="20"/>
          <w:color w:val="auto"/>
        </w:rPr>
      </w:pPr>
      <w:r>
        <w:rPr>
          <w:rFonts w:ascii="Arial" w:cs="Arial" w:eastAsia="Arial" w:hAnsi="Arial"/>
          <w:sz w:val="20"/>
          <w:szCs w:val="20"/>
          <w:color w:val="auto"/>
        </w:rPr>
        <w:t>Other income, net primarily consists of certain funding received under the CARES Act and, gains and losses on equipment disposals. We recognized $2.6 million of the $5.4 million of funding received under the CARES Act as other income, net on the statements of operations and comprehensive loss during the three and six months ended June 30, 2020 and recognized $5.6 million of additional funding received under the CARES Act during the first quarter of 2021 and the amount is included in other income, net for the period ended six months ended June 30, 2021.</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Three Months Ended June 30, 2021, and 2020</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sets forth our results of operations for the periods presented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 June 30,</w:t>
            </w:r>
          </w:p>
        </w:tc>
      </w:tr>
      <w:tr>
        <w:trPr>
          <w:trHeight w:val="25"/>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9"/>
        </w:trPr>
        <w:tc>
          <w:tcPr>
            <w:tcW w:w="7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5"/>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44,803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29,796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30,102</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35,985</w:t>
            </w: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color w:val="auto"/>
              </w:rPr>
              <w:t>Gross (loss) profit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(5,883)</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9,361</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8,686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8,121</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Related party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2,111</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(34,162)</w:t>
            </w:r>
          </w:p>
        </w:tc>
      </w:tr>
      <w:tr>
        <w:trPr>
          <w:trHeight w:val="297"/>
        </w:trPr>
        <w:tc>
          <w:tcPr>
            <w:tcW w:w="79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2,110</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(32,052)</w:t>
            </w:r>
          </w:p>
        </w:tc>
      </w:tr>
      <w:tr>
        <w:trPr>
          <w:trHeight w:val="20"/>
        </w:trPr>
        <w:tc>
          <w:tcPr>
            <w:tcW w:w="7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i w:val="1"/>
          <w:iCs w:val="1"/>
          <w:color w:val="auto"/>
        </w:rPr>
        <w:t>Revenue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right"/>
              <w:ind w:right="257"/>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2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right"/>
              <w:ind w:right="97"/>
              <w:spacing w:after="0"/>
              <w:rPr>
                <w:sz w:val="20"/>
                <w:szCs w:val="20"/>
                <w:color w:val="auto"/>
              </w:rPr>
            </w:pPr>
            <w:r>
              <w:rPr>
                <w:rFonts w:ascii="Arial" w:cs="Arial" w:eastAsia="Arial" w:hAnsi="Arial"/>
                <w:sz w:val="14"/>
                <w:szCs w:val="14"/>
                <w:b w:val="1"/>
                <w:bCs w:val="1"/>
                <w:color w:val="auto"/>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100" w:type="dxa"/>
            <w:vAlign w:val="bottom"/>
          </w:tcPr>
          <w:p>
            <w:pPr>
              <w:jc w:val="right"/>
              <w:ind w:right="6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w w:val="92"/>
              </w:rPr>
              <w:t>(dollars in thousands)</w:t>
            </w: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44,803</w:t>
            </w:r>
          </w:p>
        </w:tc>
        <w:tc>
          <w:tcPr>
            <w:tcW w:w="100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29,796</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rPr>
              <w:t>15,007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2,062</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tcPr>
          <w:p>
            <w:pPr>
              <w:jc w:val="right"/>
              <w:ind w:right="617"/>
              <w:spacing w:after="0"/>
              <w:rPr>
                <w:sz w:val="20"/>
                <w:szCs w:val="20"/>
                <w:color w:val="auto"/>
              </w:rPr>
            </w:pPr>
            <w:r>
              <w:rPr>
                <w:rFonts w:ascii="Arial" w:cs="Arial" w:eastAsia="Arial" w:hAnsi="Arial"/>
                <w:sz w:val="18"/>
                <w:szCs w:val="18"/>
                <w:color w:val="auto"/>
              </w:rPr>
              <w:t>1,756</w:t>
            </w:r>
          </w:p>
        </w:tc>
        <w:tc>
          <w:tcPr>
            <w:tcW w:w="1100" w:type="dxa"/>
            <w:vAlign w:val="bottom"/>
          </w:tcPr>
          <w:p>
            <w:pPr>
              <w:jc w:val="right"/>
              <w:spacing w:after="0"/>
              <w:rPr>
                <w:sz w:val="20"/>
                <w:szCs w:val="20"/>
                <w:color w:val="auto"/>
              </w:rPr>
            </w:pPr>
            <w:r>
              <w:rPr>
                <w:rFonts w:ascii="Arial" w:cs="Arial" w:eastAsia="Arial" w:hAnsi="Arial"/>
                <w:sz w:val="18"/>
                <w:szCs w:val="18"/>
                <w:color w:val="auto"/>
              </w:rPr>
              <w:t>574 %</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46,865</w:t>
            </w:r>
          </w:p>
        </w:tc>
        <w:tc>
          <w:tcPr>
            <w:tcW w:w="100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30,102</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16,763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Total revenue increased by $16.8 million, or 56%, from $30.1 million for the three months ended June 30, 2020, to $46.9 million for the three months ended June 30, 2021.</w:t>
      </w:r>
    </w:p>
    <w:p>
      <w:pPr>
        <w:spacing w:after="0" w:line="12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Diagnostic test revenue increased by $15.0 million, or 50%, from $29.8 million for the three months ended June 30, 2020, to $44.8 million for the three months ended June 30, 2021. The increase was primarily attributable to an increase in volumes of 149%, partially offset by the change in the mix of tests performed and reduced reimbursement rates. The increase in volume was primarily driven by the introduction of COVID-19 testing in the second quarter of 2020, and an increase in performing large carrier screening tests.</w:t>
      </w:r>
    </w:p>
    <w:p>
      <w:pPr>
        <w:spacing w:after="0" w:line="107"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20"/>
          <w:szCs w:val="20"/>
          <w:color w:val="auto"/>
        </w:rPr>
        <w:t>Other revenue increased by $1.8 million, or 574%, from $0.3 million for the three months ended June 30, 2020, to $2.1 million for the three months ended June 30, 2021. The increase was primarily attributable to growth in collaboration service activities due to the execution of three new third-party contracts. Other revenues are expected to continue to be driven predominately by services performed pursuant to contracts with third parties.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Services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2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2"/>
              </w:rPr>
              <w:t>(dollars in thousands)</w:t>
            </w: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49,631</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35,985</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13,646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Cost of services increased by $13.6 million, or 38%, from $36.0 million for the three months ended June 30, 2020, to $49.6 million for the three months ended June 30, 2021. The increase was primarily driven by the following components: a $3.9 million increase in overall personnel-related expenses driven by an increase in average headcount; a $1.9 million increase in outside labor costs driven by temporary hires contracted to perform COVID-19 testing activities; a $1.7 million increase in expenses for logistical costs due to higher accessioned volumes; a $2.7 million increase in reagents and laboratory supplies expense due primarily to the increase in accessioned volumes; a $0.9 million increase in software expenses due to increased cloud storage and expanded computing capacity requirements for testing data; a $2.3 million increase in depreciation expenses driven by our Stamford laboratory facility commencing operations and a $0.2 million increase in occupancy expenses in connection with our laboratory move at the end of 2020, with production activities commencing at the Stamford facility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i w:val="1"/>
          <w:iCs w:val="1"/>
          <w:color w:val="auto"/>
        </w:rPr>
        <w:t>Research and Development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ind w:left="62"/>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2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ind w:left="62"/>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11,954</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2,593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Research and development expense increased by $2.6 million, or 28%, from $9.4 million for the three months ended June 30, 2020, to $12.0 million for the three months ended June 30, 2021. The increase was primarily attributable to an overall increase in depreciation costs by $1.2 million; a $0.8 million increase in expenses for reagents, laboratory supplies and laboratory software for research and development; an overall increase in compensation costs of $0.2 million; and a $0.4 million increase in consulting services.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and Marketing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ind w:left="62"/>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2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ind w:left="62"/>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w w:val="91"/>
              </w:rPr>
              <w:t>(dollars in thousands)</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16,247</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7,561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Selling and marketing expense increased by $7.6 million, or 87%, from $8.7 million for the three months ended June 30, 2020 to $16.2 million for the three months ended June 30, 2021. The increase was primarily attributable to the following cost components: a $5.2 million increase in personnel-related expenses driven by increased headcount; a $0.7 million increase in travel and business expense; a $0.5 million increase in information technology-related expenses; a $0.7 million increase in consulting service expenses to support revenue cycle transformation initiatives; and a $0.2 million increase in other administrative expenses.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and Administrative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ind w:left="62"/>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2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ind w:left="62"/>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12,794</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4,673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General and administrative expense increased by $4.7 million, or 58%, from $8.1 million for the three months ended June 30, 2020, to $12.8 million for the three months ended June 30, 2021. The increase was primarily attributable to an increase in personnel-related costs of</w:t>
      </w:r>
    </w:p>
    <w:p>
      <w:pPr>
        <w:jc w:val="both"/>
        <w:spacing w:after="0" w:line="261" w:lineRule="auto"/>
        <w:rPr>
          <w:sz w:val="20"/>
          <w:szCs w:val="20"/>
          <w:color w:val="auto"/>
        </w:rPr>
      </w:pPr>
      <w:r>
        <w:rPr>
          <w:rFonts w:ascii="Arial" w:cs="Arial" w:eastAsia="Arial" w:hAnsi="Arial"/>
          <w:sz w:val="19"/>
          <w:szCs w:val="19"/>
          <w:color w:val="auto"/>
        </w:rPr>
        <w:t>$1.2 million driven by an increase in headcoun</w:t>
      </w:r>
      <w:r>
        <w:rPr>
          <w:rFonts w:ascii="Arial" w:cs="Arial" w:eastAsia="Arial" w:hAnsi="Arial"/>
          <w:sz w:val="20"/>
          <w:szCs w:val="20"/>
          <w:color w:val="auto"/>
        </w:rPr>
        <w:t>t; a $0.3 m</w:t>
      </w:r>
      <w:r>
        <w:rPr>
          <w:rFonts w:ascii="Arial" w:cs="Arial" w:eastAsia="Arial" w:hAnsi="Arial"/>
          <w:sz w:val="19"/>
          <w:szCs w:val="19"/>
          <w:color w:val="auto"/>
        </w:rPr>
        <w:t>illion increase in software expenses due to increased cloud storage requirements; and an increase in expenses of $3.2 million for professional services incurred in connection with pursuing the Business Combination transaction that did not meet the requirement for capitalization. These increases were partially offset by a $0.1 million decrease in occupancy expenses in connection with our laboratory move from New York City to Stamford, Connecticut.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i w:val="1"/>
          <w:iCs w:val="1"/>
          <w:color w:val="auto"/>
        </w:rPr>
        <w:t>Related Party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2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2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20" w:type="dxa"/>
            <w:vAlign w:val="bottom"/>
          </w:tcPr>
          <w:p>
            <w:pPr>
              <w:jc w:val="center"/>
              <w:ind w:left="304"/>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080" w:type="dxa"/>
            <w:vAlign w:val="bottom"/>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20" w:type="dxa"/>
            <w:vAlign w:val="bottom"/>
          </w:tcPr>
          <w:p>
            <w:pPr>
              <w:jc w:val="right"/>
              <w:ind w:right="1344"/>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(dollars in thousands)</w:t>
            </w:r>
          </w:p>
        </w:tc>
        <w:tc>
          <w:tcPr>
            <w:tcW w:w="1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624"/>
              <w:spacing w:after="0"/>
              <w:rPr>
                <w:sz w:val="20"/>
                <w:szCs w:val="20"/>
                <w:color w:val="auto"/>
              </w:rPr>
            </w:pPr>
            <w:r>
              <w:rPr>
                <w:rFonts w:ascii="Arial" w:cs="Arial" w:eastAsia="Arial" w:hAnsi="Arial"/>
                <w:sz w:val="18"/>
                <w:szCs w:val="18"/>
                <w:color w:val="auto"/>
              </w:rPr>
              <w:t>(1,223)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Related party expenses decreased by $1.2 million, or 58%, from $2.1 million for the three months ended June 30, 2020, to $0.9 million for the three months ended June 30, 2021. The decrease was primarily attributable to the following cost components: a $0.5 million decrease in fees associated with information technology support pursuant to the transition services agreement with Icahn School of Medicine at Mount Sinai ("ISMMS"); and a $0.7 million decrease in rent and facility expenses driven by a reduction of office and lab space leased from ISMMS pursuant to the transition services agreement, which ended in first quarter of 2021.</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jc w:val="center"/>
              <w:ind w:left="304"/>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2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jc w:val="center"/>
              <w:ind w:left="304"/>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1160" w:type="dxa"/>
            <w:vAlign w:val="bottom"/>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jc w:val="right"/>
              <w:ind w:right="1344"/>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2"/>
              </w:rPr>
              <w:t>(dollars in thousands)</w:t>
            </w: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CEEFF"/>
          </w:tcPr>
          <w:p>
            <w:pPr>
              <w:jc w:val="right"/>
              <w:ind w:right="98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76  $</w:t>
            </w:r>
          </w:p>
        </w:tc>
        <w:tc>
          <w:tcPr>
            <w:tcW w:w="1500" w:type="dxa"/>
            <w:vAlign w:val="bottom"/>
            <w:shd w:val="clear" w:color="auto" w:fill="CCEEFF"/>
          </w:tcPr>
          <w:p>
            <w:pPr>
              <w:jc w:val="right"/>
              <w:ind w:right="624"/>
              <w:spacing w:after="0"/>
              <w:rPr>
                <w:sz w:val="20"/>
                <w:szCs w:val="20"/>
                <w:color w:val="auto"/>
              </w:rPr>
            </w:pPr>
            <w:r>
              <w:rPr>
                <w:rFonts w:ascii="Arial" w:cs="Arial" w:eastAsia="Arial" w:hAnsi="Arial"/>
                <w:sz w:val="18"/>
                <w:szCs w:val="18"/>
                <w:color w:val="auto"/>
              </w:rPr>
              <w:t>(67)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Interest income decreased by $0.1 million, or 88%, from $0.1 million for the three months ended June 30, 2020, to a nominal amount for the three months ended June 30, 2021. The decrease was due to declines in interest rates on money market deposit accounts and reductions in the average cash balances held in these interest-bearing accounts.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jc w:val="center"/>
              <w:ind w:left="4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2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jc w:val="center"/>
              <w:ind w:left="4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020" w:type="dxa"/>
            <w:vAlign w:val="bottom"/>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(107)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Interest expense increased by $0.1 million, or 17%, from $0.6 million for the three months ended June 30, 2020, to $0.7 million for the three months ended June 30, 2021</w:t>
      </w:r>
      <w:r>
        <w:rPr>
          <w:rFonts w:ascii="Arial" w:cs="Arial" w:eastAsia="Arial" w:hAnsi="Arial"/>
          <w:sz w:val="20"/>
          <w:szCs w:val="20"/>
          <w:color w:val="FF0000"/>
        </w:rPr>
        <w:t>.</w:t>
      </w:r>
      <w:r>
        <w:rPr>
          <w:rFonts w:ascii="Arial" w:cs="Arial" w:eastAsia="Arial" w:hAnsi="Arial"/>
          <w:sz w:val="20"/>
          <w:szCs w:val="20"/>
          <w:color w:val="auto"/>
        </w:rPr>
        <w:t xml:space="preserve"> The increase was driven by new loans executed in the second half of 2020.</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jc w:val="center"/>
              <w:ind w:left="10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2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jc w:val="center"/>
              <w:ind w:left="10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120" w:type="dxa"/>
            <w:vAlign w:val="bottom"/>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w w:val="92"/>
              </w:rPr>
              <w:t>(dollars in thousands)</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120" w:type="dxa"/>
            <w:vAlign w:val="bottom"/>
            <w:shd w:val="clear" w:color="auto" w:fill="CCEEFF"/>
          </w:tcPr>
          <w:p>
            <w:pPr>
              <w:jc w:val="right"/>
              <w:ind w:right="94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(2,649)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Other income, net decreased by $2.6 million from $2.6 million for the three months ended June 30, 2020, to no amount recorded for the three months ended June 30, 2021. The decrease in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4" w:name="page15"/>
    <w:bookmarkEnd w:id="14"/>
    <w:p>
      <w:pPr>
        <w:jc w:val="both"/>
        <w:spacing w:after="0" w:line="260" w:lineRule="auto"/>
        <w:rPr>
          <w:sz w:val="20"/>
          <w:szCs w:val="20"/>
          <w:color w:val="auto"/>
        </w:rPr>
      </w:pPr>
      <w:r>
        <w:rPr>
          <w:rFonts w:ascii="Arial" w:cs="Arial" w:eastAsia="Arial" w:hAnsi="Arial"/>
          <w:sz w:val="20"/>
          <w:szCs w:val="20"/>
          <w:color w:val="auto"/>
        </w:rPr>
        <w:t>was primarily attributable to $2.6 million in funding that we received and recognized under the CARES Act during the three months ended June 30, 2020.</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Six Months Ended June 30, 2021, and 2020</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sets forth our results of operations for the periods presented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8"/>
        </w:trPr>
        <w:tc>
          <w:tcPr>
            <w:tcW w:w="7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6"/>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107,563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75,866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r>
      <w:tr>
        <w:trPr>
          <w:trHeight w:val="236"/>
        </w:trPr>
        <w:tc>
          <w:tcPr>
            <w:tcW w:w="798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111,216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76,757</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121,443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75,224</w:t>
            </w: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color w:val="auto"/>
              </w:rPr>
              <w:t>Gross (loss) profit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22,457</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20,419</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15,285</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Related party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4,306</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(60,934)</w:t>
            </w:r>
          </w:p>
        </w:tc>
      </w:tr>
      <w:tr>
        <w:trPr>
          <w:trHeight w:val="297"/>
        </w:trPr>
        <w:tc>
          <w:tcPr>
            <w:tcW w:w="79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1,892</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(59,042)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(59,042)</w:t>
            </w:r>
          </w:p>
        </w:tc>
      </w:tr>
      <w:tr>
        <w:trPr>
          <w:trHeight w:val="20"/>
        </w:trPr>
        <w:tc>
          <w:tcPr>
            <w:tcW w:w="7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right"/>
              <w:ind w:right="257"/>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2600" w:type="dxa"/>
            <w:vAlign w:val="bottom"/>
            <w:gridSpan w:val="3"/>
            <w:vMerge w:val="restart"/>
          </w:tcPr>
          <w:p>
            <w:pPr>
              <w:jc w:val="right"/>
              <w:ind w:right="76"/>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right"/>
              <w:ind w:right="97"/>
              <w:spacing w:after="0"/>
              <w:rPr>
                <w:sz w:val="20"/>
                <w:szCs w:val="20"/>
                <w:color w:val="auto"/>
              </w:rPr>
            </w:pPr>
            <w:r>
              <w:rPr>
                <w:rFonts w:ascii="Arial" w:cs="Arial" w:eastAsia="Arial" w:hAnsi="Arial"/>
                <w:sz w:val="14"/>
                <w:szCs w:val="14"/>
                <w:b w:val="1"/>
                <w:bCs w:val="1"/>
                <w:color w:val="auto"/>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100" w:type="dxa"/>
            <w:vAlign w:val="bottom"/>
          </w:tcPr>
          <w:p>
            <w:pPr>
              <w:jc w:val="right"/>
              <w:ind w:right="6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w w:val="92"/>
              </w:rPr>
              <w:t>(dollars in thousands)</w:t>
            </w: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107,563</w:t>
            </w:r>
          </w:p>
        </w:tc>
        <w:tc>
          <w:tcPr>
            <w:tcW w:w="100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75,866</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rPr>
              <w:t>31,697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3,653</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891</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tcPr>
          <w:p>
            <w:pPr>
              <w:jc w:val="right"/>
              <w:ind w:right="617"/>
              <w:spacing w:after="0"/>
              <w:rPr>
                <w:sz w:val="20"/>
                <w:szCs w:val="20"/>
                <w:color w:val="auto"/>
              </w:rPr>
            </w:pPr>
            <w:r>
              <w:rPr>
                <w:rFonts w:ascii="Arial" w:cs="Arial" w:eastAsia="Arial" w:hAnsi="Arial"/>
                <w:sz w:val="18"/>
                <w:szCs w:val="18"/>
                <w:color w:val="auto"/>
              </w:rPr>
              <w:t>2,762</w:t>
            </w:r>
          </w:p>
        </w:tc>
        <w:tc>
          <w:tcPr>
            <w:tcW w:w="1100" w:type="dxa"/>
            <w:vAlign w:val="bottom"/>
          </w:tcPr>
          <w:p>
            <w:pPr>
              <w:jc w:val="right"/>
              <w:spacing w:after="0"/>
              <w:rPr>
                <w:sz w:val="20"/>
                <w:szCs w:val="20"/>
                <w:color w:val="auto"/>
              </w:rPr>
            </w:pPr>
            <w:r>
              <w:rPr>
                <w:rFonts w:ascii="Arial" w:cs="Arial" w:eastAsia="Arial" w:hAnsi="Arial"/>
                <w:sz w:val="18"/>
                <w:szCs w:val="18"/>
                <w:color w:val="auto"/>
              </w:rPr>
              <w:t>310 %</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111,216</w:t>
            </w:r>
          </w:p>
        </w:tc>
        <w:tc>
          <w:tcPr>
            <w:tcW w:w="100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34,459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Total revenue increased by $34.5 million, or 45%, from $76.8 million for the six months ended June 30, 2020, to $111.2 million for the six months ended June 30, 2021.</w:t>
      </w:r>
    </w:p>
    <w:p>
      <w:pPr>
        <w:spacing w:after="0" w:line="12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Diagnostic test revenue increased by $31.7 million, or 42%, from $75.9 million for the six months ended June 30, 2020, to $107.6 million for the six months ended June 30, 2021. The increase was primarily attributable to a 40% increase in volumes (e.g., COVID-19) and overall increase in volumes of 252%, partially offset by the change in the mix of tests performed and reduced reimbursement rates. COVID-19 testing was introduced in May of 2020 which had an immaterial impact on volume during the six months ended June 30, 2020, compared to approximately 217,000 tests in the six months ended June</w:t>
      </w:r>
    </w:p>
    <w:p>
      <w:pPr>
        <w:sectPr>
          <w:pgSz w:w="11900" w:h="16838" w:orient="portrait"/>
          <w:cols w:equalWidth="0" w:num="1">
            <w:col w:w="11240"/>
          </w:cols>
          <w:pgMar w:left="320"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color w:val="auto"/>
        </w:rPr>
        <w:t>30, 2021. There was also an increase in large carrier screening tests performed during the six months ended June 30, 2020.</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Other revenue increased by $2.8 million, or 310%, from $0.9 million for the six months ended June 30, 2020, to $3.7 million for the six months ended June 30, 2021</w:t>
      </w:r>
      <w:r>
        <w:rPr>
          <w:rFonts w:ascii="Arial" w:cs="Arial" w:eastAsia="Arial" w:hAnsi="Arial"/>
          <w:sz w:val="19"/>
          <w:szCs w:val="19"/>
          <w:color w:val="FF0000"/>
        </w:rPr>
        <w:t>.</w:t>
      </w:r>
      <w:r>
        <w:rPr>
          <w:rFonts w:ascii="Arial" w:cs="Arial" w:eastAsia="Arial" w:hAnsi="Arial"/>
          <w:sz w:val="19"/>
          <w:szCs w:val="19"/>
          <w:color w:val="auto"/>
        </w:rPr>
        <w:t xml:space="preserve"> The increase was primarily attributable to growth in collaboration service activities due to the execution of two new third-party contracts, partially offset by reduced revenues recognized related to an existing third-party contract. Other revenues are expected to continue to be driven predominately by services performed pursuant to contracts with third parties.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Services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260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2"/>
              </w:rPr>
              <w:t>(dollars in thousands)</w:t>
            </w: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121,443</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75,224</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46,219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Cost of services increased by $46.2 million, or 61%, from $75.2 million for the six months ended June 30, 2020, to $121.4 million for the six months ended June 30, 2021. The increase was primarily driven by the following cost components: a $19.5 million increase in stock-based compensation expense primarily driven by the increase in fair value of the liability-classified awards; a $8.0 million increase in personnel-related expenses driven by an increase in average headcount; a $4.3 million increase in outside labor costs driven by temporary hires contracted to perform COVID-19 testing activities; a $2.9 million increase in logistical expenses as a result of an increase in operations; a $2.5 million increase in reagents and laboratory supplies expense due primarily to the 252% increase in accessioned volumes coupled with the lower per-test cost of performing carrier screening and COVID-19 tests relative to our other tests; a $2.0 million increase in software expenses due to increased cloud storage and expanded computing capacity requirements from New York City to Stamford, Connecticut for testing data; a $2.4 million increase in the inventory obsolescence reserve for expiring COVID-19 testing kits; and a $1.0 million increase in occupancy expenses and a $3.6 million increase in depreciation expenses in connection with our laboratory move at the end of 2020, with production activities commencing at the Stamford facility in the first quarter of 2021.</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258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2"/>
              </w:rPr>
              <w:t>(dollars in thousands)</w:t>
            </w: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65,085</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22,457</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42,628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Research and development expenses increased by $42.6 million, or 190%, from $22.5 million for the six months ended June 30, 2020, to $65.1 million for the six months ended June 30, 2021. The increase was primarily attributable to the following cost components: a $37.7 million increase in stock-based compensation expense driven by the increase in fair value of the liability-classified awards; and a $2.7 million increase in expenses for reagents, laboratory supplies, and laboratory software for research and development; and $2.2 million increase in depreciation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i w:val="1"/>
          <w:iCs w:val="1"/>
          <w:color w:val="auto"/>
        </w:rPr>
        <w:t>Selling and Marketing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258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2"/>
              </w:rPr>
              <w:t>(dollars in thousands)</w:t>
            </w: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47,816</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20,419</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27,397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Selling and marketing expenses increased by $27.4 million, or 134%, from $20.4 million for the six months ended June 30, 2020, to $47.8 million for the six months ended June 30, 2021. The increase was primarily attributable to the following cost components: an $18.4 million increase in stock-based compensation expense driven by the increase in fair value of the liability-classified awards; a $6.2 million increase in personnel-related expenses driven by increased headcount; a $1.2 million increase in consulting service expenses to support revenue cycle transformation initiatives; a $1.0 million increase in information technology-related expenses; a $0.3 million increase in other administrative expenses; and a $0.1 million increase in travel and business expenses.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and Administrative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jc w:val="center"/>
              <w:ind w:left="102"/>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260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jc w:val="center"/>
              <w:ind w:left="102"/>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1"/>
              </w:rPr>
              <w:t>(dollars in thousands)</w:t>
            </w: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114,711</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15,285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99,426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General and administrative expenses increased by $99.4 million, or 650%, from $15.3 million for the six months ended June 30, 2020, to $114.7 million for the six months ended June 30, 2021. The increase was primarily attributable to the following cost components: an $88.3 million increase in stock-based compensation expense driven by the increase in fair value of the liability-classified awards and an increase in the number of outstanding awards; a $5.2 million increase in expenses incurred in connection with pursuing the Business Combination transaction that did not meet the requirement for capitalization; a $4.2 million increase in personnel-related expenses driven by an increase in average headcount including executive headcount; a $0.6 million increase in software expenses due to increased cloud storage requirements; and a $1.6 million increase in insurance expenses driven by transitioning to obtaining standalone insurance policies separate from ISMMS. These increases were partially offset by a $0.7 million decrease in occupancy expenses in connection with our laboratory move from New York City to Stamford, Connecticut.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Related Party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jc w:val="center"/>
              <w:ind w:left="10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258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jc w:val="center"/>
              <w:ind w:left="10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020" w:type="dxa"/>
            <w:vAlign w:val="bottom"/>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w w:val="92"/>
              </w:rPr>
              <w:t>(dollars in thousands)</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(1,621)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Related party expenses decreased by $1.6 million, or 38%, from $4.3 million for the six months ended June 30, 2020, to $2.7 million for the six months ended June 30, 2021. The decrease was primarily attributable to the following cost components: a $0.7 million decrease in fees associated with information technology support pursuant to the transition services agreement with ISMMS; and a $0.9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7" w:name="page18"/>
    <w:bookmarkEnd w:id="17"/>
    <w:p>
      <w:pPr>
        <w:jc w:val="both"/>
        <w:ind w:right="20"/>
        <w:spacing w:after="0" w:line="260" w:lineRule="auto"/>
        <w:rPr>
          <w:sz w:val="20"/>
          <w:szCs w:val="20"/>
          <w:color w:val="auto"/>
        </w:rPr>
      </w:pPr>
      <w:r>
        <w:rPr>
          <w:rFonts w:ascii="Arial" w:cs="Arial" w:eastAsia="Arial" w:hAnsi="Arial"/>
          <w:sz w:val="20"/>
          <w:szCs w:val="20"/>
          <w:color w:val="auto"/>
        </w:rPr>
        <w:t>decrease in rent and facility expenses driven by a reduction of office and lab space leased from ISMMS pursuant to the transition services agreement which ended in the first quarter of 2021.</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jc w:val="center"/>
              <w:ind w:left="4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258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jc w:val="center"/>
              <w:ind w:left="4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120" w:type="dxa"/>
            <w:vAlign w:val="bottom"/>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CCEEFF"/>
          </w:tcPr>
          <w:p>
            <w:pPr>
              <w:jc w:val="right"/>
              <w:ind w:right="94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(380)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Interest income decreased by $0.4 million, or 93%, from $0.4 million for the six months ended June 30, 2020, to a nominal amount for the six months ended June 30, 2021. The decrease was due to declines in interest rates on money market deposit accounts and reductions in the average cash balances held in these interest-bearing accounts.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ind w:left="62"/>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260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ind w:left="62"/>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(1,445)</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(1,189)</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(256)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Interest expense increased by $0.3 million, or 22%, from $1.2 million for the six months ended June 30, 2020, to $1.4 million for the six months ended June 30, 2021. The increase was driven by new capital lease obligations for our Stamford laboratory facility which commenced operations in 2021.</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jc w:val="center"/>
              <w:ind w:left="4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258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jc w:val="center"/>
              <w:ind w:left="4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020" w:type="dxa"/>
            <w:vAlign w:val="bottom"/>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2,913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Other income, net increased by $2.9 million from $2.7 million for the six months ended June 30, 2020, to $5.6 million for the six months ended June 30, 2021. The increase in other income, net was primarily attributable to $5.6 million in funding that we received and recognized as other income under the CARES Act in the first quarter of 2021.</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Financial Measures</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8" w:name="page19"/>
    <w:bookmarkEnd w:id="18"/>
    <w:p>
      <w:pPr>
        <w:jc w:val="both"/>
        <w:spacing w:after="0" w:line="244" w:lineRule="auto"/>
        <w:rPr>
          <w:sz w:val="20"/>
          <w:szCs w:val="20"/>
          <w:color w:val="auto"/>
        </w:rPr>
      </w:pPr>
      <w:r>
        <w:rPr>
          <w:rFonts w:ascii="Arial" w:cs="Arial" w:eastAsia="Arial" w:hAnsi="Arial"/>
          <w:sz w:val="20"/>
          <w:szCs w:val="20"/>
          <w:color w:val="auto"/>
        </w:rPr>
        <w:t>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4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1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all expenditures or future requirements for capital expenditures or contractual commitments;</w:t>
      </w:r>
    </w:p>
    <w:p>
      <w:pPr>
        <w:spacing w:after="0" w:line="161"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changes in our working capital needs;</w:t>
      </w:r>
    </w:p>
    <w:p>
      <w:pPr>
        <w:spacing w:after="0" w:line="161"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provision for income taxes, which may be a necessary element of our costs and ability to operate;</w:t>
      </w:r>
    </w:p>
    <w:p>
      <w:pPr>
        <w:spacing w:after="0" w:line="161"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the costs of replacing the assets being depreciated, which will often have to be replaced in the future;</w:t>
      </w:r>
    </w:p>
    <w:p>
      <w:pPr>
        <w:spacing w:after="0" w:line="161"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the non-cash component of employee compensation expense; and</w:t>
      </w:r>
    </w:p>
    <w:p>
      <w:pPr>
        <w:spacing w:after="0" w:line="161" w:lineRule="exact"/>
        <w:rPr>
          <w:rFonts w:ascii="Arial" w:cs="Arial" w:eastAsia="Arial" w:hAnsi="Arial"/>
          <w:sz w:val="20"/>
          <w:szCs w:val="20"/>
          <w:b w:val="1"/>
          <w:bCs w:val="1"/>
          <w:i w:val="1"/>
          <w:iCs w:val="1"/>
          <w:color w:val="auto"/>
        </w:rPr>
      </w:pPr>
    </w:p>
    <w:p>
      <w:pPr>
        <w:ind w:left="660" w:hanging="328"/>
        <w:spacing w:after="0" w:line="260" w:lineRule="auto"/>
        <w:tabs>
          <w:tab w:leader="none" w:pos="648"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the impact of earnings or charges resulting from matters we consider not to be reflective, on a recurring basis, of our ongoing operations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Gross Profit and Adjusted Gross Margin</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Adjusted Gross Profit is a non-GAAP financial measure that we define as revenue less cost of services, excluding stock-based compensation expense,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40"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The following is a reconciliation of revenue to our Adjusted Gross Profit and Adjusted Gross Margin for the three months ended June 30, 2021, and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 June 30,</w:t>
            </w:r>
          </w:p>
        </w:tc>
      </w:tr>
      <w:tr>
        <w:trPr>
          <w:trHeight w:val="25"/>
        </w:trPr>
        <w:tc>
          <w:tcPr>
            <w:tcW w:w="7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jc w:val="right"/>
              <w:ind w:right="632"/>
              <w:spacing w:after="0"/>
              <w:rPr>
                <w:sz w:val="20"/>
                <w:szCs w:val="20"/>
                <w:color w:val="auto"/>
              </w:rPr>
            </w:pPr>
            <w:r>
              <w:rPr>
                <w:rFonts w:ascii="Arial" w:cs="Arial" w:eastAsia="Arial" w:hAnsi="Arial"/>
                <w:sz w:val="14"/>
                <w:szCs w:val="14"/>
                <w:b w:val="1"/>
                <w:bCs w:val="1"/>
                <w:color w:val="auto"/>
              </w:rPr>
              <w:t>2020</w:t>
            </w:r>
          </w:p>
        </w:tc>
      </w:tr>
      <w:tr>
        <w:trPr>
          <w:trHeight w:val="25"/>
        </w:trPr>
        <w:tc>
          <w:tcPr>
            <w:tcW w:w="7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6"/>
                <w:szCs w:val="16"/>
                <w:color w:val="auto"/>
              </w:rPr>
            </w:pPr>
          </w:p>
        </w:tc>
      </w:tr>
      <w:tr>
        <w:trPr>
          <w:trHeight w:val="25"/>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46,865</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30,102</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400" w:type="dxa"/>
            <w:vAlign w:val="bottom"/>
          </w:tcPr>
          <w:p>
            <w:pPr>
              <w:spacing w:after="0"/>
              <w:rPr>
                <w:sz w:val="21"/>
                <w:szCs w:val="21"/>
                <w:color w:val="auto"/>
              </w:rPr>
            </w:pP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49,631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35,985</w:t>
            </w:r>
          </w:p>
        </w:tc>
      </w:tr>
      <w:tr>
        <w:trPr>
          <w:trHeight w:val="27"/>
        </w:trPr>
        <w:tc>
          <w:tcPr>
            <w:tcW w:w="7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(2,766)</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(5,883)</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Gross Margin</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r>
      <w:tr>
        <w:trPr>
          <w:trHeight w:val="27"/>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21"/>
                <w:szCs w:val="21"/>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(126)</w:t>
            </w:r>
          </w:p>
        </w:tc>
      </w:tr>
      <w:tr>
        <w:trPr>
          <w:trHeight w:val="27"/>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COVID-19 costs</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3,179</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Adjusted Gross (Loss) Profit</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(3,085)</w:t>
            </w:r>
          </w:p>
        </w:tc>
        <w:tc>
          <w:tcPr>
            <w:tcW w:w="8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(2,830)</w:t>
            </w:r>
          </w:p>
        </w:tc>
      </w:tr>
      <w:tr>
        <w:trPr>
          <w:trHeight w:val="27"/>
        </w:trPr>
        <w:tc>
          <w:tcPr>
            <w:tcW w:w="7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r>
      <w:tr>
        <w:trPr>
          <w:trHeight w:val="27"/>
        </w:trPr>
        <w:tc>
          <w:tcPr>
            <w:tcW w:w="7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9" w:name="page20"/>
    <w:bookmarkEnd w:id="19"/>
    <w:p>
      <w:pPr>
        <w:ind w:left="340" w:hanging="332"/>
        <w:spacing w:after="0" w:line="286" w:lineRule="auto"/>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Represents labor costs with respect to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348"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The following is a reconciliation of revenue to our Adjusted Gross Profit and Adjusted Gross Margin for the six months ended June 30, 2021, and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7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jc w:val="right"/>
              <w:ind w:right="632"/>
              <w:spacing w:after="0"/>
              <w:rPr>
                <w:sz w:val="20"/>
                <w:szCs w:val="20"/>
                <w:color w:val="auto"/>
              </w:rPr>
            </w:pPr>
            <w:r>
              <w:rPr>
                <w:rFonts w:ascii="Arial" w:cs="Arial" w:eastAsia="Arial" w:hAnsi="Arial"/>
                <w:sz w:val="14"/>
                <w:szCs w:val="14"/>
                <w:b w:val="1"/>
                <w:bCs w:val="1"/>
                <w:color w:val="auto"/>
              </w:rPr>
              <w:t>2020</w:t>
            </w:r>
          </w:p>
        </w:tc>
      </w:tr>
      <w:tr>
        <w:trPr>
          <w:trHeight w:val="26"/>
        </w:trPr>
        <w:tc>
          <w:tcPr>
            <w:tcW w:w="7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6"/>
                <w:szCs w:val="16"/>
                <w:color w:val="auto"/>
              </w:rPr>
            </w:pPr>
          </w:p>
        </w:tc>
      </w:tr>
      <w:tr>
        <w:trPr>
          <w:trHeight w:val="26"/>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111,216</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76,757</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400" w:type="dxa"/>
            <w:vAlign w:val="bottom"/>
          </w:tcPr>
          <w:p>
            <w:pPr>
              <w:spacing w:after="0"/>
              <w:rPr>
                <w:sz w:val="21"/>
                <w:szCs w:val="21"/>
                <w:color w:val="auto"/>
              </w:rPr>
            </w:pP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121,443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75,224</w:t>
            </w:r>
          </w:p>
        </w:tc>
      </w:tr>
      <w:tr>
        <w:trPr>
          <w:trHeight w:val="27"/>
        </w:trPr>
        <w:tc>
          <w:tcPr>
            <w:tcW w:w="7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(10,227)</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1,533</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Gross Margin</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r>
      <w:tr>
        <w:trPr>
          <w:trHeight w:val="27"/>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21"/>
                <w:szCs w:val="21"/>
                <w:color w:val="auto"/>
              </w:rPr>
            </w:pP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19,463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(6)</w:t>
            </w:r>
          </w:p>
        </w:tc>
      </w:tr>
      <w:tr>
        <w:trPr>
          <w:trHeight w:val="27"/>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COVID Costs</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3,179</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9,236</w:t>
            </w:r>
          </w:p>
        </w:tc>
        <w:tc>
          <w:tcPr>
            <w:tcW w:w="8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4,706</w:t>
            </w:r>
          </w:p>
        </w:tc>
      </w:tr>
      <w:tr>
        <w:trPr>
          <w:trHeight w:val="27"/>
        </w:trPr>
        <w:tc>
          <w:tcPr>
            <w:tcW w:w="7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r>
      <w:tr>
        <w:trPr>
          <w:trHeight w:val="27"/>
        </w:trPr>
        <w:tc>
          <w:tcPr>
            <w:tcW w:w="7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19" w:lineRule="exact"/>
        <w:rPr>
          <w:sz w:val="20"/>
          <w:szCs w:val="20"/>
          <w:color w:val="auto"/>
        </w:rPr>
      </w:pPr>
    </w:p>
    <w:p>
      <w:pPr>
        <w:ind w:left="340" w:hanging="332"/>
        <w:spacing w:after="0" w:line="276" w:lineRule="auto"/>
        <w:tabs>
          <w:tab w:leader="none" w:pos="34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Represents labor costs with respect to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EBITDA</w:t>
      </w:r>
    </w:p>
    <w:p>
      <w:pPr>
        <w:spacing w:after="0" w:line="162"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6"/>
          <w:szCs w:val="16"/>
          <w:color w:val="auto"/>
        </w:rPr>
        <w:t>Adjusted EBITDA is a non-GAAP financial measure that we define as net loss adjusted for interest expense, net, depreciation and amortization, stock-based compensation expenses, transaction costs, other (income) expense, net and COVID-19 costs. We believe Adjusted EBITDA is useful in evaluating our operating performance compared to that of other companies in our industry, as this metric generally eliminates the effects of certain items that may vary from company to company for reasons unrelated to overall operating performance.</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is a reconciliation of our net loss to Adjusted EBITDA for the three months ended June 30, 2021, and 2020:</w:t>
      </w:r>
    </w:p>
    <w:p>
      <w:pPr>
        <w:sectPr>
          <w:pgSz w:w="11900" w:h="16838" w:orient="portrait"/>
          <w:cols w:equalWidth="0" w:num="1">
            <w:col w:w="11240"/>
          </w:cols>
          <w:pgMar w:left="320" w:top="14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 net</w:t>
      </w:r>
      <w:r>
        <w:rPr>
          <w:rFonts w:ascii="Arial" w:cs="Arial" w:eastAsia="Arial" w:hAnsi="Arial"/>
          <w:sz w:val="23"/>
          <w:szCs w:val="23"/>
          <w:color w:val="auto"/>
          <w:vertAlign w:val="superscript"/>
        </w:rPr>
        <w:t>(1)</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and amortization</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Stock-based compensation expense</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(2)</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(3)</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shd w:val="clear" w:color="auto" w:fill="CCEEFF"/>
        </w:rPr>
        <w:t>COVID-19 costs</w:t>
      </w:r>
      <w:r>
        <w:rPr>
          <w:rFonts w:ascii="Arial" w:cs="Arial" w:eastAsia="Arial" w:hAnsi="Arial"/>
          <w:sz w:val="23"/>
          <w:szCs w:val="23"/>
          <w:color w:val="auto"/>
          <w:vertAlign w:val="superscript"/>
          <w:shd w:val="clear" w:color="auto" w:fill="CCEEFF"/>
        </w:rPr>
        <w:t>(4)</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20485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5"/>
        </w:trPr>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360" w:type="dxa"/>
            <w:vAlign w:val="bottom"/>
          </w:tcPr>
          <w:p>
            <w:pPr>
              <w:spacing w:after="0"/>
              <w:rPr>
                <w:sz w:val="16"/>
                <w:szCs w:val="16"/>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6"/>
                <w:szCs w:val="16"/>
                <w:color w:val="auto"/>
              </w:rPr>
            </w:pPr>
          </w:p>
        </w:tc>
      </w:tr>
      <w:tr>
        <w:trPr>
          <w:trHeight w:val="268"/>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(45,362)</w:t>
            </w:r>
          </w:p>
        </w:tc>
        <w:tc>
          <w:tcPr>
            <w:tcW w:w="10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(32,052)</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2,682</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(2,617)</w:t>
            </w:r>
          </w:p>
        </w:tc>
      </w:tr>
      <w:tr>
        <w:trPr>
          <w:trHeight w:val="270"/>
        </w:trPr>
        <w:tc>
          <w:tcPr>
            <w:tcW w:w="3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3,179</w:t>
            </w:r>
          </w:p>
        </w:tc>
      </w:tr>
      <w:tr>
        <w:trPr>
          <w:trHeight w:val="27"/>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6"/>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(36,398)</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(28,464)</w:t>
            </w:r>
          </w:p>
        </w:tc>
      </w:tr>
      <w:tr>
        <w:trPr>
          <w:trHeight w:val="27"/>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-1413510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-1071245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-728345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-385445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220"/>
          </w:cols>
          <w:pgMar w:left="320" w:top="14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color w:val="auto"/>
        </w:rPr>
        <w:t>__________________</w:t>
      </w:r>
    </w:p>
    <w:p>
      <w:pPr>
        <w:spacing w:after="0" w:line="1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total of Interest Expense related to our capital leases and interest-bearing loans and Interest Income on money market funds.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professional service costs incurred in connection with pursuing the Business Combination transaction that did not meet the requirement for capitalization.</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months ended June 30, 2020, consists of funding received under the CARES Act Provider Relief Fund.</w:t>
      </w:r>
    </w:p>
    <w:p>
      <w:pPr>
        <w:spacing w:after="0" w:line="5" w:lineRule="exact"/>
        <w:rPr>
          <w:rFonts w:ascii="Arial" w:cs="Arial" w:eastAsia="Arial" w:hAnsi="Arial"/>
          <w:sz w:val="16"/>
          <w:szCs w:val="16"/>
          <w:color w:val="auto"/>
        </w:rPr>
      </w:pPr>
    </w:p>
    <w:p>
      <w:pPr>
        <w:ind w:left="340" w:hanging="332"/>
        <w:spacing w:after="0" w:line="276" w:lineRule="auto"/>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labor costs with respect to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is a reconciliation of our net loss to Adjusted EBITDA for the six months ended June 30, 2021, and 2020:</w:t>
      </w:r>
    </w:p>
    <w:p>
      <w:pPr>
        <w:sectPr>
          <w:pgSz w:w="11900" w:h="16838" w:orient="portrait"/>
          <w:cols w:equalWidth="0" w:num="1">
            <w:col w:w="11240"/>
          </w:cols>
          <w:pgMar w:left="320" w:top="14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 net</w:t>
      </w:r>
      <w:r>
        <w:rPr>
          <w:rFonts w:ascii="Arial" w:cs="Arial" w:eastAsia="Arial" w:hAnsi="Arial"/>
          <w:sz w:val="23"/>
          <w:szCs w:val="23"/>
          <w:color w:val="auto"/>
          <w:vertAlign w:val="superscript"/>
        </w:rPr>
        <w:t>(1)</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and amortization</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Stock-based compensation expense</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(2)</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(3)</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COVID-19 costs</w:t>
      </w:r>
      <w:r>
        <w:rPr>
          <w:rFonts w:ascii="Arial" w:cs="Arial" w:eastAsia="Arial" w:hAnsi="Arial"/>
          <w:sz w:val="23"/>
          <w:szCs w:val="23"/>
          <w:color w:val="auto"/>
          <w:vertAlign w:val="superscript"/>
        </w:rPr>
        <w:t>(4)</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20485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6"/>
        </w:trPr>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360" w:type="dxa"/>
            <w:vAlign w:val="bottom"/>
          </w:tcPr>
          <w:p>
            <w:pPr>
              <w:spacing w:after="0"/>
              <w:rPr>
                <w:sz w:val="16"/>
                <w:szCs w:val="16"/>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6"/>
                <w:szCs w:val="16"/>
                <w:color w:val="auto"/>
              </w:rPr>
            </w:pPr>
          </w:p>
        </w:tc>
      </w:tr>
      <w:tr>
        <w:trPr>
          <w:trHeight w:val="269"/>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(236,355)</w:t>
            </w:r>
          </w:p>
        </w:tc>
        <w:tc>
          <w:tcPr>
            <w:tcW w:w="10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(59,042)</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10,521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5,080</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164,443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(2,617)</w:t>
            </w:r>
          </w:p>
        </w:tc>
      </w:tr>
      <w:tr>
        <w:trPr>
          <w:trHeight w:val="270"/>
        </w:trPr>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3,179</w:t>
            </w:r>
          </w:p>
        </w:tc>
      </w:tr>
      <w:tr>
        <w:trPr>
          <w:trHeight w:val="27"/>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(60,455)</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(52,001)</w:t>
            </w:r>
          </w:p>
        </w:tc>
      </w:tr>
      <w:tr>
        <w:trPr>
          <w:trHeight w:val="27"/>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-1414145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-1071245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-728345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-385445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7300" w:space="720"/>
            <w:col w:w="3220"/>
          </w:cols>
          <w:pgMar w:left="320" w:top="1426" w:right="3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__________________</w:t>
      </w:r>
    </w:p>
    <w:p>
      <w:pPr>
        <w:spacing w:after="0" w:line="1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color w:val="auto"/>
        </w:rPr>
        <w:t>Represents the total of Interest Expense related to our capital leases and interest-bearing loans and Interest Income on money market funds.</w:t>
      </w:r>
    </w:p>
    <w:p>
      <w:pPr>
        <w:spacing w:after="0" w:line="5" w:lineRule="exact"/>
        <w:rPr>
          <w:rFonts w:ascii="Arial" w:cs="Arial" w:eastAsia="Arial" w:hAnsi="Arial"/>
          <w:sz w:val="16"/>
          <w:szCs w:val="16"/>
          <w:b w:val="1"/>
          <w:bCs w:val="1"/>
          <w:i w:val="1"/>
          <w:iCs w:val="1"/>
          <w:color w:val="auto"/>
        </w:rPr>
      </w:pPr>
    </w:p>
    <w:p>
      <w:pPr>
        <w:ind w:left="340" w:hanging="332"/>
        <w:spacing w:after="0"/>
        <w:tabs>
          <w:tab w:leader="none" w:pos="34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color w:val="auto"/>
        </w:rPr>
        <w:t>Represents professional service costs incurred in connection with pursuing the Business Combination transaction that did not meet the requirement for capitalization.</w:t>
      </w:r>
    </w:p>
    <w:p>
      <w:pPr>
        <w:spacing w:after="0" w:line="28" w:lineRule="exact"/>
        <w:rPr>
          <w:rFonts w:ascii="Arial" w:cs="Arial" w:eastAsia="Arial" w:hAnsi="Arial"/>
          <w:sz w:val="14"/>
          <w:szCs w:val="14"/>
          <w:b w:val="1"/>
          <w:bCs w:val="1"/>
          <w:i w:val="1"/>
          <w:iCs w:val="1"/>
          <w:color w:val="auto"/>
        </w:rPr>
      </w:pPr>
    </w:p>
    <w:p>
      <w:pPr>
        <w:ind w:left="340" w:hanging="332"/>
        <w:spacing w:after="0"/>
        <w:tabs>
          <w:tab w:leader="none" w:pos="340"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color w:val="auto"/>
        </w:rPr>
        <w:t>For the six months ended June 30, 2021 and 2020, consists of funding received under the CARES Act Provider Relief Fund.</w:t>
      </w:r>
    </w:p>
    <w:p>
      <w:pPr>
        <w:spacing w:after="0" w:line="5" w:lineRule="exact"/>
        <w:rPr>
          <w:rFonts w:ascii="Arial" w:cs="Arial" w:eastAsia="Arial" w:hAnsi="Arial"/>
          <w:sz w:val="16"/>
          <w:szCs w:val="16"/>
          <w:b w:val="1"/>
          <w:bCs w:val="1"/>
          <w:i w:val="1"/>
          <w:iCs w:val="1"/>
          <w:color w:val="auto"/>
        </w:rPr>
      </w:pPr>
    </w:p>
    <w:p>
      <w:pPr>
        <w:ind w:left="340" w:hanging="332"/>
        <w:spacing w:after="0" w:line="276" w:lineRule="auto"/>
        <w:tabs>
          <w:tab w:leader="none" w:pos="340" w:val="left"/>
        </w:tabs>
        <w:numPr>
          <w:ilvl w:val="0"/>
          <w:numId w:val="7"/>
        </w:numPr>
        <w:rPr>
          <w:rFonts w:ascii="Arial" w:cs="Arial" w:eastAsia="Arial" w:hAnsi="Arial"/>
          <w:sz w:val="15"/>
          <w:szCs w:val="15"/>
          <w:b w:val="1"/>
          <w:bCs w:val="1"/>
          <w:i w:val="1"/>
          <w:iCs w:val="1"/>
          <w:color w:val="auto"/>
        </w:rPr>
      </w:pPr>
      <w:r>
        <w:rPr>
          <w:rFonts w:ascii="Arial" w:cs="Arial" w:eastAsia="Arial" w:hAnsi="Arial"/>
          <w:sz w:val="15"/>
          <w:szCs w:val="15"/>
          <w:color w:val="auto"/>
        </w:rPr>
        <w:t>Represents labor costs with respect to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Going Concern, Liquidity and Capital Resources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We have evaluated whether there are certain conditions and events, considered in the aggregate, that raise substantial doubt about our ability to continue as a going concern within one year after the date that the condensed financial statements are issued. Based on our recurring losses from operations incurred since inception, an expectation of continuing operating losses for the foreseeable future, and the need to raise additional capital to finance its future operations raised substantial doubt about our ability to continue as a going concern, as disclosed in Sema4’s audited financial statements as of December 31, 2020, and 2019 and condensed financial statements included within CMLS's definitive proxy statement filed with the SEC on July 2, 2021.</w:t>
      </w:r>
    </w:p>
    <w:p>
      <w:pPr>
        <w:spacing w:after="0" w:line="124"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On July 22, 2021, we completed the Business Combination with CMLS and received net cash proceeds of $510 million. Management determined that the cash proceeds received from the Business Combination provides us with sufficient liquidity to meet our obligations for at least twelve months from the date of this Report. Accordingly, management believes that its plans to improve our liquidity position have been effectively implemented and the conditions that previously raised substantial doubt about our ability to continue as a going concern have been mitigated.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21" w:name="page22"/>
    <w:bookmarkEnd w:id="21"/>
    <w:p>
      <w:pPr>
        <w:jc w:val="both"/>
        <w:ind w:right="20" w:firstLine="324"/>
        <w:spacing w:after="0" w:line="316" w:lineRule="auto"/>
        <w:rPr>
          <w:sz w:val="20"/>
          <w:szCs w:val="20"/>
          <w:color w:val="auto"/>
        </w:rPr>
      </w:pPr>
      <w:r>
        <w:rPr>
          <w:rFonts w:ascii="Arial" w:cs="Arial" w:eastAsia="Arial" w:hAnsi="Arial"/>
          <w:sz w:val="18"/>
          <w:szCs w:val="18"/>
          <w:color w:val="auto"/>
        </w:rPr>
        <w:t>Accordingly, the condensed financial statements have been prepared on a basis that assumes we will continue as a going concern and which contemplates the realization of assets and satisfaction of liabilities and commitments in the ordinary course of business.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Material Cash Requirements for Known Contractual Obligations and Commitments</w:t>
      </w:r>
    </w:p>
    <w:p>
      <w:pPr>
        <w:spacing w:after="0" w:line="16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following is a description of commitments for known and reasonably likely cash requirements as of June 30, 2021 and December 31, 2020. We anticipate fulfilling such commitments with our existing cash and cash equivalents, which amounted to $26.5 million and $108.1 million as of June 30, 2021 and December 31, 2020, respectively, or through additional capital raised to finance our operations; see "—Going Concern, Liquidity and Capital Resources".</w:t>
      </w:r>
    </w:p>
    <w:p>
      <w:pPr>
        <w:spacing w:after="0" w:line="13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Our future minimum payments under non-cancellable operating lease agreements were $70.5 million as of June 30, 2021 and $73.3 million as of December 31, 2020. The timing of these future payments, by year, can be found in Sema4’s audited financial statements in Note 8, “Commitments and Contingencies” and Sema4’s unaudited condensed financial statements in Note 8, “Commitments and Contingencies,” respectively.</w:t>
      </w:r>
    </w:p>
    <w:p>
      <w:pPr>
        <w:spacing w:after="0" w:line="13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Our future payments under capital leases were $67.8 million as of June 30, 2021. The timing of these future payments, by year, can be found in Sema4’s audited financial statements in Note 8, “Commitments and Contingencies” and Sema4’s unaudited condensed financial statements in Note 8, “Commitments and Contingencies,” respectively.</w:t>
      </w:r>
    </w:p>
    <w:p>
      <w:pPr>
        <w:spacing w:after="0" w:line="132" w:lineRule="exact"/>
        <w:rPr>
          <w:sz w:val="20"/>
          <w:szCs w:val="20"/>
          <w:color w:val="auto"/>
        </w:rPr>
      </w:pPr>
    </w:p>
    <w:p>
      <w:pPr>
        <w:ind w:right="140" w:firstLine="324"/>
        <w:spacing w:after="0" w:line="278" w:lineRule="auto"/>
        <w:rPr>
          <w:sz w:val="20"/>
          <w:szCs w:val="20"/>
          <w:color w:val="auto"/>
        </w:rPr>
      </w:pPr>
      <w:r>
        <w:rPr>
          <w:rFonts w:ascii="Arial" w:cs="Arial" w:eastAsia="Arial" w:hAnsi="Arial"/>
          <w:sz w:val="18"/>
          <w:szCs w:val="18"/>
          <w:color w:val="auto"/>
        </w:rPr>
        <w:t>In 2016, ISMMS received a loan funding commitment from the Connecticut Department of Economic Community Development (the "DECD"), which we refer to as the DECD Loan Agreement, to support the Genetic Sequencing Laboratory Project, which we refer to as the Project. As part of the spin-out of Sema4 from ISMMS, ISMMS assigned both the Project and the DECD Loan Agreement to us. In June of 2018, we amended the DECD Loan Agreement by increasing the total loan commitment amount to $15.5 million. During the years ended December 31, 2020 and 2018, we received $6.0 million and $4.5 million, respectively, in loan funding.</w:t>
      </w:r>
    </w:p>
    <w:p>
      <w:pPr>
        <w:spacing w:after="0" w:line="11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terms of the amended DECD Loan Agreement require us to make interest-only payments through July 2023 and principal and interest payments commencing in August 2023. The final payment of principal and interest is due in July 2028. Interest payments are fixed at an annual interest rate of 2.0%. The outstanding loan balance from the DECD was $11.0 million at June 30, 2021 and December 31, 2020. The DECD may grant partial principal loan forgiveness that is contingent upon Sema4 achieving certain milestones. As of June 30, 2021, $4.5 million of principal had been forgiven due to the achievement of these milestones. The timing of these future payments, by year, can be found in Sema4’s audited financial statements in Note 7, “Long-Term Debt” and Sema4’s unaudited condensed financial statements in Note 7, “Long-term debt.”</w:t>
      </w:r>
    </w:p>
    <w:p>
      <w:pPr>
        <w:spacing w:after="0" w:line="13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During the year ended December 31, 2020, we entered into a Master Loan and Security Agreement, or the Equipment Note, with a bank resulting in the receipt of $6.3 million of proceeds. The loan is fully secured with funds deposited in a bank account opened by Sema4 in the lender-designated bank. Also, during the year ended December 31, 2020, we entered into a Master Lease Agreement with a lender whereby we agreed to sell certain equipment and immediately lease it back, resulting in the receipt of $3.6 million of proceeds. Sema4 issued a letter of credit as security for this loan. More information on the terms of these financing arrangements can be found in Sema4’s audited financial statements in Note 7, “Long-term debt” and Sema4’s unaudited condensed financial statements in Note 7,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22" w:name="page23"/>
    <w:bookmarkEnd w:id="22"/>
    <w:p>
      <w:pPr>
        <w:jc w:val="both"/>
        <w:ind w:firstLine="324"/>
        <w:spacing w:after="0" w:line="244" w:lineRule="auto"/>
        <w:rPr>
          <w:sz w:val="20"/>
          <w:szCs w:val="20"/>
          <w:color w:val="auto"/>
        </w:rPr>
      </w:pPr>
      <w:r>
        <w:rPr>
          <w:rFonts w:ascii="Arial" w:cs="Arial" w:eastAsia="Arial" w:hAnsi="Arial"/>
          <w:sz w:val="20"/>
          <w:szCs w:val="20"/>
          <w:color w:val="auto"/>
        </w:rPr>
        <w:t>The terms of the Equipment Note require us to make sixty consecutive monthly payments of principal and interest at a fixed monthly amount of $0.1 million beginning in November 2020. Interest payments are fixed at an annual interest rate of 4.75%. The outstanding loan balance was $5.5 million and $6.1 million at June 30, 2021 and December 31, 2020, respectively. The timing of these future payments, by year, can be found in Sema4’s audited financial statements in Note 7, “Long-Term Debt” and Sema4’s unaudited condensed financial statements in Note 7, “Long-term debt,” respectively.</w:t>
      </w:r>
    </w:p>
    <w:p>
      <w:pPr>
        <w:spacing w:after="0" w:line="14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The terms of the Master Lease Agreement require us to make sixty consecutive monthly payments of principal and interest at a fixed monthly amount of $0.1 million beginning in February 2021. Interest payments are fixed at an annual interest rate of 3.54%. The outstanding loan balance was $3.4 million and $3.6 million at June 30, 2021 and December 31, 2020, respectively. The timing of these future payments, by year, can be found Sema4’s audited financial statements in Note 7, “Long-Term Debt” and Sema4’s unaudited condensed financial statements in Note 7, “Long-term debt,”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16"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Six Months Ended</w:t>
      </w:r>
    </w:p>
    <w:p>
      <w:pPr>
        <w:spacing w:after="0" w:line="17"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June,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22225</wp:posOffset>
            </wp:positionV>
            <wp:extent cx="20485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40" w:type="dxa"/>
            <w:vAlign w:val="bottom"/>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6"/>
        </w:trPr>
        <w:tc>
          <w:tcPr>
            <w:tcW w:w="58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8"/>
                <w:szCs w:val="18"/>
                <w:color w:val="auto"/>
              </w:rPr>
            </w:pPr>
          </w:p>
        </w:tc>
      </w:tr>
      <w:tr>
        <w:trPr>
          <w:trHeight w:val="26"/>
        </w:trPr>
        <w:tc>
          <w:tcPr>
            <w:tcW w:w="5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(67,509)</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(46,181)</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5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(9,475)</w:t>
            </w: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(15,486)</w:t>
            </w:r>
          </w:p>
        </w:tc>
      </w:tr>
      <w:tr>
        <w:trPr>
          <w:trHeight w:val="27"/>
        </w:trPr>
        <w:tc>
          <w:tcPr>
            <w:tcW w:w="5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r>
      <w:tr>
        <w:trPr>
          <w:trHeight w:val="27"/>
        </w:trPr>
        <w:tc>
          <w:tcPr>
            <w:tcW w:w="58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used in operating activities during the six months ended June 30, 2021 was $67.5 million, which was primarily attributable to a net loss of $236.4 million, partially offset by non-cash depreciation and amortization of $10.5 million and non-cash stock-based compensation expense of $164.4 million. The net change in our operating assets and liabilities primarily reflected a $7.5 million decrease in accounts receivable due to a significant decrease in COVID-19 tests performed during the second quarter of 2021, a $6.6 million increase in inventories driven by a higher volume of purchases to support increasing testing volumes, a $9.7 million increase in prepaid expenses and other current assets mainly driven by professional services costs directly related to the Business Combination, a $8.4 million increase in accounts payable and accrued expenses due to the timing of vendor payments of large vendors, and an $7.8 million decrease in other current liabilities mainly driven by a decline in our bonus accrual following bonus payments in March 2021 and other personnel related expenses.</w:t>
      </w:r>
    </w:p>
    <w:p>
      <w:pPr>
        <w:spacing w:after="0" w:line="91"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Net cash used in operating activities during the six months ended June 30, 2020 was $46.2 million, which was primarily attributable to a net loss of $59.0 million, partially offset by non-cash depreciation and amortization of $5.1 million and non-cash lease expenses of $5.2 million. The net change in our operating assets and liabilities primarily reflected a $1.2 million decrease in other assets driven by a reclass out of other assets into restricted cash, a decrease in inventory of $1.3 million, a decrease in prepaid expenses and other current assets of $2.6 million and a decrease in other current liabilities of $2.9 million.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Net cash used in investing activities during the six months ended June 30, 2021 was $9.5 million, which was attributable to $3.3 million in purchases of property and equipment and $6.2 million of costs related to development of internal-use software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23" w:name="page24"/>
    <w:bookmarkEnd w:id="23"/>
    <w:p>
      <w:pPr>
        <w:jc w:val="both"/>
        <w:ind w:firstLine="324"/>
        <w:spacing w:after="0" w:line="287" w:lineRule="auto"/>
        <w:rPr>
          <w:sz w:val="20"/>
          <w:szCs w:val="20"/>
          <w:color w:val="auto"/>
        </w:rPr>
      </w:pPr>
      <w:r>
        <w:rPr>
          <w:rFonts w:ascii="Arial" w:cs="Arial" w:eastAsia="Arial" w:hAnsi="Arial"/>
          <w:sz w:val="19"/>
          <w:szCs w:val="19"/>
          <w:color w:val="auto"/>
        </w:rPr>
        <w:t>Net cash used in investing activities during the six months ended June 30, 2020 was $15.5 million, which was attributable to $13.6 million in purchases of property and equipment and $1.9 million of costs related to development of internal-use software assets.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6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Net cash used in financing activities during the six months ended June 30, 2021 was $4.6 million, which was attributable to $2.8 million in payments for the capitalized portion of the transaction costs related to the Business Combination, $2.0 million in principal payments on our capital lease obligations and $0.8 million in principal payments on our long-term debt obligations, offset by $1.0 million cash received from stock option exercise.</w:t>
      </w:r>
    </w:p>
    <w:p>
      <w:pPr>
        <w:spacing w:after="0" w:line="13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Net cash provided by financing activities during the six months ended June 30, 2020 was $3.7 million, which was attributable to $6.0 million in cash proceeds from the issuance of long-term debt, partially offset by $2.3 million in principal payments on our capital lease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168"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We did not have during the periods presented, and we do not currently have, any off-balance sheet arrangements, as defined in the rules and regulations of the SEC.</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Quantitative and Qualitative Disclosures about Market Risk</w:t>
      </w:r>
    </w:p>
    <w:p>
      <w:pPr>
        <w:spacing w:after="0" w:line="1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Our cash, cash equivalents, and restricted cash consists of bank deposits and money market funds, which totaled $118.9 million and $115.0 million at December 31, 2020 and 2019, respectively, and $37.3 million at June 30, 2021. Such interest-bearing instruments carry a degree of risk; however, because our investments are primarily high-quality credit instruments with short-term in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Our loans and financing obligations are recorded at amortized cost and are set at fixed interest rates. As a result, fluctuations in interest rates would not impact our financial statements. However, the fair value of our debt will generally fluctuate with movements of interest rates. Additional information on our long-term debt can be found in Sema4’s audited financial statements in Note 7, “Long-Term Debt” and Sema4’s unaudited condensed financial statements in Note 7, “Long-Term Debt.”</w:t>
      </w:r>
    </w:p>
    <w:p>
      <w:pPr>
        <w:spacing w:after="0" w:line="122"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The fair value of our liability-classified stock options is determined using the Black-Scholes model, which uses the risk-free interest rate as an input. A 100 basis point change in interest rates would not have a material effect on the fair value of our liability classified stock options using the Black-Scholes model.</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68"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We have prepared our financial statements in accordance with GAAP. Our preparation of these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24" w:name="page25"/>
    <w:bookmarkEnd w:id="24"/>
    <w:p>
      <w:pPr>
        <w:jc w:val="both"/>
        <w:ind w:firstLine="324"/>
        <w:spacing w:after="0" w:line="276"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While our significant accounting policies are described in more detail in Sema4’s audited financial statements in Note 2, “Summary of Significant Accounting Policies” and Sema4’s unaudited condensed financial statements in Note 2, “Summary of Significant Accounting Policies,” included elsewhere in this prospectus, we believe the following accounting policies to be critical to the judgments and estimates used in the preparation of our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6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Under ASC 606, revenue is recognized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 under ASC 606.</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Diagnostic test revenue</w:t>
      </w:r>
    </w:p>
    <w:p>
      <w:pPr>
        <w:spacing w:after="0" w:line="16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Our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transferred at a point in time. Specifically, we determined the customer obtains control of the promised service upon delivery of the test results.</w:t>
      </w:r>
    </w:p>
    <w:p>
      <w:pPr>
        <w:spacing w:after="0" w:line="13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Under ASC 606, we include the unconstrained amount of estimated variable consideration in the transaction price. The transaction price is constrained to only include the amount for which it is probable that a significant reversal of cumulative revenue recognized will not occur when underlying uncertainties or contingencies resolve. At the end of each subsequent reporting period, we re-evaluate the estimated variable consideration included in the transaction price and any related constraint and, if necessary, adjust our estimate of the overall transaction price. The process for estimating the transaction price associated with services provided to customers involves significant judgments and assumptions.</w:t>
      </w:r>
    </w:p>
    <w:p>
      <w:pPr>
        <w:spacing w:after="0" w:line="142"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6"/>
          <w:szCs w:val="16"/>
          <w:color w:val="auto"/>
        </w:rPr>
        <w:t>We estimate the transaction price in arrangements with third-party insurance payors based on historical collection experience, contractual provisions and insurance reimbursement policies, payor mix, and other relevant information for applicable payor portfolios.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7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For self-pay patients, we determine the transaction price associated with services rendered in consideration of implicit price concessions that are granted to such patients.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3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For institutional clients, the customer is the institution. We determine the transaction price associated with services rendered in accordance with the contractual rates established with each customer.</w:t>
      </w:r>
    </w:p>
    <w:p>
      <w:pPr>
        <w:spacing w:after="0" w:line="123"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We monitor these accrual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25" w:name="page26"/>
    <w:bookmarkEnd w:id="25"/>
    <w:p>
      <w:pPr>
        <w:jc w:val="both"/>
        <w:ind w:right="20"/>
        <w:spacing w:after="0" w:line="287" w:lineRule="auto"/>
        <w:rPr>
          <w:sz w:val="20"/>
          <w:szCs w:val="20"/>
          <w:color w:val="auto"/>
        </w:rPr>
      </w:pPr>
      <w:r>
        <w:rPr>
          <w:rFonts w:ascii="Arial" w:cs="Arial" w:eastAsia="Arial" w:hAnsi="Arial"/>
          <w:sz w:val="19"/>
          <w:szCs w:val="19"/>
          <w:color w:val="auto"/>
        </w:rPr>
        <w:t>transaction price and application of the constraint for variable consideration. If actual results in the future vary from our estimates, we will adjust these estimates, which could affect revenue and earnings in the period such variances become known.</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revenue</w:t>
      </w:r>
    </w:p>
    <w:p>
      <w:pPr>
        <w:spacing w:after="0" w:line="16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We also recognize revenue from collaboration service agreements with Biopharma companies and other third parties pursuant to which we provide diagnostic testing and related data aggregation reporting services.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we would not be able to fulfill our underlying promise to our customers by transferring each good or service independently. These contracts generally include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3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Under ASC 606,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The costs for any subcontracted services are included in our measure of progress used to recognize revenue.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Capitalized Internal-Use Software Costs</w:t>
      </w:r>
    </w:p>
    <w:p>
      <w:pPr>
        <w:spacing w:after="0" w:line="1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to review internal-use software for impairment. To the extent that we change our estimates related to internal-use software, the amount of internal-use software development costs we capitalize and amortize could change in future periods.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16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We measure stock-based compensation expense for liability-classified stock options granted to employees, consultants and directors based on the estimated fair value of the awards and recognize compensation expense over the requisite service period for each separate vesting portion of the award as if the award was, in-substance, multiple awards. Terms of our stock options include a provision whereby we have a call option to repurchase the award for cash upon termination of employment or termination of the consulting agreement. We have concluded that it is probable we will continue to exercise our call option prior to the award holder being subject to the risks and rewards of equity ownership. As a result, stock options are classified as liabilities in the accompanying balance sheets. Additional information on our stock-based compensation can be found in Sema4’s audited financial statements in Note 9,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color w:val="auto"/>
        </w:rPr>
        <w:t>Based Compensation” and Sema4’s unaudited condensed financial statements in Note 9, “Stock-Based Compensation.”</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The initial measurement of fair value and subsequent change in fair value are recognized as compensation expense over the requisite service period from grant date to settlement date for all awards that vest with a corresponding adjustment to stock-based compensation liabilities on the balance sheet. Shares of common stock issued upon settlement of an award continue to be classified as a liability and remeasured to fair value each reporting period until the shareholder bears the risks and rewards of equity ownership for a reasonable period of time, which we conclude is a period of at least six months.</w:t>
      </w:r>
    </w:p>
    <w:p>
      <w:pPr>
        <w:spacing w:after="0" w:line="14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We estimate the fair value of stock options using the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These assumptions include:</w:t>
      </w:r>
    </w:p>
    <w:p>
      <w:pPr>
        <w:spacing w:after="0" w:line="13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i w:val="1"/>
          <w:iCs w:val="1"/>
          <w:color w:val="auto"/>
        </w:rPr>
        <w:t>Expected volatility</w:t>
      </w:r>
      <w:r>
        <w:rPr>
          <w:rFonts w:ascii="Arial" w:cs="Arial" w:eastAsia="Arial" w:hAnsi="Arial"/>
          <w:sz w:val="20"/>
          <w:szCs w:val="20"/>
          <w:color w:val="auto"/>
        </w:rPr>
        <w:t>. As we do not have any trading history for our common stock, the expected volatility was estimated based on the</w:t>
      </w:r>
      <w:r>
        <w:rPr>
          <w:rFonts w:ascii="Arial" w:cs="Arial" w:eastAsia="Arial" w:hAnsi="Arial"/>
          <w:sz w:val="20"/>
          <w:szCs w:val="20"/>
          <w:i w:val="1"/>
          <w:iCs w:val="1"/>
          <w:color w:val="auto"/>
        </w:rPr>
        <w:t xml:space="preserve"> </w:t>
      </w:r>
      <w:r>
        <w:rPr>
          <w:rFonts w:ascii="Arial" w:cs="Arial" w:eastAsia="Arial" w:hAnsi="Arial"/>
          <w:sz w:val="20"/>
          <w:szCs w:val="20"/>
          <w:color w:val="auto"/>
        </w:rPr>
        <w:t>average volatility for 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We computed historical volatility using the daily closing prices for the selected companies’ common stock during the equivalent period of the calculated expected term of the stock-based awards.</w:t>
      </w:r>
    </w:p>
    <w:p>
      <w:pPr>
        <w:spacing w:after="0" w:line="14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Expected term</w:t>
      </w:r>
      <w:r>
        <w:rPr>
          <w:rFonts w:ascii="Arial" w:cs="Arial" w:eastAsia="Arial" w:hAnsi="Arial"/>
          <w:sz w:val="20"/>
          <w:szCs w:val="20"/>
          <w:color w:val="auto"/>
        </w:rPr>
        <w:t>. The expected term represents the period that awards are expected to be outstanding and is determined by the potential</w:t>
      </w:r>
      <w:r>
        <w:rPr>
          <w:rFonts w:ascii="Arial" w:cs="Arial" w:eastAsia="Arial" w:hAnsi="Arial"/>
          <w:sz w:val="20"/>
          <w:szCs w:val="20"/>
          <w:i w:val="1"/>
          <w:iCs w:val="1"/>
          <w:color w:val="auto"/>
        </w:rPr>
        <w:t xml:space="preserve"> </w:t>
      </w:r>
      <w:r>
        <w:rPr>
          <w:rFonts w:ascii="Arial" w:cs="Arial" w:eastAsia="Arial" w:hAnsi="Arial"/>
          <w:sz w:val="20"/>
          <w:szCs w:val="20"/>
          <w:color w:val="auto"/>
        </w:rPr>
        <w:t>timing of a liquidity event since all awards have accelerated vesting features upon a liquidation event and we generally do not expect grantees to exercise vested options prior to a liquidation event.</w:t>
      </w:r>
    </w:p>
    <w:p>
      <w:pPr>
        <w:spacing w:after="0" w:line="132"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yield curve in effect at the time of grant for bonds with</w:t>
      </w:r>
      <w:r>
        <w:rPr>
          <w:rFonts w:ascii="Arial" w:cs="Arial" w:eastAsia="Arial" w:hAnsi="Arial"/>
          <w:sz w:val="20"/>
          <w:szCs w:val="20"/>
          <w:i w:val="1"/>
          <w:iCs w:val="1"/>
          <w:color w:val="auto"/>
        </w:rPr>
        <w:t xml:space="preserve"> </w:t>
      </w:r>
      <w:r>
        <w:rPr>
          <w:rFonts w:ascii="Arial" w:cs="Arial" w:eastAsia="Arial" w:hAnsi="Arial"/>
          <w:sz w:val="20"/>
          <w:szCs w:val="20"/>
          <w:color w:val="auto"/>
        </w:rPr>
        <w:t>maturities consistent with the expected holding periods corresponding with the expected term of the option.</w:t>
      </w:r>
    </w:p>
    <w:p>
      <w:pPr>
        <w:spacing w:after="0" w:line="1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i w:val="1"/>
          <w:iCs w:val="1"/>
          <w:color w:val="auto"/>
        </w:rPr>
        <w:t>Dividend yield</w:t>
      </w:r>
      <w:r>
        <w:rPr>
          <w:rFonts w:ascii="Arial" w:cs="Arial" w:eastAsia="Arial" w:hAnsi="Arial"/>
          <w:sz w:val="20"/>
          <w:szCs w:val="20"/>
          <w:color w:val="auto"/>
        </w:rPr>
        <w:t>. We have not historically paid dividends on common stock and do not anticipate paying dividends in the foreseeable</w:t>
      </w:r>
      <w:r>
        <w:rPr>
          <w:rFonts w:ascii="Arial" w:cs="Arial" w:eastAsia="Arial" w:hAnsi="Arial"/>
          <w:sz w:val="20"/>
          <w:szCs w:val="20"/>
          <w:i w:val="1"/>
          <w:iCs w:val="1"/>
          <w:color w:val="auto"/>
        </w:rPr>
        <w:t xml:space="preserve"> </w:t>
      </w:r>
      <w:r>
        <w:rPr>
          <w:rFonts w:ascii="Arial" w:cs="Arial" w:eastAsia="Arial" w:hAnsi="Arial"/>
          <w:sz w:val="20"/>
          <w:szCs w:val="20"/>
          <w:color w:val="auto"/>
        </w:rPr>
        <w:t>future. Therefore, the expected dividend yield is zero.</w:t>
      </w:r>
    </w:p>
    <w:p>
      <w:pPr>
        <w:spacing w:after="0" w:line="12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 xml:space="preserve">Fair value of common stock. </w:t>
      </w:r>
      <w:r>
        <w:rPr>
          <w:rFonts w:ascii="Arial" w:cs="Arial" w:eastAsia="Arial" w:hAnsi="Arial"/>
          <w:sz w:val="20"/>
          <w:szCs w:val="20"/>
          <w:color w:val="auto"/>
        </w:rPr>
        <w:t>Prior to the closing of the Business Combination, the fair value of our common stock issuable upon exercise</w:t>
      </w:r>
      <w:r>
        <w:rPr>
          <w:rFonts w:ascii="Arial" w:cs="Arial" w:eastAsia="Arial" w:hAnsi="Arial"/>
          <w:sz w:val="20"/>
          <w:szCs w:val="20"/>
          <w:i w:val="1"/>
          <w:iCs w:val="1"/>
          <w:color w:val="auto"/>
        </w:rPr>
        <w:t xml:space="preserve"> </w:t>
      </w:r>
      <w:r>
        <w:rPr>
          <w:rFonts w:ascii="Arial" w:cs="Arial" w:eastAsia="Arial" w:hAnsi="Arial"/>
          <w:sz w:val="20"/>
          <w:szCs w:val="20"/>
          <w:color w:val="auto"/>
        </w:rPr>
        <w:t>of stock options was determined by our board of directors, with input from management and independent third-party valuations, as discussed in “Common Stock Valuations” below.</w:t>
      </w:r>
    </w:p>
    <w:p>
      <w:pPr>
        <w:spacing w:after="0" w:line="13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estimated forfeiture rate is not determinable due to a lack of historical and comparable data. Therefore, we account for forfeitures as they occur.</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Common Stock Valuations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The estimated fair value of common stock underlying our stock options was determined at each grant date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end of the reporting period. All options to purchase shares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27" w:name="page28"/>
    <w:bookmarkEnd w:id="27"/>
    <w:p>
      <w:pPr>
        <w:jc w:val="both"/>
        <w:ind w:right="20"/>
        <w:spacing w:after="0" w:line="260" w:lineRule="auto"/>
        <w:rPr>
          <w:sz w:val="20"/>
          <w:szCs w:val="20"/>
          <w:color w:val="auto"/>
        </w:rPr>
      </w:pPr>
      <w:r>
        <w:rPr>
          <w:rFonts w:ascii="Arial" w:cs="Arial" w:eastAsia="Arial" w:hAnsi="Arial"/>
          <w:sz w:val="20"/>
          <w:szCs w:val="20"/>
          <w:color w:val="auto"/>
        </w:rPr>
        <w:t>common stock are intended to be exercisable at a price per share not less than the per-share fair value of our common stock underlying those options on the date of grant.</w:t>
      </w:r>
    </w:p>
    <w:p>
      <w:pPr>
        <w:spacing w:after="0" w:line="12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We determined the fair value of our common stock using methodologies, approaches and assumptions consistent with the American Institute of Certified Public Accountants Accounting and Valuation Guide, Valuation of Privately-Held-Company Equity Securities Issued as Compensation. Given the absence of a public trading market for our common stock, our common stock valuation methodologies utilize certain assumptions, including probability weighting of events, volatility, time to liquidation, a risk-free interest rate and an assumption for a discount for lack of marketability. Other considerations include:</w:t>
      </w:r>
    </w:p>
    <w:p>
      <w:pPr>
        <w:spacing w:after="0" w:line="140"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9"/>
          <w:szCs w:val="19"/>
          <w:b w:val="1"/>
          <w:bCs w:val="1"/>
          <w:i w:val="1"/>
          <w:iCs w:val="1"/>
          <w:color w:val="auto"/>
        </w:rPr>
      </w:pPr>
      <w:r>
        <w:rPr>
          <w:rFonts w:ascii="Arial" w:cs="Arial" w:eastAsia="Arial" w:hAnsi="Arial"/>
          <w:sz w:val="19"/>
          <w:szCs w:val="19"/>
          <w:color w:val="auto"/>
        </w:rPr>
        <w:t>the prices, rights, preferences and privileges of our redeemable convertible preferred stock relative to our common stock;</w:t>
      </w:r>
    </w:p>
    <w:p>
      <w:pPr>
        <w:spacing w:after="0" w:line="173" w:lineRule="exact"/>
        <w:rPr>
          <w:rFonts w:ascii="Arial" w:cs="Arial" w:eastAsia="Arial" w:hAnsi="Arial"/>
          <w:sz w:val="19"/>
          <w:szCs w:val="19"/>
          <w:b w:val="1"/>
          <w:bCs w:val="1"/>
          <w:i w:val="1"/>
          <w:iCs w:val="1"/>
          <w:color w:val="auto"/>
        </w:rPr>
      </w:pPr>
    </w:p>
    <w:p>
      <w:pPr>
        <w:ind w:left="640" w:hanging="308"/>
        <w:spacing w:after="0"/>
        <w:tabs>
          <w:tab w:leader="none" w:pos="64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color w:val="auto"/>
        </w:rPr>
        <w:t>our operating and financial performance, forecasts and capital resources;</w:t>
      </w:r>
    </w:p>
    <w:p>
      <w:pPr>
        <w:spacing w:after="0" w:line="161"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color w:val="auto"/>
        </w:rPr>
        <w:t>current business conditions;</w:t>
      </w:r>
    </w:p>
    <w:p>
      <w:pPr>
        <w:spacing w:after="0" w:line="161"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color w:val="auto"/>
        </w:rPr>
        <w:t>our stage of commercialization;</w:t>
      </w:r>
    </w:p>
    <w:p>
      <w:pPr>
        <w:spacing w:after="0" w:line="161" w:lineRule="exact"/>
        <w:rPr>
          <w:rFonts w:ascii="Arial" w:cs="Arial" w:eastAsia="Arial" w:hAnsi="Arial"/>
          <w:sz w:val="20"/>
          <w:szCs w:val="20"/>
          <w:b w:val="1"/>
          <w:bCs w:val="1"/>
          <w:i w:val="1"/>
          <w:iCs w:val="1"/>
          <w:color w:val="auto"/>
        </w:rPr>
      </w:pPr>
    </w:p>
    <w:p>
      <w:pPr>
        <w:ind w:left="660" w:hanging="328"/>
        <w:spacing w:after="0" w:line="287" w:lineRule="auto"/>
        <w:tabs>
          <w:tab w:leader="none" w:pos="648" w:val="left"/>
        </w:tabs>
        <w:numPr>
          <w:ilvl w:val="0"/>
          <w:numId w:val="8"/>
        </w:numPr>
        <w:rPr>
          <w:rFonts w:ascii="Arial" w:cs="Arial" w:eastAsia="Arial" w:hAnsi="Arial"/>
          <w:sz w:val="19"/>
          <w:szCs w:val="19"/>
          <w:b w:val="1"/>
          <w:bCs w:val="1"/>
          <w:i w:val="1"/>
          <w:iCs w:val="1"/>
          <w:color w:val="auto"/>
        </w:rPr>
      </w:pPr>
      <w:r>
        <w:rPr>
          <w:rFonts w:ascii="Arial" w:cs="Arial" w:eastAsia="Arial" w:hAnsi="Arial"/>
          <w:sz w:val="19"/>
          <w:szCs w:val="19"/>
          <w:color w:val="auto"/>
        </w:rPr>
        <w:t>the likelihood of achieving a liquidity event for the shares of common stock issuable upon exercise of these stock options, such as an initial public offering, reverse merger SPAC transaction, or sale of Sema4, given prevailing market conditions;</w:t>
      </w:r>
    </w:p>
    <w:p>
      <w:pPr>
        <w:spacing w:after="0" w:line="98" w:lineRule="exact"/>
        <w:rPr>
          <w:rFonts w:ascii="Arial" w:cs="Arial" w:eastAsia="Arial" w:hAnsi="Arial"/>
          <w:sz w:val="19"/>
          <w:szCs w:val="19"/>
          <w:b w:val="1"/>
          <w:bCs w:val="1"/>
          <w:i w:val="1"/>
          <w:iCs w:val="1"/>
          <w:color w:val="auto"/>
        </w:rPr>
      </w:pPr>
    </w:p>
    <w:p>
      <w:pPr>
        <w:ind w:left="640" w:hanging="308"/>
        <w:spacing w:after="0"/>
        <w:tabs>
          <w:tab w:leader="none" w:pos="64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color w:val="auto"/>
        </w:rPr>
        <w:t>the market performance of comparable publicly traded technology companies; and</w:t>
      </w:r>
    </w:p>
    <w:p>
      <w:pPr>
        <w:spacing w:after="0" w:line="161"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color w:val="auto"/>
        </w:rPr>
        <w:t>the U.S. and global economic and capital market conditions.</w:t>
      </w:r>
    </w:p>
    <w:p>
      <w:pPr>
        <w:spacing w:after="0" w:line="1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In valuing our common stock for periods prior to December 31, 2020, we utilized the “backsolve” method to derive our implied enterprise value from arm’s length transactions in our redeemable convertible preferred securities assuming various timelines to liquidity via an initial public offering or sale. We then used an option-pricing model (“OPM”) to estimate the fair value of our common stock based on the calculated enterprise value under each liquidity scenario. The OPM treats the rights of the holders of redeemable convertible preferred stock and common stock as equivalent to that of call options on any value of the enterprise above certain break points of value based upon the liquidation preferences of the holders of preferred stock, as well as their rights to participation and conversion. Based on the timing and nature of an assumed liquidity event in each scenario, a discount for lack of marketability was applied to each scenario. We then probability weighted the value of each expected outcome to arrive at an estimate of fair value per share of common stock.</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In valuing our common stock prior to the closing of the Business Combination, including as of December 31, 2020, we estimated the fair value of the enterprise using the probability-weighted expected return method (“PWERM”), which is a highly complex and subjective valuation methodology. Under a PWERM, the fair market value of the common stock is estimated based upon the discounted expected future values for the enterprise assuming various future outcomes. Based on the timing and nature of an assumed liquidity event in each scenario, a discount for lack of marketability was applied to each scenario. We then probability-weighted the value of each expected outcome to arrive at an estimate of fair value per share of common stock.</w:t>
      </w:r>
    </w:p>
    <w:p>
      <w:pPr>
        <w:spacing w:after="0" w:line="124" w:lineRule="exact"/>
        <w:rPr>
          <w:sz w:val="20"/>
          <w:szCs w:val="20"/>
          <w:color w:val="auto"/>
        </w:rPr>
      </w:pPr>
    </w:p>
    <w:p>
      <w:pPr>
        <w:jc w:val="both"/>
        <w:ind w:right="20" w:firstLine="324"/>
        <w:spacing w:after="0" w:line="316" w:lineRule="auto"/>
        <w:rPr>
          <w:sz w:val="20"/>
          <w:szCs w:val="20"/>
          <w:color w:val="auto"/>
        </w:rPr>
      </w:pPr>
      <w:r>
        <w:rPr>
          <w:rFonts w:ascii="Arial" w:cs="Arial" w:eastAsia="Arial" w:hAnsi="Arial"/>
          <w:sz w:val="18"/>
          <w:szCs w:val="18"/>
          <w:color w:val="auto"/>
        </w:rPr>
        <w:t>For valuations after the closing of the Business Combination, our board of directors determines the fair value of each share of common stock based on the closing price of our common stock on the date of grant or other relevant determination date, as reported on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JOBS Act Accounting Election</w:t>
      </w:r>
    </w:p>
    <w:p>
      <w:pPr>
        <w:spacing w:after="0" w:line="168"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1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Following the completion of the Business Combination, 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6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Additional information on recent accounting pronouncements can be found in Sema4’s audited financial statements in Note 2, “Summary of Significant Accounting Policies” and Sema4’s unaudited condensed financial statements in Note 2, “Summary of Significant Accounting Policies.”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Internal Controls</w:t>
      </w:r>
    </w:p>
    <w:p>
      <w:pPr>
        <w:spacing w:after="0" w:line="168" w:lineRule="exact"/>
        <w:rPr>
          <w:sz w:val="20"/>
          <w:szCs w:val="20"/>
          <w:color w:val="auto"/>
        </w:rPr>
      </w:pPr>
    </w:p>
    <w:p>
      <w:pPr>
        <w:ind w:right="40" w:firstLine="324"/>
        <w:spacing w:after="0" w:line="246" w:lineRule="auto"/>
        <w:rPr>
          <w:sz w:val="20"/>
          <w:szCs w:val="20"/>
          <w:color w:val="auto"/>
        </w:rPr>
      </w:pPr>
      <w:r>
        <w:rPr>
          <w:rFonts w:ascii="Arial" w:cs="Arial" w:eastAsia="Arial" w:hAnsi="Arial"/>
          <w:sz w:val="20"/>
          <w:szCs w:val="20"/>
          <w:color w:val="auto"/>
        </w:rPr>
        <w:t>In connection with the preparation of Sema4's audited financial statements included in CMLS's definitive proxy statement filed with the SEC on July 2, 2021, we identified material weaknesses in our controls, which existed as of December 31, 2020. Our management is actively engaged and committed to taking the steps necessary to remediate the control deficiencies that constituted the material weaknesses. During 2021, we made the following enhancements to our control environment:</w:t>
      </w:r>
    </w:p>
    <w:p>
      <w:pPr>
        <w:spacing w:after="0" w:line="137" w:lineRule="exact"/>
        <w:rPr>
          <w:sz w:val="20"/>
          <w:szCs w:val="20"/>
          <w:color w:val="auto"/>
        </w:rPr>
      </w:pPr>
    </w:p>
    <w:p>
      <w:pPr>
        <w:jc w:val="both"/>
        <w:ind w:left="660" w:right="20" w:hanging="328"/>
        <w:spacing w:after="0" w:line="250" w:lineRule="auto"/>
        <w:tabs>
          <w:tab w:leader="none" w:pos="648" w:val="left"/>
        </w:tabs>
        <w:numPr>
          <w:ilvl w:val="0"/>
          <w:numId w:val="9"/>
        </w:numPr>
        <w:rPr>
          <w:rFonts w:ascii="Arial" w:cs="Arial" w:eastAsia="Arial" w:hAnsi="Arial"/>
          <w:sz w:val="20"/>
          <w:szCs w:val="20"/>
          <w:b w:val="1"/>
          <w:bCs w:val="1"/>
          <w:i w:val="1"/>
          <w:iCs w:val="1"/>
          <w:color w:val="auto"/>
        </w:rPr>
      </w:pPr>
      <w:r>
        <w:rPr>
          <w:rFonts w:ascii="Arial" w:cs="Arial" w:eastAsia="Arial" w:hAnsi="Arial"/>
          <w:sz w:val="20"/>
          <w:szCs w:val="20"/>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controls.</w:t>
      </w:r>
    </w:p>
    <w:p>
      <w:pPr>
        <w:spacing w:after="0" w:line="131" w:lineRule="exact"/>
        <w:rPr>
          <w:rFonts w:ascii="Arial" w:cs="Arial" w:eastAsia="Arial" w:hAnsi="Arial"/>
          <w:sz w:val="20"/>
          <w:szCs w:val="20"/>
          <w:b w:val="1"/>
          <w:bCs w:val="1"/>
          <w:i w:val="1"/>
          <w:iCs w:val="1"/>
          <w:color w:val="auto"/>
        </w:rPr>
      </w:pPr>
    </w:p>
    <w:p>
      <w:pPr>
        <w:jc w:val="both"/>
        <w:ind w:left="660" w:hanging="328"/>
        <w:spacing w:after="0" w:line="257" w:lineRule="auto"/>
        <w:tabs>
          <w:tab w:leader="none" w:pos="648" w:val="left"/>
        </w:tabs>
        <w:numPr>
          <w:ilvl w:val="0"/>
          <w:numId w:val="9"/>
        </w:numPr>
        <w:rPr>
          <w:rFonts w:ascii="Arial" w:cs="Arial" w:eastAsia="Arial" w:hAnsi="Arial"/>
          <w:sz w:val="19"/>
          <w:szCs w:val="19"/>
          <w:b w:val="1"/>
          <w:bCs w:val="1"/>
          <w:i w:val="1"/>
          <w:iCs w:val="1"/>
          <w:color w:val="auto"/>
        </w:rPr>
      </w:pPr>
      <w:r>
        <w:rPr>
          <w:rFonts w:ascii="Arial" w:cs="Arial" w:eastAsia="Arial" w:hAnsi="Arial"/>
          <w:sz w:val="19"/>
          <w:szCs w:val="19"/>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controls. We expect to continue to evaluate our needs for additional personnel. We expect to provide enhanced training to existing and new employees in order to enhance the level of communication and understanding of controls with key individuals that provide key information and perform key roles within our financial accounting and reporting group.</w:t>
      </w:r>
    </w:p>
    <w:p>
      <w:pPr>
        <w:spacing w:after="0" w:line="130" w:lineRule="exact"/>
        <w:rPr>
          <w:rFonts w:ascii="Arial" w:cs="Arial" w:eastAsia="Arial" w:hAnsi="Arial"/>
          <w:sz w:val="19"/>
          <w:szCs w:val="19"/>
          <w:b w:val="1"/>
          <w:bCs w:val="1"/>
          <w:i w:val="1"/>
          <w:iCs w:val="1"/>
          <w:color w:val="auto"/>
        </w:rPr>
      </w:pPr>
    </w:p>
    <w:p>
      <w:pPr>
        <w:ind w:left="660" w:right="20" w:hanging="328"/>
        <w:spacing w:after="0" w:line="287" w:lineRule="auto"/>
        <w:tabs>
          <w:tab w:leader="none" w:pos="648" w:val="left"/>
        </w:tabs>
        <w:numPr>
          <w:ilvl w:val="0"/>
          <w:numId w:val="9"/>
        </w:numPr>
        <w:rPr>
          <w:rFonts w:ascii="Arial" w:cs="Arial" w:eastAsia="Arial" w:hAnsi="Arial"/>
          <w:sz w:val="19"/>
          <w:szCs w:val="19"/>
          <w:b w:val="1"/>
          <w:bCs w:val="1"/>
          <w:i w:val="1"/>
          <w:iCs w:val="1"/>
          <w:color w:val="auto"/>
        </w:rPr>
      </w:pPr>
      <w:r>
        <w:rPr>
          <w:rFonts w:ascii="Arial" w:cs="Arial" w:eastAsia="Arial" w:hAnsi="Arial"/>
          <w:sz w:val="19"/>
          <w:szCs w:val="19"/>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both"/>
        <w:ind w:left="660" w:hanging="328"/>
        <w:spacing w:after="0" w:line="250" w:lineRule="auto"/>
        <w:tabs>
          <w:tab w:leader="none" w:pos="648" w:val="left"/>
        </w:tabs>
        <w:numPr>
          <w:ilvl w:val="0"/>
          <w:numId w:val="10"/>
        </w:numPr>
        <w:rPr>
          <w:rFonts w:ascii="Arial" w:cs="Arial" w:eastAsia="Arial" w:hAnsi="Arial"/>
          <w:sz w:val="20"/>
          <w:szCs w:val="20"/>
          <w:b w:val="1"/>
          <w:bCs w:val="1"/>
          <w:i w:val="1"/>
          <w:iCs w:val="1"/>
          <w:color w:val="auto"/>
        </w:rPr>
      </w:pPr>
      <w:r>
        <w:rPr>
          <w:rFonts w:ascii="Arial" w:cs="Arial" w:eastAsia="Arial" w:hAnsi="Arial"/>
          <w:sz w:val="20"/>
          <w:szCs w:val="20"/>
          <w:color w:val="auto"/>
        </w:rPr>
        <w:t>We engaged outside consultants to assist us in the evaluation of a new Enterprise Resource Planning (“ERP”) system in order to mitigate the internal control gaps and limitations that cannot be addressed by the current ERP system around segregation of duties, and to enhance the information technology general controls environment.</w:t>
      </w:r>
    </w:p>
    <w:p>
      <w:pPr>
        <w:spacing w:after="0" w:line="132"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Our remediation activities are continuing during 2021. In addition to the above actions, we expect to engage in additional activities, including, but not limited to:</w:t>
      </w:r>
    </w:p>
    <w:p>
      <w:pPr>
        <w:spacing w:after="0" w:line="123"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color w:val="auto"/>
        </w:rPr>
        <w:t>Hiring more technical accounting resources to enhance our control environment;</w:t>
      </w:r>
    </w:p>
    <w:p>
      <w:pPr>
        <w:spacing w:after="0" w:line="161" w:lineRule="exact"/>
        <w:rPr>
          <w:rFonts w:ascii="Arial" w:cs="Arial" w:eastAsia="Arial" w:hAnsi="Arial"/>
          <w:sz w:val="20"/>
          <w:szCs w:val="20"/>
          <w:b w:val="1"/>
          <w:bCs w:val="1"/>
          <w:i w:val="1"/>
          <w:iCs w:val="1"/>
          <w:color w:val="auto"/>
        </w:rPr>
      </w:pPr>
    </w:p>
    <w:p>
      <w:pPr>
        <w:jc w:val="both"/>
        <w:ind w:left="660" w:hanging="328"/>
        <w:spacing w:after="0" w:line="250" w:lineRule="auto"/>
        <w:tabs>
          <w:tab w:leader="none" w:pos="648"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color w:val="auto"/>
        </w:rPr>
        <w:t>Until we have sufficient technical accounting resources, engaging external consultants to provide support and to assist us in our evaluation of more complex applications of GAAP, and to assist us with documenting and assessing our accounting policies and procedures;</w:t>
      </w:r>
    </w:p>
    <w:p>
      <w:pPr>
        <w:spacing w:after="0" w:line="131" w:lineRule="exact"/>
        <w:rPr>
          <w:rFonts w:ascii="Arial" w:cs="Arial" w:eastAsia="Arial" w:hAnsi="Arial"/>
          <w:sz w:val="20"/>
          <w:szCs w:val="20"/>
          <w:b w:val="1"/>
          <w:bCs w:val="1"/>
          <w:i w:val="1"/>
          <w:iCs w:val="1"/>
          <w:color w:val="auto"/>
        </w:rPr>
      </w:pPr>
    </w:p>
    <w:p>
      <w:pPr>
        <w:jc w:val="both"/>
        <w:ind w:left="660" w:hanging="328"/>
        <w:spacing w:after="0" w:line="246" w:lineRule="auto"/>
        <w:tabs>
          <w:tab w:leader="none" w:pos="648"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color w:val="auto"/>
        </w:rPr>
        <w:t>Implementing business process-level controls across all significant accounts and information technology general controls across all relevant domains. This will include providing training for control owners that will present expectations as it relates to the control design, execution and monitoring of such controls, including enhancements to the documentation to evidence the execution of the controls; and</w:t>
      </w:r>
    </w:p>
    <w:p>
      <w:pPr>
        <w:spacing w:after="0" w:line="137" w:lineRule="exact"/>
        <w:rPr>
          <w:rFonts w:ascii="Arial" w:cs="Arial" w:eastAsia="Arial" w:hAnsi="Arial"/>
          <w:sz w:val="20"/>
          <w:szCs w:val="20"/>
          <w:b w:val="1"/>
          <w:bCs w:val="1"/>
          <w:i w:val="1"/>
          <w:iCs w:val="1"/>
          <w:color w:val="auto"/>
        </w:rPr>
      </w:pPr>
    </w:p>
    <w:p>
      <w:pPr>
        <w:ind w:left="660" w:hanging="328"/>
        <w:spacing w:after="0" w:line="287" w:lineRule="auto"/>
        <w:tabs>
          <w:tab w:leader="none" w:pos="648" w:val="left"/>
        </w:tabs>
        <w:numPr>
          <w:ilvl w:val="0"/>
          <w:numId w:val="11"/>
        </w:numPr>
        <w:rPr>
          <w:rFonts w:ascii="Arial" w:cs="Arial" w:eastAsia="Arial" w:hAnsi="Arial"/>
          <w:sz w:val="19"/>
          <w:szCs w:val="19"/>
          <w:b w:val="1"/>
          <w:bCs w:val="1"/>
          <w:i w:val="1"/>
          <w:iCs w:val="1"/>
          <w:color w:val="auto"/>
        </w:rPr>
      </w:pPr>
      <w:r>
        <w:rPr>
          <w:rFonts w:ascii="Arial" w:cs="Arial" w:eastAsia="Arial" w:hAnsi="Arial"/>
          <w:sz w:val="19"/>
          <w:szCs w:val="19"/>
          <w:color w:val="auto"/>
        </w:rPr>
        <w:t>Implementing improvements to our ERP system to enhance the accuracy of our financial records, enable the enforcement of systematic segregation of duties, and to improve our information technology general controls environment.</w:t>
      </w:r>
    </w:p>
    <w:p>
      <w:pPr>
        <w:spacing w:after="0" w:line="98"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30" w:name="page31"/>
    <w:bookmarkEnd w:id="30"/>
    <w:p>
      <w:pPr>
        <w:spacing w:after="0"/>
        <w:tabs>
          <w:tab w:leader="none" w:pos="10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8"/>
          <w:szCs w:val="18"/>
          <w:b w:val="1"/>
          <w:bCs w:val="1"/>
          <w:color w:val="auto"/>
        </w:rPr>
        <w:t>Financial Statement and Exhibits.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 Financial statements of businesses acquired.</w:t>
      </w:r>
    </w:p>
    <w:p>
      <w:pPr>
        <w:spacing w:after="0" w:line="162"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In accordance with Item 9.01(a), Sema4’s unaudited financial statements as of and for the three and six months ended June 30, 2021 and 2020, is filed as Exhibit 99.3 to this Report and is incorporated herein by reference.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 Pro forma financial information.</w:t>
      </w:r>
    </w:p>
    <w:p>
      <w:pPr>
        <w:spacing w:after="0" w:line="243" w:lineRule="exact"/>
        <w:rPr>
          <w:sz w:val="20"/>
          <w:szCs w:val="20"/>
          <w:color w:val="auto"/>
        </w:rPr>
      </w:pPr>
    </w:p>
    <w:p>
      <w:pPr>
        <w:ind w:firstLine="324"/>
        <w:spacing w:after="0" w:line="287" w:lineRule="auto"/>
        <w:rPr>
          <w:sz w:val="20"/>
          <w:szCs w:val="20"/>
          <w:color w:val="auto"/>
        </w:rPr>
      </w:pPr>
      <w:r>
        <w:rPr>
          <w:rFonts w:ascii="Arial" w:cs="Arial" w:eastAsia="Arial" w:hAnsi="Arial"/>
          <w:sz w:val="19"/>
          <w:szCs w:val="19"/>
          <w:color w:val="auto"/>
        </w:rPr>
        <w:t>The unaudited pro forma condensed combined financial information of CMLS and Sema4 as of and for the six months ended June 30, 2021 and for the year ended December 31, 2020 is filed as Exhibit 99.2 and is incorporated herein by reference.</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(d) Exhibits.</w:t>
      </w:r>
    </w:p>
    <w:p>
      <w:pPr>
        <w:spacing w:after="0" w:line="19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80" w:type="dxa"/>
            <w:vAlign w:val="bottom"/>
            <w:tcBorders>
              <w:bottom w:val="single" w:sz="8" w:color="auto"/>
            </w:tcBorders>
            <w:gridSpan w:val="7"/>
          </w:tcPr>
          <w:p>
            <w:pPr>
              <w:spacing w:after="0"/>
              <w:rPr>
                <w:sz w:val="20"/>
                <w:szCs w:val="20"/>
                <w:color w:val="auto"/>
              </w:rPr>
            </w:pPr>
            <w:r>
              <w:rPr>
                <w:rFonts w:ascii="Arial" w:cs="Arial" w:eastAsia="Arial" w:hAnsi="Arial"/>
                <w:sz w:val="20"/>
                <w:szCs w:val="20"/>
                <w:b w:val="1"/>
                <w:bCs w:val="1"/>
                <w:color w:val="auto"/>
                <w:w w:val="89"/>
              </w:rPr>
              <w:t>Incorporated by Reference</w:t>
            </w:r>
          </w:p>
        </w:tc>
        <w:tc>
          <w:tcPr>
            <w:tcW w:w="5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20"/>
                <w:szCs w:val="20"/>
                <w:b w:val="1"/>
                <w:bCs w:val="1"/>
                <w:color w:val="auto"/>
                <w:w w:val="92"/>
              </w:rPr>
              <w:t>Exhibit</w:t>
            </w: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gridSpan w:val="18"/>
            <w:vMerge w:val="restart"/>
          </w:tcPr>
          <w:p>
            <w:pPr>
              <w:jc w:val="center"/>
              <w:ind w:right="2500"/>
              <w:spacing w:after="0"/>
              <w:rPr>
                <w:sz w:val="20"/>
                <w:szCs w:val="20"/>
                <w:color w:val="auto"/>
              </w:rPr>
            </w:pPr>
            <w:r>
              <w:rPr>
                <w:rFonts w:ascii="Arial" w:cs="Arial" w:eastAsia="Arial" w:hAnsi="Arial"/>
                <w:sz w:val="20"/>
                <w:szCs w:val="20"/>
                <w:b w:val="1"/>
                <w:bCs w:val="1"/>
                <w:color w:val="auto"/>
                <w:w w:val="89"/>
              </w:rPr>
              <w:t>Description</w:t>
            </w:r>
          </w:p>
        </w:tc>
        <w:tc>
          <w:tcPr>
            <w:tcW w:w="360" w:type="dxa"/>
            <w:vAlign w:val="bottom"/>
          </w:tcPr>
          <w:p>
            <w:pPr>
              <w:spacing w:after="0"/>
              <w:rPr>
                <w:sz w:val="22"/>
                <w:szCs w:val="22"/>
                <w:color w:val="auto"/>
              </w:rPr>
            </w:pPr>
          </w:p>
        </w:tc>
        <w:tc>
          <w:tcPr>
            <w:tcW w:w="880" w:type="dxa"/>
            <w:vAlign w:val="bottom"/>
            <w:gridSpan w:val="3"/>
            <w:vMerge w:val="restart"/>
          </w:tcPr>
          <w:p>
            <w:pPr>
              <w:jc w:val="center"/>
              <w:ind w:right="420"/>
              <w:spacing w:after="0"/>
              <w:rPr>
                <w:sz w:val="20"/>
                <w:szCs w:val="20"/>
                <w:color w:val="auto"/>
              </w:rPr>
            </w:pPr>
            <w:r>
              <w:rPr>
                <w:rFonts w:ascii="Arial" w:cs="Arial" w:eastAsia="Arial" w:hAnsi="Arial"/>
                <w:sz w:val="20"/>
                <w:szCs w:val="20"/>
                <w:b w:val="1"/>
                <w:bCs w:val="1"/>
                <w:color w:val="auto"/>
                <w:w w:val="91"/>
              </w:rPr>
              <w:t>Form</w:t>
            </w:r>
          </w:p>
        </w:tc>
        <w:tc>
          <w:tcPr>
            <w:tcW w:w="1160" w:type="dxa"/>
            <w:vAlign w:val="bottom"/>
            <w:gridSpan w:val="3"/>
            <w:vMerge w:val="restart"/>
          </w:tcPr>
          <w:p>
            <w:pPr>
              <w:jc w:val="center"/>
              <w:ind w:right="60"/>
              <w:spacing w:after="0"/>
              <w:rPr>
                <w:sz w:val="20"/>
                <w:szCs w:val="20"/>
                <w:color w:val="auto"/>
              </w:rPr>
            </w:pPr>
            <w:r>
              <w:rPr>
                <w:rFonts w:ascii="Arial" w:cs="Arial" w:eastAsia="Arial" w:hAnsi="Arial"/>
                <w:sz w:val="20"/>
                <w:szCs w:val="20"/>
                <w:b w:val="1"/>
                <w:bCs w:val="1"/>
                <w:color w:val="auto"/>
                <w:w w:val="92"/>
              </w:rPr>
              <w:t>Exhibit</w:t>
            </w:r>
          </w:p>
        </w:tc>
        <w:tc>
          <w:tcPr>
            <w:tcW w:w="260" w:type="dxa"/>
            <w:vAlign w:val="bottom"/>
          </w:tcPr>
          <w:p>
            <w:pPr>
              <w:spacing w:after="0"/>
              <w:rPr>
                <w:sz w:val="22"/>
                <w:szCs w:val="22"/>
                <w:color w:val="auto"/>
              </w:rPr>
            </w:pPr>
          </w:p>
        </w:tc>
        <w:tc>
          <w:tcPr>
            <w:tcW w:w="960" w:type="dxa"/>
            <w:vAlign w:val="bottom"/>
            <w:gridSpan w:val="3"/>
            <w:vMerge w:val="restart"/>
          </w:tcPr>
          <w:p>
            <w:pPr>
              <w:spacing w:after="0"/>
              <w:rPr>
                <w:sz w:val="20"/>
                <w:szCs w:val="20"/>
                <w:color w:val="auto"/>
              </w:rPr>
            </w:pPr>
            <w:r>
              <w:rPr>
                <w:rFonts w:ascii="Arial" w:cs="Arial" w:eastAsia="Arial" w:hAnsi="Arial"/>
                <w:sz w:val="20"/>
                <w:szCs w:val="20"/>
                <w:b w:val="1"/>
                <w:bCs w:val="1"/>
                <w:color w:val="auto"/>
                <w:w w:val="91"/>
              </w:rPr>
              <w:t>Filing Date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18"/>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3"/>
          </w:tcPr>
          <w:p>
            <w:pPr>
              <w:jc w:val="center"/>
              <w:ind w:right="360"/>
              <w:spacing w:after="0" w:line="209" w:lineRule="exact"/>
              <w:rPr>
                <w:sz w:val="20"/>
                <w:szCs w:val="20"/>
                <w:color w:val="auto"/>
              </w:rPr>
            </w:pPr>
            <w:r>
              <w:rPr>
                <w:rFonts w:ascii="Arial" w:cs="Arial" w:eastAsia="Arial" w:hAnsi="Arial"/>
                <w:sz w:val="20"/>
                <w:szCs w:val="20"/>
                <w:b w:val="1"/>
                <w:bCs w:val="1"/>
                <w:color w:val="auto"/>
                <w:w w:val="92"/>
              </w:rPr>
              <w:t>Number</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gridSpan w:val="18"/>
            <w:vMerge w:val="continue"/>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95"/>
              </w:rPr>
              <w:t>2.1*</w:t>
            </w:r>
          </w:p>
        </w:tc>
        <w:tc>
          <w:tcPr>
            <w:tcW w:w="400" w:type="dxa"/>
            <w:vAlign w:val="bottom"/>
          </w:tcPr>
          <w:p>
            <w:pPr>
              <w:spacing w:after="0"/>
              <w:rPr>
                <w:sz w:val="22"/>
                <w:szCs w:val="22"/>
                <w:color w:val="auto"/>
              </w:rPr>
            </w:pPr>
          </w:p>
        </w:tc>
        <w:tc>
          <w:tcPr>
            <w:tcW w:w="5600" w:type="dxa"/>
            <w:vAlign w:val="bottom"/>
            <w:tcBorders>
              <w:bottom w:val="single" w:sz="8" w:color="3051F2"/>
            </w:tcBorders>
            <w:gridSpan w:val="18"/>
          </w:tcPr>
          <w:p>
            <w:pPr>
              <w:spacing w:after="0"/>
              <w:rPr>
                <w:rFonts w:ascii="Arial" w:cs="Arial" w:eastAsia="Arial" w:hAnsi="Arial"/>
                <w:sz w:val="20"/>
                <w:szCs w:val="20"/>
                <w:color w:val="3051F2"/>
                <w:w w:val="88"/>
              </w:rPr>
            </w:pPr>
            <w:hyperlink r:id="rId50">
              <w:r>
                <w:rPr>
                  <w:rFonts w:ascii="Arial" w:cs="Arial" w:eastAsia="Arial" w:hAnsi="Arial"/>
                  <w:sz w:val="20"/>
                  <w:szCs w:val="20"/>
                  <w:color w:val="3051F2"/>
                  <w:w w:val="88"/>
                </w:rPr>
                <w:t>Agreement and Plan of Merger, dated February 9, 2021, by and among</w:t>
              </w:r>
            </w:hyperlink>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20"/>
                <w:szCs w:val="20"/>
                <w:color w:val="auto"/>
                <w:w w:val="97"/>
              </w:rPr>
              <w:t>DEFM14A</w:t>
            </w:r>
          </w:p>
        </w:tc>
        <w:tc>
          <w:tcPr>
            <w:tcW w:w="1160" w:type="dxa"/>
            <w:vAlign w:val="bottom"/>
            <w:gridSpan w:val="3"/>
          </w:tcPr>
          <w:p>
            <w:pPr>
              <w:jc w:val="center"/>
              <w:ind w:right="40"/>
              <w:spacing w:after="0"/>
              <w:rPr>
                <w:sz w:val="20"/>
                <w:szCs w:val="20"/>
                <w:color w:val="auto"/>
              </w:rPr>
            </w:pPr>
            <w:r>
              <w:rPr>
                <w:rFonts w:ascii="Arial" w:cs="Arial" w:eastAsia="Arial" w:hAnsi="Arial"/>
                <w:sz w:val="20"/>
                <w:szCs w:val="20"/>
                <w:color w:val="auto"/>
                <w:w w:val="95"/>
              </w:rPr>
              <w:t>Annex A</w:t>
            </w:r>
          </w:p>
        </w:tc>
        <w:tc>
          <w:tcPr>
            <w:tcW w:w="1220" w:type="dxa"/>
            <w:vAlign w:val="bottom"/>
            <w:gridSpan w:val="4"/>
          </w:tcPr>
          <w:p>
            <w:pPr>
              <w:ind w:left="240"/>
              <w:spacing w:after="0"/>
              <w:rPr>
                <w:sz w:val="20"/>
                <w:szCs w:val="20"/>
                <w:color w:val="auto"/>
              </w:rPr>
            </w:pPr>
            <w:r>
              <w:rPr>
                <w:rFonts w:ascii="Arial" w:cs="Arial" w:eastAsia="Arial" w:hAnsi="Arial"/>
                <w:sz w:val="22"/>
                <w:szCs w:val="22"/>
                <w:color w:val="auto"/>
                <w:w w:val="87"/>
              </w:rPr>
              <w:t>07/02/2021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40" w:type="dxa"/>
            <w:vAlign w:val="bottom"/>
            <w:tcBorders>
              <w:bottom w:val="single" w:sz="8" w:color="3051F2"/>
            </w:tcBorders>
            <w:gridSpan w:val="19"/>
          </w:tcPr>
          <w:p>
            <w:pPr>
              <w:spacing w:after="0" w:line="209" w:lineRule="exact"/>
              <w:rPr>
                <w:rFonts w:ascii="Arial" w:cs="Arial" w:eastAsia="Arial" w:hAnsi="Arial"/>
                <w:sz w:val="20"/>
                <w:szCs w:val="20"/>
                <w:color w:val="3051F2"/>
                <w:w w:val="88"/>
              </w:rPr>
            </w:pPr>
            <w:hyperlink r:id="rId50">
              <w:r>
                <w:rPr>
                  <w:rFonts w:ascii="Arial" w:cs="Arial" w:eastAsia="Arial" w:hAnsi="Arial"/>
                  <w:sz w:val="20"/>
                  <w:szCs w:val="20"/>
                  <w:color w:val="3051F2"/>
                  <w:w w:val="88"/>
                </w:rPr>
                <w:t>CMLS, Merger Sub and Legacy Sema4, as amended by Amendment to</w:t>
              </w:r>
            </w:hyperlink>
          </w:p>
        </w:tc>
        <w:tc>
          <w:tcPr>
            <w:tcW w:w="260" w:type="dxa"/>
            <w:vAlign w:val="bottom"/>
            <w:gridSpan w:val="4"/>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00" w:type="dxa"/>
            <w:vAlign w:val="bottom"/>
            <w:gridSpan w:val="23"/>
          </w:tcPr>
          <w:p>
            <w:pPr>
              <w:spacing w:after="0" w:line="209" w:lineRule="exact"/>
              <w:rPr>
                <w:rFonts w:ascii="Arial" w:cs="Arial" w:eastAsia="Arial" w:hAnsi="Arial"/>
                <w:sz w:val="20"/>
                <w:szCs w:val="20"/>
                <w:color w:val="3051F2"/>
              </w:rPr>
            </w:pPr>
            <w:hyperlink r:id="rId50">
              <w:r>
                <w:rPr>
                  <w:rFonts w:ascii="Arial" w:cs="Arial" w:eastAsia="Arial" w:hAnsi="Arial"/>
                  <w:sz w:val="20"/>
                  <w:szCs w:val="20"/>
                  <w:color w:val="3051F2"/>
                </w:rPr>
                <w:t>Agreement and Plan of Merger dated May 3, 2021.</w:t>
              </w:r>
            </w:hyperlink>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180" w:type="dxa"/>
            <w:vAlign w:val="bottom"/>
            <w:shd w:val="clear" w:color="auto" w:fill="3051F2"/>
          </w:tcPr>
          <w:p>
            <w:pPr>
              <w:spacing w:after="0" w:line="20" w:lineRule="exact"/>
              <w:rPr>
                <w:sz w:val="1"/>
                <w:szCs w:val="1"/>
                <w:color w:val="auto"/>
              </w:rPr>
            </w:pPr>
          </w:p>
        </w:tc>
        <w:tc>
          <w:tcPr>
            <w:tcW w:w="340" w:type="dxa"/>
            <w:vAlign w:val="bottom"/>
            <w:gridSpan w:val="2"/>
            <w:shd w:val="clear" w:color="auto" w:fill="3051F2"/>
          </w:tcPr>
          <w:p>
            <w:pPr>
              <w:spacing w:after="0" w:line="20" w:lineRule="exact"/>
              <w:rPr>
                <w:sz w:val="1"/>
                <w:szCs w:val="1"/>
                <w:color w:val="auto"/>
              </w:rPr>
            </w:pPr>
          </w:p>
        </w:tc>
        <w:tc>
          <w:tcPr>
            <w:tcW w:w="66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6"/>
              </w:rPr>
              <w:t>3.1</w:t>
            </w:r>
          </w:p>
        </w:tc>
        <w:tc>
          <w:tcPr>
            <w:tcW w:w="400" w:type="dxa"/>
            <w:vAlign w:val="bottom"/>
          </w:tcPr>
          <w:p>
            <w:pPr>
              <w:spacing w:after="0"/>
              <w:rPr>
                <w:sz w:val="22"/>
                <w:szCs w:val="22"/>
                <w:color w:val="auto"/>
              </w:rPr>
            </w:pPr>
          </w:p>
        </w:tc>
        <w:tc>
          <w:tcPr>
            <w:tcW w:w="5900" w:type="dxa"/>
            <w:vAlign w:val="bottom"/>
            <w:gridSpan w:val="23"/>
          </w:tcPr>
          <w:p>
            <w:pPr>
              <w:spacing w:after="0"/>
              <w:rPr>
                <w:rFonts w:ascii="Arial" w:cs="Arial" w:eastAsia="Arial" w:hAnsi="Arial"/>
                <w:sz w:val="20"/>
                <w:szCs w:val="20"/>
                <w:color w:val="0000FF"/>
                <w:w w:val="99"/>
              </w:rPr>
            </w:pPr>
            <w:hyperlink r:id="rId51">
              <w:r>
                <w:rPr>
                  <w:rFonts w:ascii="Arial" w:cs="Arial" w:eastAsia="Arial" w:hAnsi="Arial"/>
                  <w:sz w:val="20"/>
                  <w:szCs w:val="20"/>
                  <w:color w:val="0000FF"/>
                  <w:w w:val="99"/>
                </w:rPr>
                <w:t>Third Amended and Restated Certificate of Incorporation of Sema4</w:t>
              </w:r>
            </w:hyperlink>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60" w:type="dxa"/>
            <w:vAlign w:val="bottom"/>
            <w:tcBorders>
              <w:top w:val="single" w:sz="8" w:color="0000FF"/>
            </w:tcBorders>
            <w:gridSpan w:val="14"/>
          </w:tcPr>
          <w:p>
            <w:pPr>
              <w:spacing w:after="0" w:line="196" w:lineRule="exact"/>
              <w:rPr>
                <w:rFonts w:ascii="Arial" w:cs="Arial" w:eastAsia="Arial" w:hAnsi="Arial"/>
                <w:sz w:val="20"/>
                <w:szCs w:val="20"/>
                <w:color w:val="0000FF"/>
              </w:rPr>
            </w:pPr>
            <w:hyperlink r:id="rId51">
              <w:r>
                <w:rPr>
                  <w:rFonts w:ascii="Arial" w:cs="Arial" w:eastAsia="Arial" w:hAnsi="Arial"/>
                  <w:sz w:val="20"/>
                  <w:szCs w:val="20"/>
                  <w:color w:val="0000FF"/>
                </w:rPr>
                <w:t xml:space="preserve">Holdings Corp. </w:t>
              </w:r>
              <w:r>
                <w:rPr>
                  <w:rFonts w:ascii="Arial" w:cs="Arial" w:eastAsia="Arial" w:hAnsi="Arial"/>
                  <w:sz w:val="20"/>
                  <w:szCs w:val="20"/>
                  <w:color w:val="000000"/>
                </w:rPr>
                <w:t>(#)</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6"/>
              </w:rPr>
              <w:t>3.2</w:t>
            </w:r>
          </w:p>
        </w:tc>
        <w:tc>
          <w:tcPr>
            <w:tcW w:w="400" w:type="dxa"/>
            <w:vAlign w:val="bottom"/>
          </w:tcPr>
          <w:p>
            <w:pPr>
              <w:spacing w:after="0"/>
              <w:rPr>
                <w:sz w:val="21"/>
                <w:szCs w:val="21"/>
                <w:color w:val="auto"/>
              </w:rPr>
            </w:pPr>
          </w:p>
        </w:tc>
        <w:tc>
          <w:tcPr>
            <w:tcW w:w="5900" w:type="dxa"/>
            <w:vAlign w:val="bottom"/>
            <w:gridSpan w:val="23"/>
          </w:tcPr>
          <w:p>
            <w:pPr>
              <w:spacing w:after="0"/>
              <w:rPr>
                <w:rFonts w:ascii="Arial" w:cs="Arial" w:eastAsia="Arial" w:hAnsi="Arial"/>
                <w:sz w:val="20"/>
                <w:szCs w:val="20"/>
                <w:color w:val="0000FF"/>
              </w:rPr>
            </w:pPr>
            <w:hyperlink r:id="rId52">
              <w:r>
                <w:rPr>
                  <w:rFonts w:ascii="Arial" w:cs="Arial" w:eastAsia="Arial" w:hAnsi="Arial"/>
                  <w:sz w:val="20"/>
                  <w:szCs w:val="20"/>
                  <w:color w:val="0000FF"/>
                </w:rPr>
                <w:t xml:space="preserve">Restated Bylaws of Sema4 Holdings Corp. </w:t>
              </w:r>
            </w:hyperlink>
            <w:r>
              <w:rPr>
                <w:rFonts w:ascii="Arial" w:cs="Arial" w:eastAsia="Arial" w:hAnsi="Arial"/>
                <w:sz w:val="20"/>
                <w:szCs w:val="20"/>
                <w:color w:val="000000"/>
              </w:rPr>
              <w:t>(#)</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6"/>
              </w:rPr>
              <w:t>4.1</w:t>
            </w:r>
          </w:p>
        </w:tc>
        <w:tc>
          <w:tcPr>
            <w:tcW w:w="400" w:type="dxa"/>
            <w:vAlign w:val="bottom"/>
          </w:tcPr>
          <w:p>
            <w:pPr>
              <w:spacing w:after="0"/>
              <w:rPr>
                <w:sz w:val="22"/>
                <w:szCs w:val="22"/>
                <w:color w:val="auto"/>
              </w:rPr>
            </w:pPr>
          </w:p>
        </w:tc>
        <w:tc>
          <w:tcPr>
            <w:tcW w:w="3660" w:type="dxa"/>
            <w:vAlign w:val="bottom"/>
            <w:tcBorders>
              <w:bottom w:val="single" w:sz="8" w:color="0000FF"/>
            </w:tcBorders>
            <w:gridSpan w:val="8"/>
          </w:tcPr>
          <w:p>
            <w:pPr>
              <w:spacing w:after="0"/>
              <w:rPr>
                <w:rFonts w:ascii="Arial" w:cs="Arial" w:eastAsia="Arial" w:hAnsi="Arial"/>
                <w:sz w:val="20"/>
                <w:szCs w:val="20"/>
                <w:color w:val="0000FF"/>
                <w:w w:val="89"/>
              </w:rPr>
            </w:pPr>
            <w:hyperlink r:id="rId53">
              <w:r>
                <w:rPr>
                  <w:rFonts w:ascii="Arial" w:cs="Arial" w:eastAsia="Arial" w:hAnsi="Arial"/>
                  <w:sz w:val="20"/>
                  <w:szCs w:val="20"/>
                  <w:color w:val="0000FF"/>
                  <w:w w:val="89"/>
                </w:rPr>
                <w:t>Specimen Class A Common Stock Certificate.</w:t>
              </w:r>
            </w:hyperlink>
          </w:p>
        </w:tc>
        <w:tc>
          <w:tcPr>
            <w:tcW w:w="120" w:type="dxa"/>
            <w:vAlign w:val="bottom"/>
          </w:tcPr>
          <w:p>
            <w:pPr>
              <w:spacing w:after="0"/>
              <w:rPr>
                <w:sz w:val="22"/>
                <w:szCs w:val="22"/>
                <w:color w:val="auto"/>
              </w:rPr>
            </w:pPr>
          </w:p>
        </w:tc>
        <w:tc>
          <w:tcPr>
            <w:tcW w:w="62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3"/>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22"/>
                <w:szCs w:val="22"/>
                <w:color w:val="auto"/>
                <w:w w:val="94"/>
              </w:rPr>
              <w:t>S-1/A</w:t>
            </w:r>
          </w:p>
        </w:tc>
        <w:tc>
          <w:tcPr>
            <w:tcW w:w="860" w:type="dxa"/>
            <w:vAlign w:val="bottom"/>
            <w:gridSpan w:val="2"/>
          </w:tcPr>
          <w:p>
            <w:pPr>
              <w:jc w:val="center"/>
              <w:ind w:left="136"/>
              <w:spacing w:after="0"/>
              <w:rPr>
                <w:sz w:val="20"/>
                <w:szCs w:val="20"/>
                <w:color w:val="auto"/>
              </w:rPr>
            </w:pPr>
            <w:r>
              <w:rPr>
                <w:rFonts w:ascii="Arial" w:cs="Arial" w:eastAsia="Arial" w:hAnsi="Arial"/>
                <w:sz w:val="22"/>
                <w:szCs w:val="22"/>
                <w:color w:val="auto"/>
                <w:w w:val="84"/>
              </w:rPr>
              <w:t>4.2</w:t>
            </w:r>
          </w:p>
        </w:tc>
        <w:tc>
          <w:tcPr>
            <w:tcW w:w="300" w:type="dxa"/>
            <w:vAlign w:val="bottom"/>
          </w:tcPr>
          <w:p>
            <w:pPr>
              <w:spacing w:after="0"/>
              <w:rPr>
                <w:sz w:val="22"/>
                <w:szCs w:val="22"/>
                <w:color w:val="auto"/>
              </w:rPr>
            </w:pPr>
          </w:p>
        </w:tc>
        <w:tc>
          <w:tcPr>
            <w:tcW w:w="1220" w:type="dxa"/>
            <w:vAlign w:val="bottom"/>
            <w:gridSpan w:val="4"/>
          </w:tcPr>
          <w:p>
            <w:pPr>
              <w:ind w:left="240"/>
              <w:spacing w:after="0"/>
              <w:rPr>
                <w:sz w:val="20"/>
                <w:szCs w:val="20"/>
                <w:color w:val="auto"/>
              </w:rPr>
            </w:pPr>
            <w:r>
              <w:rPr>
                <w:rFonts w:ascii="Arial" w:cs="Arial" w:eastAsia="Arial" w:hAnsi="Arial"/>
                <w:sz w:val="22"/>
                <w:szCs w:val="22"/>
                <w:color w:val="auto"/>
                <w:w w:val="87"/>
              </w:rPr>
              <w:t>08/24/2020</w:t>
            </w:r>
          </w:p>
        </w:tc>
        <w:tc>
          <w:tcPr>
            <w:tcW w:w="0" w:type="dxa"/>
            <w:vAlign w:val="bottom"/>
          </w:tcPr>
          <w:p>
            <w:pPr>
              <w:spacing w:after="0"/>
              <w:rPr>
                <w:sz w:val="1"/>
                <w:szCs w:val="1"/>
                <w:color w:val="auto"/>
              </w:rPr>
            </w:pPr>
          </w:p>
        </w:tc>
      </w:tr>
      <w:tr>
        <w:trPr>
          <w:trHeight w:val="291"/>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6"/>
              </w:rPr>
              <w:t>4.2</w:t>
            </w:r>
          </w:p>
        </w:tc>
        <w:tc>
          <w:tcPr>
            <w:tcW w:w="400" w:type="dxa"/>
            <w:vAlign w:val="bottom"/>
          </w:tcPr>
          <w:p>
            <w:pPr>
              <w:spacing w:after="0"/>
              <w:rPr>
                <w:sz w:val="24"/>
                <w:szCs w:val="24"/>
                <w:color w:val="auto"/>
              </w:rPr>
            </w:pPr>
          </w:p>
        </w:tc>
        <w:tc>
          <w:tcPr>
            <w:tcW w:w="2400" w:type="dxa"/>
            <w:vAlign w:val="bottom"/>
            <w:tcBorders>
              <w:bottom w:val="single" w:sz="8" w:color="0000FF"/>
            </w:tcBorders>
            <w:gridSpan w:val="4"/>
          </w:tcPr>
          <w:p>
            <w:pPr>
              <w:spacing w:after="0"/>
              <w:rPr>
                <w:rFonts w:ascii="Arial" w:cs="Arial" w:eastAsia="Arial" w:hAnsi="Arial"/>
                <w:sz w:val="20"/>
                <w:szCs w:val="20"/>
                <w:color w:val="0000FF"/>
                <w:w w:val="89"/>
              </w:rPr>
            </w:pPr>
            <w:hyperlink r:id="rId54">
              <w:r>
                <w:rPr>
                  <w:rFonts w:ascii="Arial" w:cs="Arial" w:eastAsia="Arial" w:hAnsi="Arial"/>
                  <w:sz w:val="20"/>
                  <w:szCs w:val="20"/>
                  <w:color w:val="0000FF"/>
                  <w:w w:val="89"/>
                </w:rPr>
                <w:t>Specimen Warrant Certificate.</w:t>
              </w:r>
            </w:hyperlink>
          </w:p>
        </w:tc>
        <w:tc>
          <w:tcPr>
            <w:tcW w:w="340" w:type="dxa"/>
            <w:vAlign w:val="bottom"/>
            <w:gridSpan w:val="2"/>
          </w:tcPr>
          <w:p>
            <w:pPr>
              <w:spacing w:after="0"/>
              <w:rPr>
                <w:sz w:val="24"/>
                <w:szCs w:val="24"/>
                <w:color w:val="auto"/>
              </w:rPr>
            </w:pPr>
          </w:p>
        </w:tc>
        <w:tc>
          <w:tcPr>
            <w:tcW w:w="1040" w:type="dxa"/>
            <w:vAlign w:val="bottom"/>
            <w:gridSpan w:val="3"/>
          </w:tcPr>
          <w:p>
            <w:pPr>
              <w:spacing w:after="0"/>
              <w:rPr>
                <w:sz w:val="24"/>
                <w:szCs w:val="24"/>
                <w:color w:val="auto"/>
              </w:rPr>
            </w:pPr>
          </w:p>
        </w:tc>
        <w:tc>
          <w:tcPr>
            <w:tcW w:w="6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22"/>
                <w:szCs w:val="22"/>
                <w:color w:val="auto"/>
                <w:w w:val="94"/>
              </w:rPr>
              <w:t>S-1/A</w:t>
            </w:r>
          </w:p>
        </w:tc>
        <w:tc>
          <w:tcPr>
            <w:tcW w:w="860" w:type="dxa"/>
            <w:vAlign w:val="bottom"/>
            <w:gridSpan w:val="2"/>
          </w:tcPr>
          <w:p>
            <w:pPr>
              <w:jc w:val="center"/>
              <w:ind w:left="136"/>
              <w:spacing w:after="0"/>
              <w:rPr>
                <w:sz w:val="20"/>
                <w:szCs w:val="20"/>
                <w:color w:val="auto"/>
              </w:rPr>
            </w:pPr>
            <w:r>
              <w:rPr>
                <w:rFonts w:ascii="Arial" w:cs="Arial" w:eastAsia="Arial" w:hAnsi="Arial"/>
                <w:sz w:val="22"/>
                <w:szCs w:val="22"/>
                <w:color w:val="auto"/>
                <w:w w:val="84"/>
              </w:rPr>
              <w:t>4.3</w:t>
            </w:r>
          </w:p>
        </w:tc>
        <w:tc>
          <w:tcPr>
            <w:tcW w:w="300" w:type="dxa"/>
            <w:vAlign w:val="bottom"/>
          </w:tcPr>
          <w:p>
            <w:pPr>
              <w:spacing w:after="0"/>
              <w:rPr>
                <w:sz w:val="24"/>
                <w:szCs w:val="24"/>
                <w:color w:val="auto"/>
              </w:rPr>
            </w:pPr>
          </w:p>
        </w:tc>
        <w:tc>
          <w:tcPr>
            <w:tcW w:w="1220" w:type="dxa"/>
            <w:vAlign w:val="bottom"/>
            <w:gridSpan w:val="4"/>
          </w:tcPr>
          <w:p>
            <w:pPr>
              <w:ind w:left="240"/>
              <w:spacing w:after="0"/>
              <w:rPr>
                <w:sz w:val="20"/>
                <w:szCs w:val="20"/>
                <w:color w:val="auto"/>
              </w:rPr>
            </w:pPr>
            <w:r>
              <w:rPr>
                <w:rFonts w:ascii="Arial" w:cs="Arial" w:eastAsia="Arial" w:hAnsi="Arial"/>
                <w:sz w:val="22"/>
                <w:szCs w:val="22"/>
                <w:color w:val="auto"/>
                <w:w w:val="87"/>
              </w:rPr>
              <w:t>08/24/2020</w:t>
            </w:r>
          </w:p>
        </w:tc>
        <w:tc>
          <w:tcPr>
            <w:tcW w:w="0" w:type="dxa"/>
            <w:vAlign w:val="bottom"/>
          </w:tcPr>
          <w:p>
            <w:pPr>
              <w:spacing w:after="0"/>
              <w:rPr>
                <w:sz w:val="1"/>
                <w:szCs w:val="1"/>
                <w:color w:val="auto"/>
              </w:rPr>
            </w:pPr>
          </w:p>
        </w:tc>
      </w:tr>
      <w:tr>
        <w:trPr>
          <w:trHeight w:val="290"/>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6"/>
              </w:rPr>
              <w:t>4.3</w:t>
            </w:r>
          </w:p>
        </w:tc>
        <w:tc>
          <w:tcPr>
            <w:tcW w:w="400" w:type="dxa"/>
            <w:vAlign w:val="bottom"/>
          </w:tcPr>
          <w:p>
            <w:pPr>
              <w:spacing w:after="0"/>
              <w:rPr>
                <w:sz w:val="24"/>
                <w:szCs w:val="24"/>
                <w:color w:val="auto"/>
              </w:rPr>
            </w:pPr>
          </w:p>
        </w:tc>
        <w:tc>
          <w:tcPr>
            <w:tcW w:w="5760" w:type="dxa"/>
            <w:vAlign w:val="bottom"/>
            <w:tcBorders>
              <w:bottom w:val="single" w:sz="8" w:color="0000FF"/>
            </w:tcBorders>
            <w:gridSpan w:val="22"/>
          </w:tcPr>
          <w:p>
            <w:pPr>
              <w:spacing w:after="0"/>
              <w:rPr>
                <w:rFonts w:ascii="Arial" w:cs="Arial" w:eastAsia="Arial" w:hAnsi="Arial"/>
                <w:sz w:val="20"/>
                <w:szCs w:val="20"/>
                <w:color w:val="0000FF"/>
                <w:w w:val="88"/>
              </w:rPr>
            </w:pPr>
            <w:hyperlink r:id="rId55">
              <w:r>
                <w:rPr>
                  <w:rFonts w:ascii="Arial" w:cs="Arial" w:eastAsia="Arial" w:hAnsi="Arial"/>
                  <w:sz w:val="20"/>
                  <w:szCs w:val="20"/>
                  <w:color w:val="0000FF"/>
                  <w:w w:val="88"/>
                </w:rPr>
                <w:t>Warrant Agreement, dated as of September 1, 2020, by and between CM</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3"/>
          </w:tcPr>
          <w:p>
            <w:pPr>
              <w:jc w:val="center"/>
              <w:ind w:right="420"/>
              <w:spacing w:after="0"/>
              <w:rPr>
                <w:sz w:val="20"/>
                <w:szCs w:val="20"/>
                <w:color w:val="auto"/>
              </w:rPr>
            </w:pPr>
            <w:r>
              <w:rPr>
                <w:rFonts w:ascii="Arial" w:cs="Arial" w:eastAsia="Arial" w:hAnsi="Arial"/>
                <w:sz w:val="20"/>
                <w:szCs w:val="20"/>
                <w:color w:val="auto"/>
                <w:w w:val="96"/>
              </w:rPr>
              <w:t>8-K</w:t>
            </w:r>
          </w:p>
        </w:tc>
        <w:tc>
          <w:tcPr>
            <w:tcW w:w="860" w:type="dxa"/>
            <w:vAlign w:val="bottom"/>
            <w:gridSpan w:val="2"/>
          </w:tcPr>
          <w:p>
            <w:pPr>
              <w:jc w:val="center"/>
              <w:ind w:left="136"/>
              <w:spacing w:after="0"/>
              <w:rPr>
                <w:sz w:val="20"/>
                <w:szCs w:val="20"/>
                <w:color w:val="auto"/>
              </w:rPr>
            </w:pPr>
            <w:r>
              <w:rPr>
                <w:rFonts w:ascii="Arial" w:cs="Arial" w:eastAsia="Arial" w:hAnsi="Arial"/>
                <w:sz w:val="22"/>
                <w:szCs w:val="22"/>
                <w:color w:val="auto"/>
                <w:w w:val="88"/>
              </w:rPr>
              <w:t>10.1</w:t>
            </w:r>
          </w:p>
        </w:tc>
        <w:tc>
          <w:tcPr>
            <w:tcW w:w="300" w:type="dxa"/>
            <w:vAlign w:val="bottom"/>
          </w:tcPr>
          <w:p>
            <w:pPr>
              <w:spacing w:after="0"/>
              <w:rPr>
                <w:sz w:val="24"/>
                <w:szCs w:val="24"/>
                <w:color w:val="auto"/>
              </w:rPr>
            </w:pPr>
          </w:p>
        </w:tc>
        <w:tc>
          <w:tcPr>
            <w:tcW w:w="1220" w:type="dxa"/>
            <w:vAlign w:val="bottom"/>
            <w:gridSpan w:val="4"/>
          </w:tcPr>
          <w:p>
            <w:pPr>
              <w:ind w:left="240"/>
              <w:spacing w:after="0"/>
              <w:rPr>
                <w:sz w:val="20"/>
                <w:szCs w:val="20"/>
                <w:color w:val="auto"/>
              </w:rPr>
            </w:pPr>
            <w:r>
              <w:rPr>
                <w:rFonts w:ascii="Arial" w:cs="Arial" w:eastAsia="Arial" w:hAnsi="Arial"/>
                <w:sz w:val="22"/>
                <w:szCs w:val="22"/>
                <w:color w:val="auto"/>
                <w:w w:val="87"/>
              </w:rPr>
              <w:t>09/04/2020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00" w:type="dxa"/>
            <w:vAlign w:val="bottom"/>
            <w:gridSpan w:val="23"/>
          </w:tcPr>
          <w:p>
            <w:pPr>
              <w:spacing w:after="0" w:line="209" w:lineRule="exact"/>
              <w:rPr>
                <w:rFonts w:ascii="Arial" w:cs="Arial" w:eastAsia="Arial" w:hAnsi="Arial"/>
                <w:sz w:val="20"/>
                <w:szCs w:val="20"/>
                <w:color w:val="0000FF"/>
                <w:w w:val="92"/>
              </w:rPr>
            </w:pPr>
            <w:hyperlink r:id="rId55">
              <w:r>
                <w:rPr>
                  <w:rFonts w:ascii="Arial" w:cs="Arial" w:eastAsia="Arial" w:hAnsi="Arial"/>
                  <w:sz w:val="20"/>
                  <w:szCs w:val="20"/>
                  <w:color w:val="0000FF"/>
                  <w:w w:val="92"/>
                </w:rPr>
                <w:t>Life Sciences, Inc. and Continental Stock Transfer &amp; Trust Company, as</w:t>
              </w:r>
            </w:hyperlink>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Borders>
              <w:top w:val="single" w:sz="8" w:color="0000FF"/>
              <w:bottom w:val="single" w:sz="8" w:color="0000FF"/>
            </w:tcBorders>
            <w:gridSpan w:val="2"/>
          </w:tcPr>
          <w:p>
            <w:pPr>
              <w:spacing w:after="0" w:line="209" w:lineRule="exact"/>
              <w:rPr>
                <w:rFonts w:ascii="Arial" w:cs="Arial" w:eastAsia="Arial" w:hAnsi="Arial"/>
                <w:sz w:val="20"/>
                <w:szCs w:val="20"/>
                <w:color w:val="0000FF"/>
                <w:w w:val="87"/>
              </w:rPr>
            </w:pPr>
            <w:hyperlink r:id="rId55">
              <w:r>
                <w:rPr>
                  <w:rFonts w:ascii="Arial" w:cs="Arial" w:eastAsia="Arial" w:hAnsi="Arial"/>
                  <w:sz w:val="20"/>
                  <w:szCs w:val="20"/>
                  <w:color w:val="0000FF"/>
                  <w:w w:val="87"/>
                </w:rPr>
                <w:t>warrant agent.</w:t>
              </w:r>
            </w:hyperlink>
          </w:p>
        </w:tc>
        <w:tc>
          <w:tcPr>
            <w:tcW w:w="4580" w:type="dxa"/>
            <w:vAlign w:val="bottom"/>
            <w:tcBorders>
              <w:top w:val="single" w:sz="8" w:color="0000FF"/>
            </w:tcBorders>
            <w:gridSpan w:val="19"/>
          </w:tcPr>
          <w:p>
            <w:pPr>
              <w:spacing w:after="0"/>
              <w:rPr>
                <w:sz w:val="18"/>
                <w:szCs w:val="18"/>
                <w:color w:val="auto"/>
              </w:rPr>
            </w:pPr>
          </w:p>
        </w:tc>
        <w:tc>
          <w:tcPr>
            <w:tcW w:w="1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60" w:type="dxa"/>
            <w:vAlign w:val="bottom"/>
            <w:gridSpan w:val="2"/>
          </w:tcPr>
          <w:p>
            <w:pPr>
              <w:jc w:val="center"/>
              <w:spacing w:after="0"/>
              <w:rPr>
                <w:sz w:val="20"/>
                <w:szCs w:val="20"/>
                <w:color w:val="auto"/>
              </w:rPr>
            </w:pPr>
            <w:r>
              <w:rPr>
                <w:rFonts w:ascii="Arial" w:cs="Arial" w:eastAsia="Arial" w:hAnsi="Arial"/>
                <w:sz w:val="22"/>
                <w:szCs w:val="22"/>
                <w:color w:val="auto"/>
                <w:w w:val="88"/>
              </w:rPr>
              <w:t>10.1</w:t>
            </w:r>
          </w:p>
        </w:tc>
        <w:tc>
          <w:tcPr>
            <w:tcW w:w="400" w:type="dxa"/>
            <w:vAlign w:val="bottom"/>
          </w:tcPr>
          <w:p>
            <w:pPr>
              <w:spacing w:after="0"/>
              <w:rPr>
                <w:sz w:val="22"/>
                <w:szCs w:val="22"/>
                <w:color w:val="auto"/>
              </w:rPr>
            </w:pPr>
          </w:p>
        </w:tc>
        <w:tc>
          <w:tcPr>
            <w:tcW w:w="5400" w:type="dxa"/>
            <w:vAlign w:val="bottom"/>
            <w:tcBorders>
              <w:bottom w:val="single" w:sz="8" w:color="0000FF"/>
            </w:tcBorders>
            <w:gridSpan w:val="15"/>
          </w:tcPr>
          <w:p>
            <w:pPr>
              <w:spacing w:after="0"/>
              <w:rPr>
                <w:rFonts w:ascii="Arial" w:cs="Arial" w:eastAsia="Arial" w:hAnsi="Arial"/>
                <w:sz w:val="20"/>
                <w:szCs w:val="20"/>
                <w:color w:val="0000FF"/>
                <w:w w:val="88"/>
              </w:rPr>
            </w:pPr>
            <w:hyperlink r:id="rId56">
              <w:r>
                <w:rPr>
                  <w:rFonts w:ascii="Arial" w:cs="Arial" w:eastAsia="Arial" w:hAnsi="Arial"/>
                  <w:sz w:val="20"/>
                  <w:szCs w:val="20"/>
                  <w:color w:val="0000FF"/>
                  <w:w w:val="88"/>
                </w:rPr>
                <w:t>Lockup Agreement, dated as of February 9, 2021, by and among the</w:t>
              </w:r>
            </w:hyperlink>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3"/>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gridSpan w:val="3"/>
          </w:tcPr>
          <w:p>
            <w:pPr>
              <w:jc w:val="center"/>
              <w:ind w:right="420"/>
              <w:spacing w:after="0"/>
              <w:rPr>
                <w:sz w:val="20"/>
                <w:szCs w:val="20"/>
                <w:color w:val="auto"/>
              </w:rPr>
            </w:pPr>
            <w:r>
              <w:rPr>
                <w:rFonts w:ascii="Arial" w:cs="Arial" w:eastAsia="Arial" w:hAnsi="Arial"/>
                <w:sz w:val="20"/>
                <w:szCs w:val="20"/>
                <w:color w:val="auto"/>
                <w:w w:val="96"/>
              </w:rPr>
              <w:t>8-K</w:t>
            </w:r>
          </w:p>
        </w:tc>
        <w:tc>
          <w:tcPr>
            <w:tcW w:w="860" w:type="dxa"/>
            <w:vAlign w:val="bottom"/>
            <w:gridSpan w:val="2"/>
          </w:tcPr>
          <w:p>
            <w:pPr>
              <w:jc w:val="center"/>
              <w:ind w:left="136"/>
              <w:spacing w:after="0"/>
              <w:rPr>
                <w:sz w:val="20"/>
                <w:szCs w:val="20"/>
                <w:color w:val="auto"/>
              </w:rPr>
            </w:pPr>
            <w:r>
              <w:rPr>
                <w:rFonts w:ascii="Arial" w:cs="Arial" w:eastAsia="Arial" w:hAnsi="Arial"/>
                <w:sz w:val="22"/>
                <w:szCs w:val="22"/>
                <w:color w:val="auto"/>
                <w:w w:val="88"/>
              </w:rPr>
              <w:t>10.2</w:t>
            </w:r>
          </w:p>
        </w:tc>
        <w:tc>
          <w:tcPr>
            <w:tcW w:w="300" w:type="dxa"/>
            <w:vAlign w:val="bottom"/>
          </w:tcPr>
          <w:p>
            <w:pPr>
              <w:spacing w:after="0"/>
              <w:rPr>
                <w:sz w:val="22"/>
                <w:szCs w:val="22"/>
                <w:color w:val="auto"/>
              </w:rPr>
            </w:pPr>
          </w:p>
        </w:tc>
        <w:tc>
          <w:tcPr>
            <w:tcW w:w="1220" w:type="dxa"/>
            <w:vAlign w:val="bottom"/>
            <w:gridSpan w:val="4"/>
          </w:tcPr>
          <w:p>
            <w:pPr>
              <w:ind w:left="240"/>
              <w:spacing w:after="0"/>
              <w:rPr>
                <w:sz w:val="20"/>
                <w:szCs w:val="20"/>
                <w:color w:val="auto"/>
              </w:rPr>
            </w:pPr>
            <w:r>
              <w:rPr>
                <w:rFonts w:ascii="Arial" w:cs="Arial" w:eastAsia="Arial" w:hAnsi="Arial"/>
                <w:sz w:val="22"/>
                <w:szCs w:val="22"/>
                <w:color w:val="auto"/>
                <w:w w:val="87"/>
              </w:rPr>
              <w:t>02/11/2021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00" w:type="dxa"/>
            <w:vAlign w:val="bottom"/>
            <w:gridSpan w:val="23"/>
          </w:tcPr>
          <w:p>
            <w:pPr>
              <w:spacing w:after="0" w:line="209" w:lineRule="exact"/>
              <w:rPr>
                <w:rFonts w:ascii="Arial" w:cs="Arial" w:eastAsia="Arial" w:hAnsi="Arial"/>
                <w:sz w:val="20"/>
                <w:szCs w:val="20"/>
                <w:color w:val="0000FF"/>
              </w:rPr>
            </w:pPr>
            <w:hyperlink r:id="rId56">
              <w:r>
                <w:rPr>
                  <w:rFonts w:ascii="Arial" w:cs="Arial" w:eastAsia="Arial" w:hAnsi="Arial"/>
                  <w:sz w:val="20"/>
                  <w:szCs w:val="20"/>
                  <w:color w:val="0000FF"/>
                </w:rPr>
                <w:t>Company and the stockholder parties identified therein.</w:t>
              </w:r>
            </w:hyperlink>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gridSpan w:val="2"/>
          </w:tcPr>
          <w:p>
            <w:pPr>
              <w:jc w:val="center"/>
              <w:spacing w:after="0"/>
              <w:rPr>
                <w:sz w:val="20"/>
                <w:szCs w:val="20"/>
                <w:color w:val="auto"/>
              </w:rPr>
            </w:pPr>
            <w:r>
              <w:rPr>
                <w:rFonts w:ascii="Arial" w:cs="Arial" w:eastAsia="Arial" w:hAnsi="Arial"/>
                <w:sz w:val="22"/>
                <w:szCs w:val="22"/>
                <w:color w:val="auto"/>
                <w:w w:val="88"/>
              </w:rPr>
              <w:t>10.2</w:t>
            </w:r>
          </w:p>
        </w:tc>
        <w:tc>
          <w:tcPr>
            <w:tcW w:w="400" w:type="dxa"/>
            <w:vAlign w:val="bottom"/>
          </w:tcPr>
          <w:p>
            <w:pPr>
              <w:spacing w:after="0"/>
              <w:rPr>
                <w:sz w:val="22"/>
                <w:szCs w:val="22"/>
                <w:color w:val="auto"/>
              </w:rPr>
            </w:pPr>
          </w:p>
        </w:tc>
        <w:tc>
          <w:tcPr>
            <w:tcW w:w="5680" w:type="dxa"/>
            <w:vAlign w:val="bottom"/>
            <w:tcBorders>
              <w:bottom w:val="single" w:sz="8" w:color="0000FF"/>
            </w:tcBorders>
            <w:gridSpan w:val="20"/>
          </w:tcPr>
          <w:p>
            <w:pPr>
              <w:spacing w:after="0"/>
              <w:rPr>
                <w:rFonts w:ascii="Arial" w:cs="Arial" w:eastAsia="Arial" w:hAnsi="Arial"/>
                <w:sz w:val="20"/>
                <w:szCs w:val="20"/>
                <w:color w:val="0000FF"/>
                <w:w w:val="88"/>
              </w:rPr>
            </w:pPr>
            <w:hyperlink r:id="rId57">
              <w:r>
                <w:rPr>
                  <w:rFonts w:ascii="Arial" w:cs="Arial" w:eastAsia="Arial" w:hAnsi="Arial"/>
                  <w:sz w:val="20"/>
                  <w:szCs w:val="20"/>
                  <w:color w:val="0000FF"/>
                  <w:w w:val="88"/>
                </w:rPr>
                <w:t>Amended and Restated Registration Rights Agreement, dated as of July</w:t>
              </w:r>
            </w:hyperlink>
          </w:p>
        </w:tc>
        <w:tc>
          <w:tcPr>
            <w:tcW w:w="40" w:type="dxa"/>
            <w:vAlign w:val="bottom"/>
          </w:tcPr>
          <w:p>
            <w:pPr>
              <w:spacing w:after="0"/>
              <w:rPr>
                <w:sz w:val="22"/>
                <w:szCs w:val="22"/>
                <w:color w:val="auto"/>
              </w:rPr>
            </w:pPr>
          </w:p>
        </w:tc>
        <w:tc>
          <w:tcPr>
            <w:tcW w:w="18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900" w:type="dxa"/>
            <w:vAlign w:val="bottom"/>
            <w:gridSpan w:val="23"/>
          </w:tcPr>
          <w:p>
            <w:pPr>
              <w:spacing w:after="0" w:line="196" w:lineRule="exact"/>
              <w:rPr>
                <w:rFonts w:ascii="Arial" w:cs="Arial" w:eastAsia="Arial" w:hAnsi="Arial"/>
                <w:sz w:val="20"/>
                <w:szCs w:val="20"/>
                <w:color w:val="0000FF"/>
                <w:w w:val="98"/>
              </w:rPr>
            </w:pPr>
            <w:hyperlink r:id="rId57">
              <w:r>
                <w:rPr>
                  <w:rFonts w:ascii="Arial" w:cs="Arial" w:eastAsia="Arial" w:hAnsi="Arial"/>
                  <w:sz w:val="20"/>
                  <w:szCs w:val="20"/>
                  <w:color w:val="0000FF"/>
                  <w:w w:val="98"/>
                </w:rPr>
                <w:t>22, 2021, by and among the Company, certain equity holders of the</w:t>
              </w:r>
            </w:hyperlink>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Borders>
              <w:top w:val="single" w:sz="8" w:color="0000FF"/>
              <w:bottom w:val="single" w:sz="8" w:color="0000FF"/>
            </w:tcBorders>
            <w:gridSpan w:val="13"/>
          </w:tcPr>
          <w:p>
            <w:pPr>
              <w:spacing w:after="0" w:line="196" w:lineRule="exact"/>
              <w:rPr>
                <w:rFonts w:ascii="Arial" w:cs="Arial" w:eastAsia="Arial" w:hAnsi="Arial"/>
                <w:sz w:val="20"/>
                <w:szCs w:val="20"/>
                <w:color w:val="0000FF"/>
                <w:w w:val="87"/>
              </w:rPr>
            </w:pPr>
            <w:hyperlink r:id="rId57">
              <w:r>
                <w:rPr>
                  <w:rFonts w:ascii="Arial" w:cs="Arial" w:eastAsia="Arial" w:hAnsi="Arial"/>
                  <w:sz w:val="20"/>
                  <w:szCs w:val="20"/>
                  <w:color w:val="0000FF"/>
                  <w:w w:val="87"/>
                </w:rPr>
                <w:t>Company named therein and certain equity holders of Sema4 named</w:t>
              </w:r>
            </w:hyperlink>
          </w:p>
        </w:tc>
        <w:tc>
          <w:tcPr>
            <w:tcW w:w="80" w:type="dxa"/>
            <w:vAlign w:val="bottom"/>
            <w:tcBorders>
              <w:bottom w:val="single" w:sz="8" w:color="0000FF"/>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4"/>
          </w:tcPr>
          <w:p>
            <w:pPr>
              <w:spacing w:after="0"/>
              <w:rPr>
                <w:sz w:val="17"/>
                <w:szCs w:val="17"/>
                <w:color w:val="auto"/>
              </w:rPr>
            </w:pPr>
          </w:p>
        </w:tc>
        <w:tc>
          <w:tcPr>
            <w:tcW w:w="1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20" w:type="dxa"/>
            <w:vAlign w:val="bottom"/>
            <w:gridSpan w:val="16"/>
          </w:tcPr>
          <w:p>
            <w:pPr>
              <w:spacing w:after="0" w:line="196" w:lineRule="exact"/>
              <w:rPr>
                <w:rFonts w:ascii="Arial" w:cs="Arial" w:eastAsia="Arial" w:hAnsi="Arial"/>
                <w:sz w:val="20"/>
                <w:szCs w:val="20"/>
                <w:color w:val="0000FF"/>
              </w:rPr>
            </w:pPr>
            <w:hyperlink r:id="rId57">
              <w:r>
                <w:rPr>
                  <w:rFonts w:ascii="Arial" w:cs="Arial" w:eastAsia="Arial" w:hAnsi="Arial"/>
                  <w:sz w:val="20"/>
                  <w:szCs w:val="20"/>
                  <w:color w:val="0000FF"/>
                </w:rPr>
                <w:t xml:space="preserve">therein. </w:t>
              </w:r>
              <w:r>
                <w:rPr>
                  <w:rFonts w:ascii="Arial" w:cs="Arial" w:eastAsia="Arial" w:hAnsi="Arial"/>
                  <w:sz w:val="20"/>
                  <w:szCs w:val="20"/>
                  <w:color w:val="000000"/>
                </w:rPr>
                <w:t>(#)</w:t>
              </w:r>
            </w:hyperlink>
          </w:p>
        </w:tc>
        <w:tc>
          <w:tcPr>
            <w:tcW w:w="100" w:type="dxa"/>
            <w:vAlign w:val="bottom"/>
          </w:tcPr>
          <w:p>
            <w:pPr>
              <w:spacing w:after="0"/>
              <w:rPr>
                <w:sz w:val="17"/>
                <w:szCs w:val="17"/>
                <w:color w:val="auto"/>
              </w:rPr>
            </w:pPr>
          </w:p>
        </w:tc>
        <w:tc>
          <w:tcPr>
            <w:tcW w:w="200" w:type="dxa"/>
            <w:vAlign w:val="bottom"/>
            <w:gridSpan w:val="4"/>
          </w:tcPr>
          <w:p>
            <w:pPr>
              <w:spacing w:after="0"/>
              <w:rPr>
                <w:sz w:val="17"/>
                <w:szCs w:val="17"/>
                <w:color w:val="auto"/>
              </w:rPr>
            </w:pPr>
          </w:p>
        </w:tc>
        <w:tc>
          <w:tcPr>
            <w:tcW w:w="1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7"/>
              </w:rPr>
              <w:t>10.3</w:t>
            </w:r>
          </w:p>
        </w:tc>
        <w:tc>
          <w:tcPr>
            <w:tcW w:w="400" w:type="dxa"/>
            <w:vAlign w:val="bottom"/>
          </w:tcPr>
          <w:p>
            <w:pPr>
              <w:spacing w:after="0"/>
              <w:rPr>
                <w:sz w:val="21"/>
                <w:szCs w:val="21"/>
                <w:color w:val="auto"/>
              </w:rPr>
            </w:pPr>
          </w:p>
        </w:tc>
        <w:tc>
          <w:tcPr>
            <w:tcW w:w="5520" w:type="dxa"/>
            <w:vAlign w:val="bottom"/>
            <w:tcBorders>
              <w:bottom w:val="single" w:sz="8" w:color="0000FF"/>
            </w:tcBorders>
            <w:gridSpan w:val="17"/>
          </w:tcPr>
          <w:p>
            <w:pPr>
              <w:spacing w:after="0"/>
              <w:rPr>
                <w:rFonts w:ascii="Arial" w:cs="Arial" w:eastAsia="Arial" w:hAnsi="Arial"/>
                <w:sz w:val="20"/>
                <w:szCs w:val="20"/>
                <w:color w:val="0000FF"/>
                <w:w w:val="88"/>
              </w:rPr>
            </w:pPr>
            <w:hyperlink r:id="rId58">
              <w:r>
                <w:rPr>
                  <w:rFonts w:ascii="Arial" w:cs="Arial" w:eastAsia="Arial" w:hAnsi="Arial"/>
                  <w:sz w:val="20"/>
                  <w:szCs w:val="20"/>
                  <w:color w:val="0000FF"/>
                  <w:w w:val="88"/>
                </w:rPr>
                <w:t>Subscription Agreement, dated as of February 9, 2021, by and among</w:t>
              </w:r>
            </w:hyperlink>
          </w:p>
        </w:tc>
        <w:tc>
          <w:tcPr>
            <w:tcW w:w="200" w:type="dxa"/>
            <w:vAlign w:val="bottom"/>
            <w:gridSpan w:val="4"/>
          </w:tcPr>
          <w:p>
            <w:pPr>
              <w:spacing w:after="0"/>
              <w:rPr>
                <w:sz w:val="21"/>
                <w:szCs w:val="21"/>
                <w:color w:val="auto"/>
              </w:rPr>
            </w:pPr>
          </w:p>
        </w:tc>
        <w:tc>
          <w:tcPr>
            <w:tcW w:w="18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3"/>
          </w:tcPr>
          <w:p>
            <w:pPr>
              <w:jc w:val="center"/>
              <w:ind w:right="420"/>
              <w:spacing w:after="0"/>
              <w:rPr>
                <w:sz w:val="20"/>
                <w:szCs w:val="20"/>
                <w:color w:val="auto"/>
              </w:rPr>
            </w:pPr>
            <w:r>
              <w:rPr>
                <w:rFonts w:ascii="Arial" w:cs="Arial" w:eastAsia="Arial" w:hAnsi="Arial"/>
                <w:sz w:val="20"/>
                <w:szCs w:val="20"/>
                <w:color w:val="auto"/>
                <w:w w:val="96"/>
              </w:rPr>
              <w:t>8-K</w:t>
            </w:r>
          </w:p>
        </w:tc>
        <w:tc>
          <w:tcPr>
            <w:tcW w:w="860" w:type="dxa"/>
            <w:vAlign w:val="bottom"/>
            <w:gridSpan w:val="2"/>
          </w:tcPr>
          <w:p>
            <w:pPr>
              <w:jc w:val="center"/>
              <w:ind w:left="136"/>
              <w:spacing w:after="0"/>
              <w:rPr>
                <w:sz w:val="20"/>
                <w:szCs w:val="20"/>
                <w:color w:val="auto"/>
              </w:rPr>
            </w:pPr>
            <w:r>
              <w:rPr>
                <w:rFonts w:ascii="Arial" w:cs="Arial" w:eastAsia="Arial" w:hAnsi="Arial"/>
                <w:sz w:val="20"/>
                <w:szCs w:val="20"/>
                <w:color w:val="auto"/>
                <w:w w:val="87"/>
              </w:rPr>
              <w:t>10.1</w:t>
            </w:r>
          </w:p>
        </w:tc>
        <w:tc>
          <w:tcPr>
            <w:tcW w:w="300" w:type="dxa"/>
            <w:vAlign w:val="bottom"/>
          </w:tcPr>
          <w:p>
            <w:pPr>
              <w:spacing w:after="0"/>
              <w:rPr>
                <w:sz w:val="21"/>
                <w:szCs w:val="21"/>
                <w:color w:val="auto"/>
              </w:rPr>
            </w:pPr>
          </w:p>
        </w:tc>
        <w:tc>
          <w:tcPr>
            <w:tcW w:w="1220" w:type="dxa"/>
            <w:vAlign w:val="bottom"/>
            <w:gridSpan w:val="4"/>
          </w:tcPr>
          <w:p>
            <w:pPr>
              <w:ind w:left="240"/>
              <w:spacing w:after="0" w:line="250" w:lineRule="exact"/>
              <w:rPr>
                <w:sz w:val="20"/>
                <w:szCs w:val="20"/>
                <w:color w:val="auto"/>
              </w:rPr>
            </w:pPr>
            <w:r>
              <w:rPr>
                <w:rFonts w:ascii="Arial" w:cs="Arial" w:eastAsia="Arial" w:hAnsi="Arial"/>
                <w:sz w:val="22"/>
                <w:szCs w:val="22"/>
                <w:color w:val="auto"/>
                <w:w w:val="87"/>
              </w:rPr>
              <w:t>02/11/2021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80" w:type="dxa"/>
            <w:vAlign w:val="bottom"/>
            <w:tcBorders>
              <w:bottom w:val="single" w:sz="8" w:color="0000FF"/>
            </w:tcBorders>
            <w:gridSpan w:val="9"/>
          </w:tcPr>
          <w:p>
            <w:pPr>
              <w:spacing w:after="0" w:line="209" w:lineRule="exact"/>
              <w:rPr>
                <w:rFonts w:ascii="Arial" w:cs="Arial" w:eastAsia="Arial" w:hAnsi="Arial"/>
                <w:sz w:val="20"/>
                <w:szCs w:val="20"/>
                <w:color w:val="0000FF"/>
                <w:w w:val="87"/>
              </w:rPr>
            </w:pPr>
            <w:hyperlink r:id="rId58">
              <w:r>
                <w:rPr>
                  <w:rFonts w:ascii="Arial" w:cs="Arial" w:eastAsia="Arial" w:hAnsi="Arial"/>
                  <w:sz w:val="20"/>
                  <w:szCs w:val="20"/>
                  <w:color w:val="0000FF"/>
                  <w:w w:val="87"/>
                </w:rPr>
                <w:t>the Company and the subscriber parties thereto.</w:t>
              </w:r>
            </w:hyperlink>
          </w:p>
        </w:tc>
        <w:tc>
          <w:tcPr>
            <w:tcW w:w="2120" w:type="dxa"/>
            <w:vAlign w:val="bottom"/>
            <w:gridSpan w:val="14"/>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7"/>
              </w:rPr>
              <w:t>10.4</w:t>
            </w:r>
          </w:p>
        </w:tc>
        <w:tc>
          <w:tcPr>
            <w:tcW w:w="400" w:type="dxa"/>
            <w:vAlign w:val="bottom"/>
          </w:tcPr>
          <w:p>
            <w:pPr>
              <w:spacing w:after="0"/>
              <w:rPr>
                <w:sz w:val="22"/>
                <w:szCs w:val="22"/>
                <w:color w:val="auto"/>
              </w:rPr>
            </w:pPr>
          </w:p>
        </w:tc>
        <w:tc>
          <w:tcPr>
            <w:tcW w:w="5900" w:type="dxa"/>
            <w:vAlign w:val="bottom"/>
            <w:gridSpan w:val="23"/>
          </w:tcPr>
          <w:p>
            <w:pPr>
              <w:spacing w:after="0"/>
              <w:rPr>
                <w:rFonts w:ascii="Arial" w:cs="Arial" w:eastAsia="Arial" w:hAnsi="Arial"/>
                <w:sz w:val="20"/>
                <w:szCs w:val="20"/>
                <w:color w:val="0000FF"/>
              </w:rPr>
            </w:pPr>
            <w:hyperlink r:id="rId59">
              <w:r>
                <w:rPr>
                  <w:rFonts w:ascii="Arial" w:cs="Arial" w:eastAsia="Arial" w:hAnsi="Arial"/>
                  <w:sz w:val="20"/>
                  <w:szCs w:val="20"/>
                  <w:color w:val="0000FF"/>
                </w:rPr>
                <w:t xml:space="preserve">Form of Director and Officer Indemnification Agreement. </w:t>
              </w:r>
            </w:hyperlink>
            <w:r>
              <w:rPr>
                <w:rFonts w:ascii="Arial" w:cs="Arial" w:eastAsia="Arial" w:hAnsi="Arial"/>
                <w:sz w:val="20"/>
                <w:szCs w:val="20"/>
                <w:color w:val="000000"/>
              </w:rPr>
              <w:t>(#)</w:t>
            </w: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 w:type="dxa"/>
            <w:vAlign w:val="bottom"/>
            <w:gridSpan w:val="2"/>
          </w:tcPr>
          <w:p>
            <w:pPr>
              <w:jc w:val="center"/>
              <w:spacing w:after="0"/>
              <w:rPr>
                <w:sz w:val="20"/>
                <w:szCs w:val="20"/>
                <w:color w:val="auto"/>
              </w:rPr>
            </w:pPr>
            <w:r>
              <w:rPr>
                <w:rFonts w:ascii="Arial" w:cs="Arial" w:eastAsia="Arial" w:hAnsi="Arial"/>
                <w:sz w:val="22"/>
                <w:szCs w:val="22"/>
                <w:color w:val="auto"/>
                <w:w w:val="88"/>
              </w:rPr>
              <w:t>10.5</w:t>
            </w:r>
          </w:p>
        </w:tc>
        <w:tc>
          <w:tcPr>
            <w:tcW w:w="400" w:type="dxa"/>
            <w:vAlign w:val="bottom"/>
          </w:tcPr>
          <w:p>
            <w:pPr>
              <w:spacing w:after="0"/>
              <w:rPr>
                <w:sz w:val="22"/>
                <w:szCs w:val="22"/>
                <w:color w:val="auto"/>
              </w:rPr>
            </w:pPr>
          </w:p>
        </w:tc>
        <w:tc>
          <w:tcPr>
            <w:tcW w:w="2740" w:type="dxa"/>
            <w:vAlign w:val="bottom"/>
            <w:tcBorders>
              <w:top w:val="single" w:sz="8" w:color="0000FF"/>
              <w:bottom w:val="single" w:sz="8" w:color="0000FF"/>
            </w:tcBorders>
            <w:gridSpan w:val="6"/>
          </w:tcPr>
          <w:p>
            <w:pPr>
              <w:spacing w:after="0"/>
              <w:rPr>
                <w:rFonts w:ascii="Arial" w:cs="Arial" w:eastAsia="Arial" w:hAnsi="Arial"/>
                <w:sz w:val="20"/>
                <w:szCs w:val="20"/>
                <w:color w:val="0000FF"/>
                <w:w w:val="90"/>
              </w:rPr>
            </w:pPr>
            <w:hyperlink r:id="rId60">
              <w:r>
                <w:rPr>
                  <w:rFonts w:ascii="Arial" w:cs="Arial" w:eastAsia="Arial" w:hAnsi="Arial"/>
                  <w:sz w:val="20"/>
                  <w:szCs w:val="20"/>
                  <w:color w:val="0000FF"/>
                  <w:w w:val="90"/>
                </w:rPr>
                <w:t>2021 Equity Incentive Award Plan</w:t>
              </w:r>
            </w:hyperlink>
          </w:p>
        </w:tc>
        <w:tc>
          <w:tcPr>
            <w:tcW w:w="1860" w:type="dxa"/>
            <w:vAlign w:val="bottom"/>
            <w:tcBorders>
              <w:top w:val="single" w:sz="8" w:color="0000FF"/>
            </w:tcBorders>
            <w:gridSpan w:val="6"/>
          </w:tcPr>
          <w:p>
            <w:pPr>
              <w:jc w:val="right"/>
              <w:ind w:right="1540"/>
              <w:spacing w:after="0"/>
              <w:rPr>
                <w:sz w:val="20"/>
                <w:szCs w:val="20"/>
                <w:color w:val="auto"/>
              </w:rPr>
            </w:pPr>
            <w:r>
              <w:rPr>
                <w:rFonts w:ascii="Arial" w:cs="Arial" w:eastAsia="Arial" w:hAnsi="Arial"/>
                <w:sz w:val="20"/>
                <w:szCs w:val="20"/>
                <w:color w:val="auto"/>
                <w:w w:val="84"/>
              </w:rPr>
              <w:t>. (#)</w:t>
            </w:r>
          </w:p>
        </w:tc>
        <w:tc>
          <w:tcPr>
            <w:tcW w:w="1120" w:type="dxa"/>
            <w:vAlign w:val="bottom"/>
            <w:gridSpan w:val="9"/>
          </w:tcPr>
          <w:p>
            <w:pPr>
              <w:spacing w:after="0"/>
              <w:rPr>
                <w:sz w:val="22"/>
                <w:szCs w:val="22"/>
                <w:color w:val="auto"/>
              </w:rPr>
            </w:pPr>
          </w:p>
        </w:tc>
        <w:tc>
          <w:tcPr>
            <w:tcW w:w="18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7"/>
              </w:rPr>
              <w:t>10.6</w:t>
            </w:r>
          </w:p>
        </w:tc>
        <w:tc>
          <w:tcPr>
            <w:tcW w:w="400" w:type="dxa"/>
            <w:vAlign w:val="bottom"/>
          </w:tcPr>
          <w:p>
            <w:pPr>
              <w:spacing w:after="0"/>
              <w:rPr>
                <w:sz w:val="24"/>
                <w:szCs w:val="24"/>
                <w:color w:val="auto"/>
              </w:rPr>
            </w:pPr>
          </w:p>
        </w:tc>
        <w:tc>
          <w:tcPr>
            <w:tcW w:w="5900" w:type="dxa"/>
            <w:vAlign w:val="bottom"/>
            <w:gridSpan w:val="23"/>
          </w:tcPr>
          <w:p>
            <w:pPr>
              <w:spacing w:after="0"/>
              <w:rPr>
                <w:rFonts w:ascii="Arial" w:cs="Arial" w:eastAsia="Arial" w:hAnsi="Arial"/>
                <w:sz w:val="20"/>
                <w:szCs w:val="20"/>
                <w:color w:val="0000FF"/>
                <w:w w:val="93"/>
              </w:rPr>
            </w:pPr>
            <w:hyperlink r:id="rId61">
              <w:r>
                <w:rPr>
                  <w:rFonts w:ascii="Arial" w:cs="Arial" w:eastAsia="Arial" w:hAnsi="Arial"/>
                  <w:sz w:val="20"/>
                  <w:szCs w:val="20"/>
                  <w:color w:val="0000FF"/>
                  <w:w w:val="93"/>
                </w:rPr>
                <w:t>Form of Stock Option Agreement under the 2021 Incentive Award Plan.</w:t>
              </w:r>
            </w:hyperlink>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Borders>
              <w:top w:val="single" w:sz="8" w:color="0000FF"/>
            </w:tcBorders>
          </w:tcPr>
          <w:p>
            <w:pPr>
              <w:spacing w:after="0"/>
              <w:rPr>
                <w:sz w:val="20"/>
                <w:szCs w:val="20"/>
                <w:color w:val="auto"/>
              </w:rPr>
            </w:pPr>
            <w:r>
              <w:rPr>
                <w:rFonts w:ascii="Arial" w:cs="Arial" w:eastAsia="Arial" w:hAnsi="Arial"/>
                <w:sz w:val="20"/>
                <w:szCs w:val="20"/>
                <w:color w:val="auto"/>
              </w:rPr>
              <w:t>(#)</w:t>
            </w:r>
          </w:p>
        </w:tc>
        <w:tc>
          <w:tcPr>
            <w:tcW w:w="5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1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7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jc w:val="center"/>
              <w:ind w:right="300"/>
              <w:spacing w:after="0"/>
              <w:rPr>
                <w:sz w:val="20"/>
                <w:szCs w:val="20"/>
                <w:color w:val="auto"/>
              </w:rPr>
            </w:pPr>
            <w:r>
              <w:rPr>
                <w:rFonts w:ascii="Arial" w:cs="Arial" w:eastAsia="Arial" w:hAnsi="Arial"/>
                <w:sz w:val="20"/>
                <w:szCs w:val="20"/>
                <w:color w:val="auto"/>
                <w:w w:val="87"/>
              </w:rPr>
              <w:t>10.7</w:t>
            </w:r>
          </w:p>
        </w:tc>
        <w:tc>
          <w:tcPr>
            <w:tcW w:w="5800" w:type="dxa"/>
            <w:vAlign w:val="bottom"/>
            <w:gridSpan w:val="33"/>
          </w:tcPr>
          <w:p>
            <w:pPr>
              <w:spacing w:after="0"/>
              <w:rPr>
                <w:rFonts w:ascii="Arial" w:cs="Arial" w:eastAsia="Arial" w:hAnsi="Arial"/>
                <w:sz w:val="20"/>
                <w:szCs w:val="20"/>
                <w:color w:val="0000FF"/>
                <w:w w:val="98"/>
              </w:rPr>
            </w:pPr>
            <w:hyperlink r:id="rId63">
              <w:r>
                <w:rPr>
                  <w:rFonts w:ascii="Arial" w:cs="Arial" w:eastAsia="Arial" w:hAnsi="Arial"/>
                  <w:sz w:val="20"/>
                  <w:szCs w:val="20"/>
                  <w:color w:val="0000FF"/>
                  <w:w w:val="98"/>
                </w:rPr>
                <w:t xml:space="preserve">Form of RSU Agreement under the 2021 Incentive Award Plan. </w:t>
              </w:r>
            </w:hyperlink>
            <w:r>
              <w:rPr>
                <w:rFonts w:ascii="Arial" w:cs="Arial" w:eastAsia="Arial" w:hAnsi="Arial"/>
                <w:sz w:val="20"/>
                <w:szCs w:val="20"/>
                <w:color w:val="000000"/>
                <w:w w:val="98"/>
              </w:rPr>
              <w:t>(#)</w:t>
            </w:r>
          </w:p>
        </w:tc>
      </w:tr>
      <w:tr>
        <w:trPr>
          <w:trHeight w:val="264"/>
        </w:trPr>
        <w:tc>
          <w:tcPr>
            <w:tcW w:w="1020" w:type="dxa"/>
            <w:vAlign w:val="bottom"/>
          </w:tcPr>
          <w:p>
            <w:pPr>
              <w:jc w:val="center"/>
              <w:ind w:right="300"/>
              <w:spacing w:after="0"/>
              <w:rPr>
                <w:sz w:val="20"/>
                <w:szCs w:val="20"/>
                <w:color w:val="auto"/>
              </w:rPr>
            </w:pPr>
            <w:r>
              <w:rPr>
                <w:rFonts w:ascii="Arial" w:cs="Arial" w:eastAsia="Arial" w:hAnsi="Arial"/>
                <w:sz w:val="22"/>
                <w:szCs w:val="22"/>
                <w:color w:val="auto"/>
                <w:w w:val="88"/>
              </w:rPr>
              <w:t>10.8</w:t>
            </w:r>
          </w:p>
        </w:tc>
        <w:tc>
          <w:tcPr>
            <w:tcW w:w="2840" w:type="dxa"/>
            <w:vAlign w:val="bottom"/>
            <w:tcBorders>
              <w:top w:val="single" w:sz="8" w:color="0000FF"/>
              <w:bottom w:val="single" w:sz="8" w:color="0000FF"/>
            </w:tcBorders>
            <w:gridSpan w:val="4"/>
          </w:tcPr>
          <w:p>
            <w:pPr>
              <w:spacing w:after="0"/>
              <w:rPr>
                <w:rFonts w:ascii="Arial" w:cs="Arial" w:eastAsia="Arial" w:hAnsi="Arial"/>
                <w:sz w:val="20"/>
                <w:szCs w:val="20"/>
                <w:color w:val="0000FF"/>
                <w:w w:val="90"/>
              </w:rPr>
            </w:pPr>
            <w:hyperlink r:id="rId64">
              <w:r>
                <w:rPr>
                  <w:rFonts w:ascii="Arial" w:cs="Arial" w:eastAsia="Arial" w:hAnsi="Arial"/>
                  <w:sz w:val="20"/>
                  <w:szCs w:val="20"/>
                  <w:color w:val="0000FF"/>
                  <w:w w:val="90"/>
                </w:rPr>
                <w:t>Form of Earn-Out RSU Agreement.</w:t>
              </w:r>
            </w:hyperlink>
          </w:p>
        </w:tc>
        <w:tc>
          <w:tcPr>
            <w:tcW w:w="300" w:type="dxa"/>
            <w:vAlign w:val="bottom"/>
            <w:tcBorders>
              <w:top w:val="single" w:sz="8" w:color="0000FF"/>
            </w:tcBorders>
            <w:gridSpan w:val="4"/>
          </w:tcPr>
          <w:p>
            <w:pPr>
              <w:jc w:val="right"/>
              <w:ind w:right="20"/>
              <w:spacing w:after="0"/>
              <w:rPr>
                <w:sz w:val="20"/>
                <w:szCs w:val="20"/>
                <w:color w:val="auto"/>
              </w:rPr>
            </w:pPr>
            <w:r>
              <w:rPr>
                <w:rFonts w:ascii="Arial" w:cs="Arial" w:eastAsia="Arial" w:hAnsi="Arial"/>
                <w:sz w:val="20"/>
                <w:szCs w:val="20"/>
                <w:color w:val="auto"/>
              </w:rPr>
              <w:t>(#)</w:t>
            </w:r>
          </w:p>
        </w:tc>
        <w:tc>
          <w:tcPr>
            <w:tcW w:w="1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68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0"/>
        </w:trPr>
        <w:tc>
          <w:tcPr>
            <w:tcW w:w="1020" w:type="dxa"/>
            <w:vAlign w:val="bottom"/>
          </w:tcPr>
          <w:p>
            <w:pPr>
              <w:jc w:val="center"/>
              <w:ind w:right="300"/>
              <w:spacing w:after="0"/>
              <w:rPr>
                <w:sz w:val="20"/>
                <w:szCs w:val="20"/>
                <w:color w:val="auto"/>
              </w:rPr>
            </w:pPr>
            <w:r>
              <w:rPr>
                <w:rFonts w:ascii="Arial" w:cs="Arial" w:eastAsia="Arial" w:hAnsi="Arial"/>
                <w:sz w:val="22"/>
                <w:szCs w:val="22"/>
                <w:color w:val="auto"/>
                <w:w w:val="88"/>
              </w:rPr>
              <w:t>10.9</w:t>
            </w:r>
          </w:p>
        </w:tc>
        <w:tc>
          <w:tcPr>
            <w:tcW w:w="2980" w:type="dxa"/>
            <w:vAlign w:val="bottom"/>
            <w:tcBorders>
              <w:bottom w:val="single" w:sz="8" w:color="0000FF"/>
            </w:tcBorders>
            <w:gridSpan w:val="6"/>
          </w:tcPr>
          <w:p>
            <w:pPr>
              <w:spacing w:after="0"/>
              <w:rPr>
                <w:rFonts w:ascii="Arial" w:cs="Arial" w:eastAsia="Arial" w:hAnsi="Arial"/>
                <w:sz w:val="20"/>
                <w:szCs w:val="20"/>
                <w:color w:val="0000FF"/>
                <w:w w:val="88"/>
              </w:rPr>
            </w:pPr>
            <w:hyperlink r:id="rId65">
              <w:r>
                <w:rPr>
                  <w:rFonts w:ascii="Arial" w:cs="Arial" w:eastAsia="Arial" w:hAnsi="Arial"/>
                  <w:sz w:val="20"/>
                  <w:szCs w:val="20"/>
                  <w:color w:val="0000FF"/>
                  <w:w w:val="88"/>
                </w:rPr>
                <w:t>2021 Employee Stock Purchase Plan.</w:t>
              </w:r>
            </w:hyperlink>
          </w:p>
        </w:tc>
        <w:tc>
          <w:tcPr>
            <w:tcW w:w="300" w:type="dxa"/>
            <w:vAlign w:val="bottom"/>
            <w:gridSpan w:val="3"/>
          </w:tcPr>
          <w:p>
            <w:pPr>
              <w:jc w:val="right"/>
              <w:ind w:right="40"/>
              <w:spacing w:after="0"/>
              <w:rPr>
                <w:sz w:val="20"/>
                <w:szCs w:val="20"/>
                <w:color w:val="auto"/>
              </w:rPr>
            </w:pPr>
            <w:r>
              <w:rPr>
                <w:rFonts w:ascii="Arial" w:cs="Arial" w:eastAsia="Arial" w:hAnsi="Arial"/>
                <w:sz w:val="20"/>
                <w:szCs w:val="20"/>
                <w:color w:val="auto"/>
                <w:w w:val="97"/>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1020" w:type="dxa"/>
            <w:vAlign w:val="bottom"/>
          </w:tcPr>
          <w:p>
            <w:pPr>
              <w:jc w:val="center"/>
              <w:ind w:right="280"/>
              <w:spacing w:after="0"/>
              <w:rPr>
                <w:sz w:val="20"/>
                <w:szCs w:val="20"/>
                <w:color w:val="auto"/>
              </w:rPr>
            </w:pPr>
            <w:r>
              <w:rPr>
                <w:rFonts w:ascii="Arial" w:cs="Arial" w:eastAsia="Arial" w:hAnsi="Arial"/>
                <w:sz w:val="22"/>
                <w:szCs w:val="22"/>
                <w:color w:val="auto"/>
                <w:w w:val="87"/>
              </w:rPr>
              <w:t>10.10</w:t>
            </w:r>
          </w:p>
        </w:tc>
        <w:tc>
          <w:tcPr>
            <w:tcW w:w="5280" w:type="dxa"/>
            <w:vAlign w:val="bottom"/>
            <w:tcBorders>
              <w:bottom w:val="single" w:sz="8" w:color="0000FF"/>
            </w:tcBorders>
            <w:gridSpan w:val="18"/>
          </w:tcPr>
          <w:p>
            <w:pPr>
              <w:spacing w:after="0"/>
              <w:rPr>
                <w:rFonts w:ascii="Arial" w:cs="Arial" w:eastAsia="Arial" w:hAnsi="Arial"/>
                <w:sz w:val="20"/>
                <w:szCs w:val="20"/>
                <w:color w:val="0000FF"/>
                <w:w w:val="89"/>
              </w:rPr>
            </w:pPr>
            <w:hyperlink r:id="rId66">
              <w:r>
                <w:rPr>
                  <w:rFonts w:ascii="Arial" w:cs="Arial" w:eastAsia="Arial" w:hAnsi="Arial"/>
                  <w:sz w:val="20"/>
                  <w:szCs w:val="20"/>
                  <w:color w:val="0000FF"/>
                  <w:w w:val="89"/>
                </w:rPr>
                <w:t>Amended and Restated Employment of Agreement of Eric Schadt.</w:t>
              </w:r>
            </w:hyperlink>
          </w:p>
        </w:tc>
        <w:tc>
          <w:tcPr>
            <w:tcW w:w="280" w:type="dxa"/>
            <w:vAlign w:val="bottom"/>
            <w:gridSpan w:val="5"/>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10.11</w:t>
            </w:r>
          </w:p>
        </w:tc>
        <w:tc>
          <w:tcPr>
            <w:tcW w:w="5800" w:type="dxa"/>
            <w:vAlign w:val="bottom"/>
            <w:gridSpan w:val="33"/>
          </w:tcPr>
          <w:p>
            <w:pPr>
              <w:spacing w:after="0"/>
              <w:rPr>
                <w:rFonts w:ascii="Arial" w:cs="Arial" w:eastAsia="Arial" w:hAnsi="Arial"/>
                <w:sz w:val="20"/>
                <w:szCs w:val="20"/>
                <w:color w:val="0000FF"/>
              </w:rPr>
            </w:pPr>
            <w:hyperlink r:id="rId67">
              <w:r>
                <w:rPr>
                  <w:rFonts w:ascii="Arial" w:cs="Arial" w:eastAsia="Arial" w:hAnsi="Arial"/>
                  <w:sz w:val="20"/>
                  <w:szCs w:val="20"/>
                  <w:color w:val="0000FF"/>
                </w:rPr>
                <w:t xml:space="preserve">Employment Agreement of Isaac Ro. </w:t>
              </w:r>
            </w:hyperlink>
            <w:r>
              <w:rPr>
                <w:rFonts w:ascii="Arial" w:cs="Arial" w:eastAsia="Arial" w:hAnsi="Arial"/>
                <w:sz w:val="20"/>
                <w:szCs w:val="20"/>
                <w:color w:val="000000"/>
              </w:rPr>
              <w:t>(#)</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10.12</w:t>
            </w:r>
          </w:p>
        </w:tc>
        <w:tc>
          <w:tcPr>
            <w:tcW w:w="5800" w:type="dxa"/>
            <w:vAlign w:val="bottom"/>
            <w:gridSpan w:val="33"/>
          </w:tcPr>
          <w:p>
            <w:pPr>
              <w:spacing w:after="0"/>
              <w:rPr>
                <w:rFonts w:ascii="Arial" w:cs="Arial" w:eastAsia="Arial" w:hAnsi="Arial"/>
                <w:sz w:val="20"/>
                <w:szCs w:val="20"/>
                <w:color w:val="0000FF"/>
              </w:rPr>
            </w:pPr>
            <w:hyperlink r:id="rId68">
              <w:r>
                <w:rPr>
                  <w:rFonts w:ascii="Arial" w:cs="Arial" w:eastAsia="Arial" w:hAnsi="Arial"/>
                  <w:sz w:val="20"/>
                  <w:szCs w:val="20"/>
                  <w:color w:val="0000FF"/>
                </w:rPr>
                <w:t xml:space="preserve">Employment Agreement of Dan Clark. </w:t>
              </w:r>
            </w:hyperlink>
            <w:r>
              <w:rPr>
                <w:rFonts w:ascii="Arial" w:cs="Arial" w:eastAsia="Arial" w:hAnsi="Arial"/>
                <w:sz w:val="20"/>
                <w:szCs w:val="20"/>
                <w:color w:val="000000"/>
              </w:rPr>
              <w:t>(#)</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10.13</w:t>
            </w:r>
          </w:p>
        </w:tc>
        <w:tc>
          <w:tcPr>
            <w:tcW w:w="5800" w:type="dxa"/>
            <w:vAlign w:val="bottom"/>
            <w:gridSpan w:val="33"/>
          </w:tcPr>
          <w:p>
            <w:pPr>
              <w:spacing w:after="0"/>
              <w:rPr>
                <w:rFonts w:ascii="Arial" w:cs="Arial" w:eastAsia="Arial" w:hAnsi="Arial"/>
                <w:sz w:val="20"/>
                <w:szCs w:val="20"/>
                <w:color w:val="0000FF"/>
              </w:rPr>
            </w:pPr>
            <w:hyperlink r:id="rId69">
              <w:r>
                <w:rPr>
                  <w:rFonts w:ascii="Arial" w:cs="Arial" w:eastAsia="Arial" w:hAnsi="Arial"/>
                  <w:sz w:val="20"/>
                  <w:szCs w:val="20"/>
                  <w:color w:val="0000FF"/>
                </w:rPr>
                <w:t xml:space="preserve">Employment Agreement of James Coffin. </w:t>
              </w:r>
            </w:hyperlink>
            <w:r>
              <w:rPr>
                <w:rFonts w:ascii="Arial" w:cs="Arial" w:eastAsia="Arial" w:hAnsi="Arial"/>
                <w:sz w:val="20"/>
                <w:szCs w:val="20"/>
                <w:color w:val="000000"/>
              </w:rPr>
              <w:t>(#)</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10.14</w:t>
            </w:r>
          </w:p>
        </w:tc>
        <w:tc>
          <w:tcPr>
            <w:tcW w:w="5800" w:type="dxa"/>
            <w:vAlign w:val="bottom"/>
            <w:gridSpan w:val="33"/>
          </w:tcPr>
          <w:p>
            <w:pPr>
              <w:spacing w:after="0"/>
              <w:rPr>
                <w:rFonts w:ascii="Arial" w:cs="Arial" w:eastAsia="Arial" w:hAnsi="Arial"/>
                <w:sz w:val="20"/>
                <w:szCs w:val="20"/>
                <w:color w:val="0000FF"/>
              </w:rPr>
            </w:pPr>
            <w:hyperlink r:id="rId70">
              <w:r>
                <w:rPr>
                  <w:rFonts w:ascii="Arial" w:cs="Arial" w:eastAsia="Arial" w:hAnsi="Arial"/>
                  <w:sz w:val="20"/>
                  <w:szCs w:val="20"/>
                  <w:color w:val="0000FF"/>
                </w:rPr>
                <w:t xml:space="preserve">Employment Agreement of Anthony Prentice. </w:t>
              </w:r>
            </w:hyperlink>
            <w:r>
              <w:rPr>
                <w:rFonts w:ascii="Arial" w:cs="Arial" w:eastAsia="Arial" w:hAnsi="Arial"/>
                <w:sz w:val="20"/>
                <w:szCs w:val="20"/>
                <w:color w:val="000000"/>
              </w:rPr>
              <w:t>(#)</w:t>
            </w:r>
          </w:p>
        </w:tc>
      </w:tr>
      <w:tr>
        <w:trPr>
          <w:trHeight w:val="263"/>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10.15</w:t>
            </w:r>
          </w:p>
        </w:tc>
        <w:tc>
          <w:tcPr>
            <w:tcW w:w="3660" w:type="dxa"/>
            <w:vAlign w:val="bottom"/>
            <w:tcBorders>
              <w:top w:val="single" w:sz="8" w:color="0000FF"/>
            </w:tcBorders>
            <w:gridSpan w:val="12"/>
          </w:tcPr>
          <w:p>
            <w:pPr>
              <w:spacing w:after="0"/>
              <w:rPr>
                <w:rFonts w:ascii="Arial" w:cs="Arial" w:eastAsia="Arial" w:hAnsi="Arial"/>
                <w:sz w:val="20"/>
                <w:szCs w:val="20"/>
                <w:color w:val="0000FF"/>
                <w:w w:val="90"/>
              </w:rPr>
            </w:pPr>
            <w:hyperlink r:id="rId71">
              <w:r>
                <w:rPr>
                  <w:rFonts w:ascii="Arial" w:cs="Arial" w:eastAsia="Arial" w:hAnsi="Arial"/>
                  <w:sz w:val="20"/>
                  <w:szCs w:val="20"/>
                  <w:color w:val="0000FF"/>
                  <w:w w:val="90"/>
                </w:rPr>
                <w:t xml:space="preserve">Employment Agreement of Kareem Saad. </w:t>
              </w:r>
            </w:hyperlink>
            <w:r>
              <w:rPr>
                <w:rFonts w:ascii="Arial" w:cs="Arial" w:eastAsia="Arial" w:hAnsi="Arial"/>
                <w:sz w:val="20"/>
                <w:szCs w:val="20"/>
                <w:color w:val="000000"/>
                <w:w w:val="90"/>
              </w:rPr>
              <w:t>(#)</w:t>
            </w:r>
          </w:p>
        </w:tc>
        <w:tc>
          <w:tcPr>
            <w:tcW w:w="2140" w:type="dxa"/>
            <w:vAlign w:val="bottom"/>
            <w:gridSpan w:val="21"/>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10.16</w:t>
            </w:r>
          </w:p>
        </w:tc>
        <w:tc>
          <w:tcPr>
            <w:tcW w:w="5800" w:type="dxa"/>
            <w:vAlign w:val="bottom"/>
            <w:gridSpan w:val="33"/>
          </w:tcPr>
          <w:p>
            <w:pPr>
              <w:spacing w:after="0"/>
              <w:rPr>
                <w:rFonts w:ascii="Arial" w:cs="Arial" w:eastAsia="Arial" w:hAnsi="Arial"/>
                <w:sz w:val="20"/>
                <w:szCs w:val="20"/>
                <w:color w:val="0000FF"/>
              </w:rPr>
            </w:pPr>
            <w:hyperlink r:id="rId72">
              <w:r>
                <w:rPr>
                  <w:rFonts w:ascii="Arial" w:cs="Arial" w:eastAsia="Arial" w:hAnsi="Arial"/>
                  <w:sz w:val="20"/>
                  <w:szCs w:val="20"/>
                  <w:color w:val="0000FF"/>
                </w:rPr>
                <w:t xml:space="preserve">Employment Agreement of Karen White. </w:t>
              </w:r>
            </w:hyperlink>
            <w:r>
              <w:rPr>
                <w:rFonts w:ascii="Arial" w:cs="Arial" w:eastAsia="Arial" w:hAnsi="Arial"/>
                <w:sz w:val="20"/>
                <w:szCs w:val="20"/>
                <w:color w:val="000000"/>
              </w:rPr>
              <w:t>(#)</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10.17</w:t>
            </w:r>
          </w:p>
        </w:tc>
        <w:tc>
          <w:tcPr>
            <w:tcW w:w="5800" w:type="dxa"/>
            <w:vAlign w:val="bottom"/>
            <w:gridSpan w:val="33"/>
          </w:tcPr>
          <w:p>
            <w:pPr>
              <w:spacing w:after="0"/>
              <w:rPr>
                <w:rFonts w:ascii="Arial" w:cs="Arial" w:eastAsia="Arial" w:hAnsi="Arial"/>
                <w:sz w:val="20"/>
                <w:szCs w:val="20"/>
                <w:color w:val="0000FF"/>
                <w:w w:val="88"/>
              </w:rPr>
            </w:pPr>
            <w:hyperlink r:id="rId73">
              <w:r>
                <w:rPr>
                  <w:rFonts w:ascii="Arial" w:cs="Arial" w:eastAsia="Arial" w:hAnsi="Arial"/>
                  <w:sz w:val="20"/>
                  <w:szCs w:val="20"/>
                  <w:color w:val="0000FF"/>
                  <w:w w:val="88"/>
                </w:rPr>
                <w:t>Sub-Sublease, dated as of June 6, 2017, by and between Icahn School of</w:t>
              </w:r>
            </w:hyperlink>
          </w:p>
        </w:tc>
      </w:tr>
      <w:tr>
        <w:trPr>
          <w:trHeight w:val="196"/>
        </w:trPr>
        <w:tc>
          <w:tcPr>
            <w:tcW w:w="1020" w:type="dxa"/>
            <w:vAlign w:val="bottom"/>
          </w:tcPr>
          <w:p>
            <w:pPr>
              <w:spacing w:after="0"/>
              <w:rPr>
                <w:sz w:val="17"/>
                <w:szCs w:val="17"/>
                <w:color w:val="auto"/>
              </w:rPr>
            </w:pPr>
          </w:p>
        </w:tc>
        <w:tc>
          <w:tcPr>
            <w:tcW w:w="5740" w:type="dxa"/>
            <w:vAlign w:val="bottom"/>
            <w:tcBorders>
              <w:top w:val="single" w:sz="8" w:color="0000FF"/>
            </w:tcBorders>
            <w:gridSpan w:val="30"/>
          </w:tcPr>
          <w:p>
            <w:pPr>
              <w:spacing w:after="0" w:line="196" w:lineRule="exact"/>
              <w:rPr>
                <w:rFonts w:ascii="Arial" w:cs="Arial" w:eastAsia="Arial" w:hAnsi="Arial"/>
                <w:sz w:val="20"/>
                <w:szCs w:val="20"/>
                <w:color w:val="0000FF"/>
                <w:w w:val="91"/>
              </w:rPr>
            </w:pPr>
            <w:hyperlink r:id="rId73">
              <w:r>
                <w:rPr>
                  <w:rFonts w:ascii="Arial" w:cs="Arial" w:eastAsia="Arial" w:hAnsi="Arial"/>
                  <w:sz w:val="20"/>
                  <w:szCs w:val="20"/>
                  <w:color w:val="0000FF"/>
                  <w:w w:val="91"/>
                </w:rPr>
                <w:t>Medicine at Mount Sinai and the Company, as amended July 31, 2019.</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4"/>
        </w:trPr>
        <w:tc>
          <w:tcPr>
            <w:tcW w:w="1020" w:type="dxa"/>
            <w:vAlign w:val="bottom"/>
          </w:tcPr>
          <w:p>
            <w:pPr>
              <w:spacing w:after="0"/>
              <w:rPr>
                <w:sz w:val="21"/>
                <w:szCs w:val="21"/>
                <w:color w:val="auto"/>
              </w:rPr>
            </w:pPr>
          </w:p>
        </w:tc>
        <w:tc>
          <w:tcPr>
            <w:tcW w:w="440" w:type="dxa"/>
            <w:vAlign w:val="bottom"/>
            <w:tcBorders>
              <w:top w:val="single" w:sz="8" w:color="0000FF"/>
            </w:tcBorders>
          </w:tcPr>
          <w:p>
            <w:pPr>
              <w:spacing w:after="0"/>
              <w:rPr>
                <w:sz w:val="20"/>
                <w:szCs w:val="20"/>
                <w:color w:val="auto"/>
              </w:rPr>
            </w:pPr>
            <w:r>
              <w:rPr>
                <w:rFonts w:ascii="Arial" w:cs="Arial" w:eastAsia="Arial" w:hAnsi="Arial"/>
                <w:sz w:val="20"/>
                <w:szCs w:val="20"/>
                <w:color w:val="auto"/>
              </w:rPr>
              <w:t>(#)</w:t>
            </w:r>
          </w:p>
        </w:tc>
        <w:tc>
          <w:tcPr>
            <w:tcW w:w="36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7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8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2"/>
        </w:trPr>
        <w:tc>
          <w:tcPr>
            <w:tcW w:w="1020" w:type="dxa"/>
            <w:vAlign w:val="bottom"/>
          </w:tcPr>
          <w:p>
            <w:pPr>
              <w:jc w:val="center"/>
              <w:ind w:right="280"/>
              <w:spacing w:after="0" w:line="222" w:lineRule="exact"/>
              <w:rPr>
                <w:sz w:val="20"/>
                <w:szCs w:val="20"/>
                <w:color w:val="auto"/>
              </w:rPr>
            </w:pPr>
            <w:r>
              <w:rPr>
                <w:rFonts w:ascii="Arial" w:cs="Arial" w:eastAsia="Arial" w:hAnsi="Arial"/>
                <w:sz w:val="20"/>
                <w:szCs w:val="20"/>
                <w:color w:val="auto"/>
                <w:w w:val="87"/>
              </w:rPr>
              <w:t>10.18</w:t>
            </w:r>
          </w:p>
        </w:tc>
        <w:tc>
          <w:tcPr>
            <w:tcW w:w="5800" w:type="dxa"/>
            <w:vAlign w:val="bottom"/>
            <w:gridSpan w:val="33"/>
          </w:tcPr>
          <w:p>
            <w:pPr>
              <w:spacing w:after="0" w:line="222" w:lineRule="exact"/>
              <w:rPr>
                <w:rFonts w:ascii="Arial" w:cs="Arial" w:eastAsia="Arial" w:hAnsi="Arial"/>
                <w:sz w:val="20"/>
                <w:szCs w:val="20"/>
                <w:color w:val="0000FF"/>
                <w:w w:val="93"/>
              </w:rPr>
            </w:pPr>
            <w:hyperlink r:id="rId74">
              <w:r>
                <w:rPr>
                  <w:rFonts w:ascii="Arial" w:cs="Arial" w:eastAsia="Arial" w:hAnsi="Arial"/>
                  <w:sz w:val="20"/>
                  <w:szCs w:val="20"/>
                  <w:color w:val="0000FF"/>
                  <w:w w:val="93"/>
                </w:rPr>
                <w:t>Sublease Agreement, dated as of November 8, 2019, by and between</w:t>
              </w:r>
            </w:hyperlink>
          </w:p>
        </w:tc>
      </w:tr>
      <w:tr>
        <w:trPr>
          <w:trHeight w:val="196"/>
        </w:trPr>
        <w:tc>
          <w:tcPr>
            <w:tcW w:w="1020" w:type="dxa"/>
            <w:vAlign w:val="bottom"/>
          </w:tcPr>
          <w:p>
            <w:pPr>
              <w:spacing w:after="0"/>
              <w:rPr>
                <w:sz w:val="17"/>
                <w:szCs w:val="17"/>
                <w:color w:val="auto"/>
              </w:rPr>
            </w:pPr>
          </w:p>
        </w:tc>
        <w:tc>
          <w:tcPr>
            <w:tcW w:w="5460" w:type="dxa"/>
            <w:vAlign w:val="bottom"/>
            <w:tcBorders>
              <w:top w:val="single" w:sz="8" w:color="0000FF"/>
            </w:tcBorders>
            <w:gridSpan w:val="21"/>
          </w:tcPr>
          <w:p>
            <w:pPr>
              <w:spacing w:after="0" w:line="196" w:lineRule="exact"/>
              <w:rPr>
                <w:rFonts w:ascii="Arial" w:cs="Arial" w:eastAsia="Arial" w:hAnsi="Arial"/>
                <w:sz w:val="20"/>
                <w:szCs w:val="20"/>
                <w:color w:val="0000FF"/>
              </w:rPr>
            </w:pPr>
            <w:hyperlink r:id="rId74">
              <w:r>
                <w:rPr>
                  <w:rFonts w:ascii="Arial" w:cs="Arial" w:eastAsia="Arial" w:hAnsi="Arial"/>
                  <w:sz w:val="20"/>
                  <w:szCs w:val="20"/>
                  <w:color w:val="0000FF"/>
                </w:rPr>
                <w:t xml:space="preserve">Marriott International, Inc. and the Company. </w:t>
              </w:r>
              <w:r>
                <w:rPr>
                  <w:rFonts w:ascii="Arial" w:cs="Arial" w:eastAsia="Arial" w:hAnsi="Arial"/>
                  <w:sz w:val="20"/>
                  <w:szCs w:val="20"/>
                  <w:color w:val="000000"/>
                </w:rPr>
                <w:t>(#)</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10.19</w:t>
            </w:r>
          </w:p>
        </w:tc>
        <w:tc>
          <w:tcPr>
            <w:tcW w:w="5800" w:type="dxa"/>
            <w:vAlign w:val="bottom"/>
            <w:gridSpan w:val="33"/>
          </w:tcPr>
          <w:p>
            <w:pPr>
              <w:spacing w:after="0"/>
              <w:rPr>
                <w:rFonts w:ascii="Arial" w:cs="Arial" w:eastAsia="Arial" w:hAnsi="Arial"/>
                <w:sz w:val="20"/>
                <w:szCs w:val="20"/>
                <w:color w:val="0000FF"/>
                <w:w w:val="94"/>
              </w:rPr>
            </w:pPr>
            <w:hyperlink r:id="rId75">
              <w:r>
                <w:rPr>
                  <w:rFonts w:ascii="Arial" w:cs="Arial" w:eastAsia="Arial" w:hAnsi="Arial"/>
                  <w:sz w:val="20"/>
                  <w:szCs w:val="20"/>
                  <w:color w:val="0000FF"/>
                  <w:w w:val="94"/>
                </w:rPr>
                <w:t>Sublease, dated as of June 1, 2017, by and between Icahn School of</w:t>
              </w:r>
            </w:hyperlink>
          </w:p>
        </w:tc>
      </w:tr>
      <w:tr>
        <w:trPr>
          <w:trHeight w:val="196"/>
        </w:trPr>
        <w:tc>
          <w:tcPr>
            <w:tcW w:w="1020" w:type="dxa"/>
            <w:vAlign w:val="bottom"/>
          </w:tcPr>
          <w:p>
            <w:pPr>
              <w:spacing w:after="0"/>
              <w:rPr>
                <w:sz w:val="17"/>
                <w:szCs w:val="17"/>
                <w:color w:val="auto"/>
              </w:rPr>
            </w:pPr>
          </w:p>
        </w:tc>
        <w:tc>
          <w:tcPr>
            <w:tcW w:w="5360" w:type="dxa"/>
            <w:vAlign w:val="bottom"/>
            <w:tcBorders>
              <w:top w:val="single" w:sz="8" w:color="0000FF"/>
            </w:tcBorders>
            <w:gridSpan w:val="20"/>
          </w:tcPr>
          <w:p>
            <w:pPr>
              <w:spacing w:after="0" w:line="196" w:lineRule="exact"/>
              <w:rPr>
                <w:rFonts w:ascii="Arial" w:cs="Arial" w:eastAsia="Arial" w:hAnsi="Arial"/>
                <w:sz w:val="20"/>
                <w:szCs w:val="20"/>
                <w:color w:val="0000FF"/>
                <w:w w:val="89"/>
              </w:rPr>
            </w:pPr>
            <w:hyperlink r:id="rId75">
              <w:r>
                <w:rPr>
                  <w:rFonts w:ascii="Arial" w:cs="Arial" w:eastAsia="Arial" w:hAnsi="Arial"/>
                  <w:sz w:val="20"/>
                  <w:szCs w:val="20"/>
                  <w:color w:val="0000FF"/>
                  <w:w w:val="89"/>
                </w:rPr>
                <w:t>Medicine at Mount Sinai and the Company, as amended December</w:t>
              </w:r>
            </w:hyperlink>
          </w:p>
        </w:tc>
        <w:tc>
          <w:tcPr>
            <w:tcW w:w="280" w:type="dxa"/>
            <w:vAlign w:val="bottom"/>
            <w:gridSpan w:val="7"/>
          </w:tcPr>
          <w:p>
            <w:pPr>
              <w:jc w:val="right"/>
              <w:ind w:right="40"/>
              <w:spacing w:after="0" w:line="196" w:lineRule="exact"/>
              <w:rPr>
                <w:rFonts w:ascii="Arial" w:cs="Arial" w:eastAsia="Arial" w:hAnsi="Arial"/>
                <w:sz w:val="20"/>
                <w:szCs w:val="20"/>
                <w:color w:val="0000FF"/>
                <w:w w:val="78"/>
              </w:rPr>
            </w:pPr>
            <w:hyperlink r:id="rId75">
              <w:r>
                <w:rPr>
                  <w:rFonts w:ascii="Arial" w:cs="Arial" w:eastAsia="Arial" w:hAnsi="Arial"/>
                  <w:sz w:val="20"/>
                  <w:szCs w:val="20"/>
                  <w:color w:val="0000FF"/>
                  <w:w w:val="78"/>
                </w:rPr>
                <w:t>22,</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800" w:type="dxa"/>
            <w:vAlign w:val="bottom"/>
            <w:tcBorders>
              <w:top w:val="single" w:sz="8" w:color="0000FF"/>
            </w:tcBorders>
            <w:gridSpan w:val="2"/>
          </w:tcPr>
          <w:p>
            <w:pPr>
              <w:spacing w:after="0" w:line="196" w:lineRule="exact"/>
              <w:rPr>
                <w:rFonts w:ascii="Arial" w:cs="Arial" w:eastAsia="Arial" w:hAnsi="Arial"/>
                <w:sz w:val="20"/>
                <w:szCs w:val="20"/>
                <w:color w:val="0000FF"/>
                <w:w w:val="97"/>
              </w:rPr>
            </w:pPr>
            <w:hyperlink r:id="rId75">
              <w:r>
                <w:rPr>
                  <w:rFonts w:ascii="Arial" w:cs="Arial" w:eastAsia="Arial" w:hAnsi="Arial"/>
                  <w:sz w:val="20"/>
                  <w:szCs w:val="20"/>
                  <w:color w:val="0000FF"/>
                  <w:w w:val="97"/>
                </w:rPr>
                <w:t xml:space="preserve">2017. </w:t>
              </w:r>
              <w:r>
                <w:rPr>
                  <w:rFonts w:ascii="Arial" w:cs="Arial" w:eastAsia="Arial" w:hAnsi="Arial"/>
                  <w:sz w:val="20"/>
                  <w:szCs w:val="20"/>
                  <w:color w:val="000000"/>
                  <w:w w:val="97"/>
                </w:rPr>
                <w:t>(#)</w:t>
              </w:r>
            </w:hyperlink>
          </w:p>
        </w:tc>
        <w:tc>
          <w:tcPr>
            <w:tcW w:w="32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10.20</w:t>
            </w:r>
          </w:p>
        </w:tc>
        <w:tc>
          <w:tcPr>
            <w:tcW w:w="5800" w:type="dxa"/>
            <w:vAlign w:val="bottom"/>
            <w:gridSpan w:val="33"/>
          </w:tcPr>
          <w:p>
            <w:pPr>
              <w:spacing w:after="0"/>
              <w:rPr>
                <w:rFonts w:ascii="Arial" w:cs="Arial" w:eastAsia="Arial" w:hAnsi="Arial"/>
                <w:sz w:val="20"/>
                <w:szCs w:val="20"/>
                <w:color w:val="0000FF"/>
                <w:w w:val="93"/>
              </w:rPr>
            </w:pPr>
            <w:hyperlink r:id="rId76">
              <w:r>
                <w:rPr>
                  <w:rFonts w:ascii="Arial" w:cs="Arial" w:eastAsia="Arial" w:hAnsi="Arial"/>
                  <w:sz w:val="20"/>
                  <w:szCs w:val="20"/>
                  <w:color w:val="0000FF"/>
                  <w:w w:val="93"/>
                </w:rPr>
                <w:t>Sublease, dated as of April 23, 2019, by and between Icahn School of</w:t>
              </w:r>
            </w:hyperlink>
          </w:p>
        </w:tc>
      </w:tr>
      <w:tr>
        <w:trPr>
          <w:trHeight w:val="196"/>
        </w:trPr>
        <w:tc>
          <w:tcPr>
            <w:tcW w:w="1020" w:type="dxa"/>
            <w:vAlign w:val="bottom"/>
          </w:tcPr>
          <w:p>
            <w:pPr>
              <w:spacing w:after="0"/>
              <w:rPr>
                <w:sz w:val="17"/>
                <w:szCs w:val="17"/>
                <w:color w:val="auto"/>
              </w:rPr>
            </w:pPr>
          </w:p>
        </w:tc>
        <w:tc>
          <w:tcPr>
            <w:tcW w:w="5520" w:type="dxa"/>
            <w:vAlign w:val="bottom"/>
            <w:tcBorders>
              <w:top w:val="single" w:sz="8" w:color="0000FF"/>
            </w:tcBorders>
            <w:gridSpan w:val="22"/>
          </w:tcPr>
          <w:p>
            <w:pPr>
              <w:spacing w:after="0" w:line="196" w:lineRule="exact"/>
              <w:rPr>
                <w:rFonts w:ascii="Arial" w:cs="Arial" w:eastAsia="Arial" w:hAnsi="Arial"/>
                <w:sz w:val="20"/>
                <w:szCs w:val="20"/>
                <w:color w:val="0000FF"/>
              </w:rPr>
            </w:pPr>
            <w:hyperlink r:id="rId76">
              <w:r>
                <w:rPr>
                  <w:rFonts w:ascii="Arial" w:cs="Arial" w:eastAsia="Arial" w:hAnsi="Arial"/>
                  <w:sz w:val="20"/>
                  <w:szCs w:val="20"/>
                  <w:color w:val="0000FF"/>
                </w:rPr>
                <w:t xml:space="preserve">Medicine at Mount Sinai and the Company. </w:t>
              </w:r>
              <w:r>
                <w:rPr>
                  <w:rFonts w:ascii="Arial" w:cs="Arial" w:eastAsia="Arial" w:hAnsi="Arial"/>
                  <w:sz w:val="20"/>
                  <w:szCs w:val="20"/>
                  <w:color w:val="000000"/>
                </w:rPr>
                <w:t>(#)</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10.21</w:t>
            </w:r>
          </w:p>
        </w:tc>
        <w:tc>
          <w:tcPr>
            <w:tcW w:w="5800" w:type="dxa"/>
            <w:vAlign w:val="bottom"/>
            <w:gridSpan w:val="33"/>
          </w:tcPr>
          <w:p>
            <w:pPr>
              <w:spacing w:after="0"/>
              <w:rPr>
                <w:rFonts w:ascii="Arial" w:cs="Arial" w:eastAsia="Arial" w:hAnsi="Arial"/>
                <w:sz w:val="20"/>
                <w:szCs w:val="20"/>
                <w:color w:val="0000FF"/>
                <w:w w:val="96"/>
              </w:rPr>
            </w:pPr>
            <w:hyperlink r:id="rId77">
              <w:r>
                <w:rPr>
                  <w:rFonts w:ascii="Arial" w:cs="Arial" w:eastAsia="Arial" w:hAnsi="Arial"/>
                  <w:sz w:val="20"/>
                  <w:szCs w:val="20"/>
                  <w:color w:val="0000FF"/>
                  <w:w w:val="96"/>
                </w:rPr>
                <w:t>Lease Agreement, dated as of January 31, 2020, by and between 1</w:t>
              </w:r>
            </w:hyperlink>
          </w:p>
        </w:tc>
      </w:tr>
      <w:tr>
        <w:trPr>
          <w:trHeight w:val="196"/>
        </w:trPr>
        <w:tc>
          <w:tcPr>
            <w:tcW w:w="1020" w:type="dxa"/>
            <w:vAlign w:val="bottom"/>
          </w:tcPr>
          <w:p>
            <w:pPr>
              <w:spacing w:after="0"/>
              <w:rPr>
                <w:sz w:val="17"/>
                <w:szCs w:val="17"/>
                <w:color w:val="auto"/>
              </w:rPr>
            </w:pPr>
          </w:p>
        </w:tc>
        <w:tc>
          <w:tcPr>
            <w:tcW w:w="5240" w:type="dxa"/>
            <w:vAlign w:val="bottom"/>
            <w:tcBorders>
              <w:top w:val="single" w:sz="8" w:color="0000FF"/>
            </w:tcBorders>
            <w:gridSpan w:val="17"/>
          </w:tcPr>
          <w:p>
            <w:pPr>
              <w:spacing w:after="0" w:line="196" w:lineRule="exact"/>
              <w:rPr>
                <w:rFonts w:ascii="Arial" w:cs="Arial" w:eastAsia="Arial" w:hAnsi="Arial"/>
                <w:sz w:val="20"/>
                <w:szCs w:val="20"/>
                <w:color w:val="0000FF"/>
              </w:rPr>
            </w:pPr>
            <w:hyperlink r:id="rId77">
              <w:r>
                <w:rPr>
                  <w:rFonts w:ascii="Arial" w:cs="Arial" w:eastAsia="Arial" w:hAnsi="Arial"/>
                  <w:sz w:val="20"/>
                  <w:szCs w:val="20"/>
                  <w:color w:val="0000FF"/>
                </w:rPr>
                <w:t xml:space="preserve">Commercial Street Associates, LLC and the Company. </w:t>
              </w:r>
              <w:r>
                <w:rPr>
                  <w:rFonts w:ascii="Arial" w:cs="Arial" w:eastAsia="Arial" w:hAnsi="Arial"/>
                  <w:sz w:val="20"/>
                  <w:szCs w:val="20"/>
                  <w:color w:val="000000"/>
                </w:rPr>
                <w:t>(#)</w:t>
              </w:r>
            </w:hyperlink>
          </w:p>
        </w:tc>
        <w:tc>
          <w:tcPr>
            <w:tcW w:w="80" w:type="dxa"/>
            <w:vAlign w:val="bottom"/>
            <w:gridSpan w:val="2"/>
          </w:tcPr>
          <w:p>
            <w:pPr>
              <w:spacing w:after="0"/>
              <w:rPr>
                <w:sz w:val="17"/>
                <w:szCs w:val="17"/>
                <w:color w:val="auto"/>
              </w:rPr>
            </w:pPr>
          </w:p>
        </w:tc>
        <w:tc>
          <w:tcPr>
            <w:tcW w:w="2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97"/>
              </w:rPr>
              <w:t>10.22**</w:t>
            </w:r>
          </w:p>
        </w:tc>
        <w:tc>
          <w:tcPr>
            <w:tcW w:w="5800" w:type="dxa"/>
            <w:vAlign w:val="bottom"/>
            <w:gridSpan w:val="33"/>
          </w:tcPr>
          <w:p>
            <w:pPr>
              <w:spacing w:after="0"/>
              <w:rPr>
                <w:rFonts w:ascii="Arial" w:cs="Arial" w:eastAsia="Arial" w:hAnsi="Arial"/>
                <w:sz w:val="20"/>
                <w:szCs w:val="20"/>
                <w:color w:val="0000FF"/>
                <w:w w:val="89"/>
              </w:rPr>
            </w:pPr>
            <w:hyperlink r:id="rId78">
              <w:r>
                <w:rPr>
                  <w:rFonts w:ascii="Arial" w:cs="Arial" w:eastAsia="Arial" w:hAnsi="Arial"/>
                  <w:sz w:val="20"/>
                  <w:szCs w:val="20"/>
                  <w:color w:val="0000FF"/>
                  <w:w w:val="89"/>
                </w:rPr>
                <w:t>Master Services Agreement, dated as of April 2, 2018, by and among the</w:t>
              </w:r>
            </w:hyperlink>
          </w:p>
        </w:tc>
      </w:tr>
      <w:tr>
        <w:trPr>
          <w:trHeight w:val="196"/>
        </w:trPr>
        <w:tc>
          <w:tcPr>
            <w:tcW w:w="1020" w:type="dxa"/>
            <w:vAlign w:val="bottom"/>
          </w:tcPr>
          <w:p>
            <w:pPr>
              <w:spacing w:after="0"/>
              <w:rPr>
                <w:sz w:val="17"/>
                <w:szCs w:val="17"/>
                <w:color w:val="auto"/>
              </w:rPr>
            </w:pPr>
          </w:p>
        </w:tc>
        <w:tc>
          <w:tcPr>
            <w:tcW w:w="5780" w:type="dxa"/>
            <w:vAlign w:val="bottom"/>
            <w:tcBorders>
              <w:top w:val="single" w:sz="8" w:color="0000FF"/>
            </w:tcBorders>
            <w:gridSpan w:val="32"/>
          </w:tcPr>
          <w:p>
            <w:pPr>
              <w:spacing w:after="0" w:line="196" w:lineRule="exact"/>
              <w:rPr>
                <w:rFonts w:ascii="Arial" w:cs="Arial" w:eastAsia="Arial" w:hAnsi="Arial"/>
                <w:sz w:val="20"/>
                <w:szCs w:val="20"/>
                <w:color w:val="0000FF"/>
                <w:w w:val="94"/>
              </w:rPr>
            </w:pPr>
            <w:hyperlink r:id="rId78">
              <w:r>
                <w:rPr>
                  <w:rFonts w:ascii="Arial" w:cs="Arial" w:eastAsia="Arial" w:hAnsi="Arial"/>
                  <w:sz w:val="20"/>
                  <w:szCs w:val="20"/>
                  <w:color w:val="0000FF"/>
                  <w:w w:val="94"/>
                </w:rPr>
                <w:t>Company, Icahn School of Medicine at Mount Sinai, The Mount Sinai</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580" w:type="dxa"/>
            <w:vAlign w:val="bottom"/>
            <w:tcBorders>
              <w:top w:val="single" w:sz="8" w:color="0000FF"/>
            </w:tcBorders>
            <w:gridSpan w:val="24"/>
          </w:tcPr>
          <w:p>
            <w:pPr>
              <w:spacing w:after="0" w:line="196" w:lineRule="exact"/>
              <w:rPr>
                <w:rFonts w:ascii="Arial" w:cs="Arial" w:eastAsia="Arial" w:hAnsi="Arial"/>
                <w:sz w:val="20"/>
                <w:szCs w:val="20"/>
                <w:color w:val="0000FF"/>
                <w:w w:val="98"/>
              </w:rPr>
            </w:pPr>
            <w:hyperlink r:id="rId78">
              <w:r>
                <w:rPr>
                  <w:rFonts w:ascii="Arial" w:cs="Arial" w:eastAsia="Arial" w:hAnsi="Arial"/>
                  <w:sz w:val="20"/>
                  <w:szCs w:val="20"/>
                  <w:color w:val="0000FF"/>
                  <w:w w:val="98"/>
                </w:rPr>
                <w:t>Hospital, and the parties thereto, as amended July 31, 2019</w:t>
              </w:r>
              <w:r>
                <w:rPr>
                  <w:rFonts w:ascii="Arial" w:cs="Arial" w:eastAsia="Arial" w:hAnsi="Arial"/>
                  <w:sz w:val="20"/>
                  <w:szCs w:val="20"/>
                  <w:color w:val="000000"/>
                  <w:w w:val="98"/>
                </w:rPr>
                <w:t>. (#)</w:t>
              </w:r>
            </w:hyperlink>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97"/>
              </w:rPr>
              <w:t>10.23**</w:t>
            </w:r>
          </w:p>
        </w:tc>
        <w:tc>
          <w:tcPr>
            <w:tcW w:w="5800" w:type="dxa"/>
            <w:vAlign w:val="bottom"/>
            <w:gridSpan w:val="33"/>
          </w:tcPr>
          <w:p>
            <w:pPr>
              <w:spacing w:after="0"/>
              <w:rPr>
                <w:rFonts w:ascii="Arial" w:cs="Arial" w:eastAsia="Arial" w:hAnsi="Arial"/>
                <w:sz w:val="20"/>
                <w:szCs w:val="20"/>
                <w:color w:val="0000FF"/>
                <w:w w:val="90"/>
              </w:rPr>
            </w:pPr>
            <w:hyperlink r:id="rId79">
              <w:r>
                <w:rPr>
                  <w:rFonts w:ascii="Arial" w:cs="Arial" w:eastAsia="Arial" w:hAnsi="Arial"/>
                  <w:sz w:val="20"/>
                  <w:szCs w:val="20"/>
                  <w:color w:val="0000FF"/>
                  <w:w w:val="90"/>
                </w:rPr>
                <w:t>Master Services Agreement, dated as of May 10, 2018, by and between</w:t>
              </w:r>
            </w:hyperlink>
          </w:p>
        </w:tc>
      </w:tr>
      <w:tr>
        <w:trPr>
          <w:trHeight w:val="196"/>
        </w:trPr>
        <w:tc>
          <w:tcPr>
            <w:tcW w:w="1020" w:type="dxa"/>
            <w:vAlign w:val="bottom"/>
          </w:tcPr>
          <w:p>
            <w:pPr>
              <w:spacing w:after="0"/>
              <w:rPr>
                <w:sz w:val="17"/>
                <w:szCs w:val="17"/>
                <w:color w:val="auto"/>
              </w:rPr>
            </w:pPr>
          </w:p>
        </w:tc>
        <w:tc>
          <w:tcPr>
            <w:tcW w:w="5660" w:type="dxa"/>
            <w:vAlign w:val="bottom"/>
            <w:tcBorders>
              <w:top w:val="single" w:sz="8" w:color="0000FF"/>
              <w:bottom w:val="single" w:sz="8" w:color="0000FF"/>
            </w:tcBorders>
            <w:gridSpan w:val="28"/>
          </w:tcPr>
          <w:p>
            <w:pPr>
              <w:spacing w:after="0" w:line="196" w:lineRule="exact"/>
              <w:rPr>
                <w:rFonts w:ascii="Arial" w:cs="Arial" w:eastAsia="Arial" w:hAnsi="Arial"/>
                <w:sz w:val="20"/>
                <w:szCs w:val="20"/>
                <w:color w:val="0000FF"/>
                <w:w w:val="87"/>
              </w:rPr>
            </w:pPr>
            <w:hyperlink r:id="rId79">
              <w:r>
                <w:rPr>
                  <w:rFonts w:ascii="Arial" w:cs="Arial" w:eastAsia="Arial" w:hAnsi="Arial"/>
                  <w:sz w:val="20"/>
                  <w:szCs w:val="20"/>
                  <w:color w:val="0000FF"/>
                  <w:w w:val="87"/>
                </w:rPr>
                <w:t>the Company and Icahn School of Medicine at Mount Sinai, as amended</w:t>
              </w:r>
            </w:hyperlink>
          </w:p>
        </w:tc>
        <w:tc>
          <w:tcPr>
            <w:tcW w:w="40" w:type="dxa"/>
            <w:vAlign w:val="bottom"/>
            <w:tcBorders>
              <w:bottom w:val="single" w:sz="8" w:color="0000FF"/>
            </w:tcBorders>
          </w:tcPr>
          <w:p>
            <w:pPr>
              <w:spacing w:after="0"/>
              <w:rPr>
                <w:sz w:val="17"/>
                <w:szCs w:val="17"/>
                <w:color w:val="auto"/>
              </w:rPr>
            </w:pPr>
          </w:p>
        </w:tc>
        <w:tc>
          <w:tcPr>
            <w:tcW w:w="60" w:type="dxa"/>
            <w:vAlign w:val="bottom"/>
            <w:tcBorders>
              <w:bottom w:val="single" w:sz="8" w:color="0000FF"/>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760" w:type="dxa"/>
            <w:vAlign w:val="bottom"/>
            <w:gridSpan w:val="31"/>
          </w:tcPr>
          <w:p>
            <w:pPr>
              <w:spacing w:after="0" w:line="196" w:lineRule="exact"/>
              <w:rPr>
                <w:rFonts w:ascii="Arial" w:cs="Arial" w:eastAsia="Arial" w:hAnsi="Arial"/>
                <w:sz w:val="20"/>
                <w:szCs w:val="20"/>
                <w:color w:val="0000FF"/>
              </w:rPr>
            </w:pPr>
            <w:hyperlink r:id="rId79">
              <w:r>
                <w:rPr>
                  <w:rFonts w:ascii="Arial" w:cs="Arial" w:eastAsia="Arial" w:hAnsi="Arial"/>
                  <w:sz w:val="20"/>
                  <w:szCs w:val="20"/>
                  <w:color w:val="0000FF"/>
                </w:rPr>
                <w:t xml:space="preserve">July 31, 2019. </w:t>
              </w:r>
              <w:r>
                <w:rPr>
                  <w:rFonts w:ascii="Arial" w:cs="Arial" w:eastAsia="Arial" w:hAnsi="Arial"/>
                  <w:sz w:val="20"/>
                  <w:szCs w:val="20"/>
                  <w:color w:val="000000"/>
                </w:rPr>
                <w:t>(#)</w:t>
              </w:r>
            </w:hyperlink>
          </w:p>
        </w:tc>
        <w:tc>
          <w:tcPr>
            <w:tcW w:w="4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50"/>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97"/>
              </w:rPr>
              <w:t>10.24**</w:t>
            </w:r>
          </w:p>
        </w:tc>
        <w:tc>
          <w:tcPr>
            <w:tcW w:w="5800" w:type="dxa"/>
            <w:vAlign w:val="bottom"/>
            <w:gridSpan w:val="33"/>
          </w:tcPr>
          <w:p>
            <w:pPr>
              <w:spacing w:after="0"/>
              <w:rPr>
                <w:rFonts w:ascii="Arial" w:cs="Arial" w:eastAsia="Arial" w:hAnsi="Arial"/>
                <w:sz w:val="20"/>
                <w:szCs w:val="20"/>
                <w:color w:val="0000FF"/>
                <w:w w:val="92"/>
              </w:rPr>
            </w:pPr>
            <w:hyperlink r:id="rId80">
              <w:r>
                <w:rPr>
                  <w:rFonts w:ascii="Arial" w:cs="Arial" w:eastAsia="Arial" w:hAnsi="Arial"/>
                  <w:sz w:val="20"/>
                  <w:szCs w:val="20"/>
                  <w:color w:val="0000FF"/>
                  <w:w w:val="92"/>
                </w:rPr>
                <w:t>Data Structuring and Curation Agreement, dated as of August 1, 2019,</w:t>
              </w:r>
            </w:hyperlink>
          </w:p>
        </w:tc>
      </w:tr>
      <w:tr>
        <w:trPr>
          <w:trHeight w:val="196"/>
        </w:trPr>
        <w:tc>
          <w:tcPr>
            <w:tcW w:w="1020" w:type="dxa"/>
            <w:vAlign w:val="bottom"/>
          </w:tcPr>
          <w:p>
            <w:pPr>
              <w:spacing w:after="0"/>
              <w:rPr>
                <w:sz w:val="17"/>
                <w:szCs w:val="17"/>
                <w:color w:val="auto"/>
              </w:rPr>
            </w:pPr>
          </w:p>
        </w:tc>
        <w:tc>
          <w:tcPr>
            <w:tcW w:w="5600" w:type="dxa"/>
            <w:vAlign w:val="bottom"/>
            <w:tcBorders>
              <w:top w:val="single" w:sz="8" w:color="0000FF"/>
            </w:tcBorders>
            <w:gridSpan w:val="25"/>
          </w:tcPr>
          <w:p>
            <w:pPr>
              <w:spacing w:after="0" w:line="196" w:lineRule="exact"/>
              <w:rPr>
                <w:rFonts w:ascii="Arial" w:cs="Arial" w:eastAsia="Arial" w:hAnsi="Arial"/>
                <w:sz w:val="20"/>
                <w:szCs w:val="20"/>
                <w:color w:val="0000FF"/>
                <w:w w:val="96"/>
              </w:rPr>
            </w:pPr>
            <w:hyperlink r:id="rId80">
              <w:r>
                <w:rPr>
                  <w:rFonts w:ascii="Arial" w:cs="Arial" w:eastAsia="Arial" w:hAnsi="Arial"/>
                  <w:sz w:val="20"/>
                  <w:szCs w:val="20"/>
                  <w:color w:val="0000FF"/>
                  <w:w w:val="96"/>
                </w:rPr>
                <w:t>by and between Icahn School of Medicine at Mount Sinai and the</w:t>
              </w:r>
            </w:hyperlink>
          </w:p>
        </w:tc>
        <w:tc>
          <w:tcPr>
            <w:tcW w:w="4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200" w:type="dxa"/>
            <w:vAlign w:val="bottom"/>
            <w:tcBorders>
              <w:top w:val="single" w:sz="8" w:color="0000FF"/>
            </w:tcBorders>
            <w:gridSpan w:val="16"/>
          </w:tcPr>
          <w:p>
            <w:pPr>
              <w:spacing w:after="0" w:line="196" w:lineRule="exact"/>
              <w:rPr>
                <w:rFonts w:ascii="Arial" w:cs="Arial" w:eastAsia="Arial" w:hAnsi="Arial"/>
                <w:sz w:val="20"/>
                <w:szCs w:val="20"/>
                <w:color w:val="0000FF"/>
              </w:rPr>
            </w:pPr>
            <w:hyperlink r:id="rId80">
              <w:r>
                <w:rPr>
                  <w:rFonts w:ascii="Arial" w:cs="Arial" w:eastAsia="Arial" w:hAnsi="Arial"/>
                  <w:sz w:val="20"/>
                  <w:szCs w:val="20"/>
                  <w:color w:val="0000FF"/>
                </w:rPr>
                <w:t xml:space="preserve">Company, as amended March 11, 2020. </w:t>
              </w:r>
              <w:r>
                <w:rPr>
                  <w:rFonts w:ascii="Arial" w:cs="Arial" w:eastAsia="Arial" w:hAnsi="Arial"/>
                  <w:sz w:val="20"/>
                  <w:szCs w:val="20"/>
                  <w:color w:val="000000"/>
                </w:rPr>
                <w:t>(#)</w:t>
              </w:r>
            </w:hyperlink>
          </w:p>
        </w:tc>
        <w:tc>
          <w:tcPr>
            <w:tcW w:w="120" w:type="dxa"/>
            <w:vAlign w:val="bottom"/>
            <w:gridSpan w:val="3"/>
          </w:tcPr>
          <w:p>
            <w:pPr>
              <w:spacing w:after="0"/>
              <w:rPr>
                <w:sz w:val="17"/>
                <w:szCs w:val="17"/>
                <w:color w:val="auto"/>
              </w:rPr>
            </w:pPr>
          </w:p>
        </w:tc>
        <w:tc>
          <w:tcPr>
            <w:tcW w:w="240" w:type="dxa"/>
            <w:vAlign w:val="bottom"/>
            <w:gridSpan w:val="4"/>
          </w:tcPr>
          <w:p>
            <w:pPr>
              <w:spacing w:after="0"/>
              <w:rPr>
                <w:sz w:val="17"/>
                <w:szCs w:val="17"/>
                <w:color w:val="auto"/>
              </w:rPr>
            </w:pPr>
          </w:p>
        </w:tc>
        <w:tc>
          <w:tcPr>
            <w:tcW w:w="80" w:type="dxa"/>
            <w:vAlign w:val="bottom"/>
            <w:gridSpan w:val="4"/>
          </w:tcPr>
          <w:p>
            <w:pPr>
              <w:spacing w:after="0"/>
              <w:rPr>
                <w:sz w:val="17"/>
                <w:szCs w:val="17"/>
                <w:color w:val="auto"/>
              </w:rPr>
            </w:pPr>
          </w:p>
        </w:tc>
        <w:tc>
          <w:tcPr>
            <w:tcW w:w="60" w:type="dxa"/>
            <w:vAlign w:val="bottom"/>
            <w:gridSpan w:val="2"/>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340" w:type="dxa"/>
            <w:vAlign w:val="bottom"/>
            <w:gridSpan w:val="6"/>
            <w:shd w:val="clear" w:color="auto" w:fill="0000FF"/>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50"/>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97"/>
              </w:rPr>
              <w:t>10.25**</w:t>
            </w:r>
          </w:p>
        </w:tc>
        <w:tc>
          <w:tcPr>
            <w:tcW w:w="5800" w:type="dxa"/>
            <w:vAlign w:val="bottom"/>
            <w:gridSpan w:val="33"/>
          </w:tcPr>
          <w:p>
            <w:pPr>
              <w:spacing w:after="0"/>
              <w:rPr>
                <w:rFonts w:ascii="Arial" w:cs="Arial" w:eastAsia="Arial" w:hAnsi="Arial"/>
                <w:sz w:val="20"/>
                <w:szCs w:val="20"/>
                <w:color w:val="0000FF"/>
                <w:w w:val="93"/>
              </w:rPr>
            </w:pPr>
            <w:hyperlink r:id="rId81">
              <w:r>
                <w:rPr>
                  <w:rFonts w:ascii="Arial" w:cs="Arial" w:eastAsia="Arial" w:hAnsi="Arial"/>
                  <w:sz w:val="20"/>
                  <w:szCs w:val="20"/>
                  <w:color w:val="0000FF"/>
                  <w:w w:val="93"/>
                </w:rPr>
                <w:t>BioMe Biospecimen and Data Access Agreement, dated as of July 19,</w:t>
              </w:r>
            </w:hyperlink>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520" w:type="dxa"/>
            <w:vAlign w:val="bottom"/>
            <w:gridSpan w:val="17"/>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800" w:type="dxa"/>
            <w:vAlign w:val="bottom"/>
            <w:gridSpan w:val="33"/>
          </w:tcPr>
          <w:p>
            <w:pPr>
              <w:spacing w:after="0" w:line="196" w:lineRule="exact"/>
              <w:rPr>
                <w:rFonts w:ascii="Arial" w:cs="Arial" w:eastAsia="Arial" w:hAnsi="Arial"/>
                <w:sz w:val="20"/>
                <w:szCs w:val="20"/>
                <w:color w:val="0000FF"/>
                <w:w w:val="91"/>
              </w:rPr>
            </w:pPr>
            <w:hyperlink r:id="rId81">
              <w:r>
                <w:rPr>
                  <w:rFonts w:ascii="Arial" w:cs="Arial" w:eastAsia="Arial" w:hAnsi="Arial"/>
                  <w:sz w:val="20"/>
                  <w:szCs w:val="20"/>
                  <w:color w:val="0000FF"/>
                  <w:w w:val="91"/>
                </w:rPr>
                <w:t>2019, by and between Icahn School of Medicine at Mount Sinai and the</w:t>
              </w:r>
            </w:hyperlink>
          </w:p>
        </w:tc>
      </w:tr>
      <w:tr>
        <w:trPr>
          <w:trHeight w:val="196"/>
        </w:trPr>
        <w:tc>
          <w:tcPr>
            <w:tcW w:w="1020" w:type="dxa"/>
            <w:vAlign w:val="bottom"/>
          </w:tcPr>
          <w:p>
            <w:pPr>
              <w:spacing w:after="0"/>
              <w:rPr>
                <w:sz w:val="17"/>
                <w:szCs w:val="17"/>
                <w:color w:val="auto"/>
              </w:rPr>
            </w:pPr>
          </w:p>
        </w:tc>
        <w:tc>
          <w:tcPr>
            <w:tcW w:w="5700" w:type="dxa"/>
            <w:vAlign w:val="bottom"/>
            <w:tcBorders>
              <w:top w:val="single" w:sz="8" w:color="0000FF"/>
            </w:tcBorders>
            <w:gridSpan w:val="29"/>
          </w:tcPr>
          <w:p>
            <w:pPr>
              <w:spacing w:after="0" w:line="196" w:lineRule="exact"/>
              <w:rPr>
                <w:rFonts w:ascii="Arial" w:cs="Arial" w:eastAsia="Arial" w:hAnsi="Arial"/>
                <w:sz w:val="20"/>
                <w:szCs w:val="20"/>
                <w:color w:val="0000FF"/>
              </w:rPr>
            </w:pPr>
            <w:hyperlink r:id="rId81">
              <w:r>
                <w:rPr>
                  <w:rFonts w:ascii="Arial" w:cs="Arial" w:eastAsia="Arial" w:hAnsi="Arial"/>
                  <w:sz w:val="20"/>
                  <w:szCs w:val="20"/>
                  <w:color w:val="0000FF"/>
                </w:rPr>
                <w:t xml:space="preserve">Company. </w:t>
              </w:r>
              <w:r>
                <w:rPr>
                  <w:rFonts w:ascii="Arial" w:cs="Arial" w:eastAsia="Arial" w:hAnsi="Arial"/>
                  <w:sz w:val="20"/>
                  <w:szCs w:val="20"/>
                  <w:color w:val="000000"/>
                </w:rPr>
                <w:t>(#)</w:t>
              </w:r>
            </w:hyperlink>
          </w:p>
        </w:tc>
        <w:tc>
          <w:tcPr>
            <w:tcW w:w="10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520" w:type="dxa"/>
            <w:vAlign w:val="bottom"/>
            <w:gridSpan w:val="17"/>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250"/>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97"/>
              </w:rPr>
              <w:t>10.26**</w:t>
            </w:r>
          </w:p>
        </w:tc>
        <w:tc>
          <w:tcPr>
            <w:tcW w:w="5800" w:type="dxa"/>
            <w:vAlign w:val="bottom"/>
            <w:gridSpan w:val="33"/>
          </w:tcPr>
          <w:p>
            <w:pPr>
              <w:spacing w:after="0"/>
              <w:rPr>
                <w:rFonts w:ascii="Arial" w:cs="Arial" w:eastAsia="Arial" w:hAnsi="Arial"/>
                <w:sz w:val="20"/>
                <w:szCs w:val="20"/>
                <w:color w:val="0000FF"/>
                <w:w w:val="91"/>
              </w:rPr>
            </w:pPr>
            <w:hyperlink r:id="rId82">
              <w:r>
                <w:rPr>
                  <w:rFonts w:ascii="Arial" w:cs="Arial" w:eastAsia="Arial" w:hAnsi="Arial"/>
                  <w:sz w:val="20"/>
                  <w:szCs w:val="20"/>
                  <w:color w:val="0000FF"/>
                  <w:w w:val="91"/>
                </w:rPr>
                <w:t>Non-Exclusive Patent License Agreement, dated as of June 1, 2017, by</w:t>
              </w:r>
            </w:hyperlink>
          </w:p>
        </w:tc>
      </w:tr>
      <w:tr>
        <w:trPr>
          <w:trHeight w:val="196"/>
        </w:trPr>
        <w:tc>
          <w:tcPr>
            <w:tcW w:w="1020" w:type="dxa"/>
            <w:vAlign w:val="bottom"/>
          </w:tcPr>
          <w:p>
            <w:pPr>
              <w:spacing w:after="0"/>
              <w:rPr>
                <w:sz w:val="17"/>
                <w:szCs w:val="17"/>
                <w:color w:val="auto"/>
              </w:rPr>
            </w:pPr>
          </w:p>
        </w:tc>
        <w:tc>
          <w:tcPr>
            <w:tcW w:w="5640" w:type="dxa"/>
            <w:vAlign w:val="bottom"/>
            <w:tcBorders>
              <w:top w:val="single" w:sz="8" w:color="0000FF"/>
            </w:tcBorders>
            <w:gridSpan w:val="27"/>
          </w:tcPr>
          <w:p>
            <w:pPr>
              <w:spacing w:after="0" w:line="196" w:lineRule="exact"/>
              <w:rPr>
                <w:rFonts w:ascii="Arial" w:cs="Arial" w:eastAsia="Arial" w:hAnsi="Arial"/>
                <w:sz w:val="20"/>
                <w:szCs w:val="20"/>
                <w:color w:val="0000FF"/>
                <w:w w:val="95"/>
              </w:rPr>
            </w:pPr>
            <w:hyperlink r:id="rId82">
              <w:r>
                <w:rPr>
                  <w:rFonts w:ascii="Arial" w:cs="Arial" w:eastAsia="Arial" w:hAnsi="Arial"/>
                  <w:sz w:val="20"/>
                  <w:szCs w:val="20"/>
                  <w:color w:val="0000FF"/>
                  <w:w w:val="95"/>
                </w:rPr>
                <w:t>and between the Company and Icahn School of Medicine at Mount</w:t>
              </w:r>
            </w:hyperlink>
          </w:p>
        </w:tc>
        <w:tc>
          <w:tcPr>
            <w:tcW w:w="16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320" w:type="dxa"/>
            <w:vAlign w:val="bottom"/>
            <w:tcBorders>
              <w:top w:val="single" w:sz="8" w:color="0000FF"/>
            </w:tcBorders>
            <w:gridSpan w:val="19"/>
          </w:tcPr>
          <w:p>
            <w:pPr>
              <w:spacing w:after="0" w:line="196" w:lineRule="exact"/>
              <w:rPr>
                <w:rFonts w:ascii="Arial" w:cs="Arial" w:eastAsia="Arial" w:hAnsi="Arial"/>
                <w:sz w:val="20"/>
                <w:szCs w:val="20"/>
                <w:color w:val="0000FF"/>
              </w:rPr>
            </w:pPr>
            <w:hyperlink r:id="rId82">
              <w:r>
                <w:rPr>
                  <w:rFonts w:ascii="Arial" w:cs="Arial" w:eastAsia="Arial" w:hAnsi="Arial"/>
                  <w:sz w:val="20"/>
                  <w:szCs w:val="20"/>
                  <w:color w:val="0000FF"/>
                </w:rPr>
                <w:t xml:space="preserve">Sinai. </w:t>
              </w:r>
              <w:r>
                <w:rPr>
                  <w:rFonts w:ascii="Arial" w:cs="Arial" w:eastAsia="Arial" w:hAnsi="Arial"/>
                  <w:sz w:val="20"/>
                  <w:szCs w:val="20"/>
                  <w:color w:val="000000"/>
                </w:rPr>
                <w:t>(#)</w:t>
              </w:r>
            </w:hyperlink>
          </w:p>
        </w:tc>
        <w:tc>
          <w:tcPr>
            <w:tcW w:w="480" w:type="dxa"/>
            <w:vAlign w:val="bottom"/>
            <w:gridSpan w:val="1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182245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440" w:right="1440" w:bottom="1440" w:gutter="0" w:footer="0" w:header="0"/>
        </w:sectPr>
      </w:pPr>
    </w:p>
    <w:bookmarkStart w:id="32" w:name="page33"/>
    <w:bookmarkEnd w:id="32"/>
    <w:p>
      <w:pPr>
        <w:spacing w:after="0" w:line="33" w:lineRule="exact"/>
        <w:rPr>
          <w:sz w:val="20"/>
          <w:szCs w:val="20"/>
          <w:color w:val="auto"/>
        </w:rPr>
      </w:pPr>
    </w:p>
    <w:p>
      <w:pPr>
        <w:ind w:left="1400" w:right="4500" w:hanging="1027"/>
        <w:spacing w:after="0" w:line="281" w:lineRule="auto"/>
        <w:tabs>
          <w:tab w:leader="none" w:pos="1380" w:val="left"/>
        </w:tabs>
        <w:rPr>
          <w:rFonts w:ascii="Arial" w:cs="Arial" w:eastAsia="Arial" w:hAnsi="Arial"/>
          <w:sz w:val="18"/>
          <w:szCs w:val="18"/>
          <w:color w:val="0000FF"/>
        </w:rPr>
      </w:pPr>
      <w:r>
        <w:rPr>
          <w:rFonts w:ascii="Arial" w:cs="Arial" w:eastAsia="Arial" w:hAnsi="Arial"/>
          <w:sz w:val="20"/>
          <w:szCs w:val="20"/>
          <w:color w:val="auto"/>
        </w:rPr>
        <w:t>10.27**</w:t>
      </w:r>
      <w:r>
        <w:rPr>
          <w:sz w:val="20"/>
          <w:szCs w:val="20"/>
          <w:color w:val="auto"/>
        </w:rPr>
        <w:tab/>
      </w:r>
      <w:hyperlink r:id="rId84">
        <w:r>
          <w:rPr>
            <w:rFonts w:ascii="Arial" w:cs="Arial" w:eastAsia="Arial" w:hAnsi="Arial"/>
            <w:sz w:val="18"/>
            <w:szCs w:val="18"/>
            <w:u w:val="single" w:color="auto"/>
            <w:color w:val="0000FF"/>
          </w:rPr>
          <w:t>Supply Agreement, dated as of June 20, 2014, by and between the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Company and Illumina, Inc., and amendments thereto</w:t>
        </w:r>
        <w:r>
          <w:rPr>
            <w:rFonts w:ascii="Arial" w:cs="Arial" w:eastAsia="Arial" w:hAnsi="Arial"/>
            <w:sz w:val="18"/>
            <w:szCs w:val="18"/>
            <w:color w:val="000000"/>
          </w:rPr>
          <w:t>. (#)</w:t>
        </w:r>
      </w:hyperlink>
    </w:p>
    <w:p>
      <w:pPr>
        <w:spacing w:after="0" w:line="1" w:lineRule="exact"/>
        <w:rPr>
          <w:sz w:val="20"/>
          <w:szCs w:val="20"/>
          <w:color w:val="auto"/>
        </w:rPr>
      </w:pPr>
    </w:p>
    <w:p>
      <w:pPr>
        <w:ind w:left="1400" w:right="4200" w:hanging="879"/>
        <w:spacing w:after="0" w:line="260" w:lineRule="auto"/>
        <w:tabs>
          <w:tab w:leader="none" w:pos="1380" w:val="left"/>
        </w:tabs>
        <w:rPr>
          <w:rFonts w:ascii="Arial" w:cs="Arial" w:eastAsia="Arial" w:hAnsi="Arial"/>
          <w:sz w:val="20"/>
          <w:szCs w:val="20"/>
          <w:color w:val="0000FF"/>
        </w:rPr>
      </w:pPr>
      <w:r>
        <w:rPr>
          <w:rFonts w:ascii="Arial" w:cs="Arial" w:eastAsia="Arial" w:hAnsi="Arial"/>
          <w:sz w:val="20"/>
          <w:szCs w:val="20"/>
          <w:color w:val="auto"/>
        </w:rPr>
        <w:t>16.1</w:t>
      </w:r>
      <w:r>
        <w:rPr>
          <w:sz w:val="20"/>
          <w:szCs w:val="20"/>
          <w:color w:val="auto"/>
        </w:rPr>
        <w:tab/>
      </w:r>
      <w:hyperlink r:id="rId85">
        <w:r>
          <w:rPr>
            <w:rFonts w:ascii="Arial" w:cs="Arial" w:eastAsia="Arial" w:hAnsi="Arial"/>
            <w:sz w:val="20"/>
            <w:szCs w:val="20"/>
            <w:u w:val="single" w:color="auto"/>
            <w:color w:val="0000FF"/>
          </w:rPr>
          <w:t>Letter from Withum to the U.S. Securities and Exchange Commission</w:t>
        </w:r>
      </w:hyperlink>
      <w:r>
        <w:rPr>
          <w:rFonts w:ascii="Arial" w:cs="Arial" w:eastAsia="Arial" w:hAnsi="Arial"/>
          <w:sz w:val="20"/>
          <w:szCs w:val="20"/>
          <w:u w:val="single" w:color="auto"/>
          <w:color w:val="0000FF"/>
        </w:rPr>
        <w:t xml:space="preserve"> </w:t>
      </w:r>
      <w:hyperlink r:id="rId85">
        <w:r>
          <w:rPr>
            <w:rFonts w:ascii="Arial" w:cs="Arial" w:eastAsia="Arial" w:hAnsi="Arial"/>
            <w:sz w:val="20"/>
            <w:szCs w:val="20"/>
            <w:u w:val="single" w:color="auto"/>
            <w:color w:val="0000FF"/>
          </w:rPr>
          <w:t>dated July 28, 2021.</w:t>
        </w:r>
        <w:r>
          <w:rPr>
            <w:rFonts w:ascii="Arial" w:cs="Arial" w:eastAsia="Arial" w:hAnsi="Arial"/>
            <w:sz w:val="20"/>
            <w:szCs w:val="20"/>
            <w:color w:val="0000FF"/>
          </w:rPr>
          <w:t xml:space="preserve"> </w:t>
        </w:r>
        <w:r>
          <w:rPr>
            <w:rFonts w:ascii="Arial" w:cs="Arial" w:eastAsia="Arial" w:hAnsi="Arial"/>
            <w:sz w:val="20"/>
            <w:szCs w:val="20"/>
            <w:color w:val="000000"/>
          </w:rPr>
          <w:t>(#)</w:t>
        </w:r>
      </w:hyperlink>
    </w:p>
    <w:p>
      <w:pPr>
        <w:spacing w:after="0" w:line="15" w:lineRule="exact"/>
        <w:rPr>
          <w:sz w:val="20"/>
          <w:szCs w:val="20"/>
          <w:color w:val="auto"/>
        </w:rPr>
      </w:pPr>
    </w:p>
    <w:p>
      <w:pPr>
        <w:ind w:left="520"/>
        <w:spacing w:after="0"/>
        <w:tabs>
          <w:tab w:leader="none" w:pos="1380" w:val="left"/>
        </w:tabs>
        <w:rPr>
          <w:rFonts w:ascii="Arial" w:cs="Arial" w:eastAsia="Arial" w:hAnsi="Arial"/>
          <w:sz w:val="16"/>
          <w:szCs w:val="16"/>
          <w:u w:val="single" w:color="auto"/>
          <w:color w:val="0000FF"/>
        </w:rPr>
      </w:pPr>
      <w:r>
        <w:rPr>
          <w:rFonts w:ascii="Arial" w:cs="Arial" w:eastAsia="Arial" w:hAnsi="Arial"/>
          <w:sz w:val="20"/>
          <w:szCs w:val="20"/>
          <w:color w:val="auto"/>
        </w:rPr>
        <w:t>21.1</w:t>
      </w:r>
      <w:r>
        <w:rPr>
          <w:sz w:val="20"/>
          <w:szCs w:val="20"/>
          <w:color w:val="auto"/>
        </w:rPr>
        <w:tab/>
      </w:r>
      <w:hyperlink r:id="rId86">
        <w:r>
          <w:rPr>
            <w:rFonts w:ascii="Arial" w:cs="Arial" w:eastAsia="Arial" w:hAnsi="Arial"/>
            <w:sz w:val="16"/>
            <w:szCs w:val="16"/>
            <w:u w:val="single" w:color="auto"/>
            <w:color w:val="0000FF"/>
          </w:rPr>
          <w:t xml:space="preserve">Subsidiaries of the Company. </w:t>
        </w:r>
      </w:hyperlink>
      <w:r>
        <w:rPr>
          <w:rFonts w:ascii="Arial" w:cs="Arial" w:eastAsia="Arial" w:hAnsi="Arial"/>
          <w:sz w:val="16"/>
          <w:szCs w:val="16"/>
          <w:color w:val="000000"/>
        </w:rPr>
        <w:t>(#)</w:t>
      </w:r>
    </w:p>
    <w:p>
      <w:pPr>
        <w:spacing w:after="0" w:line="54" w:lineRule="exact"/>
        <w:rPr>
          <w:sz w:val="20"/>
          <w:szCs w:val="20"/>
          <w:color w:val="auto"/>
        </w:rPr>
      </w:pPr>
    </w:p>
    <w:p>
      <w:pPr>
        <w:ind w:left="520"/>
        <w:spacing w:after="0"/>
        <w:tabs>
          <w:tab w:leader="none" w:pos="1380" w:val="left"/>
        </w:tabs>
        <w:rPr>
          <w:rFonts w:ascii="Arial" w:cs="Arial" w:eastAsia="Arial" w:hAnsi="Arial"/>
          <w:sz w:val="16"/>
          <w:szCs w:val="16"/>
          <w:u w:val="single" w:color="auto"/>
          <w:color w:val="0000FF"/>
        </w:rPr>
      </w:pPr>
      <w:r>
        <w:rPr>
          <w:rFonts w:ascii="Arial" w:cs="Arial" w:eastAsia="Arial" w:hAnsi="Arial"/>
          <w:sz w:val="20"/>
          <w:szCs w:val="20"/>
          <w:color w:val="auto"/>
        </w:rPr>
        <w:t>99.1</w:t>
      </w:r>
      <w:r>
        <w:rPr>
          <w:sz w:val="20"/>
          <w:szCs w:val="20"/>
          <w:color w:val="auto"/>
        </w:rPr>
        <w:tab/>
      </w:r>
      <w:hyperlink r:id="rId87">
        <w:r>
          <w:rPr>
            <w:rFonts w:ascii="Arial" w:cs="Arial" w:eastAsia="Arial" w:hAnsi="Arial"/>
            <w:sz w:val="16"/>
            <w:szCs w:val="16"/>
            <w:u w:val="single" w:color="auto"/>
            <w:color w:val="0000FF"/>
          </w:rPr>
          <w:t xml:space="preserve">Press release dated July 22, 2021. </w:t>
        </w:r>
      </w:hyperlink>
      <w:r>
        <w:rPr>
          <w:rFonts w:ascii="Arial" w:cs="Arial" w:eastAsia="Arial" w:hAnsi="Arial"/>
          <w:sz w:val="16"/>
          <w:szCs w:val="16"/>
          <w:color w:val="000000"/>
        </w:rPr>
        <w:t>(#)</w:t>
      </w:r>
    </w:p>
    <w:p>
      <w:pPr>
        <w:spacing w:after="0" w:line="54" w:lineRule="exact"/>
        <w:rPr>
          <w:sz w:val="20"/>
          <w:szCs w:val="20"/>
          <w:color w:val="auto"/>
        </w:rPr>
      </w:pPr>
    </w:p>
    <w:p>
      <w:pPr>
        <w:jc w:val="both"/>
        <w:ind w:left="1400" w:right="4140" w:hanging="879"/>
        <w:spacing w:after="0" w:line="250" w:lineRule="auto"/>
        <w:tabs>
          <w:tab w:leader="none" w:pos="1380" w:val="left"/>
        </w:tabs>
        <w:rPr>
          <w:rFonts w:ascii="Arial" w:cs="Arial" w:eastAsia="Arial" w:hAnsi="Arial"/>
          <w:sz w:val="20"/>
          <w:szCs w:val="20"/>
          <w:u w:val="single" w:color="auto"/>
          <w:color w:val="0000FF"/>
        </w:rPr>
      </w:pPr>
      <w:r>
        <w:rPr>
          <w:rFonts w:ascii="Arial" w:cs="Arial" w:eastAsia="Arial" w:hAnsi="Arial"/>
          <w:sz w:val="20"/>
          <w:szCs w:val="20"/>
          <w:color w:val="auto"/>
        </w:rPr>
        <w:t>99.2</w:t>
      </w:r>
      <w:r>
        <w:rPr>
          <w:sz w:val="20"/>
          <w:szCs w:val="20"/>
          <w:color w:val="auto"/>
        </w:rPr>
        <w:tab/>
      </w:r>
      <w:hyperlink w:anchor="page35">
        <w:r>
          <w:rPr>
            <w:rFonts w:ascii="Arial" w:cs="Arial" w:eastAsia="Arial" w:hAnsi="Arial"/>
            <w:sz w:val="20"/>
            <w:szCs w:val="20"/>
            <w:u w:val="single" w:color="auto"/>
            <w:color w:val="0000FF"/>
          </w:rPr>
          <w:t>Unaudited pro forma condensed combined financial information of the</w:t>
        </w:r>
      </w:hyperlink>
      <w:r>
        <w:rPr>
          <w:rFonts w:ascii="Arial" w:cs="Arial" w:eastAsia="Arial" w:hAnsi="Arial"/>
          <w:sz w:val="20"/>
          <w:szCs w:val="20"/>
          <w:u w:val="single" w:color="auto"/>
          <w:color w:val="0000FF"/>
        </w:rPr>
        <w:t xml:space="preserve"> </w:t>
      </w:r>
      <w:hyperlink w:anchor="page35">
        <w:r>
          <w:rPr>
            <w:rFonts w:ascii="Arial" w:cs="Arial" w:eastAsia="Arial" w:hAnsi="Arial"/>
            <w:sz w:val="20"/>
            <w:szCs w:val="20"/>
            <w:u w:val="single" w:color="auto"/>
            <w:color w:val="0000FF"/>
          </w:rPr>
          <w:t>Company as of and for the six months ended June 30, 2021 and for the</w:t>
        </w:r>
      </w:hyperlink>
      <w:r>
        <w:rPr>
          <w:rFonts w:ascii="Arial" w:cs="Arial" w:eastAsia="Arial" w:hAnsi="Arial"/>
          <w:sz w:val="20"/>
          <w:szCs w:val="20"/>
          <w:u w:val="single" w:color="auto"/>
          <w:color w:val="0000FF"/>
        </w:rPr>
        <w:t xml:space="preserve"> </w:t>
      </w:r>
      <w:hyperlink w:anchor="page35">
        <w:r>
          <w:rPr>
            <w:rFonts w:ascii="Arial" w:cs="Arial" w:eastAsia="Arial" w:hAnsi="Arial"/>
            <w:sz w:val="20"/>
            <w:szCs w:val="20"/>
            <w:u w:val="single" w:color="auto"/>
            <w:color w:val="0000FF"/>
          </w:rPr>
          <w:t>year ended December 30, 2020.</w:t>
        </w:r>
      </w:hyperlink>
    </w:p>
    <w:p>
      <w:pPr>
        <w:spacing w:after="0" w:line="24" w:lineRule="exact"/>
        <w:rPr>
          <w:rFonts w:ascii="Arial" w:cs="Arial" w:eastAsia="Arial" w:hAnsi="Arial"/>
          <w:sz w:val="20"/>
          <w:szCs w:val="20"/>
          <w:u w:val="single" w:color="auto"/>
          <w:color w:val="0000FF"/>
        </w:rPr>
      </w:pPr>
    </w:p>
    <w:p>
      <w:pPr>
        <w:ind w:left="1400" w:right="4380" w:hanging="879"/>
        <w:spacing w:after="0" w:line="260" w:lineRule="auto"/>
        <w:tabs>
          <w:tab w:leader="none" w:pos="1380" w:val="left"/>
        </w:tabs>
        <w:rPr>
          <w:rFonts w:ascii="Arial" w:cs="Arial" w:eastAsia="Arial" w:hAnsi="Arial"/>
          <w:sz w:val="20"/>
          <w:szCs w:val="20"/>
          <w:u w:val="single" w:color="auto"/>
          <w:color w:val="0000FF"/>
        </w:rPr>
      </w:pPr>
      <w:r>
        <w:rPr>
          <w:rFonts w:ascii="Arial" w:cs="Arial" w:eastAsia="Arial" w:hAnsi="Arial"/>
          <w:sz w:val="20"/>
          <w:szCs w:val="20"/>
          <w:color w:val="auto"/>
        </w:rPr>
        <w:t>99.3</w:t>
      </w:r>
      <w:r>
        <w:rPr>
          <w:sz w:val="20"/>
          <w:szCs w:val="20"/>
          <w:color w:val="auto"/>
        </w:rPr>
        <w:tab/>
      </w:r>
      <w:hyperlink w:anchor="page48">
        <w:r>
          <w:rPr>
            <w:rFonts w:ascii="Arial" w:cs="Arial" w:eastAsia="Arial" w:hAnsi="Arial"/>
            <w:sz w:val="20"/>
            <w:szCs w:val="20"/>
            <w:u w:val="single" w:color="auto"/>
            <w:color w:val="0000FF"/>
          </w:rPr>
          <w:t>Sema4 Unaudited Financial Statements as of and for the six months</w:t>
        </w:r>
      </w:hyperlink>
      <w:r>
        <w:rPr>
          <w:rFonts w:ascii="Arial" w:cs="Arial" w:eastAsia="Arial" w:hAnsi="Arial"/>
          <w:sz w:val="20"/>
          <w:szCs w:val="20"/>
          <w:u w:val="single" w:color="auto"/>
          <w:color w:val="0000FF"/>
        </w:rPr>
        <w:t xml:space="preserve"> </w:t>
      </w:r>
      <w:hyperlink w:anchor="page48">
        <w:r>
          <w:rPr>
            <w:rFonts w:ascii="Arial" w:cs="Arial" w:eastAsia="Arial" w:hAnsi="Arial"/>
            <w:sz w:val="20"/>
            <w:szCs w:val="20"/>
            <w:u w:val="single" w:color="auto"/>
            <w:color w:val="0000FF"/>
          </w:rPr>
          <w:t>ended June 30, 2021</w:t>
        </w:r>
      </w:hyperlink>
    </w:p>
    <w:p>
      <w:pPr>
        <w:spacing w:after="0" w:line="251" w:lineRule="exact"/>
        <w:rPr>
          <w:sz w:val="20"/>
          <w:szCs w:val="20"/>
          <w:color w:val="auto"/>
        </w:rPr>
      </w:pPr>
    </w:p>
    <w:p>
      <w:pPr>
        <w:ind w:firstLine="8"/>
        <w:spacing w:after="0" w:line="255" w:lineRule="auto"/>
        <w:tabs>
          <w:tab w:leader="none" w:pos="2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The Company has omitted portions of the exhibit as permitted under Regulation S-K Item 601(b)(10).</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Previously filed with the Original 8-K on July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b w:val="1"/>
          <w:bCs w:val="1"/>
          <w:color w:val="auto"/>
        </w:rPr>
        <w:t>SIGNATURES</w:t>
      </w:r>
    </w:p>
    <w:p>
      <w:pPr>
        <w:spacing w:after="0" w:line="168"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6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7460" w:type="dxa"/>
            <w:vAlign w:val="bottom"/>
            <w:gridSpan w:val="2"/>
          </w:tcPr>
          <w:p>
            <w:pPr>
              <w:ind w:left="1620"/>
              <w:spacing w:after="0"/>
              <w:rPr>
                <w:sz w:val="20"/>
                <w:szCs w:val="20"/>
                <w:color w:val="auto"/>
              </w:rPr>
            </w:pPr>
            <w:r>
              <w:rPr>
                <w:rFonts w:ascii="Arial" w:cs="Arial" w:eastAsia="Arial" w:hAnsi="Arial"/>
                <w:sz w:val="20"/>
                <w:szCs w:val="20"/>
                <w:b w:val="1"/>
                <w:bCs w:val="1"/>
                <w:color w:val="auto"/>
              </w:rPr>
              <w:t>Sema4 Holdings Corp.</w:t>
            </w:r>
          </w:p>
        </w:tc>
      </w:tr>
      <w:tr>
        <w:trPr>
          <w:trHeight w:val="553"/>
        </w:trPr>
        <w:tc>
          <w:tcPr>
            <w:tcW w:w="600" w:type="dxa"/>
            <w:vAlign w:val="bottom"/>
          </w:tcPr>
          <w:p>
            <w:pPr>
              <w:spacing w:after="0"/>
              <w:rPr>
                <w:sz w:val="20"/>
                <w:szCs w:val="20"/>
                <w:color w:val="auto"/>
              </w:rPr>
            </w:pPr>
            <w:r>
              <w:rPr>
                <w:rFonts w:ascii="Arial" w:cs="Arial" w:eastAsia="Arial" w:hAnsi="Arial"/>
                <w:sz w:val="20"/>
                <w:szCs w:val="20"/>
                <w:color w:val="auto"/>
              </w:rPr>
              <w:t>Date:</w:t>
            </w:r>
          </w:p>
        </w:tc>
        <w:tc>
          <w:tcPr>
            <w:tcW w:w="3120" w:type="dxa"/>
            <w:vAlign w:val="bottom"/>
          </w:tcPr>
          <w:p>
            <w:pPr>
              <w:ind w:left="180"/>
              <w:spacing w:after="0"/>
              <w:rPr>
                <w:sz w:val="20"/>
                <w:szCs w:val="20"/>
                <w:color w:val="auto"/>
              </w:rPr>
            </w:pPr>
            <w:r>
              <w:rPr>
                <w:rFonts w:ascii="Arial" w:cs="Arial" w:eastAsia="Arial" w:hAnsi="Arial"/>
                <w:sz w:val="20"/>
                <w:szCs w:val="20"/>
                <w:color w:val="auto"/>
              </w:rPr>
              <w:t>August 16, 2021</w:t>
            </w:r>
          </w:p>
        </w:tc>
        <w:tc>
          <w:tcPr>
            <w:tcW w:w="2560" w:type="dxa"/>
            <w:vAlign w:val="bottom"/>
          </w:tcPr>
          <w:p>
            <w:pPr>
              <w:ind w:left="1620"/>
              <w:spacing w:after="0"/>
              <w:rPr>
                <w:sz w:val="20"/>
                <w:szCs w:val="20"/>
                <w:color w:val="auto"/>
              </w:rPr>
            </w:pPr>
            <w:r>
              <w:rPr>
                <w:rFonts w:ascii="Arial" w:cs="Arial" w:eastAsia="Arial" w:hAnsi="Arial"/>
                <w:sz w:val="20"/>
                <w:szCs w:val="20"/>
                <w:color w:val="auto"/>
              </w:rPr>
              <w:t>By:</w:t>
            </w:r>
          </w:p>
        </w:tc>
        <w:tc>
          <w:tcPr>
            <w:tcW w:w="4900" w:type="dxa"/>
            <w:vAlign w:val="bottom"/>
          </w:tcPr>
          <w:p>
            <w:pPr>
              <w:ind w:left="20"/>
              <w:spacing w:after="0"/>
              <w:rPr>
                <w:sz w:val="20"/>
                <w:szCs w:val="20"/>
                <w:color w:val="auto"/>
              </w:rPr>
            </w:pPr>
            <w:r>
              <w:rPr>
                <w:rFonts w:ascii="Arial" w:cs="Arial" w:eastAsia="Arial" w:hAnsi="Arial"/>
                <w:sz w:val="20"/>
                <w:szCs w:val="20"/>
                <w:color w:val="auto"/>
              </w:rPr>
              <w:t>/s/ Eric Schadt</w:t>
            </w:r>
          </w:p>
        </w:tc>
      </w:tr>
      <w:tr>
        <w:trPr>
          <w:trHeight w:val="23"/>
        </w:trPr>
        <w:tc>
          <w:tcPr>
            <w:tcW w:w="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54"/>
        </w:trPr>
        <w:tc>
          <w:tcPr>
            <w:tcW w:w="6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560" w:type="dxa"/>
            <w:vAlign w:val="bottom"/>
          </w:tcPr>
          <w:p>
            <w:pPr>
              <w:ind w:left="1620"/>
              <w:spacing w:after="0"/>
              <w:rPr>
                <w:sz w:val="20"/>
                <w:szCs w:val="20"/>
                <w:color w:val="auto"/>
              </w:rPr>
            </w:pPr>
            <w:r>
              <w:rPr>
                <w:rFonts w:ascii="Arial" w:cs="Arial" w:eastAsia="Arial" w:hAnsi="Arial"/>
                <w:sz w:val="20"/>
                <w:szCs w:val="20"/>
                <w:color w:val="auto"/>
              </w:rPr>
              <w:t>Name:</w:t>
            </w:r>
          </w:p>
        </w:tc>
        <w:tc>
          <w:tcPr>
            <w:tcW w:w="4900" w:type="dxa"/>
            <w:vAlign w:val="bottom"/>
          </w:tcPr>
          <w:p>
            <w:pPr>
              <w:ind w:left="20"/>
              <w:spacing w:after="0"/>
              <w:rPr>
                <w:sz w:val="20"/>
                <w:szCs w:val="20"/>
                <w:color w:val="auto"/>
              </w:rPr>
            </w:pPr>
            <w:r>
              <w:rPr>
                <w:rFonts w:ascii="Arial" w:cs="Arial" w:eastAsia="Arial" w:hAnsi="Arial"/>
                <w:sz w:val="20"/>
                <w:szCs w:val="20"/>
                <w:color w:val="auto"/>
              </w:rPr>
              <w:t>Eric Schadt</w:t>
            </w:r>
          </w:p>
        </w:tc>
      </w:tr>
      <w:tr>
        <w:trPr>
          <w:trHeight w:val="283"/>
        </w:trPr>
        <w:tc>
          <w:tcPr>
            <w:tcW w:w="6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560" w:type="dxa"/>
            <w:vAlign w:val="bottom"/>
          </w:tcPr>
          <w:p>
            <w:pPr>
              <w:ind w:left="1620"/>
              <w:spacing w:after="0"/>
              <w:rPr>
                <w:sz w:val="20"/>
                <w:szCs w:val="20"/>
                <w:color w:val="auto"/>
              </w:rPr>
            </w:pPr>
            <w:r>
              <w:rPr>
                <w:rFonts w:ascii="Arial" w:cs="Arial" w:eastAsia="Arial" w:hAnsi="Arial"/>
                <w:sz w:val="20"/>
                <w:szCs w:val="20"/>
                <w:color w:val="auto"/>
              </w:rPr>
              <w:t>Title:</w:t>
            </w:r>
          </w:p>
        </w:tc>
        <w:tc>
          <w:tcPr>
            <w:tcW w:w="490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1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the Current Report on Form 8-K (the “Report”) to which this Exhibit 99.2 relates and, if not defined in the Report, the Proxy Statement. Unless otherwise indicated or the context otherwise requires, references in this Exhibit 99.2 to (i) “we,” “us,” “our,” “Sema4 Holdings” and the “Company” refer to Sema4 Holdings Corp., a Delaware corporation (f/k/a CM Life Sciences, Inc., a Delaware corporation), and its consolidated subsidiary following the Closing, (ii) “CMLS” refer to CM Life Sciences, Inc., a Delaware corporation, prior to the Closing, and (iii) “Sema4” refer to Mount Sinai Genomics, Inc. d/b/a Sema4, a Delaware corporation, prior to the Closing</w:t>
      </w:r>
      <w:r>
        <w:rPr>
          <w:rFonts w:ascii="Arial" w:cs="Arial" w:eastAsia="Arial" w:hAnsi="Arial"/>
          <w:sz w:val="18"/>
          <w:szCs w:val="18"/>
          <w:color w:val="auto"/>
        </w:rPr>
        <w:t>.</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unaudited pro forma condensed combined balance sheet as of June 30, 2021 combines the unaudited historical condensed balance sheet of CMLS as of June 30, 2021 with the unaudited historical condensed balance sheet of Sema4 as of June 30, 2021, giving effect to the Business Combination and the PIPE Investment as if they had been consummated as of that date.</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unaudited pro forma condensed combined statements of operations for the six months ended June 30, 2021 and for the year ended December 31, 2020 combine the historical statements of operations of CMLS and Sema4 for such periods, giving effect to the Business Combination and the PIPE Investment as if they had been consummated on January 1, 2020, the beginning of the earliest period presented.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condensed combined financial statements have been derived from and should be read in conjunction with:</w:t>
      </w:r>
    </w:p>
    <w:p>
      <w:pPr>
        <w:spacing w:after="0" w:line="225" w:lineRule="exact"/>
        <w:rPr>
          <w:sz w:val="20"/>
          <w:szCs w:val="20"/>
          <w:color w:val="auto"/>
        </w:rPr>
      </w:pPr>
    </w:p>
    <w:p>
      <w:pPr>
        <w:ind w:left="440" w:hanging="108"/>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225" w:lineRule="exact"/>
        <w:rPr>
          <w:rFonts w:ascii="Arial" w:cs="Arial" w:eastAsia="Arial" w:hAnsi="Arial"/>
          <w:sz w:val="18"/>
          <w:szCs w:val="18"/>
          <w:color w:val="auto"/>
        </w:rPr>
      </w:pPr>
    </w:p>
    <w:p>
      <w:pPr>
        <w:ind w:left="660" w:hanging="328"/>
        <w:spacing w:after="0" w:line="263" w:lineRule="auto"/>
        <w:tabs>
          <w:tab w:leader="none" w:pos="4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 audited historical financial statements of CMLS as of December 31, 2020 and for the period from July 10, 2020 (inception) through December 31, 2020 and (ii) unaudited historical condensed financial statements of CMLS as of and for the six months ended June 30, 2021 and the related notes, in each case, incorporated by reference in the Report;</w:t>
      </w:r>
    </w:p>
    <w:p>
      <w:pPr>
        <w:spacing w:after="0" w:line="183" w:lineRule="exact"/>
        <w:rPr>
          <w:rFonts w:ascii="Arial" w:cs="Arial" w:eastAsia="Arial" w:hAnsi="Arial"/>
          <w:sz w:val="18"/>
          <w:szCs w:val="18"/>
          <w:color w:val="auto"/>
        </w:rPr>
      </w:pPr>
    </w:p>
    <w:p>
      <w:pPr>
        <w:ind w:left="660" w:hanging="328"/>
        <w:spacing w:after="0" w:line="263" w:lineRule="auto"/>
        <w:tabs>
          <w:tab w:leader="none" w:pos="4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 audited historical financial statements of Sema4 as of and for the year ended December 31, 2020 and (ii) unaudited historical condensed financial statements of Sema4 as of and for the six months ended June 30, 2021 and the related notes, in each case, incorporated by reference in the Report; and</w:t>
      </w:r>
    </w:p>
    <w:p>
      <w:pPr>
        <w:spacing w:after="0" w:line="183" w:lineRule="exact"/>
        <w:rPr>
          <w:rFonts w:ascii="Arial" w:cs="Arial" w:eastAsia="Arial" w:hAnsi="Arial"/>
          <w:sz w:val="18"/>
          <w:szCs w:val="18"/>
          <w:color w:val="auto"/>
        </w:rPr>
      </w:pPr>
    </w:p>
    <w:p>
      <w:pPr>
        <w:ind w:left="660" w:hanging="328"/>
        <w:spacing w:after="0" w:line="263" w:lineRule="auto"/>
        <w:tabs>
          <w:tab w:leader="none" w:pos="4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sections of the Proxy Statement entitled “</w:t>
      </w:r>
      <w:r>
        <w:rPr>
          <w:rFonts w:ascii="Arial" w:cs="Arial" w:eastAsia="Arial" w:hAnsi="Arial"/>
          <w:sz w:val="18"/>
          <w:szCs w:val="18"/>
          <w:i w:val="1"/>
          <w:iCs w:val="1"/>
          <w:color w:val="auto"/>
        </w:rPr>
        <w:t>Management’s Discussion and Analysis of Financial Condition and Results of Operations of CMLS</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 of Sema4</w:t>
      </w:r>
      <w:r>
        <w:rPr>
          <w:rFonts w:ascii="Arial" w:cs="Arial" w:eastAsia="Arial" w:hAnsi="Arial"/>
          <w:sz w:val="18"/>
          <w:szCs w:val="18"/>
          <w:color w:val="auto"/>
        </w:rPr>
        <w:t>” and the other financial information included elsewhere and incorporated by reference in the Report.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Sema4 Holdings.</w:t>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rPr>
              <w:t>Historical</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Actual</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center"/>
              <w:ind w:left="872"/>
              <w:spacing w:after="0"/>
              <w:rPr>
                <w:sz w:val="20"/>
                <w:szCs w:val="20"/>
                <w:color w:val="auto"/>
              </w:rPr>
            </w:pPr>
            <w:r>
              <w:rPr>
                <w:rFonts w:ascii="Arial" w:cs="Arial" w:eastAsia="Arial" w:hAnsi="Arial"/>
                <w:sz w:val="14"/>
                <w:szCs w:val="14"/>
                <w:b w:val="1"/>
                <w:bCs w:val="1"/>
                <w:color w:val="auto"/>
                <w:w w:val="92"/>
              </w:rPr>
              <w:t>Redemptions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0"/>
              </w:rPr>
              <w:t>Transaction</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32"/>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5(A)</w:t>
            </w:r>
          </w:p>
        </w:tc>
        <w:tc>
          <w:tcPr>
            <w:tcW w:w="360" w:type="dxa"/>
            <w:vAlign w:val="bottom"/>
          </w:tcPr>
          <w:p>
            <w:pPr>
              <w:spacing w:after="0"/>
              <w:rPr>
                <w:sz w:val="16"/>
                <w:szCs w:val="16"/>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5(B)</w:t>
            </w:r>
          </w:p>
        </w:tc>
        <w:tc>
          <w:tcPr>
            <w:tcW w:w="340" w:type="dxa"/>
            <w:vAlign w:val="bottom"/>
          </w:tcPr>
          <w:p>
            <w:pPr>
              <w:spacing w:after="0"/>
              <w:rPr>
                <w:sz w:val="16"/>
                <w:szCs w:val="16"/>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0"/>
              </w:rPr>
              <w:t>Accounting</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CMLS</w:t>
            </w:r>
          </w:p>
        </w:tc>
        <w:tc>
          <w:tcPr>
            <w:tcW w:w="360" w:type="dxa"/>
            <w:vAlign w:val="bottom"/>
          </w:tcPr>
          <w:p>
            <w:pPr>
              <w:spacing w:after="0"/>
              <w:rPr>
                <w:sz w:val="16"/>
                <w:szCs w:val="16"/>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Sema4</w:t>
            </w:r>
          </w:p>
        </w:tc>
        <w:tc>
          <w:tcPr>
            <w:tcW w:w="340" w:type="dxa"/>
            <w:vAlign w:val="bottom"/>
          </w:tcPr>
          <w:p>
            <w:pPr>
              <w:spacing w:after="0"/>
              <w:rPr>
                <w:sz w:val="16"/>
                <w:szCs w:val="16"/>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1"/>
              </w:rPr>
              <w:t>Adjustments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$ 507,953</w:t>
            </w: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5(a)</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$ 534,622</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24,568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from related parties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29,128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5(b)</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0" w:type="dxa"/>
            <w:vAlign w:val="bottom"/>
          </w:tcPr>
          <w:p>
            <w:pPr>
              <w:spacing w:after="0"/>
              <w:rPr>
                <w:sz w:val="1"/>
                <w:szCs w:val="1"/>
                <w:color w:val="auto"/>
              </w:rPr>
            </w:pPr>
          </w:p>
        </w:tc>
      </w:tr>
      <w:tr>
        <w:trPr>
          <w:trHeight w:val="223"/>
        </w:trPr>
        <w:tc>
          <w:tcPr>
            <w:tcW w:w="502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99,012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499,374</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598,782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62,097</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(9,928)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442,786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(442,786)</w:t>
            </w:r>
          </w:p>
        </w:tc>
        <w:tc>
          <w:tcPr>
            <w:tcW w:w="14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5(c)</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665,375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REDEEMABLE CONVERTIBLE</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STOCK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44,482</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Due to related parties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contract liabilities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(1,872)</w:t>
            </w:r>
          </w:p>
        </w:tc>
        <w:tc>
          <w:tcPr>
            <w:tcW w:w="14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5(e)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22,892</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69,993</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(6,869)</w:t>
            </w:r>
          </w:p>
        </w:tc>
        <w:tc>
          <w:tcPr>
            <w:tcW w:w="14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5(e)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11,159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liabilities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295,049</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21,907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liability</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185,988</w:t>
            </w: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5(f)</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185,988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112,683</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underwriting fee payable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5(g)</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130,424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406,017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160,338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696,779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9"/>
              </w:rPr>
              <w:t>Sema4 Series A-1 redeemable convertible preferred stock,</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40" w:type="dxa"/>
            <w:vAlign w:val="bottom"/>
            <w:shd w:val="clear" w:color="auto" w:fill="CCEEFF"/>
          </w:tcPr>
          <w:p>
            <w:pPr>
              <w:spacing w:after="0"/>
              <w:rPr>
                <w:sz w:val="15"/>
                <w:szCs w:val="15"/>
                <w:color w:val="auto"/>
              </w:rPr>
            </w:pPr>
          </w:p>
        </w:tc>
        <w:tc>
          <w:tcPr>
            <w:tcW w:w="6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5(h)</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$0.00001 par value</w:t>
            </w:r>
          </w:p>
        </w:tc>
        <w:tc>
          <w:tcPr>
            <w:tcW w:w="2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360"/>
              <w:spacing w:after="0" w:line="176" w:lineRule="exact"/>
              <w:rPr>
                <w:sz w:val="20"/>
                <w:szCs w:val="20"/>
                <w:color w:val="auto"/>
              </w:rPr>
            </w:pPr>
            <w:r>
              <w:rPr>
                <w:rFonts w:ascii="Arial" w:cs="Arial" w:eastAsia="Arial" w:hAnsi="Arial"/>
                <w:sz w:val="18"/>
                <w:szCs w:val="18"/>
                <w:color w:val="auto"/>
                <w:w w:val="99"/>
              </w:rPr>
              <w:t>Sema4 Series A-2 redeemable convertible preferred stock,</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140" w:type="dxa"/>
            <w:vAlign w:val="bottom"/>
          </w:tcPr>
          <w:p>
            <w:pPr>
              <w:spacing w:after="0"/>
              <w:rPr>
                <w:sz w:val="15"/>
                <w:szCs w:val="15"/>
                <w:color w:val="auto"/>
              </w:rPr>
            </w:pPr>
          </w:p>
        </w:tc>
        <w:tc>
          <w:tcPr>
            <w:tcW w:w="66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5(h)</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$0.00001 par value</w:t>
            </w:r>
          </w:p>
        </w:tc>
        <w:tc>
          <w:tcPr>
            <w:tcW w:w="2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Sema4 Series B redeemable convertible preferred stock,</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40" w:type="dxa"/>
            <w:vAlign w:val="bottom"/>
            <w:shd w:val="clear" w:color="auto" w:fill="CCEEFF"/>
          </w:tcPr>
          <w:p>
            <w:pPr>
              <w:spacing w:after="0"/>
              <w:rPr>
                <w:sz w:val="15"/>
                <w:szCs w:val="15"/>
                <w:color w:val="auto"/>
              </w:rPr>
            </w:pPr>
          </w:p>
        </w:tc>
        <w:tc>
          <w:tcPr>
            <w:tcW w:w="6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5(h)</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$0.00001 par value</w:t>
            </w:r>
          </w:p>
        </w:tc>
        <w:tc>
          <w:tcPr>
            <w:tcW w:w="2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ind w:left="360"/>
              <w:spacing w:after="0"/>
              <w:rPr>
                <w:sz w:val="20"/>
                <w:szCs w:val="20"/>
                <w:color w:val="auto"/>
              </w:rPr>
            </w:pPr>
            <w:r>
              <w:rPr>
                <w:rFonts w:ascii="Arial" w:cs="Arial" w:eastAsia="Arial" w:hAnsi="Arial"/>
                <w:sz w:val="18"/>
                <w:szCs w:val="18"/>
                <w:color w:val="auto"/>
              </w:rPr>
              <w:t>Sema4 Series C redeemable convertible preferred stock,</w:t>
            </w: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5(h)</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$0.00001 par value</w:t>
            </w:r>
          </w:p>
        </w:tc>
        <w:tc>
          <w:tcPr>
            <w:tcW w:w="140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Redeemable convertible preferred stock</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7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5(h)</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CMLS Class A Common stock subject to possible redemption</w:t>
            </w:r>
          </w:p>
        </w:tc>
        <w:tc>
          <w:tcPr>
            <w:tcW w:w="1320" w:type="dxa"/>
            <w:vAlign w:val="bottom"/>
          </w:tcPr>
          <w:p>
            <w:pPr>
              <w:jc w:val="right"/>
              <w:spacing w:after="0"/>
              <w:rPr>
                <w:sz w:val="20"/>
                <w:szCs w:val="20"/>
                <w:color w:val="auto"/>
              </w:rPr>
            </w:pPr>
            <w:r>
              <w:rPr>
                <w:rFonts w:ascii="Arial" w:cs="Arial" w:eastAsia="Arial" w:hAnsi="Arial"/>
                <w:sz w:val="18"/>
                <w:szCs w:val="18"/>
                <w:color w:val="auto"/>
              </w:rPr>
              <w:t>307,758</w:t>
            </w:r>
          </w:p>
        </w:tc>
        <w:tc>
          <w:tcPr>
            <w:tcW w:w="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(307,758)</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5(i)</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0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Sema4 Class A common stock, $0.00001 par value</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w w:val="98"/>
              </w:rPr>
              <w:t>Sema4 Class B convertible common stock, $0.00001 par value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CMLS Preferred stock, $0.0001 par value</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CMLS Class A common stock, $0.0001 par value</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5(j)</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CMLS Class B common stock, $0.0001 par value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5(j)</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320" w:type="dxa"/>
            <w:vAlign w:val="bottom"/>
          </w:tcPr>
          <w:p>
            <w:pPr>
              <w:jc w:val="right"/>
              <w:spacing w:after="0"/>
              <w:rPr>
                <w:sz w:val="20"/>
                <w:szCs w:val="20"/>
                <w:color w:val="auto"/>
              </w:rPr>
            </w:pPr>
            <w:r>
              <w:rPr>
                <w:rFonts w:ascii="Arial" w:cs="Arial" w:eastAsia="Arial" w:hAnsi="Arial"/>
                <w:sz w:val="18"/>
                <w:szCs w:val="18"/>
                <w:color w:val="auto"/>
              </w:rPr>
              <w:t>90,368</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452,340</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5(j)</w:t>
            </w:r>
          </w:p>
        </w:tc>
        <w:tc>
          <w:tcPr>
            <w:tcW w:w="1320" w:type="dxa"/>
            <w:vAlign w:val="bottom"/>
          </w:tcPr>
          <w:p>
            <w:pPr>
              <w:jc w:val="right"/>
              <w:spacing w:after="0"/>
              <w:rPr>
                <w:sz w:val="20"/>
                <w:szCs w:val="20"/>
                <w:color w:val="auto"/>
              </w:rPr>
            </w:pPr>
            <w:r>
              <w:rPr>
                <w:rFonts w:ascii="Arial" w:cs="Arial" w:eastAsia="Arial" w:hAnsi="Arial"/>
                <w:sz w:val="18"/>
                <w:szCs w:val="18"/>
                <w:color w:val="auto"/>
              </w:rPr>
              <w:t>544,191</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(85,370)</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3"/>
              </w:rPr>
              <w:t>(566,406)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76,157</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5(j)</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(575,619)</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 (deficit)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3"/>
              </w:rPr>
              <w:t>(564,923)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528,519</w:t>
            </w:r>
          </w:p>
        </w:tc>
        <w:tc>
          <w:tcPr>
            <w:tcW w:w="7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5(j)</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(31,404)</w:t>
            </w:r>
          </w:p>
        </w:tc>
        <w:tc>
          <w:tcPr>
            <w:tcW w:w="0" w:type="dxa"/>
            <w:vAlign w:val="bottom"/>
          </w:tcPr>
          <w:p>
            <w:pPr>
              <w:spacing w:after="0"/>
              <w:rPr>
                <w:sz w:val="1"/>
                <w:szCs w:val="1"/>
                <w:color w:val="auto"/>
              </w:rPr>
            </w:pPr>
          </w:p>
        </w:tc>
      </w:tr>
      <w:tr>
        <w:trPr>
          <w:trHeight w:val="156"/>
        </w:trPr>
        <w:tc>
          <w:tcPr>
            <w:tcW w:w="5000" w:type="dxa"/>
            <w:vAlign w:val="bottom"/>
            <w:shd w:val="clear" w:color="auto" w:fill="CCEEFF"/>
          </w:tcPr>
          <w:p>
            <w:pPr>
              <w:ind w:left="680"/>
              <w:spacing w:after="0" w:line="156" w:lineRule="exact"/>
              <w:rPr>
                <w:sz w:val="20"/>
                <w:szCs w:val="20"/>
                <w:color w:val="auto"/>
              </w:rPr>
            </w:pPr>
            <w:r>
              <w:rPr>
                <w:rFonts w:ascii="Arial" w:cs="Arial" w:eastAsia="Arial" w:hAnsi="Arial"/>
                <w:sz w:val="18"/>
                <w:szCs w:val="18"/>
                <w:color w:val="auto"/>
                <w:w w:val="91"/>
              </w:rPr>
              <w:t>Total liabilities, redeemable convertible preferred stock and</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$ 443,182</w:t>
            </w:r>
          </w:p>
        </w:tc>
        <w:tc>
          <w:tcPr>
            <w:tcW w:w="8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w w:val="89"/>
              </w:rPr>
              <w:t>$ 175,533</w:t>
            </w:r>
          </w:p>
        </w:tc>
        <w:tc>
          <w:tcPr>
            <w:tcW w:w="10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$ 46,660</w:t>
            </w:r>
          </w:p>
        </w:tc>
        <w:tc>
          <w:tcPr>
            <w:tcW w:w="78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$ 665,375</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shd w:val="clear" w:color="auto" w:fill="CCEEFF"/>
          </w:tcPr>
          <w:p>
            <w:pPr>
              <w:ind w:left="680"/>
              <w:spacing w:after="0" w:line="202" w:lineRule="exact"/>
              <w:rPr>
                <w:sz w:val="20"/>
                <w:szCs w:val="20"/>
                <w:color w:val="auto"/>
              </w:rPr>
            </w:pPr>
            <w:r>
              <w:rPr>
                <w:rFonts w:ascii="Arial" w:cs="Arial" w:eastAsia="Arial" w:hAnsi="Arial"/>
                <w:sz w:val="18"/>
                <w:szCs w:val="18"/>
                <w:color w:val="auto"/>
              </w:rPr>
              <w:t>stockholders' deficit</w:t>
            </w: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31"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pro forma condensed combined financial information.</w:t>
      </w:r>
    </w:p>
    <w:p>
      <w:pPr>
        <w:sectPr>
          <w:pgSz w:w="11900" w:h="16838" w:orient="portrait"/>
          <w:cols w:equalWidth="0" w:num="1">
            <w:col w:w="9019"/>
          </w:cols>
          <w:pgMar w:left="1440" w:top="1440"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3"/>
            <w:vMerge w:val="restart"/>
          </w:tcPr>
          <w:p>
            <w:pPr>
              <w:jc w:val="right"/>
              <w:ind w:right="59"/>
              <w:spacing w:after="0"/>
              <w:rPr>
                <w:sz w:val="20"/>
                <w:szCs w:val="20"/>
                <w:color w:val="auto"/>
              </w:rPr>
            </w:pPr>
            <w:r>
              <w:rPr>
                <w:rFonts w:ascii="Arial" w:cs="Arial" w:eastAsia="Arial" w:hAnsi="Arial"/>
                <w:sz w:val="13"/>
                <w:szCs w:val="13"/>
                <w:b w:val="1"/>
                <w:bCs w:val="1"/>
                <w:color w:val="auto"/>
              </w:rPr>
              <w:t>Historical</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Actual</w:t>
            </w: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vMerge w:val="continue"/>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Redemptions</w:t>
            </w: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center"/>
              <w:ind w:left="101"/>
              <w:spacing w:after="0"/>
              <w:rPr>
                <w:sz w:val="20"/>
                <w:szCs w:val="20"/>
                <w:color w:val="auto"/>
              </w:rPr>
            </w:pPr>
            <w:r>
              <w:rPr>
                <w:rFonts w:ascii="Arial" w:cs="Arial" w:eastAsia="Arial" w:hAnsi="Arial"/>
                <w:sz w:val="13"/>
                <w:szCs w:val="13"/>
                <w:b w:val="1"/>
                <w:bCs w:val="1"/>
                <w:color w:val="auto"/>
                <w:w w:val="86"/>
              </w:rPr>
              <w:t>Transaction</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center"/>
              <w:ind w:left="1"/>
              <w:spacing w:after="0"/>
              <w:rPr>
                <w:sz w:val="20"/>
                <w:szCs w:val="20"/>
                <w:color w:val="auto"/>
              </w:rPr>
            </w:pPr>
            <w:r>
              <w:rPr>
                <w:rFonts w:ascii="Arial" w:cs="Arial" w:eastAsia="Arial" w:hAnsi="Arial"/>
                <w:sz w:val="13"/>
                <w:szCs w:val="13"/>
                <w:b w:val="1"/>
                <w:bCs w:val="1"/>
                <w:color w:val="auto"/>
                <w:w w:val="89"/>
              </w:rPr>
              <w:t>Pro Forma</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4"/>
              </w:rPr>
              <w:t>6(A)</w:t>
            </w:r>
          </w:p>
        </w:tc>
        <w:tc>
          <w:tcPr>
            <w:tcW w:w="360" w:type="dxa"/>
            <w:vAlign w:val="bottom"/>
          </w:tcPr>
          <w:p>
            <w:pPr>
              <w:spacing w:after="0"/>
              <w:rPr>
                <w:sz w:val="14"/>
                <w:szCs w:val="14"/>
                <w:color w:val="auto"/>
              </w:rPr>
            </w:pPr>
          </w:p>
        </w:tc>
        <w:tc>
          <w:tcPr>
            <w:tcW w:w="1060" w:type="dxa"/>
            <w:vAlign w:val="bottom"/>
          </w:tcPr>
          <w:p>
            <w:pPr>
              <w:jc w:val="center"/>
              <w:ind w:right="281"/>
              <w:spacing w:after="0"/>
              <w:rPr>
                <w:sz w:val="20"/>
                <w:szCs w:val="20"/>
                <w:color w:val="auto"/>
              </w:rPr>
            </w:pPr>
            <w:r>
              <w:rPr>
                <w:rFonts w:ascii="Arial" w:cs="Arial" w:eastAsia="Arial" w:hAnsi="Arial"/>
                <w:sz w:val="13"/>
                <w:szCs w:val="13"/>
                <w:b w:val="1"/>
                <w:bCs w:val="1"/>
                <w:color w:val="auto"/>
                <w:w w:val="86"/>
              </w:rPr>
              <w:t>6(B)</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center"/>
              <w:ind w:left="81"/>
              <w:spacing w:after="0"/>
              <w:rPr>
                <w:sz w:val="20"/>
                <w:szCs w:val="20"/>
                <w:color w:val="auto"/>
              </w:rPr>
            </w:pPr>
            <w:r>
              <w:rPr>
                <w:rFonts w:ascii="Arial" w:cs="Arial" w:eastAsia="Arial" w:hAnsi="Arial"/>
                <w:sz w:val="13"/>
                <w:szCs w:val="13"/>
                <w:b w:val="1"/>
                <w:bCs w:val="1"/>
                <w:color w:val="auto"/>
                <w:w w:val="86"/>
              </w:rPr>
              <w:t>Accounting</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center"/>
              <w:ind w:left="21"/>
              <w:spacing w:after="0"/>
              <w:rPr>
                <w:sz w:val="20"/>
                <w:szCs w:val="20"/>
                <w:color w:val="auto"/>
              </w:rPr>
            </w:pPr>
            <w:r>
              <w:rPr>
                <w:rFonts w:ascii="Arial" w:cs="Arial" w:eastAsia="Arial" w:hAnsi="Arial"/>
                <w:sz w:val="13"/>
                <w:szCs w:val="13"/>
                <w:b w:val="1"/>
                <w:bCs w:val="1"/>
                <w:color w:val="auto"/>
                <w:w w:val="86"/>
              </w:rPr>
              <w:t>Statement of</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7"/>
              </w:rPr>
              <w:t>CMLS</w:t>
            </w:r>
          </w:p>
        </w:tc>
        <w:tc>
          <w:tcPr>
            <w:tcW w:w="360" w:type="dxa"/>
            <w:vAlign w:val="bottom"/>
          </w:tcPr>
          <w:p>
            <w:pPr>
              <w:spacing w:after="0"/>
              <w:rPr>
                <w:sz w:val="16"/>
                <w:szCs w:val="16"/>
                <w:color w:val="auto"/>
              </w:rPr>
            </w:pPr>
          </w:p>
        </w:tc>
        <w:tc>
          <w:tcPr>
            <w:tcW w:w="1060" w:type="dxa"/>
            <w:vAlign w:val="bottom"/>
          </w:tcPr>
          <w:p>
            <w:pPr>
              <w:jc w:val="center"/>
              <w:ind w:right="301"/>
              <w:spacing w:after="0"/>
              <w:rPr>
                <w:sz w:val="20"/>
                <w:szCs w:val="20"/>
                <w:color w:val="auto"/>
              </w:rPr>
            </w:pPr>
            <w:r>
              <w:rPr>
                <w:rFonts w:ascii="Arial" w:cs="Arial" w:eastAsia="Arial" w:hAnsi="Arial"/>
                <w:sz w:val="13"/>
                <w:szCs w:val="13"/>
                <w:b w:val="1"/>
                <w:bCs w:val="1"/>
                <w:color w:val="auto"/>
                <w:w w:val="85"/>
              </w:rPr>
              <w:t>Sema4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center"/>
              <w:ind w:left="101"/>
              <w:spacing w:after="0"/>
              <w:rPr>
                <w:sz w:val="20"/>
                <w:szCs w:val="20"/>
                <w:color w:val="auto"/>
              </w:rPr>
            </w:pPr>
            <w:r>
              <w:rPr>
                <w:rFonts w:ascii="Arial" w:cs="Arial" w:eastAsia="Arial" w:hAnsi="Arial"/>
                <w:sz w:val="13"/>
                <w:szCs w:val="13"/>
                <w:b w:val="1"/>
                <w:bCs w:val="1"/>
                <w:color w:val="auto"/>
                <w:w w:val="86"/>
              </w:rPr>
              <w:t>Adjustments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center"/>
              <w:ind w:left="21"/>
              <w:spacing w:after="0"/>
              <w:rPr>
                <w:sz w:val="20"/>
                <w:szCs w:val="20"/>
                <w:color w:val="auto"/>
              </w:rPr>
            </w:pPr>
            <w:r>
              <w:rPr>
                <w:rFonts w:ascii="Arial" w:cs="Arial" w:eastAsia="Arial" w:hAnsi="Arial"/>
                <w:sz w:val="13"/>
                <w:szCs w:val="13"/>
                <w:b w:val="1"/>
                <w:bCs w:val="1"/>
                <w:color w:val="auto"/>
                <w:w w:val="87"/>
              </w:rPr>
              <w:t>Operations</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Diagnostic test 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107,563</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107,563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3,653</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680"/>
              <w:spacing w:after="0"/>
              <w:rPr>
                <w:sz w:val="20"/>
                <w:szCs w:val="20"/>
                <w:color w:val="auto"/>
              </w:rPr>
            </w:pPr>
            <w:r>
              <w:rPr>
                <w:rFonts w:ascii="Arial" w:cs="Arial" w:eastAsia="Arial" w:hAnsi="Arial"/>
                <w:sz w:val="16"/>
                <w:szCs w:val="16"/>
                <w:color w:val="auto"/>
              </w:rPr>
              <w:t>Total revenue</w:t>
            </w: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111,216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111,216</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121,443</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680"/>
              <w:spacing w:after="0"/>
              <w:rPr>
                <w:sz w:val="20"/>
                <w:szCs w:val="20"/>
                <w:color w:val="auto"/>
              </w:rPr>
            </w:pPr>
            <w:r>
              <w:rPr>
                <w:rFonts w:ascii="Arial" w:cs="Arial" w:eastAsia="Arial" w:hAnsi="Arial"/>
                <w:sz w:val="16"/>
                <w:szCs w:val="16"/>
                <w:color w:val="auto"/>
              </w:rPr>
              <w:t>Total gross profit</w:t>
            </w: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(10,227)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(10,227)</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65,085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65,085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Selling and marketing</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47,816</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3,123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114,711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117,834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Related party expenses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2,685</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1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Loss from operations</w:t>
            </w: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(3,123)</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(240,524)</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(243,647)</w:t>
            </w:r>
          </w:p>
        </w:tc>
        <w:tc>
          <w:tcPr>
            <w:tcW w:w="5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Other income, net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5,584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16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Interest earned on marketable securities held in Trust</w:t>
            </w: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6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6"/>
                <w:szCs w:val="16"/>
                <w:color w:val="auto"/>
              </w:rPr>
              <w:t>6(c)</w:t>
            </w: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w:t>
            </w: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 in fair value of warrant liability</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(42,361)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(42,361)</w:t>
            </w:r>
          </w:p>
        </w:tc>
        <w:tc>
          <w:tcPr>
            <w:tcW w:w="5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(42,339)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(38,192)</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680"/>
              <w:spacing w:after="0"/>
              <w:rPr>
                <w:sz w:val="20"/>
                <w:szCs w:val="20"/>
                <w:color w:val="auto"/>
              </w:rPr>
            </w:pPr>
            <w:r>
              <w:rPr>
                <w:rFonts w:ascii="Arial" w:cs="Arial" w:eastAsia="Arial" w:hAnsi="Arial"/>
                <w:sz w:val="16"/>
                <w:szCs w:val="16"/>
                <w:color w:val="auto"/>
              </w:rPr>
              <w:t>Net loss before income taxes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(236,355)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(281,839)</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680"/>
              <w:spacing w:after="0"/>
              <w:rPr>
                <w:sz w:val="20"/>
                <w:szCs w:val="20"/>
                <w:color w:val="auto"/>
              </w:rPr>
            </w:pPr>
            <w:r>
              <w:rPr>
                <w:rFonts w:ascii="Arial" w:cs="Arial" w:eastAsia="Arial" w:hAnsi="Arial"/>
                <w:sz w:val="16"/>
                <w:szCs w:val="16"/>
                <w:color w:val="auto"/>
              </w:rPr>
              <w:t>Net loss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(45,462)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(236,355)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 (22)</w:t>
            </w:r>
          </w:p>
        </w:tc>
        <w:tc>
          <w:tcPr>
            <w:tcW w:w="10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(281,839)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basic and diluted</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11,068,750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240,190,402</w:t>
            </w:r>
          </w:p>
        </w:tc>
        <w:tc>
          <w:tcPr>
            <w:tcW w:w="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w w:val="91"/>
              </w:rPr>
              <w:t>6(d)</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60" w:type="dxa"/>
            <w:vAlign w:val="bottom"/>
          </w:tcPr>
          <w:p>
            <w:pPr>
              <w:ind w:left="20"/>
              <w:spacing w:after="0"/>
              <w:rPr>
                <w:sz w:val="20"/>
                <w:szCs w:val="20"/>
                <w:color w:val="auto"/>
              </w:rPr>
            </w:pPr>
            <w:r>
              <w:rPr>
                <w:rFonts w:ascii="Arial" w:cs="Arial" w:eastAsia="Arial" w:hAnsi="Arial"/>
                <w:sz w:val="16"/>
                <w:szCs w:val="16"/>
                <w:color w:val="auto"/>
              </w:rPr>
              <w:t>Basic and diluted net loss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6"/>
                <w:szCs w:val="16"/>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(317,750)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(1.17)</w:t>
            </w:r>
          </w:p>
        </w:tc>
        <w:tc>
          <w:tcPr>
            <w:tcW w:w="520" w:type="dxa"/>
            <w:vAlign w:val="bottom"/>
          </w:tcPr>
          <w:p>
            <w:pPr>
              <w:ind w:left="240"/>
              <w:spacing w:after="0"/>
              <w:rPr>
                <w:sz w:val="20"/>
                <w:szCs w:val="20"/>
                <w:color w:val="auto"/>
              </w:rPr>
            </w:pPr>
            <w:r>
              <w:rPr>
                <w:rFonts w:ascii="Arial" w:cs="Arial" w:eastAsia="Arial" w:hAnsi="Arial"/>
                <w:sz w:val="16"/>
                <w:szCs w:val="16"/>
                <w:color w:val="auto"/>
                <w:w w:val="91"/>
              </w:rPr>
              <w:t>6(d)</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ectPr>
          <w:pgSz w:w="11900" w:h="16838" w:orient="portrait"/>
          <w:cols w:equalWidth="0" w:num="1">
            <w:col w:w="11240"/>
          </w:cols>
          <w:pgMar w:left="320" w:top="1417" w:right="339" w:bottom="1440" w:gutter="0" w:footer="0" w:header="0"/>
        </w:sectPr>
      </w:pPr>
    </w:p>
    <w:bookmarkStart w:id="39" w:name="page40"/>
    <w:bookmarkEnd w:id="39"/>
    <w:p>
      <w:pPr>
        <w:jc w:val="center"/>
        <w:ind w:left="340" w:right="2040"/>
        <w:spacing w:after="0" w:line="454"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789"/>
              <w:spacing w:after="0"/>
              <w:rPr>
                <w:sz w:val="20"/>
                <w:szCs w:val="20"/>
                <w:color w:val="auto"/>
              </w:rPr>
            </w:pPr>
            <w:r>
              <w:rPr>
                <w:rFonts w:ascii="Arial" w:cs="Arial" w:eastAsia="Arial" w:hAnsi="Arial"/>
                <w:sz w:val="13"/>
                <w:szCs w:val="13"/>
                <w:b w:val="1"/>
                <w:bCs w:val="1"/>
                <w:color w:val="auto"/>
                <w:w w:val="91"/>
              </w:rPr>
              <w:t>Historical</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3"/>
                <w:szCs w:val="13"/>
                <w:b w:val="1"/>
                <w:bCs w:val="1"/>
                <w:color w:val="auto"/>
                <w:w w:val="84"/>
              </w:rPr>
              <w:t>Redemptions</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ind w:left="129"/>
              <w:spacing w:after="0"/>
              <w:rPr>
                <w:sz w:val="20"/>
                <w:szCs w:val="20"/>
                <w:color w:val="auto"/>
              </w:rPr>
            </w:pPr>
            <w:r>
              <w:rPr>
                <w:rFonts w:ascii="Arial" w:cs="Arial" w:eastAsia="Arial" w:hAnsi="Arial"/>
                <w:sz w:val="13"/>
                <w:szCs w:val="13"/>
                <w:b w:val="1"/>
                <w:bCs w:val="1"/>
                <w:color w:val="auto"/>
                <w:w w:val="86"/>
              </w:rPr>
              <w:t>Transaction</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Pro Forma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6(C)</w:t>
            </w:r>
          </w:p>
        </w:tc>
        <w:tc>
          <w:tcPr>
            <w:tcW w:w="500" w:type="dxa"/>
            <w:vAlign w:val="bottom"/>
          </w:tcPr>
          <w:p>
            <w:pPr>
              <w:spacing w:after="0"/>
              <w:rPr>
                <w:sz w:val="14"/>
                <w:szCs w:val="14"/>
                <w:color w:val="auto"/>
              </w:rPr>
            </w:pPr>
          </w:p>
        </w:tc>
        <w:tc>
          <w:tcPr>
            <w:tcW w:w="1160" w:type="dxa"/>
            <w:vAlign w:val="bottom"/>
          </w:tcPr>
          <w:p>
            <w:pPr>
              <w:jc w:val="center"/>
              <w:ind w:right="409"/>
              <w:spacing w:after="0"/>
              <w:rPr>
                <w:sz w:val="20"/>
                <w:szCs w:val="20"/>
                <w:color w:val="auto"/>
              </w:rPr>
            </w:pPr>
            <w:r>
              <w:rPr>
                <w:rFonts w:ascii="Arial" w:cs="Arial" w:eastAsia="Arial" w:hAnsi="Arial"/>
                <w:sz w:val="13"/>
                <w:szCs w:val="13"/>
                <w:b w:val="1"/>
                <w:bCs w:val="1"/>
                <w:color w:val="auto"/>
                <w:w w:val="94"/>
              </w:rPr>
              <w:t>6(D)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ind w:left="109"/>
              <w:spacing w:after="0"/>
              <w:rPr>
                <w:sz w:val="20"/>
                <w:szCs w:val="20"/>
                <w:color w:val="auto"/>
              </w:rPr>
            </w:pPr>
            <w:r>
              <w:rPr>
                <w:rFonts w:ascii="Arial" w:cs="Arial" w:eastAsia="Arial" w:hAnsi="Arial"/>
                <w:sz w:val="13"/>
                <w:szCs w:val="13"/>
                <w:b w:val="1"/>
                <w:bCs w:val="1"/>
                <w:color w:val="auto"/>
                <w:w w:val="86"/>
              </w:rPr>
              <w:t>Accounting</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6"/>
              </w:rPr>
              <w:t>Statement of</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CMLS</w:t>
            </w:r>
          </w:p>
        </w:tc>
        <w:tc>
          <w:tcPr>
            <w:tcW w:w="500" w:type="dxa"/>
            <w:vAlign w:val="bottom"/>
          </w:tcPr>
          <w:p>
            <w:pPr>
              <w:spacing w:after="0"/>
              <w:rPr>
                <w:sz w:val="16"/>
                <w:szCs w:val="16"/>
                <w:color w:val="auto"/>
              </w:rPr>
            </w:pPr>
          </w:p>
        </w:tc>
        <w:tc>
          <w:tcPr>
            <w:tcW w:w="1160" w:type="dxa"/>
            <w:vAlign w:val="bottom"/>
          </w:tcPr>
          <w:p>
            <w:pPr>
              <w:jc w:val="center"/>
              <w:ind w:right="409"/>
              <w:spacing w:after="0"/>
              <w:rPr>
                <w:sz w:val="20"/>
                <w:szCs w:val="20"/>
                <w:color w:val="auto"/>
              </w:rPr>
            </w:pPr>
            <w:r>
              <w:rPr>
                <w:rFonts w:ascii="Arial" w:cs="Arial" w:eastAsia="Arial" w:hAnsi="Arial"/>
                <w:sz w:val="13"/>
                <w:szCs w:val="13"/>
                <w:b w:val="1"/>
                <w:bCs w:val="1"/>
                <w:color w:val="auto"/>
                <w:w w:val="85"/>
              </w:rPr>
              <w:t>Sema4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center"/>
              <w:ind w:left="129"/>
              <w:spacing w:after="0"/>
              <w:rPr>
                <w:sz w:val="20"/>
                <w:szCs w:val="20"/>
                <w:color w:val="auto"/>
              </w:rPr>
            </w:pPr>
            <w:r>
              <w:rPr>
                <w:rFonts w:ascii="Arial" w:cs="Arial" w:eastAsia="Arial" w:hAnsi="Arial"/>
                <w:sz w:val="13"/>
                <w:szCs w:val="13"/>
                <w:b w:val="1"/>
                <w:bCs w:val="1"/>
                <w:color w:val="auto"/>
                <w:w w:val="86"/>
              </w:rPr>
              <w:t>Adjustments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Operations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360"/>
              <w:spacing w:after="0"/>
              <w:rPr>
                <w:sz w:val="20"/>
                <w:szCs w:val="20"/>
                <w:color w:val="auto"/>
              </w:rPr>
            </w:pPr>
            <w:r>
              <w:rPr>
                <w:rFonts w:ascii="Arial" w:cs="Arial" w:eastAsia="Arial" w:hAnsi="Arial"/>
                <w:sz w:val="14"/>
                <w:szCs w:val="14"/>
                <w:color w:val="auto"/>
              </w:rPr>
              <w:t>Diagnostic test revenue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jc w:val="center"/>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175,351</w:t>
            </w: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center"/>
              <w:ind w:left="13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175,351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revenue</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3,971</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680"/>
              <w:spacing w:after="0"/>
              <w:rPr>
                <w:sz w:val="20"/>
                <w:szCs w:val="20"/>
                <w:color w:val="auto"/>
              </w:rPr>
            </w:pPr>
            <w:r>
              <w:rPr>
                <w:rFonts w:ascii="Arial" w:cs="Arial" w:eastAsia="Arial" w:hAnsi="Arial"/>
                <w:sz w:val="14"/>
                <w:szCs w:val="14"/>
                <w:color w:val="auto"/>
              </w:rPr>
              <w:t>Total revenue</w:t>
            </w: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179,322</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179,322</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services</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184,648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184,648</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680"/>
              <w:spacing w:after="0"/>
              <w:rPr>
                <w:sz w:val="20"/>
                <w:szCs w:val="20"/>
                <w:color w:val="auto"/>
              </w:rPr>
            </w:pPr>
            <w:r>
              <w:rPr>
                <w:rFonts w:ascii="Arial" w:cs="Arial" w:eastAsia="Arial" w:hAnsi="Arial"/>
                <w:sz w:val="14"/>
                <w:szCs w:val="14"/>
                <w:color w:val="auto"/>
              </w:rPr>
              <w:t>Total gross profit</w:t>
            </w: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(5,326)</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(5,326)</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360"/>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72,700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72,700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and marketing</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53,831</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360"/>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100,742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8,242</w:t>
            </w:r>
          </w:p>
        </w:tc>
        <w:tc>
          <w:tcPr>
            <w:tcW w:w="1160" w:type="dxa"/>
            <w:vAlign w:val="bottom"/>
            <w:gridSpan w:val="3"/>
          </w:tcPr>
          <w:p>
            <w:pPr>
              <w:jc w:val="right"/>
              <w:ind w:right="568"/>
              <w:spacing w:after="0"/>
              <w:rPr>
                <w:sz w:val="20"/>
                <w:szCs w:val="20"/>
                <w:color w:val="auto"/>
              </w:rPr>
            </w:pPr>
            <w:r>
              <w:rPr>
                <w:rFonts w:ascii="Arial" w:cs="Arial" w:eastAsia="Arial" w:hAnsi="Arial"/>
                <w:sz w:val="14"/>
                <w:szCs w:val="14"/>
                <w:color w:val="auto"/>
              </w:rPr>
              <w:t>6(a)</w:t>
            </w:r>
          </w:p>
        </w:tc>
        <w:tc>
          <w:tcPr>
            <w:tcW w:w="920" w:type="dxa"/>
            <w:vAlign w:val="bottom"/>
          </w:tcPr>
          <w:p>
            <w:pPr>
              <w:jc w:val="right"/>
              <w:spacing w:after="0"/>
              <w:rPr>
                <w:sz w:val="20"/>
                <w:szCs w:val="20"/>
                <w:color w:val="auto"/>
              </w:rPr>
            </w:pPr>
            <w:r>
              <w:rPr>
                <w:rFonts w:ascii="Arial" w:cs="Arial" w:eastAsia="Arial" w:hAnsi="Arial"/>
                <w:sz w:val="14"/>
                <w:szCs w:val="14"/>
                <w:color w:val="auto"/>
              </w:rPr>
              <w:t>109,190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Related party expenses</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9,395</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2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Borders>
              <w:bottom w:val="single" w:sz="8" w:color="CCEEFF"/>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236,668</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8,242</w:t>
            </w: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245,116</w:t>
            </w:r>
          </w:p>
        </w:tc>
        <w:tc>
          <w:tcPr>
            <w:tcW w:w="5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Loss from operations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(241,994)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(8,242)</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(250,442)</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income</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36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(312)</w:t>
            </w:r>
          </w:p>
        </w:tc>
        <w:tc>
          <w:tcPr>
            <w:tcW w:w="1160" w:type="dxa"/>
            <w:vAlign w:val="bottom"/>
            <w:gridSpan w:val="3"/>
          </w:tcPr>
          <w:p>
            <w:pPr>
              <w:jc w:val="right"/>
              <w:ind w:right="568"/>
              <w:spacing w:after="0"/>
              <w:rPr>
                <w:sz w:val="20"/>
                <w:szCs w:val="20"/>
                <w:color w:val="auto"/>
              </w:rPr>
            </w:pPr>
            <w:r>
              <w:rPr>
                <w:rFonts w:ascii="Arial" w:cs="Arial" w:eastAsia="Arial" w:hAnsi="Arial"/>
                <w:sz w:val="14"/>
                <w:szCs w:val="14"/>
                <w:color w:val="auto"/>
              </w:rPr>
              <w:t>6(b)</w:t>
            </w:r>
          </w:p>
        </w:tc>
        <w:tc>
          <w:tcPr>
            <w:tcW w:w="920" w:type="dxa"/>
            <w:vAlign w:val="bottom"/>
          </w:tcPr>
          <w:p>
            <w:pPr>
              <w:jc w:val="right"/>
              <w:spacing w:after="0"/>
              <w:rPr>
                <w:sz w:val="20"/>
                <w:szCs w:val="20"/>
                <w:color w:val="auto"/>
              </w:rPr>
            </w:pPr>
            <w:r>
              <w:rPr>
                <w:rFonts w:ascii="Arial" w:cs="Arial" w:eastAsia="Arial" w:hAnsi="Arial"/>
                <w:sz w:val="14"/>
                <w:szCs w:val="14"/>
                <w:color w:val="auto"/>
              </w:rPr>
              <w:t>(2,786)</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income, net</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20" w:type="dxa"/>
            <w:vAlign w:val="bottom"/>
          </w:tcPr>
          <w:p>
            <w:pPr>
              <w:ind w:left="360"/>
              <w:spacing w:after="0" w:line="135" w:lineRule="exact"/>
              <w:rPr>
                <w:sz w:val="20"/>
                <w:szCs w:val="20"/>
                <w:color w:val="auto"/>
              </w:rPr>
            </w:pPr>
            <w:r>
              <w:rPr>
                <w:rFonts w:ascii="Arial" w:cs="Arial" w:eastAsia="Arial" w:hAnsi="Arial"/>
                <w:sz w:val="14"/>
                <w:szCs w:val="14"/>
                <w:color w:val="auto"/>
              </w:rPr>
              <w:t>Interest earned on marketable securities held in Trust</w:t>
            </w:r>
          </w:p>
        </w:tc>
        <w:tc>
          <w:tcPr>
            <w:tcW w:w="3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160" w:type="dxa"/>
            <w:vAlign w:val="bottom"/>
            <w:gridSpan w:val="3"/>
            <w:vMerge w:val="restart"/>
          </w:tcPr>
          <w:p>
            <w:pPr>
              <w:jc w:val="right"/>
              <w:ind w:right="568"/>
              <w:spacing w:after="0"/>
              <w:rPr>
                <w:sz w:val="20"/>
                <w:szCs w:val="20"/>
                <w:color w:val="auto"/>
              </w:rPr>
            </w:pPr>
            <w:r>
              <w:rPr>
                <w:rFonts w:ascii="Arial" w:cs="Arial" w:eastAsia="Arial" w:hAnsi="Arial"/>
                <w:sz w:val="14"/>
                <w:szCs w:val="14"/>
                <w:color w:val="auto"/>
              </w:rPr>
              <w:t>6(c)</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360"/>
              <w:spacing w:after="0"/>
              <w:rPr>
                <w:sz w:val="20"/>
                <w:szCs w:val="20"/>
                <w:color w:val="auto"/>
              </w:rPr>
            </w:pPr>
            <w:r>
              <w:rPr>
                <w:rFonts w:ascii="Arial" w:cs="Arial" w:eastAsia="Arial" w:hAnsi="Arial"/>
                <w:sz w:val="14"/>
                <w:szCs w:val="14"/>
                <w:color w:val="auto"/>
              </w:rPr>
              <w:t>Account</w:t>
            </w:r>
          </w:p>
        </w:tc>
        <w:tc>
          <w:tcPr>
            <w:tcW w:w="3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in fair value of warrant liability</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(38,511)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(38,511)</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Transaction costs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w:t>
            </w:r>
          </w:p>
        </w:tc>
        <w:tc>
          <w:tcPr>
            <w:tcW w:w="5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other income, net</w:t>
            </w: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(39,702)</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(39,374)</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680"/>
              <w:spacing w:after="0"/>
              <w:rPr>
                <w:sz w:val="20"/>
                <w:szCs w:val="20"/>
                <w:color w:val="auto"/>
              </w:rPr>
            </w:pPr>
            <w:r>
              <w:rPr>
                <w:rFonts w:ascii="Arial" w:cs="Arial" w:eastAsia="Arial" w:hAnsi="Arial"/>
                <w:sz w:val="14"/>
                <w:szCs w:val="14"/>
                <w:color w:val="auto"/>
              </w:rPr>
              <w:t>Net loss before income taxes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(39,908)</w:t>
            </w:r>
          </w:p>
        </w:tc>
        <w:tc>
          <w:tcPr>
            <w:tcW w:w="100" w:type="dxa"/>
            <w:vAlign w:val="bottom"/>
          </w:tcPr>
          <w:p>
            <w:pPr>
              <w:spacing w:after="0"/>
              <w:rPr>
                <w:sz w:val="15"/>
                <w:szCs w:val="15"/>
                <w:color w:val="auto"/>
              </w:rPr>
            </w:pPr>
          </w:p>
        </w:tc>
        <w:tc>
          <w:tcPr>
            <w:tcW w:w="500" w:type="dxa"/>
            <w:vAlign w:val="bottom"/>
          </w:tcPr>
          <w:p>
            <w:pPr>
              <w:jc w:val="center"/>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(241,340)</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(8,568)</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center"/>
              <w:ind w:right="3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(289,816)</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020" w:type="dxa"/>
            <w:vAlign w:val="bottom"/>
          </w:tcPr>
          <w:p>
            <w:pPr>
              <w:ind w:left="680"/>
              <w:spacing w:after="0"/>
              <w:rPr>
                <w:sz w:val="20"/>
                <w:szCs w:val="20"/>
                <w:color w:val="auto"/>
              </w:rPr>
            </w:pPr>
            <w:r>
              <w:rPr>
                <w:rFonts w:ascii="Arial" w:cs="Arial" w:eastAsia="Arial" w:hAnsi="Arial"/>
                <w:sz w:val="14"/>
                <w:szCs w:val="14"/>
                <w:color w:val="auto"/>
              </w:rPr>
              <w:t>Net loss</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(39,908)</w:t>
            </w: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center"/>
              <w:ind w:right="3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(241,340)</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(8,568)</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center"/>
              <w:ind w:right="3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(289,816)</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20" w:type="dxa"/>
            <w:vAlign w:val="bottom"/>
          </w:tcPr>
          <w:p>
            <w:pPr>
              <w:ind w:left="20"/>
              <w:spacing w:after="0"/>
              <w:rPr>
                <w:sz w:val="20"/>
                <w:szCs w:val="20"/>
                <w:color w:val="auto"/>
              </w:rPr>
            </w:pPr>
            <w:r>
              <w:rPr>
                <w:rFonts w:ascii="Arial" w:cs="Arial" w:eastAsia="Arial" w:hAnsi="Arial"/>
                <w:sz w:val="14"/>
                <w:szCs w:val="14"/>
                <w:color w:val="auto"/>
              </w:rPr>
              <w:t>Weighted average shares outstanding, basic and diluted</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10,633,062</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240,190,402</w:t>
            </w:r>
          </w:p>
        </w:tc>
        <w:tc>
          <w:tcPr>
            <w:tcW w:w="560" w:type="dxa"/>
            <w:vAlign w:val="bottom"/>
          </w:tcPr>
          <w:p>
            <w:pPr>
              <w:ind w:left="300"/>
              <w:spacing w:after="0"/>
              <w:rPr>
                <w:sz w:val="20"/>
                <w:szCs w:val="20"/>
                <w:color w:val="auto"/>
              </w:rPr>
            </w:pPr>
            <w:r>
              <w:rPr>
                <w:rFonts w:ascii="Arial" w:cs="Arial" w:eastAsia="Arial" w:hAnsi="Arial"/>
                <w:sz w:val="14"/>
                <w:szCs w:val="14"/>
                <w:color w:val="auto"/>
                <w:w w:val="96"/>
              </w:rPr>
              <w:t>6(d)</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20" w:type="dxa"/>
            <w:vAlign w:val="bottom"/>
          </w:tcPr>
          <w:p>
            <w:pPr>
              <w:ind w:left="20"/>
              <w:spacing w:after="0"/>
              <w:rPr>
                <w:sz w:val="20"/>
                <w:szCs w:val="20"/>
                <w:color w:val="auto"/>
              </w:rPr>
            </w:pPr>
            <w:r>
              <w:rPr>
                <w:rFonts w:ascii="Arial" w:cs="Arial" w:eastAsia="Arial" w:hAnsi="Arial"/>
                <w:sz w:val="14"/>
                <w:szCs w:val="14"/>
                <w:color w:val="auto"/>
              </w:rPr>
              <w:t>Basic and diluted net loss per share</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center"/>
              <w:ind w:right="3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(5,824,000.00)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center"/>
              <w:ind w:right="3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560" w:type="dxa"/>
            <w:vAlign w:val="bottom"/>
          </w:tcPr>
          <w:p>
            <w:pPr>
              <w:ind w:left="300"/>
              <w:spacing w:after="0"/>
              <w:rPr>
                <w:sz w:val="20"/>
                <w:szCs w:val="20"/>
                <w:color w:val="auto"/>
              </w:rPr>
            </w:pPr>
            <w:r>
              <w:rPr>
                <w:rFonts w:ascii="Arial" w:cs="Arial" w:eastAsia="Arial" w:hAnsi="Arial"/>
                <w:sz w:val="14"/>
                <w:szCs w:val="14"/>
                <w:color w:val="auto"/>
                <w:w w:val="96"/>
              </w:rPr>
              <w:t>6(d)</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pro forma condensed combined financial information.</w:t>
      </w:r>
    </w:p>
    <w:p>
      <w:pPr>
        <w:sectPr>
          <w:pgSz w:w="11900" w:h="16838" w:orient="portrait"/>
          <w:cols w:equalWidth="0" w:num="1">
            <w:col w:w="9019"/>
          </w:cols>
          <w:pgMar w:left="1440" w:top="1440" w:right="1440" w:bottom="1440" w:gutter="0" w:footer="0" w:header="0"/>
        </w:sectPr>
      </w:pPr>
    </w:p>
    <w:bookmarkStart w:id="41" w:name="page42"/>
    <w:bookmarkEnd w:id="41"/>
    <w:p>
      <w:pPr>
        <w:ind w:left="170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9, 2021, CMLS and its wholly owned subsidiary, S-IV Sub, Inc. (“</w:t>
      </w:r>
      <w:r>
        <w:rPr>
          <w:rFonts w:ascii="Arial" w:cs="Arial" w:eastAsia="Arial" w:hAnsi="Arial"/>
          <w:sz w:val="18"/>
          <w:szCs w:val="18"/>
          <w:i w:val="1"/>
          <w:iCs w:val="1"/>
          <w:color w:val="auto"/>
        </w:rPr>
        <w:t>Merger Sub</w:t>
      </w:r>
      <w:r>
        <w:rPr>
          <w:rFonts w:ascii="Arial" w:cs="Arial" w:eastAsia="Arial" w:hAnsi="Arial"/>
          <w:sz w:val="18"/>
          <w:szCs w:val="18"/>
          <w:color w:val="auto"/>
        </w:rPr>
        <w:t>”), entered into an Agreement and Plan of Merger with Sema4 (the “</w:t>
      </w:r>
      <w:r>
        <w:rPr>
          <w:rFonts w:ascii="Arial" w:cs="Arial" w:eastAsia="Arial" w:hAnsi="Arial"/>
          <w:sz w:val="18"/>
          <w:szCs w:val="18"/>
          <w:i w:val="1"/>
          <w:iCs w:val="1"/>
          <w:color w:val="auto"/>
        </w:rPr>
        <w:t>Merger Agreement</w:t>
      </w:r>
      <w:r>
        <w:rPr>
          <w:rFonts w:ascii="Arial" w:cs="Arial" w:eastAsia="Arial" w:hAnsi="Arial"/>
          <w:sz w:val="18"/>
          <w:szCs w:val="18"/>
          <w:color w:val="auto"/>
        </w:rPr>
        <w:t>”). Pursuant to the Merger Agreement, Merger Sub merged with and into Sema4, with Sema4 surviving the merger as a wholly owned subsidiary of CMLS. Upon the consummation of the transactions contemplated by the Merger Agreement (the “</w:t>
      </w:r>
      <w:r>
        <w:rPr>
          <w:rFonts w:ascii="Arial" w:cs="Arial" w:eastAsia="Arial" w:hAnsi="Arial"/>
          <w:sz w:val="18"/>
          <w:szCs w:val="18"/>
          <w:i w:val="1"/>
          <w:iCs w:val="1"/>
          <w:color w:val="auto"/>
        </w:rPr>
        <w:t>Business Combination</w:t>
      </w:r>
      <w:r>
        <w:rPr>
          <w:rFonts w:ascii="Arial" w:cs="Arial" w:eastAsia="Arial" w:hAnsi="Arial"/>
          <w:sz w:val="18"/>
          <w:szCs w:val="18"/>
          <w:color w:val="auto"/>
        </w:rPr>
        <w:t>”), CMLS changed its name to Sema4 Holdings Corp.</w:t>
      </w:r>
    </w:p>
    <w:p>
      <w:pPr>
        <w:spacing w:after="0" w:line="133"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Subject to the terms and conditions of the Merger Agreement, each share of Sema4 Class B common stock issued and outstanding immediately prior to the effective time was converted into 1/100th of a share of Sema4 Class A common stock as set forth in the Merger Agreement. Immediately thereafter, each share of Sema4 Common Stock and Sema4 Preferred Stock (other than Excluded Shares and Dissenting Shares (each as defined in the Merger Agreement)) issued and outstanding immediately prior to the effective time was cancelled and automatically deemed for all purposes to represent the right to receive a portion of the merger consideration, with each holder of Sema4 Common Stock or Sema4 Preferred Stock (each, a “</w:t>
      </w:r>
      <w:r>
        <w:rPr>
          <w:rFonts w:ascii="Arial" w:cs="Arial" w:eastAsia="Arial" w:hAnsi="Arial"/>
          <w:sz w:val="17"/>
          <w:szCs w:val="17"/>
          <w:i w:val="1"/>
          <w:iCs w:val="1"/>
          <w:color w:val="auto"/>
        </w:rPr>
        <w:t>Sema4 Stockholder</w:t>
      </w:r>
      <w:r>
        <w:rPr>
          <w:rFonts w:ascii="Arial" w:cs="Arial" w:eastAsia="Arial" w:hAnsi="Arial"/>
          <w:sz w:val="17"/>
          <w:szCs w:val="17"/>
          <w:color w:val="auto"/>
        </w:rPr>
        <w:t>”) receiving (collectively, clauses (i) through (iii), the “</w:t>
      </w:r>
      <w:r>
        <w:rPr>
          <w:rFonts w:ascii="Arial" w:cs="Arial" w:eastAsia="Arial" w:hAnsi="Arial"/>
          <w:sz w:val="17"/>
          <w:szCs w:val="17"/>
          <w:i w:val="1"/>
          <w:iCs w:val="1"/>
          <w:color w:val="auto"/>
        </w:rPr>
        <w:t>merger consideration</w:t>
      </w:r>
      <w:r>
        <w:rPr>
          <w:rFonts w:ascii="Arial" w:cs="Arial" w:eastAsia="Arial" w:hAnsi="Arial"/>
          <w:sz w:val="17"/>
          <w:szCs w:val="17"/>
          <w:color w:val="auto"/>
        </w:rPr>
        <w:t>”) (i) its pro rata share of the Closing Available Cash (as defined in the Merger Agreement) if such Sema4 Stockholder made an election to receive cash, and, if so elected, such Sema4 Stockholder’s pro rata share excess amount of any closing available excess cash, provided that in no event would the Sema4 Stockholder’s cash payment exceed an amount equal to the product of such Sema4 Stockholder’s total outstanding shares multiplied by the Per Share Amount (as defined in the Proxy Statement); (ii) a number of shares of Company Class A common stock equal to the quotient of: (A)(1) the product of such Sema4 Stockholder’s total outstanding shares multiplied by the Per Share Amount minus (2) such Sema4 Stockholder’s stockholder cash payment amount divided by (B) $10.00; and (iii) its pro rata share of any earn out shares to which such Sema4 Stockholder is entitled pursuant to the terms of the Merger Agreement (the “</w:t>
      </w:r>
      <w:r>
        <w:rPr>
          <w:rFonts w:ascii="Arial" w:cs="Arial" w:eastAsia="Arial" w:hAnsi="Arial"/>
          <w:sz w:val="17"/>
          <w:szCs w:val="17"/>
          <w:i w:val="1"/>
          <w:iCs w:val="1"/>
          <w:color w:val="auto"/>
        </w:rPr>
        <w:t>Earnout</w:t>
      </w:r>
      <w:r>
        <w:rPr>
          <w:rFonts w:ascii="Arial" w:cs="Arial" w:eastAsia="Arial" w:hAnsi="Arial"/>
          <w:sz w:val="17"/>
          <w:szCs w:val="17"/>
          <w:color w:val="auto"/>
        </w:rPr>
        <w:t>”), including the Earn Out RSUs (as defined in the Merger Agreement), which Earn Out RSUs are subject to vesting and will not be legally issued and outstanding shares of Company Class A common stock at the closing of the Business Combination (the “</w:t>
      </w:r>
      <w:r>
        <w:rPr>
          <w:rFonts w:ascii="Arial" w:cs="Arial" w:eastAsia="Arial" w:hAnsi="Arial"/>
          <w:sz w:val="17"/>
          <w:szCs w:val="17"/>
          <w:i w:val="1"/>
          <w:iCs w:val="1"/>
          <w:color w:val="auto"/>
        </w:rPr>
        <w:t>Closing</w:t>
      </w:r>
      <w:r>
        <w:rPr>
          <w:rFonts w:ascii="Arial" w:cs="Arial" w:eastAsia="Arial" w:hAnsi="Arial"/>
          <w:sz w:val="17"/>
          <w:szCs w:val="17"/>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ceased to have any other rights in and to Sema4 securities and each certificate relating to ownership of shares of Sema4 Common Stock and Sema4 Preferred Stock (other than Excluded Shares) represented the right to receive the applicable portion of the merger consideration.</w:t>
      </w:r>
    </w:p>
    <w:p>
      <w:pPr>
        <w:spacing w:after="0" w:line="136" w:lineRule="exact"/>
        <w:rPr>
          <w:sz w:val="20"/>
          <w:szCs w:val="20"/>
          <w:color w:val="auto"/>
        </w:rPr>
      </w:pPr>
    </w:p>
    <w:p>
      <w:pPr>
        <w:ind w:right="60" w:firstLine="324"/>
        <w:spacing w:after="0" w:line="292" w:lineRule="auto"/>
        <w:rPr>
          <w:sz w:val="20"/>
          <w:szCs w:val="20"/>
          <w:color w:val="auto"/>
        </w:rPr>
      </w:pPr>
      <w:r>
        <w:rPr>
          <w:rFonts w:ascii="Arial" w:cs="Arial" w:eastAsia="Arial" w:hAnsi="Arial"/>
          <w:sz w:val="16"/>
          <w:szCs w:val="16"/>
          <w:color w:val="auto"/>
        </w:rPr>
        <w:t>Following the Closing, within five Business Days (as defined in the Merger Agreement) after the occurrence of a Triggering Event, the Company shall issue or cause to be issued to the Sema4 Stockholders (other than holders of Dissenting Shares and Excluded Shares) and the Earn-Out Service Providers (as defined in the Merger Agreement),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forth in the Merger Agreement and other related agreements: (i) upon the occurrence of Triggering Event I (as defined in the Merger Agreement), a one-time issuance of a number of Earn-Out Shares equal to 3.66% of the Earn-Out Total Outstanding Shares (as defined in the Merger Agreement); (ii) upon the occurrence of Triggering Event II (as defined in the Merger Agreement), a one-time issuance of a number of Earn-Out Shares equal to 3.67% of the Earn-Out Total Outstanding Shares; and (iii) upon the occurrence of Triggering Event III (as defined in the Merger Agreement), a one-time issuance of a number of Earn-Out Shares equal to 3.67% of the Earn-Out Total Outstanding Shares. Upon the last day of any calendar year, the Company shall issue or cause to be issued to each Sema4 Stockholder (other than holders of Dissenting Shares) and Earn-Out Service Provider (in accordance with its respective Earn-Out Pro Rata Share and, in the case of the Earn-Out Service Providers, in accordance with the terms of the applicable Earn-Out Award Agreement (as defined in the Merger Agreement)) the Earn-Out Shares that (i) are in the Forfeiture Pool (as defined in the Merger</w:t>
      </w:r>
    </w:p>
    <w:p>
      <w:pPr>
        <w:sectPr>
          <w:pgSz w:w="11900" w:h="16838" w:orient="portrait"/>
          <w:cols w:equalWidth="0" w:num="1">
            <w:col w:w="11240"/>
          </w:cols>
          <w:pgMar w:left="320" w:top="1417" w:right="339" w:bottom="1440" w:gutter="0" w:footer="0" w:header="0"/>
        </w:sectPr>
      </w:pPr>
    </w:p>
    <w:bookmarkStart w:id="42" w:name="page43"/>
    <w:bookmarkEnd w:id="42"/>
    <w:p>
      <w:pPr>
        <w:ind w:right="520"/>
        <w:spacing w:after="0" w:line="277" w:lineRule="auto"/>
        <w:rPr>
          <w:sz w:val="20"/>
          <w:szCs w:val="20"/>
          <w:color w:val="auto"/>
        </w:rPr>
      </w:pPr>
      <w:r>
        <w:rPr>
          <w:rFonts w:ascii="Arial" w:cs="Arial" w:eastAsia="Arial" w:hAnsi="Arial"/>
          <w:sz w:val="18"/>
          <w:szCs w:val="18"/>
          <w:color w:val="auto"/>
        </w:rPr>
        <w:t>Agreement) as in effect as of such date and (ii) would have been issuable to Sema4 Stockholders pursuant to the Merger Agreement as a result of the occurrence of a Triggering Event had they not been made subject to an award of Earn Out RSUs.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an aggregate number of Earn-Out Shares equal to more than 11% of the Earn-Out Total Outstanding Shares. Earn-Out Shares will be issued from the Forfeiture Pool only if the applicable Triggering Event occurs.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The Earn-Out Shares issuable to Sema4 Stockholders are accounted for as contingent consideration in accordance with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The contingent consideration is not considered indexed to the Company’s own stock and is therefore classified as a liability in the unaudited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 forma condensed combined balance sheet and will be remeasured to fair value at each reporting date (see Note 5(c)). The Earn-Out Shares issuable to Earn-Out Service Providers are accounted for as equity-classified, share-based compensation in accordance with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as the shares are subject to additional vesting conditions and continued employment.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PIPE Investment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February 9, 2021, concurrently with the execution of the Merger Agreement, CMLS entered into subscription agreements (collectively, the “Subscription Agreements”) with certain investors (collectively, the “PIPE Investors” which include certain existing Sema4 equity holders), pursuant to which the PIPE Investors have collectively subscribed for 35,000,000 shares of Company Class A common stock for an aggregate purchase price equal to $350,000,000 (the “PIPE Investment”). The PIPE Investment was consummated immediately prior to the closing of the Business Combination.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7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The Company has elected not to present Management’s Adjustments and will only be presenting Transaction Accounting Adjustments in the unaudited pro forma condensed combined financial statements. The adjustments presented in the unaudited pro forma condensed combined financial statements have been identified and presented to provide relevant information necessary for an understanding of Sema4 Holdings upon consummation of the Business Combination and the PIPE Investment.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condensed combined balance sheet as of June 30, 2021 gives effect to the Business Combination and the PIPE Investment as if they occurred on June 30, 2021. The unaudited pro forma condensed combined statements of operations for the six months ended June 30, 2021 and for the year ended December 31, 2020 give effect to the Business Combination and the PIPE Investment as if they occurred on January 1, 2020, the beginning of the earliest period presented.</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pro forma adjustments reflecting the consummation of the Business Combination and the PIPE Investment are based on certain currently available information and certain assumptions and methodologies that the Company believes are reasonable under the circumstances. The Company believes that its assumptions and methodologies provide a reasonable basis for presenting all of the significant effects of the Business Combination and the PIPE Investment based on information available to management at this time and that the pro forma adjustments give appropriate effect to those assumptions and are properly applied in the unaudited pro forma condensed combined financial information.</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unaudited pro forma condensed combined financial statements do not give effect to any anticipated synergies, operating efficiencies, tax savings, or cost savings that may be associated with the Business Combination.</w:t>
      </w:r>
    </w:p>
    <w:p>
      <w:pPr>
        <w:sectPr>
          <w:pgSz w:w="11900" w:h="16838" w:orient="portrait"/>
          <w:cols w:equalWidth="0" w:num="1">
            <w:col w:w="11240"/>
          </w:cols>
          <w:pgMar w:left="320" w:top="1421" w:right="3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CMLS and Sema4 had not had any historical relationship prior to the Business Combination. Accordingly, no pro forma adjustments were required to eliminate activities between the companies.</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unaudited pro forma condensed combined financial information has been prepared using actual redemptions of 10,188 shares of Company Class A common stock for aggregate redemption payments of $0.1 million out of the trust account on the closing date of the Business Combination. No other shares of Company common stock were subject to redemption. Additionally, no shares of Class B common stock were forfeited by the Sponsor as a result of the redemptions in accordance with the Forfeiture Agreement (as defined in the Proxy Statement). Sema4 equity holders received $230.7 million of merger consideration in cash at Closing.</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unaudited pro forma condensed combined financial statements and related notes have been derived from and should be read in conjunction with:</w:t>
      </w:r>
    </w:p>
    <w:p>
      <w:pPr>
        <w:spacing w:after="0" w:line="235" w:lineRule="exact"/>
        <w:rPr>
          <w:sz w:val="20"/>
          <w:szCs w:val="20"/>
          <w:color w:val="auto"/>
        </w:rPr>
      </w:pPr>
    </w:p>
    <w:p>
      <w:pPr>
        <w:jc w:val="both"/>
        <w:ind w:left="500" w:hanging="168"/>
        <w:spacing w:after="0" w:line="238" w:lineRule="auto"/>
        <w:tabs>
          <w:tab w:leader="none" w:pos="495"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(i) audited historical financial statements of CMLS as of December 31, 2020 and for the period from July 10, 2020 (inception) through December 31, 2020 and (ii) unaudited historical condensed financial statements of CMLS as of and for the six months ended June 30, 2021 and the related notes, in each case, incorporated by reference in the Report;</w:t>
      </w:r>
    </w:p>
    <w:p>
      <w:pPr>
        <w:spacing w:after="0" w:line="189" w:lineRule="exact"/>
        <w:rPr>
          <w:rFonts w:ascii="Arial" w:cs="Arial" w:eastAsia="Arial" w:hAnsi="Arial"/>
          <w:sz w:val="22"/>
          <w:szCs w:val="22"/>
          <w:color w:val="auto"/>
        </w:rPr>
      </w:pPr>
    </w:p>
    <w:p>
      <w:pPr>
        <w:jc w:val="both"/>
        <w:ind w:left="500" w:hanging="168"/>
        <w:spacing w:after="0" w:line="238" w:lineRule="auto"/>
        <w:tabs>
          <w:tab w:leader="none" w:pos="495"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(i) audited historical financial statements of Sema4 as of and for the year ended December 31, 2020 and (ii) unaudited historical condensed financial statements of Sema4 as of and for the six months ended June 30, 2021 and the related notes, in each case, incorporated by reference in the Report; and</w:t>
      </w:r>
    </w:p>
    <w:p>
      <w:pPr>
        <w:spacing w:after="0" w:line="189" w:lineRule="exact"/>
        <w:rPr>
          <w:rFonts w:ascii="Arial" w:cs="Arial" w:eastAsia="Arial" w:hAnsi="Arial"/>
          <w:sz w:val="22"/>
          <w:szCs w:val="22"/>
          <w:color w:val="auto"/>
        </w:rPr>
      </w:pPr>
    </w:p>
    <w:p>
      <w:pPr>
        <w:jc w:val="both"/>
        <w:ind w:left="500" w:hanging="168"/>
        <w:spacing w:after="0" w:line="238" w:lineRule="auto"/>
        <w:tabs>
          <w:tab w:leader="none" w:pos="495"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sections of the Proxy Statement entitled “</w:t>
      </w:r>
      <w:r>
        <w:rPr>
          <w:rFonts w:ascii="Arial" w:cs="Arial" w:eastAsia="Arial" w:hAnsi="Arial"/>
          <w:sz w:val="18"/>
          <w:szCs w:val="18"/>
          <w:i w:val="1"/>
          <w:iCs w:val="1"/>
          <w:color w:val="auto"/>
        </w:rPr>
        <w:t>Management’s Discussion and Analysis of Financial Condition and Results of Operations of CMLS</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 of Sema4</w:t>
      </w:r>
      <w:r>
        <w:rPr>
          <w:rFonts w:ascii="Arial" w:cs="Arial" w:eastAsia="Arial" w:hAnsi="Arial"/>
          <w:sz w:val="18"/>
          <w:szCs w:val="18"/>
          <w:color w:val="auto"/>
        </w:rPr>
        <w:t>” and the other financial information included elsewhere and incorporated by reference in the Report.</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Sema4 Holdings.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the Business Combination</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Business Combination will be accounted for as a reverse recapitalization, in accordance with GAAP. Under this method of accounting, although the Company issued shares for outstanding equity interests of Sema4 in the Business Combination, the Company will be treated as the “acquired” company for financial reporting purposes. Accordingly, the Business Combination will be treated as the equivalent of Sema4 issuing stock for the net assets of the Company, accompanied by a recapitalization. The net assets of the Company will be stated at historical cost, with no goodwill or other intangible assets recorded. Operations prior to the Business Combination will be those of Sema4.</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Sema4 has been determined to be the accounting acquirer based on the evaluation of the following facts and circumstances:</w:t>
      </w:r>
    </w:p>
    <w:p>
      <w:pPr>
        <w:spacing w:after="0" w:line="189" w:lineRule="exact"/>
        <w:rPr>
          <w:sz w:val="20"/>
          <w:szCs w:val="20"/>
          <w:color w:val="auto"/>
        </w:rPr>
      </w:pPr>
    </w:p>
    <w:p>
      <w:pPr>
        <w:ind w:left="480" w:hanging="148"/>
        <w:spacing w:after="0"/>
        <w:tabs>
          <w:tab w:leader="none" w:pos="4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former owners of Sema4 hold the largest portion of voting rights in Sema4 Holdings;</w:t>
      </w:r>
    </w:p>
    <w:p>
      <w:pPr>
        <w:spacing w:after="0" w:line="165" w:lineRule="exact"/>
        <w:rPr>
          <w:rFonts w:ascii="Arial" w:cs="Arial" w:eastAsia="Arial" w:hAnsi="Arial"/>
          <w:sz w:val="22"/>
          <w:szCs w:val="22"/>
          <w:color w:val="auto"/>
        </w:rPr>
      </w:pPr>
    </w:p>
    <w:p>
      <w:pPr>
        <w:ind w:left="480" w:hanging="148"/>
        <w:spacing w:after="0"/>
        <w:tabs>
          <w:tab w:leader="none" w:pos="4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Sema4 has the right to appoint a majority of the directors in Sema4 Holdings;</w:t>
      </w:r>
    </w:p>
    <w:p>
      <w:pPr>
        <w:spacing w:after="0" w:line="165" w:lineRule="exact"/>
        <w:rPr>
          <w:rFonts w:ascii="Arial" w:cs="Arial" w:eastAsia="Arial" w:hAnsi="Arial"/>
          <w:sz w:val="22"/>
          <w:szCs w:val="22"/>
          <w:color w:val="auto"/>
        </w:rPr>
      </w:pPr>
    </w:p>
    <w:p>
      <w:pPr>
        <w:ind w:left="480" w:hanging="148"/>
        <w:spacing w:after="0"/>
        <w:tabs>
          <w:tab w:leader="none" w:pos="4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Sema4’s existing senior management team will comprise senior management of Sema4 Holdings;</w:t>
      </w:r>
    </w:p>
    <w:p>
      <w:pPr>
        <w:spacing w:after="0" w:line="165" w:lineRule="exact"/>
        <w:rPr>
          <w:rFonts w:ascii="Arial" w:cs="Arial" w:eastAsia="Arial" w:hAnsi="Arial"/>
          <w:sz w:val="22"/>
          <w:szCs w:val="22"/>
          <w:color w:val="auto"/>
        </w:rPr>
      </w:pPr>
    </w:p>
    <w:p>
      <w:pPr>
        <w:ind w:left="480" w:hanging="148"/>
        <w:spacing w:after="0"/>
        <w:tabs>
          <w:tab w:leader="none" w:pos="4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operations of Sema4 Holdings represent the operations of Sema4;</w:t>
      </w:r>
    </w:p>
    <w:p>
      <w:pPr>
        <w:spacing w:after="0" w:line="165" w:lineRule="exact"/>
        <w:rPr>
          <w:rFonts w:ascii="Arial" w:cs="Arial" w:eastAsia="Arial" w:hAnsi="Arial"/>
          <w:sz w:val="22"/>
          <w:szCs w:val="22"/>
          <w:color w:val="auto"/>
        </w:rPr>
      </w:pPr>
    </w:p>
    <w:p>
      <w:pPr>
        <w:ind w:left="480" w:hanging="148"/>
        <w:spacing w:after="0"/>
        <w:tabs>
          <w:tab w:leader="none" w:pos="4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Sema4 Holdings assumed Sema4’s name and headquarters.</w:t>
      </w:r>
    </w:p>
    <w:p>
      <w:pPr>
        <w:sectPr>
          <w:pgSz w:w="11900" w:h="16838" w:orient="portrait"/>
          <w:cols w:equalWidth="0" w:num="1">
            <w:col w:w="11240"/>
          </w:cols>
          <w:pgMar w:left="320" w:top="142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4.Capitalization</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summarizes the pro forma ownership of Class A common stock of the Company following the Business Combination and the PIPE Investment:</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Redemptions</w:t>
            </w:r>
          </w:p>
        </w:tc>
        <w:tc>
          <w:tcPr>
            <w:tcW w:w="1020" w:type="dxa"/>
            <w:vAlign w:val="bottom"/>
            <w:tcBorders>
              <w:bottom w:val="single" w:sz="8" w:color="auto"/>
            </w:tcBorders>
          </w:tcPr>
          <w:p>
            <w:pPr>
              <w:spacing w:after="0"/>
              <w:rPr>
                <w:sz w:val="16"/>
                <w:szCs w:val="16"/>
                <w:color w:val="auto"/>
              </w:rPr>
            </w:pPr>
          </w:p>
        </w:tc>
      </w:tr>
      <w:tr>
        <w:trPr>
          <w:trHeight w:val="188"/>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Equity Capitalization Summary</w:t>
            </w:r>
          </w:p>
        </w:tc>
        <w:tc>
          <w:tcPr>
            <w:tcW w:w="2200" w:type="dxa"/>
            <w:vAlign w:val="bottom"/>
            <w:gridSpan w:val="3"/>
          </w:tcPr>
          <w:p>
            <w:pPr>
              <w:ind w:left="600"/>
              <w:spacing w:after="0"/>
              <w:rPr>
                <w:sz w:val="20"/>
                <w:szCs w:val="20"/>
                <w:color w:val="auto"/>
              </w:rPr>
            </w:pPr>
            <w:r>
              <w:rPr>
                <w:rFonts w:ascii="Arial" w:cs="Arial" w:eastAsia="Arial" w:hAnsi="Arial"/>
                <w:sz w:val="14"/>
                <w:szCs w:val="14"/>
                <w:b w:val="1"/>
                <w:bCs w:val="1"/>
                <w:color w:val="auto"/>
              </w:rPr>
              <w:t>Shares</w:t>
            </w:r>
          </w:p>
        </w:tc>
        <w:tc>
          <w:tcPr>
            <w:tcW w:w="1020" w:type="dxa"/>
            <w:vAlign w:val="bottom"/>
          </w:tcPr>
          <w:p>
            <w:pPr>
              <w:jc w:val="right"/>
              <w:ind w:right="613"/>
              <w:spacing w:after="0"/>
              <w:rPr>
                <w:sz w:val="20"/>
                <w:szCs w:val="20"/>
                <w:color w:val="auto"/>
              </w:rPr>
            </w:pPr>
            <w:r>
              <w:rPr>
                <w:rFonts w:ascii="Arial" w:cs="Arial" w:eastAsia="Arial" w:hAnsi="Arial"/>
                <w:sz w:val="14"/>
                <w:szCs w:val="14"/>
                <w:b w:val="1"/>
                <w:bCs w:val="1"/>
                <w:color w:val="auto"/>
              </w:rPr>
              <w:t>%</w:t>
            </w:r>
          </w:p>
        </w:tc>
      </w:tr>
      <w:tr>
        <w:trPr>
          <w:trHeight w:val="224"/>
        </w:trPr>
        <w:tc>
          <w:tcPr>
            <w:tcW w:w="798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Sema4 Equity Holders</w:t>
            </w:r>
            <w:r>
              <w:rPr>
                <w:rFonts w:ascii="Arial" w:cs="Arial" w:eastAsia="Arial" w:hAnsi="Arial"/>
                <w:sz w:val="23"/>
                <w:szCs w:val="23"/>
                <w:color w:val="auto"/>
                <w:vertAlign w:val="superscript"/>
              </w:rPr>
              <w:t>(1)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155,856,840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29"/>
        </w:trPr>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CMLS Public Stockholders</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44,264,812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CMLS Sponsor</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New PIPE Investors</w:t>
            </w:r>
            <w:r>
              <w:rPr>
                <w:rFonts w:ascii="Arial" w:cs="Arial" w:eastAsia="Arial" w:hAnsi="Arial"/>
                <w:sz w:val="23"/>
                <w:szCs w:val="23"/>
                <w:color w:val="auto"/>
                <w:vertAlign w:val="superscript"/>
              </w:rPr>
              <w:t>(4)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29,000,000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Class A 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240,190,402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7" w:lineRule="exact"/>
        <w:rPr>
          <w:sz w:val="20"/>
          <w:szCs w:val="20"/>
          <w:color w:val="auto"/>
        </w:rPr>
      </w:pPr>
    </w:p>
    <w:p>
      <w:pPr>
        <w:ind w:left="340" w:right="320" w:hanging="332"/>
        <w:spacing w:after="0" w:line="241" w:lineRule="auto"/>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stock consideration of 149,856,840 shares of Class A common stock and cash consideration of $230.7 million received by Sema4 equity holders in connection with the Business Combination, as well as 6,000,000 shares of Class A common stock purchased by existing Sema4 equity holders in connection with the PIPE Investment.</w:t>
      </w:r>
    </w:p>
    <w:p>
      <w:pPr>
        <w:ind w:left="220" w:hanging="212"/>
        <w:spacing w:after="0"/>
        <w:tabs>
          <w:tab w:leader="none" w:pos="2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Reflects redemptions of 10,188 shares of Class A common stock of the Company for aggregate redemption payments of $0.1 million using a per-share redemption price of $10.00.</w:t>
      </w:r>
    </w:p>
    <w:p>
      <w:pPr>
        <w:spacing w:after="0" w:line="12" w:lineRule="exact"/>
        <w:rPr>
          <w:rFonts w:ascii="Arial" w:cs="Arial" w:eastAsia="Arial" w:hAnsi="Arial"/>
          <w:sz w:val="13"/>
          <w:szCs w:val="13"/>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Due to the minimal redemptions by public stockholders, no Sponsor shares of Class B common stock were forfeited pursuant to the Forfeiture Agreement.</w:t>
      </w:r>
    </w:p>
    <w:p>
      <w:pPr>
        <w:spacing w:after="0" w:line="1" w:lineRule="exact"/>
        <w:rPr>
          <w:rFonts w:ascii="Arial" w:cs="Arial" w:eastAsia="Arial" w:hAnsi="Arial"/>
          <w:sz w:val="14"/>
          <w:szCs w:val="14"/>
          <w:color w:val="auto"/>
        </w:rPr>
      </w:pPr>
    </w:p>
    <w:p>
      <w:pPr>
        <w:ind w:left="340" w:right="100" w:hanging="332"/>
        <w:spacing w:after="0" w:line="248" w:lineRule="auto"/>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the consummation of the PIPE Investment for aggregate proceeds of $350.0 million in connection with the issuance of 35,000,000 shares of Class A common stock, with 29,000,000 shares purchased by new PIPE Investors and 6,000,000 shares purchased by existing Sema4 equity holders as noted in (1) above. The shares purchased by new PIPE Investors includes 9,500,000 shares purchased by funds that are advised by affiliates of the Sponsor.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Adjustments to Unaudited Pro Forma Condensed Combined Balance Sheet as of June 30, 2021</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 forma notes and adjustments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notes</w:t>
      </w:r>
    </w:p>
    <w:p>
      <w:pPr>
        <w:spacing w:after="0" w:line="171" w:lineRule="exact"/>
        <w:rPr>
          <w:sz w:val="20"/>
          <w:szCs w:val="20"/>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Derived from the unaudited condensed balance sheet of CMLS as of June 30, 2021.</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Derived from the unaudited condensed balance sheet of Sema4 as of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71" w:lineRule="exact"/>
        <w:rPr>
          <w:sz w:val="20"/>
          <w:szCs w:val="20"/>
          <w:color w:val="auto"/>
        </w:rPr>
      </w:pPr>
    </w:p>
    <w:p>
      <w:pPr>
        <w:ind w:left="660" w:hanging="328"/>
        <w:spacing w:after="0" w:line="263" w:lineRule="auto"/>
        <w:tabs>
          <w:tab w:leader="none" w:pos="58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reflect the net change in cash and cash equivalents as a result of extinguishment of certain of our long-term debt obligations occurred prior to the Business Combination and other proceeds/payments occurred in connection with the Business Combination and the PIPE Investment as follows (in thousands):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Release of Trust Account</w:t>
            </w:r>
          </w:p>
        </w:tc>
        <w:tc>
          <w:tcPr>
            <w:tcW w:w="2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540"/>
              <w:spacing w:after="0"/>
              <w:rPr>
                <w:sz w:val="20"/>
                <w:szCs w:val="20"/>
                <w:color w:val="auto"/>
              </w:rPr>
            </w:pPr>
            <w:r>
              <w:rPr>
                <w:rFonts w:ascii="Arial" w:cs="Arial" w:eastAsia="Arial" w:hAnsi="Arial"/>
                <w:sz w:val="18"/>
                <w:szCs w:val="18"/>
                <w:color w:val="auto"/>
              </w:rPr>
              <w:t>442,7865(c)</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Proceeds from PIPE Investment</w:t>
            </w:r>
          </w:p>
        </w:tc>
        <w:tc>
          <w:tcPr>
            <w:tcW w:w="2420" w:type="dxa"/>
            <w:vAlign w:val="bottom"/>
          </w:tcPr>
          <w:p>
            <w:pPr>
              <w:spacing w:after="0"/>
              <w:rPr>
                <w:sz w:val="19"/>
                <w:szCs w:val="19"/>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350,0005(j)</w:t>
            </w:r>
          </w:p>
        </w:tc>
      </w:tr>
      <w:tr>
        <w:trPr>
          <w:trHeight w:val="229"/>
        </w:trPr>
        <w:tc>
          <w:tcPr>
            <w:tcW w:w="6580" w:type="dxa"/>
            <w:vAlign w:val="bottom"/>
            <w:gridSpan w:val="2"/>
          </w:tcPr>
          <w:p>
            <w:pPr>
              <w:spacing w:after="0"/>
              <w:rPr>
                <w:sz w:val="20"/>
                <w:szCs w:val="20"/>
                <w:color w:val="auto"/>
              </w:rPr>
            </w:pPr>
            <w:r>
              <w:rPr>
                <w:rFonts w:ascii="Arial" w:cs="Arial" w:eastAsia="Arial" w:hAnsi="Arial"/>
                <w:sz w:val="18"/>
                <w:szCs w:val="18"/>
                <w:color w:val="auto"/>
              </w:rPr>
              <w:t>Release of restricted cash upon long-term debt payments</w:t>
            </w:r>
          </w:p>
        </w:tc>
        <w:tc>
          <w:tcPr>
            <w:tcW w:w="2420" w:type="dxa"/>
            <w:vAlign w:val="bottom"/>
          </w:tcPr>
          <w:p>
            <w:pPr>
              <w:spacing w:after="0"/>
              <w:rPr>
                <w:sz w:val="19"/>
                <w:szCs w:val="19"/>
                <w:color w:val="auto"/>
              </w:rPr>
            </w:pPr>
          </w:p>
        </w:tc>
        <w:tc>
          <w:tcPr>
            <w:tcW w:w="1900" w:type="dxa"/>
            <w:vAlign w:val="bottom"/>
            <w:gridSpan w:val="2"/>
          </w:tcPr>
          <w:p>
            <w:pPr>
              <w:jc w:val="right"/>
              <w:ind w:right="540"/>
              <w:spacing w:after="0"/>
              <w:rPr>
                <w:sz w:val="20"/>
                <w:szCs w:val="20"/>
                <w:color w:val="auto"/>
              </w:rPr>
            </w:pPr>
            <w:r>
              <w:rPr>
                <w:rFonts w:ascii="Arial" w:cs="Arial" w:eastAsia="Arial" w:hAnsi="Arial"/>
                <w:sz w:val="18"/>
                <w:szCs w:val="18"/>
                <w:color w:val="auto"/>
              </w:rPr>
              <w:t>9,9285(e)</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Payment of cash consideration</w:t>
            </w:r>
          </w:p>
        </w:tc>
        <w:tc>
          <w:tcPr>
            <w:tcW w:w="2420" w:type="dxa"/>
            <w:vAlign w:val="bottom"/>
          </w:tcPr>
          <w:p>
            <w:pPr>
              <w:spacing w:after="0"/>
              <w:rPr>
                <w:sz w:val="19"/>
                <w:szCs w:val="19"/>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(230,665)5(j)</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Payment of transaction expenses</w:t>
            </w:r>
          </w:p>
        </w:tc>
        <w:tc>
          <w:tcPr>
            <w:tcW w:w="2420" w:type="dxa"/>
            <w:vAlign w:val="bottom"/>
          </w:tcPr>
          <w:p>
            <w:pPr>
              <w:spacing w:after="0"/>
              <w:rPr>
                <w:sz w:val="19"/>
                <w:szCs w:val="19"/>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(35,649)5(j)</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Payment of CMLS deferred underwriting fee payable</w:t>
            </w:r>
          </w:p>
        </w:tc>
        <w:tc>
          <w:tcPr>
            <w:tcW w:w="2420" w:type="dxa"/>
            <w:vAlign w:val="bottom"/>
          </w:tcPr>
          <w:p>
            <w:pPr>
              <w:spacing w:after="0"/>
              <w:rPr>
                <w:sz w:val="19"/>
                <w:szCs w:val="19"/>
                <w:color w:val="auto"/>
              </w:rPr>
            </w:pPr>
          </w:p>
        </w:tc>
        <w:tc>
          <w:tcPr>
            <w:tcW w:w="1900" w:type="dxa"/>
            <w:vAlign w:val="bottom"/>
            <w:gridSpan w:val="2"/>
          </w:tcPr>
          <w:p>
            <w:pPr>
              <w:jc w:val="right"/>
              <w:ind w:right="540"/>
              <w:spacing w:after="0"/>
              <w:rPr>
                <w:sz w:val="20"/>
                <w:szCs w:val="20"/>
                <w:color w:val="auto"/>
              </w:rPr>
            </w:pPr>
            <w:r>
              <w:rPr>
                <w:rFonts w:ascii="Arial" w:cs="Arial" w:eastAsia="Arial" w:hAnsi="Arial"/>
                <w:sz w:val="18"/>
                <w:szCs w:val="18"/>
                <w:color w:val="auto"/>
              </w:rPr>
              <w:t>(15,496)5(g)</w:t>
            </w:r>
          </w:p>
        </w:tc>
      </w:tr>
      <w:tr>
        <w:trPr>
          <w:trHeight w:val="229"/>
        </w:trPr>
        <w:tc>
          <w:tcPr>
            <w:tcW w:w="6580" w:type="dxa"/>
            <w:vAlign w:val="bottom"/>
            <w:gridSpan w:val="2"/>
          </w:tcPr>
          <w:p>
            <w:pPr>
              <w:spacing w:after="0"/>
              <w:rPr>
                <w:sz w:val="20"/>
                <w:szCs w:val="20"/>
                <w:color w:val="auto"/>
              </w:rPr>
            </w:pPr>
            <w:r>
              <w:rPr>
                <w:rFonts w:ascii="Arial" w:cs="Arial" w:eastAsia="Arial" w:hAnsi="Arial"/>
                <w:sz w:val="18"/>
                <w:szCs w:val="18"/>
                <w:color w:val="auto"/>
              </w:rPr>
              <w:t>Settlement of Sema4 stock appreciation rights</w:t>
            </w:r>
          </w:p>
        </w:tc>
        <w:tc>
          <w:tcPr>
            <w:tcW w:w="2420" w:type="dxa"/>
            <w:vAlign w:val="bottom"/>
          </w:tcPr>
          <w:p>
            <w:pPr>
              <w:spacing w:after="0"/>
              <w:rPr>
                <w:sz w:val="19"/>
                <w:szCs w:val="19"/>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(3,795)5(j)</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Repayment of Sema4 long-term debt</w:t>
            </w:r>
          </w:p>
        </w:tc>
        <w:tc>
          <w:tcPr>
            <w:tcW w:w="2420" w:type="dxa"/>
            <w:vAlign w:val="bottom"/>
          </w:tcPr>
          <w:p>
            <w:pPr>
              <w:spacing w:after="0"/>
              <w:rPr>
                <w:sz w:val="19"/>
                <w:szCs w:val="19"/>
                <w:color w:val="auto"/>
              </w:rPr>
            </w:pPr>
          </w:p>
        </w:tc>
        <w:tc>
          <w:tcPr>
            <w:tcW w:w="1900" w:type="dxa"/>
            <w:vAlign w:val="bottom"/>
            <w:gridSpan w:val="2"/>
          </w:tcPr>
          <w:p>
            <w:pPr>
              <w:jc w:val="right"/>
              <w:ind w:right="540"/>
              <w:spacing w:after="0"/>
              <w:rPr>
                <w:sz w:val="20"/>
                <w:szCs w:val="20"/>
                <w:color w:val="auto"/>
              </w:rPr>
            </w:pPr>
            <w:r>
              <w:rPr>
                <w:rFonts w:ascii="Arial" w:cs="Arial" w:eastAsia="Arial" w:hAnsi="Arial"/>
                <w:sz w:val="18"/>
                <w:szCs w:val="18"/>
                <w:color w:val="auto"/>
              </w:rPr>
              <w:t>(8,741)5(e)</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Payment of early-payment penalties on Sema4 long-term debt</w:t>
            </w:r>
          </w:p>
        </w:tc>
        <w:tc>
          <w:tcPr>
            <w:tcW w:w="2420" w:type="dxa"/>
            <w:vAlign w:val="bottom"/>
          </w:tcPr>
          <w:p>
            <w:pPr>
              <w:spacing w:after="0"/>
              <w:rPr>
                <w:sz w:val="19"/>
                <w:szCs w:val="19"/>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(313)5(j)</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Redemptions by public stockholders</w:t>
            </w:r>
          </w:p>
        </w:tc>
        <w:tc>
          <w:tcPr>
            <w:tcW w:w="2420" w:type="dxa"/>
            <w:vAlign w:val="bottom"/>
          </w:tcPr>
          <w:p>
            <w:pPr>
              <w:spacing w:after="0"/>
              <w:rPr>
                <w:sz w:val="19"/>
                <w:szCs w:val="19"/>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(102)5(j)</w:t>
            </w:r>
          </w:p>
        </w:tc>
      </w:tr>
      <w:tr>
        <w:trPr>
          <w:trHeight w:val="248"/>
        </w:trPr>
        <w:tc>
          <w:tcPr>
            <w:tcW w:w="320" w:type="dxa"/>
            <w:vAlign w:val="bottom"/>
          </w:tcPr>
          <w:p>
            <w:pPr>
              <w:spacing w:after="0"/>
              <w:rPr>
                <w:sz w:val="21"/>
                <w:szCs w:val="21"/>
                <w:color w:val="auto"/>
              </w:rPr>
            </w:pPr>
          </w:p>
        </w:tc>
        <w:tc>
          <w:tcPr>
            <w:tcW w:w="626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242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507,953</w:t>
            </w: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-1645285</wp:posOffset>
            </wp:positionV>
            <wp:extent cx="672084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9">
                      <a:extLst>
                        <a:ext uri="{28A0092B-C50C-407E-A947-70E740481C1C}"/>
                      </a:extLst>
                    </a:blip>
                    <a:srcRect/>
                    <a:stretch>
                      <a:fillRect/>
                    </a:stretch>
                  </pic:blipFill>
                  <pic:spPr bwMode="auto">
                    <a:xfrm>
                      <a:off x="0" y="0"/>
                      <a:ext cx="6720840" cy="1460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-1353820</wp:posOffset>
            </wp:positionV>
            <wp:extent cx="672084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0">
                      <a:extLst>
                        <a:ext uri="{28A0092B-C50C-407E-A947-70E740481C1C}"/>
                      </a:extLst>
                    </a:blip>
                    <a:srcRect/>
                    <a:stretch>
                      <a:fillRect/>
                    </a:stretch>
                  </pic:blipFill>
                  <pic:spPr bwMode="auto">
                    <a:xfrm>
                      <a:off x="0" y="0"/>
                      <a:ext cx="6720840" cy="14541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-1062355</wp:posOffset>
            </wp:positionV>
            <wp:extent cx="672084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1">
                      <a:extLst>
                        <a:ext uri="{28A0092B-C50C-407E-A947-70E740481C1C}"/>
                      </a:extLst>
                    </a:blip>
                    <a:srcRect/>
                    <a:stretch>
                      <a:fillRect/>
                    </a:stretch>
                  </pic:blipFill>
                  <pic:spPr bwMode="auto">
                    <a:xfrm>
                      <a:off x="0" y="0"/>
                      <a:ext cx="6720840" cy="1460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-770890</wp:posOffset>
            </wp:positionV>
            <wp:extent cx="672084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2">
                      <a:extLst>
                        <a:ext uri="{28A0092B-C50C-407E-A947-70E740481C1C}"/>
                      </a:extLst>
                    </a:blip>
                    <a:srcRect/>
                    <a:stretch>
                      <a:fillRect/>
                    </a:stretch>
                  </pic:blipFill>
                  <pic:spPr bwMode="auto">
                    <a:xfrm>
                      <a:off x="0" y="0"/>
                      <a:ext cx="6720840" cy="14541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-479425</wp:posOffset>
            </wp:positionV>
            <wp:extent cx="672084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3">
                      <a:extLst>
                        <a:ext uri="{28A0092B-C50C-407E-A947-70E740481C1C}"/>
                      </a:extLst>
                    </a:blip>
                    <a:srcRect/>
                    <a:stretch>
                      <a:fillRect/>
                    </a:stretch>
                  </pic:blipFill>
                  <pic:spPr bwMode="auto">
                    <a:xfrm>
                      <a:off x="0" y="0"/>
                      <a:ext cx="6720840" cy="146050"/>
                    </a:xfrm>
                    <a:prstGeom prst="rect">
                      <a:avLst/>
                    </a:prstGeom>
                    <a:noFill/>
                  </pic:spPr>
                </pic:pic>
              </a:graphicData>
            </a:graphic>
          </wp:anchor>
        </w:drawing>
      </w:r>
    </w:p>
    <w:p>
      <w:pPr>
        <w:spacing w:after="0" w:line="209" w:lineRule="exact"/>
        <w:rPr>
          <w:sz w:val="20"/>
          <w:szCs w:val="20"/>
          <w:color w:val="auto"/>
        </w:rPr>
      </w:pPr>
    </w:p>
    <w:p>
      <w:pPr>
        <w:ind w:left="660" w:hanging="328"/>
        <w:spacing w:after="0" w:line="277" w:lineRule="auto"/>
        <w:tabs>
          <w:tab w:leader="none" w:pos="6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reflect the reclassification of deferred transaction costs from other assets to additional paid-in capital in connection with the consummation of the reverse recapitalization (see Note 5(j)).</w:t>
      </w:r>
    </w:p>
    <w:p>
      <w:pPr>
        <w:sectPr>
          <w:pgSz w:w="11900" w:h="16838" w:orient="portrait"/>
          <w:cols w:equalWidth="0" w:num="1">
            <w:col w:w="11240"/>
          </w:cols>
          <w:pgMar w:left="320" w:top="1417" w:right="339" w:bottom="1440" w:gutter="0" w:footer="0" w:header="0"/>
        </w:sectPr>
      </w:pPr>
    </w:p>
    <w:bookmarkStart w:id="45" w:name="page46"/>
    <w:bookmarkEnd w:id="45"/>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the release of $442.8 million of cash and marketable securities from the Trust Account (see Note 5(b)).</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the release of accrued transaction expenses paid upon Closing (see Note 5(j)).</w:t>
      </w:r>
    </w:p>
    <w:p>
      <w:pPr>
        <w:spacing w:after="0" w:line="171" w:lineRule="exact"/>
        <w:rPr>
          <w:rFonts w:ascii="Arial" w:cs="Arial" w:eastAsia="Arial" w:hAnsi="Arial"/>
          <w:sz w:val="18"/>
          <w:szCs w:val="18"/>
          <w:color w:val="auto"/>
        </w:rPr>
      </w:pPr>
    </w:p>
    <w:p>
      <w:pPr>
        <w:ind w:left="660" w:hanging="328"/>
        <w:spacing w:after="0" w:line="263" w:lineRule="auto"/>
        <w:tabs>
          <w:tab w:leader="none" w:pos="5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the repayment of $9.1 million of Sema4’s long-term debt, including $1.9 million classified as current and $6.9 million classified as non-current, as well as interest and early-payment penalties of $0.3 million. Restricted cash was also released and reclassed into Cash upon the payments. (see Note 5(a) and Note 5(j)).</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56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record an earn-out liability for the estimated fair value of the Earn-Out Shares to be issued to Sema4 equity holders upon the achievement of the Triggering Events, assuming no Earn-Out Forfeitures (as defined in the Merger Agreement) by Earn-Out Service Providers (see Note 5(j)).</w:t>
      </w:r>
    </w:p>
    <w:p>
      <w:pPr>
        <w:spacing w:after="0" w:line="69" w:lineRule="exact"/>
        <w:rPr>
          <w:rFonts w:ascii="Arial" w:cs="Arial" w:eastAsia="Arial" w:hAnsi="Arial"/>
          <w:sz w:val="16"/>
          <w:szCs w:val="16"/>
          <w:color w:val="auto"/>
        </w:rPr>
      </w:pPr>
    </w:p>
    <w:p>
      <w:pPr>
        <w:ind w:left="660" w:hanging="328"/>
        <w:spacing w:after="0" w:line="277" w:lineRule="auto"/>
        <w:tabs>
          <w:tab w:leader="none" w:pos="5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the settlement of $15.5 million of deferred underwriting fees incurred during CMLS’s IPO that are contractually due upon completion of the Business Combination (see Note 5(a)).</w:t>
      </w:r>
    </w:p>
    <w:p>
      <w:pPr>
        <w:spacing w:after="0" w:line="116" w:lineRule="exact"/>
        <w:rPr>
          <w:rFonts w:ascii="Arial" w:cs="Arial" w:eastAsia="Arial" w:hAnsi="Arial"/>
          <w:sz w:val="18"/>
          <w:szCs w:val="18"/>
          <w:color w:val="auto"/>
        </w:rPr>
      </w:pPr>
    </w:p>
    <w:p>
      <w:pPr>
        <w:ind w:left="660" w:hanging="328"/>
        <w:spacing w:after="0" w:line="277" w:lineRule="auto"/>
        <w:tabs>
          <w:tab w:leader="none" w:pos="6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the exchange of $334.4 million of Sema4’s redeemable convertible preferred stock as a result of the Business Combination (see Note 5(j)).</w:t>
      </w:r>
    </w:p>
    <w:p>
      <w:pPr>
        <w:spacing w:after="0" w:line="116" w:lineRule="exact"/>
        <w:rPr>
          <w:rFonts w:ascii="Arial" w:cs="Arial" w:eastAsia="Arial" w:hAnsi="Arial"/>
          <w:sz w:val="18"/>
          <w:szCs w:val="18"/>
          <w:color w:val="auto"/>
        </w:rPr>
      </w:pPr>
    </w:p>
    <w:p>
      <w:pPr>
        <w:ind w:left="660" w:hanging="328"/>
        <w:spacing w:after="0" w:line="263" w:lineRule="auto"/>
        <w:tabs>
          <w:tab w:leader="none" w:pos="5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the redemption of 10,188 shares of Class A common stock of for aggregate redemption payments of $0.1 million and the transfer of $294.7 million to permanent equity upon consummation of the Business Combination as no other shares of Class A common stock remain subject to redemption (see Notes 5(a) and 5(j)).</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5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the recapitalization of Sema4 Holdings through the exchange of all of the outstanding share capital of Sema4 for Class A common stock of the Company and the following equity transactions (in thousands):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Exchange of Sema4 redeemable convertible preferred stock</w:t>
            </w: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334,439</w:t>
            </w:r>
          </w:p>
        </w:tc>
        <w:tc>
          <w:tcPr>
            <w:tcW w:w="620" w:type="dxa"/>
            <w:vAlign w:val="bottom"/>
          </w:tcPr>
          <w:p>
            <w:pPr>
              <w:jc w:val="right"/>
              <w:spacing w:after="0"/>
              <w:rPr>
                <w:sz w:val="20"/>
                <w:szCs w:val="20"/>
                <w:color w:val="auto"/>
              </w:rPr>
            </w:pPr>
            <w:r>
              <w:rPr>
                <w:rFonts w:ascii="Arial" w:cs="Arial" w:eastAsia="Arial" w:hAnsi="Arial"/>
                <w:sz w:val="18"/>
                <w:szCs w:val="18"/>
                <w:color w:val="auto"/>
              </w:rPr>
              <w:t>5(h)</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Reclassification of CMLS common stock subject to possible redemption</w:t>
            </w:r>
          </w:p>
        </w:tc>
        <w:tc>
          <w:tcPr>
            <w:tcW w:w="2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307,758</w:t>
            </w:r>
          </w:p>
        </w:tc>
        <w:tc>
          <w:tcPr>
            <w:tcW w:w="620" w:type="dxa"/>
            <w:vAlign w:val="bottom"/>
          </w:tcPr>
          <w:p>
            <w:pPr>
              <w:jc w:val="right"/>
              <w:spacing w:after="0"/>
              <w:rPr>
                <w:sz w:val="20"/>
                <w:szCs w:val="20"/>
                <w:color w:val="auto"/>
              </w:rPr>
            </w:pPr>
            <w:r>
              <w:rPr>
                <w:rFonts w:ascii="Arial" w:cs="Arial" w:eastAsia="Arial" w:hAnsi="Arial"/>
                <w:sz w:val="18"/>
                <w:szCs w:val="18"/>
                <w:color w:val="auto"/>
              </w:rPr>
              <w:t>5(i)</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Proceeds from PIPE Investment</w:t>
            </w:r>
          </w:p>
        </w:tc>
        <w:tc>
          <w:tcPr>
            <w:tcW w:w="2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350,000</w:t>
            </w:r>
          </w:p>
        </w:tc>
        <w:tc>
          <w:tcPr>
            <w:tcW w:w="620" w:type="dxa"/>
            <w:vAlign w:val="bottom"/>
          </w:tcPr>
          <w:p>
            <w:pPr>
              <w:jc w:val="right"/>
              <w:spacing w:after="0"/>
              <w:rPr>
                <w:sz w:val="20"/>
                <w:szCs w:val="20"/>
                <w:color w:val="auto"/>
              </w:rPr>
            </w:pPr>
            <w:r>
              <w:rPr>
                <w:rFonts w:ascii="Arial" w:cs="Arial" w:eastAsia="Arial" w:hAnsi="Arial"/>
                <w:sz w:val="18"/>
                <w:szCs w:val="18"/>
                <w:color w:val="auto"/>
              </w:rPr>
              <w:t>5(a)</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Payment of cash consideration</w:t>
            </w:r>
          </w:p>
        </w:tc>
        <w:tc>
          <w:tcPr>
            <w:tcW w:w="2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(230,665)</w:t>
            </w:r>
          </w:p>
        </w:tc>
        <w:tc>
          <w:tcPr>
            <w:tcW w:w="620" w:type="dxa"/>
            <w:vAlign w:val="bottom"/>
          </w:tcPr>
          <w:p>
            <w:pPr>
              <w:jc w:val="right"/>
              <w:spacing w:after="0"/>
              <w:rPr>
                <w:sz w:val="20"/>
                <w:szCs w:val="20"/>
                <w:color w:val="auto"/>
              </w:rPr>
            </w:pPr>
            <w:r>
              <w:rPr>
                <w:rFonts w:ascii="Arial" w:cs="Arial" w:eastAsia="Arial" w:hAnsi="Arial"/>
                <w:sz w:val="18"/>
                <w:szCs w:val="18"/>
                <w:color w:val="auto"/>
              </w:rPr>
              <w:t>5(a)</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Payment of transaction expenses</w:t>
            </w:r>
          </w:p>
        </w:tc>
        <w:tc>
          <w:tcPr>
            <w:tcW w:w="2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(42,815)</w:t>
            </w:r>
          </w:p>
        </w:tc>
        <w:tc>
          <w:tcPr>
            <w:tcW w:w="620" w:type="dxa"/>
            <w:vAlign w:val="bottom"/>
          </w:tcPr>
          <w:p>
            <w:pPr>
              <w:jc w:val="right"/>
              <w:spacing w:after="0"/>
              <w:rPr>
                <w:sz w:val="20"/>
                <w:szCs w:val="20"/>
                <w:color w:val="auto"/>
              </w:rPr>
            </w:pPr>
            <w:r>
              <w:rPr>
                <w:rFonts w:ascii="Arial" w:cs="Arial" w:eastAsia="Arial" w:hAnsi="Arial"/>
                <w:sz w:val="18"/>
                <w:szCs w:val="18"/>
                <w:color w:val="auto"/>
              </w:rPr>
              <w:t>5(a)</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Earn-out liability</w:t>
            </w:r>
          </w:p>
        </w:tc>
        <w:tc>
          <w:tcPr>
            <w:tcW w:w="2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(185,988)</w:t>
            </w:r>
          </w:p>
        </w:tc>
        <w:tc>
          <w:tcPr>
            <w:tcW w:w="620" w:type="dxa"/>
            <w:vAlign w:val="bottom"/>
          </w:tcPr>
          <w:p>
            <w:pPr>
              <w:jc w:val="right"/>
              <w:spacing w:after="0"/>
              <w:rPr>
                <w:sz w:val="20"/>
                <w:szCs w:val="20"/>
                <w:color w:val="auto"/>
              </w:rPr>
            </w:pPr>
            <w:r>
              <w:rPr>
                <w:rFonts w:ascii="Arial" w:cs="Arial" w:eastAsia="Arial" w:hAnsi="Arial"/>
                <w:sz w:val="18"/>
                <w:szCs w:val="18"/>
                <w:color w:val="auto"/>
              </w:rPr>
              <w:t>5(f)</w:t>
            </w:r>
          </w:p>
        </w:tc>
      </w:tr>
      <w:tr>
        <w:trPr>
          <w:trHeight w:val="229"/>
        </w:trPr>
        <w:tc>
          <w:tcPr>
            <w:tcW w:w="6960" w:type="dxa"/>
            <w:vAlign w:val="bottom"/>
          </w:tcPr>
          <w:p>
            <w:pPr>
              <w:spacing w:after="0"/>
              <w:rPr>
                <w:sz w:val="20"/>
                <w:szCs w:val="20"/>
                <w:color w:val="auto"/>
              </w:rPr>
            </w:pPr>
            <w:r>
              <w:rPr>
                <w:rFonts w:ascii="Arial" w:cs="Arial" w:eastAsia="Arial" w:hAnsi="Arial"/>
                <w:sz w:val="18"/>
                <w:szCs w:val="18"/>
                <w:color w:val="auto"/>
              </w:rPr>
              <w:t>Settlement of Sema4 stock appreciation rights</w:t>
            </w:r>
          </w:p>
        </w:tc>
        <w:tc>
          <w:tcPr>
            <w:tcW w:w="2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(3,795)</w:t>
            </w:r>
          </w:p>
        </w:tc>
        <w:tc>
          <w:tcPr>
            <w:tcW w:w="620" w:type="dxa"/>
            <w:vAlign w:val="bottom"/>
          </w:tcPr>
          <w:p>
            <w:pPr>
              <w:jc w:val="right"/>
              <w:spacing w:after="0"/>
              <w:rPr>
                <w:sz w:val="20"/>
                <w:szCs w:val="20"/>
                <w:color w:val="auto"/>
              </w:rPr>
            </w:pPr>
            <w:r>
              <w:rPr>
                <w:rFonts w:ascii="Arial" w:cs="Arial" w:eastAsia="Arial" w:hAnsi="Arial"/>
                <w:sz w:val="18"/>
                <w:szCs w:val="18"/>
                <w:color w:val="auto"/>
              </w:rPr>
              <w:t>5(a)</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Payment of early-payment penalties on Sema4 long-term debt</w:t>
            </w:r>
          </w:p>
        </w:tc>
        <w:tc>
          <w:tcPr>
            <w:tcW w:w="2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(313)</w:t>
            </w:r>
          </w:p>
        </w:tc>
        <w:tc>
          <w:tcPr>
            <w:tcW w:w="620" w:type="dxa"/>
            <w:vAlign w:val="bottom"/>
          </w:tcPr>
          <w:p>
            <w:pPr>
              <w:jc w:val="right"/>
              <w:spacing w:after="0"/>
              <w:rPr>
                <w:sz w:val="20"/>
                <w:szCs w:val="20"/>
                <w:color w:val="auto"/>
              </w:rPr>
            </w:pPr>
            <w:r>
              <w:rPr>
                <w:rFonts w:ascii="Arial" w:cs="Arial" w:eastAsia="Arial" w:hAnsi="Arial"/>
                <w:sz w:val="18"/>
                <w:szCs w:val="18"/>
                <w:color w:val="auto"/>
              </w:rPr>
              <w:t>5(a)</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Redemptions by public stockholders</w:t>
            </w:r>
          </w:p>
        </w:tc>
        <w:tc>
          <w:tcPr>
            <w:tcW w:w="20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620" w:type="dxa"/>
            <w:vAlign w:val="bottom"/>
          </w:tcPr>
          <w:p>
            <w:pPr>
              <w:jc w:val="right"/>
              <w:spacing w:after="0"/>
              <w:rPr>
                <w:sz w:val="20"/>
                <w:szCs w:val="20"/>
                <w:color w:val="auto"/>
              </w:rPr>
            </w:pPr>
            <w:r>
              <w:rPr>
                <w:rFonts w:ascii="Arial" w:cs="Arial" w:eastAsia="Arial" w:hAnsi="Arial"/>
                <w:sz w:val="18"/>
                <w:szCs w:val="18"/>
                <w:color w:val="auto"/>
              </w:rPr>
              <w:t>5(a)</w:t>
            </w:r>
          </w:p>
        </w:tc>
      </w:tr>
      <w:tr>
        <w:trPr>
          <w:trHeight w:val="223"/>
        </w:trPr>
        <w:tc>
          <w:tcPr>
            <w:tcW w:w="6960" w:type="dxa"/>
            <w:vAlign w:val="bottom"/>
          </w:tcPr>
          <w:p>
            <w:pPr>
              <w:ind w:left="980"/>
              <w:spacing w:after="0"/>
              <w:rPr>
                <w:sz w:val="20"/>
                <w:szCs w:val="20"/>
                <w:color w:val="auto"/>
              </w:rPr>
            </w:pPr>
            <w:r>
              <w:rPr>
                <w:rFonts w:ascii="Arial" w:cs="Arial" w:eastAsia="Arial" w:hAnsi="Arial"/>
                <w:sz w:val="18"/>
                <w:szCs w:val="18"/>
                <w:color w:val="auto"/>
              </w:rPr>
              <w:t>Total stockholders' equity</w:t>
            </w: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528,519</w:t>
            </w:r>
          </w:p>
        </w:tc>
        <w:tc>
          <w:tcPr>
            <w:tcW w:w="62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-1499870</wp:posOffset>
            </wp:positionV>
            <wp:extent cx="672084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4">
                      <a:extLst>
                        <a:ext uri="{28A0092B-C50C-407E-A947-70E740481C1C}"/>
                      </a:extLst>
                    </a:blip>
                    <a:srcRect/>
                    <a:stretch>
                      <a:fillRect/>
                    </a:stretch>
                  </pic:blipFill>
                  <pic:spPr bwMode="auto">
                    <a:xfrm>
                      <a:off x="0" y="0"/>
                      <a:ext cx="6720840" cy="14541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-1208405</wp:posOffset>
            </wp:positionV>
            <wp:extent cx="672084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5">
                      <a:extLst>
                        <a:ext uri="{28A0092B-C50C-407E-A947-70E740481C1C}"/>
                      </a:extLst>
                    </a:blip>
                    <a:srcRect/>
                    <a:stretch>
                      <a:fillRect/>
                    </a:stretch>
                  </pic:blipFill>
                  <pic:spPr bwMode="auto">
                    <a:xfrm>
                      <a:off x="0" y="0"/>
                      <a:ext cx="6720840" cy="1460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-916940</wp:posOffset>
            </wp:positionV>
            <wp:extent cx="672084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6">
                      <a:extLst>
                        <a:ext uri="{28A0092B-C50C-407E-A947-70E740481C1C}"/>
                      </a:extLst>
                    </a:blip>
                    <a:srcRect/>
                    <a:stretch>
                      <a:fillRect/>
                    </a:stretch>
                  </pic:blipFill>
                  <pic:spPr bwMode="auto">
                    <a:xfrm>
                      <a:off x="0" y="0"/>
                      <a:ext cx="6720840" cy="1460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-624840</wp:posOffset>
            </wp:positionV>
            <wp:extent cx="672084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7">
                      <a:extLst>
                        <a:ext uri="{28A0092B-C50C-407E-A947-70E740481C1C}"/>
                      </a:extLst>
                    </a:blip>
                    <a:srcRect/>
                    <a:stretch>
                      <a:fillRect/>
                    </a:stretch>
                  </pic:blipFill>
                  <pic:spPr bwMode="auto">
                    <a:xfrm>
                      <a:off x="0" y="0"/>
                      <a:ext cx="6720840" cy="14541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-334010</wp:posOffset>
            </wp:positionV>
            <wp:extent cx="672084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8">
                      <a:extLst>
                        <a:ext uri="{28A0092B-C50C-407E-A947-70E740481C1C}"/>
                      </a:extLst>
                    </a:blip>
                    <a:srcRect/>
                    <a:stretch>
                      <a:fillRect/>
                    </a:stretch>
                  </pic:blipFill>
                  <pic:spPr bwMode="auto">
                    <a:xfrm>
                      <a:off x="0" y="0"/>
                      <a:ext cx="6720840" cy="146050"/>
                    </a:xfrm>
                    <a:prstGeom prst="rect">
                      <a:avLst/>
                    </a:prstGeom>
                    <a:noFill/>
                  </pic:spPr>
                </pic:pic>
              </a:graphicData>
            </a:graphic>
          </wp:anchor>
        </w:drawing>
      </w:r>
    </w:p>
    <w:p>
      <w:pPr>
        <w:spacing w:after="0" w:line="218" w:lineRule="exact"/>
        <w:rPr>
          <w:sz w:val="20"/>
          <w:szCs w:val="20"/>
          <w:color w:val="auto"/>
        </w:rPr>
      </w:pPr>
    </w:p>
    <w:p>
      <w:pPr>
        <w:ind w:firstLine="8"/>
        <w:spacing w:after="0" w:line="282" w:lineRule="auto"/>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Statements of Operations for the Six months Ended June 30, 2021 and for the Year Ended December 31, 2020</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 forma notes and adjustments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notes</w:t>
      </w:r>
    </w:p>
    <w:p>
      <w:pPr>
        <w:spacing w:after="0" w:line="171"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CMLS for the six months ended June 30, 2021.</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Sema4 for the six months ended June 30, 2021.</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CMLS for the period from July 10, 2020 (inception) through December 31, 2020.</w:t>
      </w:r>
    </w:p>
    <w:p>
      <w:pPr>
        <w:sectPr>
          <w:pgSz w:w="11900" w:h="16838" w:orient="portrait"/>
          <w:cols w:equalWidth="0" w:num="1">
            <w:col w:w="11240"/>
          </w:cols>
          <w:pgMar w:left="320" w:top="1421" w:right="339" w:bottom="1440" w:gutter="0" w:footer="0" w:header="0"/>
        </w:sectPr>
      </w:pPr>
    </w:p>
    <w:bookmarkStart w:id="46" w:name="page47"/>
    <w:bookmarkEnd w:id="46"/>
    <w:p>
      <w:pPr>
        <w:ind w:left="340"/>
        <w:spacing w:after="0"/>
        <w:rPr>
          <w:sz w:val="20"/>
          <w:szCs w:val="20"/>
          <w:color w:val="auto"/>
        </w:rPr>
      </w:pPr>
      <w:r>
        <w:rPr>
          <w:rFonts w:ascii="Arial" w:cs="Arial" w:eastAsia="Arial" w:hAnsi="Arial"/>
          <w:sz w:val="18"/>
          <w:szCs w:val="18"/>
          <w:color w:val="auto"/>
        </w:rPr>
        <w:t>(D) Derived from the audited statement of operations of Sema4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71" w:lineRule="exact"/>
        <w:rPr>
          <w:sz w:val="20"/>
          <w:szCs w:val="20"/>
          <w:color w:val="auto"/>
        </w:rPr>
      </w:pPr>
    </w:p>
    <w:p>
      <w:pPr>
        <w:ind w:left="660" w:right="20" w:hanging="328"/>
        <w:spacing w:after="0" w:line="277" w:lineRule="auto"/>
        <w:tabs>
          <w:tab w:leader="none" w:pos="6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reflect transaction costs incurred of $5.1 million that do not qualify for capitalization. The recognition of $3.8 million of unrecognized compensation expense related to the cash out of Sema4 stock appreciation rights.</w:t>
      </w:r>
    </w:p>
    <w:p>
      <w:pPr>
        <w:spacing w:after="0" w:line="116"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recognize the payment of early-payment penalties on Sema4’s long-term debt to be repaid upon closing of the Business Combination.</w:t>
      </w:r>
    </w:p>
    <w:p>
      <w:pPr>
        <w:spacing w:after="0" w:line="182" w:lineRule="exact"/>
        <w:rPr>
          <w:rFonts w:ascii="Arial" w:cs="Arial" w:eastAsia="Arial" w:hAnsi="Arial"/>
          <w:sz w:val="17"/>
          <w:szCs w:val="17"/>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eliminate interest income earned on the Trust Account which will be released upon closing of the Business Combination.</w:t>
      </w:r>
    </w:p>
    <w:p>
      <w:pPr>
        <w:spacing w:after="0" w:line="171" w:lineRule="exact"/>
        <w:rPr>
          <w:rFonts w:ascii="Arial" w:cs="Arial" w:eastAsia="Arial" w:hAnsi="Arial"/>
          <w:sz w:val="18"/>
          <w:szCs w:val="18"/>
          <w:color w:val="auto"/>
        </w:rPr>
      </w:pPr>
    </w:p>
    <w:p>
      <w:pPr>
        <w:ind w:left="660" w:hanging="328"/>
        <w:spacing w:after="0" w:line="257" w:lineRule="auto"/>
        <w:tabs>
          <w:tab w:leader="none" w:pos="5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 forma basic and diluted earnings per share amounts presented in the unaudited pro forma condensed combined statements of operations are based upon the number of Company shares outstanding at the closing of the Business Combination and the PIPE Investment, assuming the Business Combination and the PIPE Investment occurred on January 1, 2020. As the unaudited pro forma condensed combined statements of operations are in a loss position, anti-dilutive instruments were not included in the calculation of diluted weighted average number of shares of common stock outstanding.</w:t>
      </w:r>
    </w:p>
    <w:p>
      <w:pPr>
        <w:sectPr>
          <w:pgSz w:w="11900" w:h="16838" w:orient="portrait"/>
          <w:cols w:equalWidth="0" w:num="1">
            <w:col w:w="11240"/>
          </w:cols>
          <w:pgMar w:left="320" w:top="142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840" w:type="dxa"/>
            <w:vAlign w:val="bottom"/>
            <w:gridSpan w:val="2"/>
            <w:vMerge w:val="restart"/>
          </w:tcPr>
          <w:p>
            <w:pPr>
              <w:jc w:val="center"/>
              <w:ind w:right="268"/>
              <w:spacing w:after="0"/>
              <w:rPr>
                <w:sz w:val="20"/>
                <w:szCs w:val="20"/>
                <w:color w:val="auto"/>
              </w:rPr>
            </w:pPr>
            <w:r>
              <w:rPr>
                <w:rFonts w:ascii="Arial" w:cs="Arial" w:eastAsia="Arial" w:hAnsi="Arial"/>
                <w:sz w:val="18"/>
                <w:szCs w:val="18"/>
                <w:b w:val="1"/>
                <w:bCs w:val="1"/>
                <w:color w:val="auto"/>
                <w:w w:val="91"/>
              </w:rPr>
              <w:t>Mount Sinai Genomics, Inc.</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Exhibit 99.3</w:t>
            </w:r>
          </w:p>
        </w:tc>
        <w:tc>
          <w:tcPr>
            <w:tcW w:w="0" w:type="dxa"/>
            <w:vAlign w:val="bottom"/>
          </w:tcPr>
          <w:p>
            <w:pPr>
              <w:spacing w:after="0"/>
              <w:rPr>
                <w:sz w:val="1"/>
                <w:szCs w:val="1"/>
                <w:color w:val="auto"/>
              </w:rPr>
            </w:pPr>
          </w:p>
        </w:tc>
      </w:tr>
      <w:tr>
        <w:trPr>
          <w:trHeight w:val="225"/>
        </w:trPr>
        <w:tc>
          <w:tcPr>
            <w:tcW w:w="3380" w:type="dxa"/>
            <w:vAlign w:val="bottom"/>
          </w:tcPr>
          <w:p>
            <w:pPr>
              <w:spacing w:after="0"/>
              <w:rPr>
                <w:sz w:val="19"/>
                <w:szCs w:val="19"/>
                <w:color w:val="auto"/>
              </w:rPr>
            </w:pPr>
          </w:p>
        </w:tc>
        <w:tc>
          <w:tcPr>
            <w:tcW w:w="484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4840" w:type="dxa"/>
            <w:vAlign w:val="bottom"/>
            <w:gridSpan w:val="2"/>
          </w:tcPr>
          <w:p>
            <w:pPr>
              <w:jc w:val="center"/>
              <w:ind w:right="288"/>
              <w:spacing w:after="0"/>
              <w:rPr>
                <w:sz w:val="20"/>
                <w:szCs w:val="20"/>
                <w:color w:val="auto"/>
              </w:rPr>
            </w:pPr>
            <w:r>
              <w:rPr>
                <w:rFonts w:ascii="Arial" w:cs="Arial" w:eastAsia="Arial" w:hAnsi="Arial"/>
                <w:sz w:val="18"/>
                <w:szCs w:val="18"/>
                <w:b w:val="1"/>
                <w:bCs w:val="1"/>
                <w:color w:val="auto"/>
                <w:w w:val="86"/>
              </w:rPr>
              <w:t>Condensed Balance Sheets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4840" w:type="dxa"/>
            <w:vAlign w:val="bottom"/>
            <w:gridSpan w:val="2"/>
          </w:tcPr>
          <w:p>
            <w:pPr>
              <w:jc w:val="center"/>
              <w:ind w:right="288"/>
              <w:spacing w:after="0"/>
              <w:rPr>
                <w:sz w:val="20"/>
                <w:szCs w:val="20"/>
                <w:color w:val="auto"/>
              </w:rPr>
            </w:pPr>
            <w:r>
              <w:rPr>
                <w:rFonts w:ascii="Arial" w:cs="Arial" w:eastAsia="Arial" w:hAnsi="Arial"/>
                <w:sz w:val="18"/>
                <w:szCs w:val="18"/>
                <w:b w:val="1"/>
                <w:bCs w:val="1"/>
                <w:color w:val="auto"/>
                <w:w w:val="87"/>
              </w:rPr>
              <w:t>(in thousands, except share amounts)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9"/>
        </w:trPr>
        <w:tc>
          <w:tcPr>
            <w:tcW w:w="33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4"/>
              </w:rPr>
              <w:t>June 30,</w:t>
            </w:r>
          </w:p>
        </w:tc>
        <w:tc>
          <w:tcPr>
            <w:tcW w:w="240" w:type="dxa"/>
            <w:vAlign w:val="bottom"/>
          </w:tcPr>
          <w:p>
            <w:pPr>
              <w:spacing w:after="0"/>
              <w:rPr>
                <w:sz w:val="24"/>
                <w:szCs w:val="24"/>
                <w:color w:val="auto"/>
              </w:rPr>
            </w:pPr>
          </w:p>
        </w:tc>
        <w:tc>
          <w:tcPr>
            <w:tcW w:w="1320" w:type="dxa"/>
            <w:vAlign w:val="bottom"/>
          </w:tcPr>
          <w:p>
            <w:pPr>
              <w:jc w:val="right"/>
              <w:ind w:right="348"/>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4"/>
        </w:trPr>
        <w:tc>
          <w:tcPr>
            <w:tcW w:w="33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2021 (unaudited)</w:t>
            </w:r>
          </w:p>
        </w:tc>
        <w:tc>
          <w:tcPr>
            <w:tcW w:w="240" w:type="dxa"/>
            <w:vAlign w:val="bottom"/>
          </w:tcPr>
          <w:p>
            <w:pPr>
              <w:spacing w:after="0"/>
              <w:rPr>
                <w:sz w:val="14"/>
                <w:szCs w:val="14"/>
                <w:color w:val="auto"/>
              </w:rPr>
            </w:pPr>
          </w:p>
        </w:tc>
        <w:tc>
          <w:tcPr>
            <w:tcW w:w="1320" w:type="dxa"/>
            <w:vAlign w:val="bottom"/>
          </w:tcPr>
          <w:p>
            <w:pPr>
              <w:jc w:val="right"/>
              <w:ind w:right="588"/>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6"/>
        </w:trPr>
        <w:tc>
          <w:tcPr>
            <w:tcW w:w="3380" w:type="dxa"/>
            <w:vAlign w:val="bottom"/>
            <w:tcBorders>
              <w:bottom w:val="single" w:sz="8" w:color="CCEEFF"/>
            </w:tcBorders>
          </w:tcPr>
          <w:p>
            <w:pPr>
              <w:spacing w:after="0"/>
              <w:rPr>
                <w:sz w:val="4"/>
                <w:szCs w:val="4"/>
                <w:color w:val="auto"/>
              </w:rPr>
            </w:pPr>
          </w:p>
        </w:tc>
        <w:tc>
          <w:tcPr>
            <w:tcW w:w="46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46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4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26,501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108,132</w:t>
            </w:r>
          </w:p>
        </w:tc>
        <w:tc>
          <w:tcPr>
            <w:tcW w:w="0" w:type="dxa"/>
            <w:vAlign w:val="bottom"/>
          </w:tcPr>
          <w:p>
            <w:pPr>
              <w:spacing w:after="0"/>
              <w:rPr>
                <w:sz w:val="1"/>
                <w:szCs w:val="1"/>
                <w:color w:val="auto"/>
              </w:rPr>
            </w:pPr>
          </w:p>
        </w:tc>
      </w:tr>
      <w:tr>
        <w:trPr>
          <w:trHeight w:val="190"/>
        </w:trPr>
        <w:tc>
          <w:tcPr>
            <w:tcW w:w="338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24,568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32,044</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Due from related parties</w:t>
            </w:r>
          </w:p>
        </w:tc>
        <w:tc>
          <w:tcPr>
            <w:tcW w:w="46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90"/>
        </w:trPr>
        <w:tc>
          <w:tcPr>
            <w:tcW w:w="338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29,128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24,962</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4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18,378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8,681</w:t>
            </w:r>
          </w:p>
        </w:tc>
        <w:tc>
          <w:tcPr>
            <w:tcW w:w="0" w:type="dxa"/>
            <w:vAlign w:val="bottom"/>
          </w:tcPr>
          <w:p>
            <w:pPr>
              <w:spacing w:after="0"/>
              <w:rPr>
                <w:sz w:val="1"/>
                <w:szCs w:val="1"/>
                <w:color w:val="auto"/>
              </w:rPr>
            </w:pPr>
          </w:p>
        </w:tc>
      </w:tr>
      <w:tr>
        <w:trPr>
          <w:trHeight w:val="184"/>
        </w:trPr>
        <w:tc>
          <w:tcPr>
            <w:tcW w:w="3380" w:type="dxa"/>
            <w:vAlign w:val="bottom"/>
          </w:tcPr>
          <w:p>
            <w:pPr>
              <w:ind w:left="360"/>
              <w:spacing w:after="0"/>
              <w:rPr>
                <w:sz w:val="20"/>
                <w:szCs w:val="20"/>
                <w:color w:val="auto"/>
              </w:rPr>
            </w:pPr>
            <w:r>
              <w:rPr>
                <w:rFonts w:ascii="Arial" w:cs="Arial" w:eastAsia="Arial" w:hAnsi="Arial"/>
                <w:sz w:val="14"/>
                <w:szCs w:val="14"/>
                <w:color w:val="auto"/>
              </w:rPr>
              <w:t>Total current assets</w:t>
            </w:r>
          </w:p>
        </w:tc>
        <w:tc>
          <w:tcPr>
            <w:tcW w:w="464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99,012</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174,108</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46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62,097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63,110</w:t>
            </w:r>
          </w:p>
        </w:tc>
        <w:tc>
          <w:tcPr>
            <w:tcW w:w="0" w:type="dxa"/>
            <w:vAlign w:val="bottom"/>
          </w:tcPr>
          <w:p>
            <w:pPr>
              <w:spacing w:after="0"/>
              <w:rPr>
                <w:sz w:val="1"/>
                <w:szCs w:val="1"/>
                <w:color w:val="auto"/>
              </w:rPr>
            </w:pP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10,828</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4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0" w:type="dxa"/>
            <w:vAlign w:val="bottom"/>
          </w:tcPr>
          <w:p>
            <w:pPr>
              <w:spacing w:after="0"/>
              <w:rPr>
                <w:sz w:val="1"/>
                <w:szCs w:val="1"/>
                <w:color w:val="auto"/>
              </w:rPr>
            </w:pPr>
          </w:p>
        </w:tc>
      </w:tr>
      <w:tr>
        <w:trPr>
          <w:trHeight w:val="210"/>
        </w:trPr>
        <w:tc>
          <w:tcPr>
            <w:tcW w:w="33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46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175,533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251,642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31" w:lineRule="exact"/>
        <w:rPr>
          <w:sz w:val="20"/>
          <w:szCs w:val="20"/>
          <w:color w:val="auto"/>
        </w:rPr>
      </w:pPr>
    </w:p>
    <w:p>
      <w:pPr>
        <w:ind w:left="20" w:right="3420"/>
        <w:spacing w:after="0" w:line="345" w:lineRule="auto"/>
        <w:rPr>
          <w:sz w:val="20"/>
          <w:szCs w:val="20"/>
          <w:color w:val="auto"/>
        </w:rPr>
      </w:pPr>
      <w:r>
        <w:rPr>
          <w:rFonts w:ascii="Arial" w:cs="Arial" w:eastAsia="Arial" w:hAnsi="Arial"/>
          <w:sz w:val="14"/>
          <w:szCs w:val="14"/>
          <w:b w:val="1"/>
          <w:bCs w:val="1"/>
          <w:color w:val="auto"/>
        </w:rPr>
        <w:t xml:space="preserve">Liabilities, Redeemable Convertible Preferred Stock and Stockholders’ Deficit </w:t>
      </w:r>
      <w:r>
        <w:rPr>
          <w:rFonts w:ascii="Arial" w:cs="Arial" w:eastAsia="Arial" w:hAnsi="Arial"/>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tabs>
          <w:tab w:leader="none" w:pos="8020" w:val="left"/>
        </w:tabs>
        <w:rPr>
          <w:sz w:val="20"/>
          <w:szCs w:val="20"/>
          <w:color w:val="auto"/>
        </w:rPr>
      </w:pPr>
      <w:r>
        <w:rPr>
          <w:rFonts w:ascii="Arial" w:cs="Arial" w:eastAsia="Arial" w:hAnsi="Arial"/>
          <w:sz w:val="14"/>
          <w:szCs w:val="14"/>
          <w:color w:val="auto"/>
        </w:rPr>
        <w:t>Accounts payable and accrued expenses</w:t>
      </w:r>
      <w:r>
        <w:rPr>
          <w:sz w:val="20"/>
          <w:szCs w:val="20"/>
          <w:color w:val="auto"/>
        </w:rPr>
        <w:tab/>
      </w:r>
      <w:r>
        <w:rPr>
          <w:rFonts w:ascii="Arial" w:cs="Arial" w:eastAsia="Arial" w:hAnsi="Arial"/>
          <w:sz w:val="10"/>
          <w:szCs w:val="10"/>
          <w:color w:val="auto"/>
        </w:rPr>
        <w:t>$</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Due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Current contract liabilities</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current liabilities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Long-term debt,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 liabilities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liabilities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Commitments and contingencies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Redeemable convertible preferred stock:</w:t>
      </w:r>
    </w:p>
    <w:p>
      <w:pPr>
        <w:spacing w:after="0" w:line="109" w:lineRule="exact"/>
        <w:rPr>
          <w:sz w:val="20"/>
          <w:szCs w:val="20"/>
          <w:color w:val="auto"/>
        </w:rPr>
      </w:pPr>
    </w:p>
    <w:p>
      <w:pPr>
        <w:ind w:left="180" w:right="540" w:hanging="161"/>
        <w:spacing w:after="0" w:line="312" w:lineRule="auto"/>
        <w:rPr>
          <w:sz w:val="20"/>
          <w:szCs w:val="20"/>
          <w:color w:val="auto"/>
        </w:rPr>
      </w:pPr>
      <w:r>
        <w:rPr>
          <w:rFonts w:ascii="Arial" w:cs="Arial" w:eastAsia="Arial" w:hAnsi="Arial"/>
          <w:sz w:val="13"/>
          <w:szCs w:val="13"/>
          <w:color w:val="auto"/>
        </w:rPr>
        <w:t>Series A-1 redeemable convertible preferred stock, $0.00001 par value: 447,373 shares authorized, issued and outstanding at June 30, 2021 and December 31, 2020; aggregate liquidation preference of $55,000 at June 30,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394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6">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50" w:lineRule="exact"/>
        <w:rPr>
          <w:sz w:val="20"/>
          <w:szCs w:val="20"/>
          <w:color w:val="auto"/>
        </w:rPr>
      </w:pPr>
    </w:p>
    <w:p>
      <w:pPr>
        <w:ind w:left="180" w:right="340" w:hanging="161"/>
        <w:spacing w:after="0" w:line="257" w:lineRule="auto"/>
        <w:rPr>
          <w:sz w:val="20"/>
          <w:szCs w:val="20"/>
          <w:color w:val="auto"/>
        </w:rPr>
      </w:pPr>
      <w:r>
        <w:rPr>
          <w:rFonts w:ascii="Arial" w:cs="Arial" w:eastAsia="Arial" w:hAnsi="Arial"/>
          <w:sz w:val="14"/>
          <w:szCs w:val="14"/>
          <w:color w:val="auto"/>
        </w:rPr>
        <w:t>Series A-2 redeemable convertible preferred stock, $0.00001 par value: 522,627 shares authorized at June 30, 2021 and December 31, 2020; 401,347 shares authorized, issued and outstanding at June 30, 2021 and December 31, 2020; aggregate liquidation preference of $49,342 at June 30, 2021 and December 31, 2020</w:t>
      </w:r>
    </w:p>
    <w:p>
      <w:pPr>
        <w:spacing w:after="0" w:line="104" w:lineRule="exact"/>
        <w:rPr>
          <w:sz w:val="20"/>
          <w:szCs w:val="20"/>
          <w:color w:val="auto"/>
        </w:rPr>
      </w:pPr>
    </w:p>
    <w:p>
      <w:pPr>
        <w:ind w:left="180" w:right="340" w:hanging="161"/>
        <w:spacing w:after="0" w:line="312" w:lineRule="auto"/>
        <w:rPr>
          <w:sz w:val="20"/>
          <w:szCs w:val="20"/>
          <w:color w:val="auto"/>
        </w:rPr>
      </w:pPr>
      <w:r>
        <w:rPr>
          <w:rFonts w:ascii="Arial" w:cs="Arial" w:eastAsia="Arial" w:hAnsi="Arial"/>
          <w:sz w:val="13"/>
          <w:szCs w:val="13"/>
          <w:color w:val="auto"/>
        </w:rPr>
        <w:t>Series B redeemable convertible preferred stock, $0.00001 par value: 338,663 shares authorized, issued and outstanding at June 30, 2021 and December 31, 2020; aggregate liquidation preference of $204,302 at June 30,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394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7">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50" w:lineRule="exact"/>
        <w:rPr>
          <w:sz w:val="20"/>
          <w:szCs w:val="20"/>
          <w:color w:val="auto"/>
        </w:rPr>
      </w:pPr>
    </w:p>
    <w:p>
      <w:pPr>
        <w:ind w:left="180" w:right="280" w:hanging="161"/>
        <w:spacing w:after="0" w:line="257" w:lineRule="auto"/>
        <w:rPr>
          <w:sz w:val="20"/>
          <w:szCs w:val="20"/>
          <w:color w:val="auto"/>
        </w:rPr>
      </w:pPr>
      <w:r>
        <w:rPr>
          <w:rFonts w:ascii="Arial" w:cs="Arial" w:eastAsia="Arial" w:hAnsi="Arial"/>
          <w:sz w:val="14"/>
          <w:szCs w:val="14"/>
          <w:color w:val="auto"/>
        </w:rPr>
        <w:t>Series C redeemable convertible preferred stock, $0.00001 par value: 197,824 shares authorized at June 30, 2021 and December 31, 2020; 197,821 shares issued and outstanding at June 30, 2021 and December 31, 2020; aggregate liquidation preference of $121,397 at June 30, 2021 and December 31, 2020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Stockholders’ deficit:</w:t>
      </w:r>
    </w:p>
    <w:p>
      <w:pPr>
        <w:spacing w:after="0" w:line="140" w:lineRule="exact"/>
        <w:rPr>
          <w:sz w:val="20"/>
          <w:szCs w:val="20"/>
          <w:color w:val="auto"/>
        </w:rPr>
      </w:pPr>
    </w:p>
    <w:p>
      <w:pPr>
        <w:ind w:left="20" w:right="340"/>
        <w:spacing w:after="0" w:line="273" w:lineRule="auto"/>
        <w:rPr>
          <w:sz w:val="20"/>
          <w:szCs w:val="20"/>
          <w:color w:val="auto"/>
        </w:rPr>
      </w:pPr>
      <w:r>
        <w:rPr>
          <w:rFonts w:ascii="Arial" w:cs="Arial" w:eastAsia="Arial" w:hAnsi="Arial"/>
          <w:sz w:val="14"/>
          <w:szCs w:val="14"/>
          <w:color w:val="auto"/>
        </w:rPr>
        <w:t>Class A common stock, $0.00001 par value: 2,500,000 shares authorized at June 30, 2021 and December 31, 2020; 36 and 1 share issued and outstanding at June 30, 2021 and December 31,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3" w:lineRule="exact"/>
        <w:rPr>
          <w:sz w:val="20"/>
          <w:szCs w:val="20"/>
          <w:color w:val="auto"/>
        </w:rPr>
      </w:pPr>
    </w:p>
    <w:p>
      <w:pPr>
        <w:ind w:left="20" w:right="860"/>
        <w:spacing w:after="0" w:line="312" w:lineRule="auto"/>
        <w:rPr>
          <w:sz w:val="20"/>
          <w:szCs w:val="20"/>
          <w:color w:val="auto"/>
        </w:rPr>
      </w:pPr>
      <w:r>
        <w:rPr>
          <w:rFonts w:ascii="Arial" w:cs="Arial" w:eastAsia="Arial" w:hAnsi="Arial"/>
          <w:sz w:val="13"/>
          <w:szCs w:val="13"/>
          <w:color w:val="auto"/>
        </w:rPr>
        <w:t>Class B convertible common stock, $0.00001 par value: 15,000,000 shares authorized at June 30, 2021 and December 31, 2020; 1,117,413 and 105,429 shares issued and outstanding at June 30, 2021 and December 31, 2020, respectively</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43,650</w:t>
            </w: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38,591</w:t>
            </w:r>
          </w:p>
        </w:tc>
      </w:tr>
      <w:tr>
        <w:trPr>
          <w:trHeight w:val="216"/>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1,278</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1,425</w:t>
            </w:r>
          </w:p>
        </w:tc>
      </w:tr>
      <w:tr>
        <w:trPr>
          <w:trHeight w:val="216"/>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1,341</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1,783</w:t>
            </w:r>
          </w:p>
        </w:tc>
      </w:tr>
      <w:tr>
        <w:trPr>
          <w:trHeight w:val="216"/>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24,764</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31,643</w:t>
            </w:r>
          </w:p>
        </w:tc>
      </w:tr>
      <w:tr>
        <w:trPr>
          <w:trHeight w:val="26"/>
        </w:trPr>
        <w:tc>
          <w:tcPr>
            <w:tcW w:w="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71,033</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73,442</w:t>
            </w:r>
          </w:p>
        </w:tc>
      </w:tr>
      <w:tr>
        <w:trPr>
          <w:trHeight w:val="216"/>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18,028</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18,971</w:t>
            </w:r>
          </w:p>
        </w:tc>
      </w:tr>
      <w:tr>
        <w:trPr>
          <w:trHeight w:val="216"/>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295,049</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131,989</w:t>
            </w:r>
          </w:p>
        </w:tc>
      </w:tr>
      <w:tr>
        <w:trPr>
          <w:trHeight w:val="216"/>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21,907</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22,852</w:t>
            </w:r>
          </w:p>
        </w:tc>
      </w:tr>
      <w:tr>
        <w:trPr>
          <w:trHeight w:val="25"/>
        </w:trPr>
        <w:tc>
          <w:tcPr>
            <w:tcW w:w="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406,017</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247,254</w:t>
            </w:r>
          </w:p>
        </w:tc>
      </w:tr>
      <w:tr>
        <w:trPr>
          <w:trHeight w:val="25"/>
        </w:trPr>
        <w:tc>
          <w:tcPr>
            <w:tcW w:w="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32"/>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51,811</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51,811</w:t>
            </w:r>
          </w:p>
        </w:tc>
      </w:tr>
      <w:tr>
        <w:trPr>
          <w:trHeight w:val="621"/>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46,480</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46,480</w:t>
            </w:r>
          </w:p>
        </w:tc>
      </w:tr>
      <w:tr>
        <w:trPr>
          <w:trHeight w:val="459"/>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118,824</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118,824</w:t>
            </w:r>
          </w:p>
        </w:tc>
      </w:tr>
      <w:tr>
        <w:trPr>
          <w:trHeight w:val="621"/>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117,324</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117,324</w:t>
            </w:r>
          </w:p>
        </w:tc>
      </w:tr>
      <w:tr>
        <w:trPr>
          <w:trHeight w:val="25"/>
        </w:trPr>
        <w:tc>
          <w:tcPr>
            <w:tcW w:w="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334,439</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334,439</w:t>
            </w:r>
          </w:p>
        </w:tc>
      </w:tr>
      <w:tr>
        <w:trPr>
          <w:trHeight w:val="25"/>
        </w:trPr>
        <w:tc>
          <w:tcPr>
            <w:tcW w:w="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711"/>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59"/>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1,483</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700" w:type="dxa"/>
            <w:vAlign w:val="bottom"/>
          </w:tcPr>
          <w:p>
            <w:pPr>
              <w:jc w:val="right"/>
              <w:ind w:right="48"/>
              <w:spacing w:after="0"/>
              <w:rPr>
                <w:sz w:val="20"/>
                <w:szCs w:val="20"/>
                <w:color w:val="auto"/>
              </w:rPr>
            </w:pPr>
            <w:r>
              <w:rPr>
                <w:rFonts w:ascii="Arial" w:cs="Arial" w:eastAsia="Arial" w:hAnsi="Arial"/>
                <w:sz w:val="14"/>
                <w:szCs w:val="14"/>
                <w:color w:val="auto"/>
                <w:w w:val="93"/>
              </w:rPr>
              <w:t>(566,406)</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(330,051)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15875</wp:posOffset>
            </wp:positionV>
            <wp:extent cx="20485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1">
                      <a:extLst>
                        <a:ext uri="{28A0092B-C50C-407E-A947-70E740481C1C}"/>
                      </a:extLst>
                    </a:blip>
                    <a:srcRect/>
                    <a:stretch>
                      <a:fillRect/>
                    </a:stretch>
                  </pic:blipFill>
                  <pic:spPr bwMode="auto">
                    <a:xfrm>
                      <a:off x="0" y="0"/>
                      <a:ext cx="204851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-1174750</wp:posOffset>
            </wp:positionV>
            <wp:extent cx="9944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2">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-2811780</wp:posOffset>
            </wp:positionV>
            <wp:extent cx="9944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8260" w:space="720"/>
            <w:col w:w="226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8020" w:type="dxa"/>
            <w:vAlign w:val="bottom"/>
          </w:tcPr>
          <w:p>
            <w:pPr>
              <w:ind w:left="180"/>
              <w:spacing w:after="0"/>
              <w:rPr>
                <w:sz w:val="20"/>
                <w:szCs w:val="20"/>
                <w:color w:val="auto"/>
              </w:rPr>
            </w:pPr>
            <w:r>
              <w:rPr>
                <w:rFonts w:ascii="Arial" w:cs="Arial" w:eastAsia="Arial" w:hAnsi="Arial"/>
                <w:sz w:val="14"/>
                <w:szCs w:val="14"/>
                <w:color w:val="auto"/>
              </w:rPr>
              <w:t>Total stockholders’ deficit</w:t>
            </w: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(564,923)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(330,051)</w:t>
            </w:r>
          </w:p>
        </w:tc>
      </w:tr>
      <w:tr>
        <w:trPr>
          <w:trHeight w:val="25"/>
        </w:trPr>
        <w:tc>
          <w:tcPr>
            <w:tcW w:w="8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5"/>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175,533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251,642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ectPr>
          <w:pgSz w:w="11900" w:h="16838" w:orient="portrait"/>
          <w:cols w:equalWidth="0" w:num="1">
            <w:col w:w="11240"/>
          </w:cols>
          <w:pgMar w:left="320" w:top="1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w:t>
      </w:r>
    </w:p>
    <w:p>
      <w:pPr>
        <w:sectPr>
          <w:pgSz w:w="11900" w:h="16838" w:orient="portrait"/>
          <w:cols w:equalWidth="0" w:num="1">
            <w:col w:w="11240"/>
          </w:cols>
          <w:pgMar w:left="320" w:top="135" w:right="339" w:bottom="144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Mount Sinai Genomics,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Condensed Statements of Operations and Comprehensive Loss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tbl>
      <w:tblPr>
        <w:tblLayout w:type="fixed"/>
        <w:tblInd w:w="5200" w:type="dxa"/>
        <w:tblCellMar>
          <w:top w:w="0" w:type="dxa"/>
          <w:left w:w="0" w:type="dxa"/>
          <w:bottom w:w="0" w:type="dxa"/>
          <w:right w:w="0" w:type="dxa"/>
        </w:tblCellMar>
      </w:tblPr>
      <w:tr>
        <w:trPr>
          <w:trHeight w:val="186"/>
        </w:trPr>
        <w:tc>
          <w:tcPr>
            <w:tcW w:w="30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Three months ended June 30,</w:t>
            </w:r>
          </w:p>
        </w:tc>
        <w:tc>
          <w:tcPr>
            <w:tcW w:w="298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4"/>
        </w:trPr>
        <w:tc>
          <w:tcPr>
            <w:tcW w:w="14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50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160" w:type="dxa"/>
            <w:vAlign w:val="bottom"/>
          </w:tcPr>
          <w:p>
            <w:pPr>
              <w:ind w:left="160"/>
              <w:spacing w:after="0"/>
              <w:rPr>
                <w:sz w:val="20"/>
                <w:szCs w:val="20"/>
                <w:color w:val="auto"/>
              </w:rPr>
            </w:pPr>
            <w:r>
              <w:rPr>
                <w:rFonts w:ascii="Arial" w:cs="Arial" w:eastAsia="Arial" w:hAnsi="Arial"/>
                <w:sz w:val="16"/>
                <w:szCs w:val="16"/>
                <w:color w:val="auto"/>
                <w:w w:val="93"/>
              </w:rPr>
              <w:t>Diagnostic test revenue (including related party revenue of $37 and $39 for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340"/>
              <w:spacing w:after="0"/>
              <w:rPr>
                <w:sz w:val="20"/>
                <w:szCs w:val="20"/>
                <w:color w:val="auto"/>
              </w:rPr>
            </w:pPr>
            <w:r>
              <w:rPr>
                <w:rFonts w:ascii="Arial" w:cs="Arial" w:eastAsia="Arial" w:hAnsi="Arial"/>
                <w:sz w:val="16"/>
                <w:szCs w:val="16"/>
                <w:color w:val="auto"/>
                <w:w w:val="90"/>
              </w:rPr>
              <w:t>the three months ended June 30, 2021 and 2020, respectively and $70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6"/>
        </w:trPr>
        <w:tc>
          <w:tcPr>
            <w:tcW w:w="5160" w:type="dxa"/>
            <w:vAlign w:val="bottom"/>
          </w:tcPr>
          <w:p>
            <w:pPr>
              <w:ind w:left="340"/>
              <w:spacing w:after="0"/>
              <w:rPr>
                <w:sz w:val="20"/>
                <w:szCs w:val="20"/>
                <w:color w:val="auto"/>
              </w:rPr>
            </w:pPr>
            <w:r>
              <w:rPr>
                <w:rFonts w:ascii="Arial" w:cs="Arial" w:eastAsia="Arial" w:hAnsi="Arial"/>
                <w:sz w:val="16"/>
                <w:szCs w:val="16"/>
                <w:color w:val="auto"/>
                <w:w w:val="97"/>
              </w:rPr>
              <w:t>$100 for the six months ended June 30, 2021 and 2020, respectively)</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5160" w:type="dxa"/>
            <w:vAlign w:val="bottom"/>
          </w:tcPr>
          <w:p>
            <w:pPr>
              <w:ind w:left="160"/>
              <w:spacing w:after="0"/>
              <w:rPr>
                <w:sz w:val="20"/>
                <w:szCs w:val="20"/>
                <w:color w:val="auto"/>
              </w:rPr>
            </w:pPr>
            <w:r>
              <w:rPr>
                <w:rFonts w:ascii="Arial" w:cs="Arial" w:eastAsia="Arial" w:hAnsi="Arial"/>
                <w:sz w:val="16"/>
                <w:szCs w:val="16"/>
                <w:color w:val="auto"/>
                <w:w w:val="95"/>
              </w:rPr>
              <w:t>Other revenue (including related party revenue of $62 and $0 for the three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340"/>
              <w:spacing w:after="0"/>
              <w:rPr>
                <w:sz w:val="20"/>
                <w:szCs w:val="20"/>
                <w:color w:val="auto"/>
              </w:rPr>
            </w:pPr>
            <w:r>
              <w:rPr>
                <w:rFonts w:ascii="Arial" w:cs="Arial" w:eastAsia="Arial" w:hAnsi="Arial"/>
                <w:sz w:val="16"/>
                <w:szCs w:val="16"/>
                <w:color w:val="auto"/>
                <w:w w:val="94"/>
              </w:rPr>
              <w:t>months ended June 30, 2021 and 2020, respectively and $89 and $0 for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340"/>
              <w:spacing w:after="0"/>
              <w:rPr>
                <w:sz w:val="20"/>
                <w:szCs w:val="20"/>
                <w:color w:val="auto"/>
              </w:rPr>
            </w:pPr>
            <w:r>
              <w:rPr>
                <w:rFonts w:ascii="Arial" w:cs="Arial" w:eastAsia="Arial" w:hAnsi="Arial"/>
                <w:sz w:val="16"/>
                <w:szCs w:val="16"/>
                <w:color w:val="auto"/>
              </w:rPr>
              <w:t>the six months ended June 30, 2021 and 2020, respectively)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5160" w:type="dxa"/>
            <w:vAlign w:val="bottom"/>
          </w:tcPr>
          <w:p>
            <w:pPr>
              <w:ind w:left="380"/>
              <w:spacing w:after="0"/>
              <w:rPr>
                <w:sz w:val="20"/>
                <w:szCs w:val="20"/>
                <w:color w:val="auto"/>
              </w:rPr>
            </w:pPr>
            <w:r>
              <w:rPr>
                <w:rFonts w:ascii="Arial" w:cs="Arial" w:eastAsia="Arial" w:hAnsi="Arial"/>
                <w:sz w:val="16"/>
                <w:szCs w:val="16"/>
                <w:color w:val="auto"/>
              </w:rPr>
              <w:t>Total revenue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160" w:type="dxa"/>
            <w:vAlign w:val="bottom"/>
          </w:tcPr>
          <w:p>
            <w:pPr>
              <w:spacing w:after="0"/>
              <w:rPr>
                <w:sz w:val="20"/>
                <w:szCs w:val="20"/>
                <w:color w:val="auto"/>
              </w:rPr>
            </w:pPr>
            <w:r>
              <w:rPr>
                <w:rFonts w:ascii="Arial" w:cs="Arial" w:eastAsia="Arial" w:hAnsi="Arial"/>
                <w:sz w:val="16"/>
                <w:szCs w:val="16"/>
                <w:color w:val="auto"/>
                <w:w w:val="94"/>
              </w:rPr>
              <w:t>Cost of services (including related party expenses of $1,008 and $459 for the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160"/>
              <w:spacing w:after="0"/>
              <w:rPr>
                <w:sz w:val="20"/>
                <w:szCs w:val="20"/>
                <w:color w:val="auto"/>
              </w:rPr>
            </w:pPr>
            <w:r>
              <w:rPr>
                <w:rFonts w:ascii="Arial" w:cs="Arial" w:eastAsia="Arial" w:hAnsi="Arial"/>
                <w:sz w:val="16"/>
                <w:szCs w:val="16"/>
                <w:color w:val="auto"/>
                <w:w w:val="94"/>
              </w:rPr>
              <w:t>three months ended June 30, 2021 and 2020, respectively and $1,286 and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160"/>
              <w:spacing w:after="0"/>
              <w:rPr>
                <w:sz w:val="20"/>
                <w:szCs w:val="20"/>
                <w:color w:val="auto"/>
              </w:rPr>
            </w:pPr>
            <w:r>
              <w:rPr>
                <w:rFonts w:ascii="Arial" w:cs="Arial" w:eastAsia="Arial" w:hAnsi="Arial"/>
                <w:sz w:val="16"/>
                <w:szCs w:val="16"/>
                <w:color w:val="auto"/>
                <w:w w:val="98"/>
              </w:rPr>
              <w:t>$1,033 for the six months ended June 30, 2021 and 2020, respectively)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-1041400</wp:posOffset>
            </wp:positionV>
            <wp:extent cx="7132320" cy="4457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5">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4457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6">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44,803</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29,796</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107,563</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75,866</w:t>
            </w:r>
          </w:p>
        </w:tc>
      </w:tr>
      <w:tr>
        <w:trPr>
          <w:trHeight w:val="702"/>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2,062</w:t>
            </w: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7"/>
        </w:trPr>
        <w:tc>
          <w:tcPr>
            <w:tcW w:w="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46,865</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30,102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111,216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76,757</w:t>
            </w:r>
          </w:p>
        </w:tc>
      </w:tr>
      <w:tr>
        <w:trPr>
          <w:trHeight w:val="27"/>
        </w:trPr>
        <w:tc>
          <w:tcPr>
            <w:tcW w:w="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655"/>
        </w:trPr>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49,631</w:t>
            </w: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35,985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121,443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17145</wp:posOffset>
            </wp:positionV>
            <wp:extent cx="38404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7">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-608330</wp:posOffset>
            </wp:positionV>
            <wp:extent cx="9086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8">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5340" w:space="720"/>
            <w:col w:w="518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51"/>
        </w:trPr>
        <w:tc>
          <w:tcPr>
            <w:tcW w:w="52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Gross (loss) profit</w:t>
            </w: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(10,227)</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4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22,457</w:t>
            </w:r>
          </w:p>
        </w:tc>
      </w:tr>
      <w:tr>
        <w:trPr>
          <w:trHeight w:val="260"/>
        </w:trPr>
        <w:tc>
          <w:tcPr>
            <w:tcW w:w="5200" w:type="dxa"/>
            <w:vAlign w:val="bottom"/>
          </w:tcPr>
          <w:p>
            <w:pPr>
              <w:ind w:left="20"/>
              <w:spacing w:after="0"/>
              <w:rPr>
                <w:sz w:val="20"/>
                <w:szCs w:val="20"/>
                <w:color w:val="auto"/>
              </w:rPr>
            </w:pPr>
            <w:r>
              <w:rPr>
                <w:rFonts w:ascii="Arial" w:cs="Arial" w:eastAsia="Arial" w:hAnsi="Arial"/>
                <w:sz w:val="16"/>
                <w:szCs w:val="16"/>
                <w:color w:val="auto"/>
              </w:rPr>
              <w:t>Selling and marketing</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16,247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8,686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47,816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20,419</w:t>
            </w:r>
          </w:p>
        </w:tc>
      </w:tr>
      <w:tr>
        <w:trPr>
          <w:trHeight w:val="28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114,711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r>
      <w:tr>
        <w:trPr>
          <w:trHeight w:val="26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Related party expenses</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w:t>
            </w:r>
          </w:p>
        </w:tc>
      </w:tr>
      <w:tr>
        <w:trPr>
          <w:trHeight w:val="270"/>
        </w:trPr>
        <w:tc>
          <w:tcPr>
            <w:tcW w:w="52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Loss from operations</w:t>
            </w:r>
          </w:p>
        </w:tc>
        <w:tc>
          <w:tcPr>
            <w:tcW w:w="4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(240,524)</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(60,934)</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0"/>
        </w:trPr>
        <w:tc>
          <w:tcPr>
            <w:tcW w:w="5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60"/>
        </w:trPr>
        <w:tc>
          <w:tcPr>
            <w:tcW w:w="52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73"/>
        </w:trPr>
        <w:tc>
          <w:tcPr>
            <w:tcW w:w="5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4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r>
      <w:tr>
        <w:trPr>
          <w:trHeight w:val="26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income (expense), net</w:t>
            </w:r>
          </w:p>
        </w:tc>
        <w:tc>
          <w:tcPr>
            <w:tcW w:w="4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4,169</w:t>
            </w:r>
          </w:p>
        </w:tc>
        <w:tc>
          <w:tcPr>
            <w:tcW w:w="1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w:t>
            </w: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(236,355)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(59,042)</w:t>
            </w:r>
          </w:p>
        </w:tc>
      </w:tr>
      <w:tr>
        <w:trPr>
          <w:trHeight w:val="264"/>
        </w:trPr>
        <w:tc>
          <w:tcPr>
            <w:tcW w:w="520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440" w:type="dxa"/>
            <w:vAlign w:val="bottom"/>
          </w:tcPr>
          <w:p>
            <w:pPr>
              <w:spacing w:after="0"/>
              <w:rPr>
                <w:sz w:val="22"/>
                <w:szCs w:val="22"/>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and comprehensive loss</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(45,362)</w:t>
            </w: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(32,052)</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(236,355)</w:t>
            </w: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(59,042)</w:t>
            </w:r>
          </w:p>
        </w:tc>
      </w:tr>
      <w:tr>
        <w:trPr>
          <w:trHeight w:val="260"/>
        </w:trPr>
        <w:tc>
          <w:tcPr>
            <w:tcW w:w="5200" w:type="dxa"/>
            <w:vAlign w:val="bottom"/>
          </w:tcPr>
          <w:p>
            <w:pPr>
              <w:ind w:left="20"/>
              <w:spacing w:after="0"/>
              <w:rPr>
                <w:sz w:val="20"/>
                <w:szCs w:val="20"/>
                <w:color w:val="auto"/>
              </w:rPr>
            </w:pPr>
            <w:r>
              <w:rPr>
                <w:rFonts w:ascii="Arial" w:cs="Arial" w:eastAsia="Arial" w:hAnsi="Arial"/>
                <w:sz w:val="16"/>
                <w:szCs w:val="16"/>
                <w:color w:val="auto"/>
              </w:rPr>
              <w:t>Weighted average shares outstanding of Class A common stock</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 net loss per share, Class A common stock</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(59,042)</w:t>
            </w:r>
          </w:p>
        </w:tc>
      </w:tr>
      <w:tr>
        <w:trPr>
          <w:trHeight w:val="260"/>
        </w:trPr>
        <w:tc>
          <w:tcPr>
            <w:tcW w:w="5200" w:type="dxa"/>
            <w:vAlign w:val="bottom"/>
          </w:tcPr>
          <w:p>
            <w:pPr>
              <w:ind w:left="20"/>
              <w:spacing w:after="0"/>
              <w:rPr>
                <w:sz w:val="20"/>
                <w:szCs w:val="20"/>
                <w:color w:val="auto"/>
              </w:rPr>
            </w:pPr>
            <w:r>
              <w:rPr>
                <w:rFonts w:ascii="Arial" w:cs="Arial" w:eastAsia="Arial" w:hAnsi="Arial"/>
                <w:sz w:val="16"/>
                <w:szCs w:val="16"/>
                <w:color w:val="auto"/>
              </w:rPr>
              <w:t>Weighted average shares outstanding of Class B common stock</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888,087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667,203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 net loss per share, Class B common stock</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35" w:right="3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Redeemable Convertible Preferred Stock and Stockholders' Deficit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Three months ended June 30,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1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Redeemable Convertible</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1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2000" w:type="dxa"/>
            <w:vAlign w:val="bottom"/>
            <w:gridSpan w:val="6"/>
          </w:tcPr>
          <w:p>
            <w:pPr>
              <w:ind w:left="240"/>
              <w:spacing w:after="0"/>
              <w:rPr>
                <w:sz w:val="20"/>
                <w:szCs w:val="20"/>
                <w:color w:val="auto"/>
              </w:rPr>
            </w:pPr>
            <w:r>
              <w:rPr>
                <w:rFonts w:ascii="Arial" w:cs="Arial" w:eastAsia="Arial" w:hAnsi="Arial"/>
                <w:sz w:val="14"/>
                <w:szCs w:val="14"/>
                <w:b w:val="1"/>
                <w:bCs w:val="1"/>
                <w:color w:val="auto"/>
              </w:rPr>
              <w:t>Class A Common Stock</w:t>
            </w:r>
          </w:p>
        </w:tc>
        <w:tc>
          <w:tcPr>
            <w:tcW w:w="2020" w:type="dxa"/>
            <w:vAlign w:val="bottom"/>
            <w:gridSpan w:val="6"/>
          </w:tcPr>
          <w:p>
            <w:pPr>
              <w:ind w:left="2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00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102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Par Value</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6"/>
                <w:szCs w:val="16"/>
                <w:color w:val="auto"/>
              </w:rPr>
            </w:pPr>
          </w:p>
        </w:tc>
        <w:tc>
          <w:tcPr>
            <w:tcW w:w="8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6"/>
        </w:trPr>
        <w:tc>
          <w:tcPr>
            <w:tcW w:w="2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Balances at March 31,</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604,649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(521,044)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(521,044)</w:t>
            </w:r>
          </w:p>
        </w:tc>
        <w:tc>
          <w:tcPr>
            <w:tcW w:w="0" w:type="dxa"/>
            <w:vAlign w:val="bottom"/>
          </w:tcPr>
          <w:p>
            <w:pPr>
              <w:spacing w:after="0"/>
              <w:rPr>
                <w:sz w:val="1"/>
                <w:szCs w:val="1"/>
                <w:color w:val="auto"/>
              </w:rPr>
            </w:pPr>
          </w:p>
        </w:tc>
      </w:tr>
      <w:tr>
        <w:trPr>
          <w:trHeight w:val="243"/>
        </w:trPr>
        <w:tc>
          <w:tcPr>
            <w:tcW w:w="20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(45,362)</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 exercises</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512,764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303"/>
        </w:trPr>
        <w:tc>
          <w:tcPr>
            <w:tcW w:w="2080" w:type="dxa"/>
            <w:vAlign w:val="bottom"/>
          </w:tcPr>
          <w:p>
            <w:pPr>
              <w:ind w:left="20"/>
              <w:spacing w:after="0"/>
              <w:rPr>
                <w:sz w:val="20"/>
                <w:szCs w:val="20"/>
                <w:color w:val="auto"/>
              </w:rPr>
            </w:pPr>
            <w:r>
              <w:rPr>
                <w:rFonts w:ascii="Arial" w:cs="Arial" w:eastAsia="Arial" w:hAnsi="Arial"/>
                <w:sz w:val="18"/>
                <w:szCs w:val="18"/>
                <w:b w:val="1"/>
                <w:bCs w:val="1"/>
                <w:color w:val="auto"/>
                <w:w w:val="96"/>
              </w:rPr>
              <w:t>Balance at June 30,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1,385,204</w:t>
            </w: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1,117,413</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(566,406)</w:t>
            </w: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(564,923)</w:t>
            </w:r>
          </w:p>
        </w:tc>
        <w:tc>
          <w:tcPr>
            <w:tcW w:w="0" w:type="dxa"/>
            <w:vAlign w:val="bottom"/>
          </w:tcPr>
          <w:p>
            <w:pPr>
              <w:spacing w:after="0"/>
              <w:rPr>
                <w:sz w:val="1"/>
                <w:szCs w:val="1"/>
                <w:color w:val="auto"/>
              </w:rPr>
            </w:pPr>
          </w:p>
        </w:tc>
      </w:tr>
      <w:tr>
        <w:trPr>
          <w:trHeight w:val="818"/>
        </w:trPr>
        <w:tc>
          <w:tcPr>
            <w:tcW w:w="2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20" w:type="dxa"/>
            <w:vAlign w:val="bottom"/>
            <w:gridSpan w:val="9"/>
          </w:tcPr>
          <w:p>
            <w:pPr>
              <w:ind w:left="320"/>
              <w:spacing w:after="0"/>
              <w:rPr>
                <w:sz w:val="20"/>
                <w:szCs w:val="20"/>
                <w:color w:val="auto"/>
              </w:rPr>
            </w:pPr>
            <w:r>
              <w:rPr>
                <w:rFonts w:ascii="Arial" w:cs="Arial" w:eastAsia="Arial" w:hAnsi="Arial"/>
                <w:sz w:val="16"/>
                <w:szCs w:val="16"/>
                <w:b w:val="1"/>
                <w:bCs w:val="1"/>
                <w:color w:val="auto"/>
              </w:rPr>
              <w:t>Six months ended June 30,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80" w:type="dxa"/>
            <w:vAlign w:val="bottom"/>
          </w:tcPr>
          <w:p>
            <w:pPr>
              <w:spacing w:after="0"/>
              <w:rPr>
                <w:sz w:val="24"/>
                <w:szCs w:val="24"/>
                <w:color w:val="auto"/>
              </w:rPr>
            </w:pPr>
          </w:p>
        </w:tc>
        <w:tc>
          <w:tcPr>
            <w:tcW w:w="21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Redeemable Convertible</w:t>
            </w: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1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2000" w:type="dxa"/>
            <w:vAlign w:val="bottom"/>
            <w:gridSpan w:val="6"/>
          </w:tcPr>
          <w:p>
            <w:pPr>
              <w:ind w:left="240"/>
              <w:spacing w:after="0"/>
              <w:rPr>
                <w:sz w:val="20"/>
                <w:szCs w:val="20"/>
                <w:color w:val="auto"/>
              </w:rPr>
            </w:pPr>
            <w:r>
              <w:rPr>
                <w:rFonts w:ascii="Arial" w:cs="Arial" w:eastAsia="Arial" w:hAnsi="Arial"/>
                <w:sz w:val="14"/>
                <w:szCs w:val="14"/>
                <w:b w:val="1"/>
                <w:bCs w:val="1"/>
                <w:color w:val="auto"/>
              </w:rPr>
              <w:t>Class A Common Stock</w:t>
            </w:r>
          </w:p>
        </w:tc>
        <w:tc>
          <w:tcPr>
            <w:tcW w:w="2020" w:type="dxa"/>
            <w:vAlign w:val="bottom"/>
            <w:gridSpan w:val="6"/>
          </w:tcPr>
          <w:p>
            <w:pPr>
              <w:ind w:left="2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00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102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Par Value</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6"/>
                <w:szCs w:val="16"/>
                <w:color w:val="auto"/>
              </w:rPr>
            </w:pPr>
          </w:p>
        </w:tc>
        <w:tc>
          <w:tcPr>
            <w:tcW w:w="8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5"/>
        </w:trPr>
        <w:tc>
          <w:tcPr>
            <w:tcW w:w="2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1"/>
              </w:rPr>
              <w:t>Balances at December 31,</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(330,051)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(330,051)</w:t>
            </w:r>
          </w:p>
        </w:tc>
        <w:tc>
          <w:tcPr>
            <w:tcW w:w="0" w:type="dxa"/>
            <w:vAlign w:val="bottom"/>
          </w:tcPr>
          <w:p>
            <w:pPr>
              <w:spacing w:after="0"/>
              <w:rPr>
                <w:sz w:val="1"/>
                <w:szCs w:val="1"/>
                <w:color w:val="auto"/>
              </w:rPr>
            </w:pPr>
          </w:p>
        </w:tc>
      </w:tr>
      <w:tr>
        <w:trPr>
          <w:trHeight w:val="243"/>
        </w:trPr>
        <w:tc>
          <w:tcPr>
            <w:tcW w:w="20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(236,355)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(236,355)</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right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 exercises</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1,011,984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304"/>
        </w:trPr>
        <w:tc>
          <w:tcPr>
            <w:tcW w:w="2080" w:type="dxa"/>
            <w:vAlign w:val="bottom"/>
          </w:tcPr>
          <w:p>
            <w:pPr>
              <w:ind w:left="20"/>
              <w:spacing w:after="0"/>
              <w:rPr>
                <w:sz w:val="20"/>
                <w:szCs w:val="20"/>
                <w:color w:val="auto"/>
              </w:rPr>
            </w:pPr>
            <w:r>
              <w:rPr>
                <w:rFonts w:ascii="Arial" w:cs="Arial" w:eastAsia="Arial" w:hAnsi="Arial"/>
                <w:sz w:val="18"/>
                <w:szCs w:val="18"/>
                <w:b w:val="1"/>
                <w:bCs w:val="1"/>
                <w:color w:val="auto"/>
                <w:w w:val="96"/>
              </w:rPr>
              <w:t>Balance at June 30,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1,385,204</w:t>
            </w: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1,117,413</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566,406</w:t>
            </w: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(564,923)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35"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Redeemable Convertible Preferred Stock and Stockholders' Deficit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Three months ended June 30, 2020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1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Redeemable Convertible</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1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980" w:type="dxa"/>
            <w:vAlign w:val="bottom"/>
            <w:gridSpan w:val="5"/>
          </w:tcPr>
          <w:p>
            <w:pPr>
              <w:ind w:left="220"/>
              <w:spacing w:after="0"/>
              <w:rPr>
                <w:sz w:val="20"/>
                <w:szCs w:val="20"/>
                <w:color w:val="auto"/>
              </w:rPr>
            </w:pPr>
            <w:r>
              <w:rPr>
                <w:rFonts w:ascii="Arial" w:cs="Arial" w:eastAsia="Arial" w:hAnsi="Arial"/>
                <w:sz w:val="14"/>
                <w:szCs w:val="14"/>
                <w:b w:val="1"/>
                <w:bCs w:val="1"/>
                <w:color w:val="auto"/>
              </w:rPr>
              <w:t>Class A Common Stock</w:t>
            </w: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6"/>
                <w:szCs w:val="16"/>
                <w:color w:val="auto"/>
              </w:rPr>
            </w:pPr>
          </w:p>
        </w:tc>
        <w:tc>
          <w:tcPr>
            <w:tcW w:w="8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6"/>
        </w:trPr>
        <w:tc>
          <w:tcPr>
            <w:tcW w:w="2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Balances at March 31,</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1,187,383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(115,701)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(115,701)</w:t>
            </w:r>
          </w:p>
        </w:tc>
        <w:tc>
          <w:tcPr>
            <w:tcW w:w="0" w:type="dxa"/>
            <w:vAlign w:val="bottom"/>
          </w:tcPr>
          <w:p>
            <w:pPr>
              <w:spacing w:after="0"/>
              <w:rPr>
                <w:sz w:val="1"/>
                <w:szCs w:val="1"/>
                <w:color w:val="auto"/>
              </w:rPr>
            </w:pPr>
          </w:p>
        </w:tc>
      </w:tr>
      <w:tr>
        <w:trPr>
          <w:trHeight w:val="243"/>
        </w:trPr>
        <w:tc>
          <w:tcPr>
            <w:tcW w:w="20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(32,052)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(32,052)</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Balances at June 30, 2020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1,187,383</w:t>
            </w:r>
          </w:p>
        </w:tc>
        <w:tc>
          <w:tcPr>
            <w:tcW w:w="8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(147,753)</w:t>
            </w:r>
          </w:p>
        </w:tc>
        <w:tc>
          <w:tcPr>
            <w:tcW w:w="8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(147,753)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Six months ended June 30, 2020</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hanging="161"/>
        <w:spacing w:after="0" w:line="282" w:lineRule="auto"/>
        <w:rPr>
          <w:sz w:val="20"/>
          <w:szCs w:val="20"/>
          <w:color w:val="auto"/>
        </w:rPr>
      </w:pPr>
      <w:r>
        <w:rPr>
          <w:rFonts w:ascii="Arial" w:cs="Arial" w:eastAsia="Arial" w:hAnsi="Arial"/>
          <w:sz w:val="18"/>
          <w:szCs w:val="18"/>
          <w:b w:val="1"/>
          <w:bCs w:val="1"/>
          <w:color w:val="auto"/>
        </w:rPr>
        <w:t>Balances at December 31, 2019</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Balances at June 30, 2020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Redeemable Convertible</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Preferred Stock</w:t>
      </w:r>
    </w:p>
    <w:p>
      <w:pPr>
        <w:spacing w:after="0" w:line="363" w:lineRule="exact"/>
        <w:rPr>
          <w:sz w:val="20"/>
          <w:szCs w:val="20"/>
          <w:color w:val="auto"/>
        </w:rPr>
      </w:pPr>
    </w:p>
    <w:p>
      <w:pPr>
        <w:ind w:left="100"/>
        <w:spacing w:after="0"/>
        <w:tabs>
          <w:tab w:leader="none" w:pos="106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Amount</w:t>
      </w:r>
    </w:p>
    <w:p>
      <w:pPr>
        <w:spacing w:after="0" w:line="279" w:lineRule="exact"/>
        <w:rPr>
          <w:sz w:val="20"/>
          <w:szCs w:val="20"/>
          <w:color w:val="auto"/>
        </w:rPr>
      </w:pPr>
    </w:p>
    <w:p>
      <w:pPr>
        <w:spacing w:after="0"/>
        <w:tabs>
          <w:tab w:leader="none" w:pos="860" w:val="left"/>
          <w:tab w:leader="none" w:pos="1140" w:val="left"/>
        </w:tabs>
        <w:rPr>
          <w:sz w:val="20"/>
          <w:szCs w:val="20"/>
          <w:color w:val="auto"/>
        </w:rPr>
      </w:pPr>
      <w:r>
        <w:rPr>
          <w:rFonts w:ascii="Arial" w:cs="Arial" w:eastAsia="Arial" w:hAnsi="Arial"/>
          <w:sz w:val="18"/>
          <w:szCs w:val="18"/>
          <w:color w:val="auto"/>
        </w:rPr>
        <w:t>1,187,383</w:t>
        <w:tab/>
        <w:t>$</w:t>
      </w:r>
      <w:r>
        <w:rPr>
          <w:sz w:val="20"/>
          <w:szCs w:val="20"/>
          <w:color w:val="auto"/>
        </w:rPr>
        <w:tab/>
      </w:r>
      <w:r>
        <w:rPr>
          <w:rFonts w:ascii="Arial" w:cs="Arial" w:eastAsia="Arial" w:hAnsi="Arial"/>
          <w:sz w:val="16"/>
          <w:szCs w:val="16"/>
          <w:color w:val="auto"/>
        </w:rPr>
        <w:t>217,115</w:t>
      </w:r>
    </w:p>
    <w:p>
      <w:pPr>
        <w:spacing w:after="0" w:line="63"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jc w:val="center"/>
        <w:spacing w:after="0"/>
        <w:tabs>
          <w:tab w:leader="none" w:pos="140" w:val="left"/>
          <w:tab w:leader="none" w:pos="160" w:val="left"/>
        </w:tabs>
        <w:rPr>
          <w:sz w:val="20"/>
          <w:szCs w:val="20"/>
          <w:color w:val="auto"/>
        </w:rPr>
      </w:pPr>
      <w:r>
        <w:rPr>
          <w:rFonts w:ascii="Arial" w:cs="Arial" w:eastAsia="Arial" w:hAnsi="Arial"/>
          <w:sz w:val="18"/>
          <w:szCs w:val="18"/>
          <w:color w:val="auto"/>
        </w:rPr>
        <w:t>1,187,383</w:t>
        <w:tab/>
        <w:t>$</w:t>
      </w:r>
      <w:r>
        <w:rPr>
          <w:sz w:val="20"/>
          <w:szCs w:val="20"/>
          <w:color w:val="auto"/>
        </w:rPr>
        <w:tab/>
      </w:r>
      <w:r>
        <w:rPr>
          <w:rFonts w:ascii="Arial" w:cs="Arial" w:eastAsia="Arial" w:hAnsi="Arial"/>
          <w:sz w:val="16"/>
          <w:szCs w:val="16"/>
          <w:color w:val="auto"/>
        </w:rPr>
        <w:t>217,115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57785</wp:posOffset>
            </wp:positionV>
            <wp:extent cx="12515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9">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980" w:type="dxa"/>
            <w:vAlign w:val="bottom"/>
            <w:gridSpan w:val="5"/>
          </w:tcPr>
          <w:p>
            <w:pPr>
              <w:ind w:left="220"/>
              <w:spacing w:after="0"/>
              <w:rPr>
                <w:sz w:val="20"/>
                <w:szCs w:val="20"/>
                <w:color w:val="auto"/>
              </w:rPr>
            </w:pPr>
            <w:r>
              <w:rPr>
                <w:rFonts w:ascii="Arial" w:cs="Arial" w:eastAsia="Arial" w:hAnsi="Arial"/>
                <w:sz w:val="14"/>
                <w:szCs w:val="14"/>
                <w:b w:val="1"/>
                <w:bCs w:val="1"/>
                <w:color w:val="auto"/>
              </w:rPr>
              <w:t>Class A Common Stock</w:t>
            </w:r>
          </w:p>
        </w:tc>
        <w:tc>
          <w:tcPr>
            <w:tcW w:w="2000" w:type="dxa"/>
            <w:vAlign w:val="bottom"/>
            <w:gridSpan w:val="5"/>
          </w:tcPr>
          <w:p>
            <w:pPr>
              <w:ind w:left="2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6"/>
        </w:trPr>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Par value</w:t>
            </w: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6"/>
                <w:szCs w:val="16"/>
                <w:color w:val="auto"/>
              </w:rPr>
            </w:pPr>
          </w:p>
        </w:tc>
        <w:tc>
          <w:tcPr>
            <w:tcW w:w="8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5"/>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(88,711)</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(59,042)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(59,042)</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(147,753)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(147,753)</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-1036955</wp:posOffset>
            </wp:positionV>
            <wp:extent cx="7132320" cy="10204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0">
                      <a:extLst>
                        <a:ext uri="{28A0092B-C50C-407E-A947-70E740481C1C}"/>
                      </a:extLst>
                    </a:blip>
                    <a:srcRect/>
                    <a:stretch>
                      <a:fillRect/>
                    </a:stretch>
                  </pic:blipFill>
                  <pic:spPr bwMode="auto">
                    <a:xfrm>
                      <a:off x="0" y="0"/>
                      <a:ext cx="7132320" cy="10204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000" w:space="260"/>
            <w:col w:w="1740" w:space="240"/>
            <w:col w:w="7000"/>
          </w:cols>
          <w:pgMar w:left="320" w:top="135" w:right="339" w:bottom="1440" w:gutter="0" w:footer="0" w:header="0"/>
          <w:type w:val="continuous"/>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35" w:right="3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(236,355)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(59,042)</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5,080</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43"/>
        </w:trPr>
        <w:tc>
          <w:tcPr>
            <w:tcW w:w="8020" w:type="dxa"/>
            <w:vAlign w:val="bottom"/>
          </w:tcPr>
          <w:p>
            <w:pPr>
              <w:ind w:left="180"/>
              <w:spacing w:after="0"/>
              <w:rPr>
                <w:sz w:val="20"/>
                <w:szCs w:val="20"/>
                <w:color w:val="auto"/>
              </w:rPr>
            </w:pPr>
            <w:r>
              <w:rPr>
                <w:rFonts w:ascii="Arial" w:cs="Arial" w:eastAsia="Arial" w:hAnsi="Arial"/>
                <w:sz w:val="18"/>
                <w:szCs w:val="18"/>
                <w:color w:val="2B2A29"/>
              </w:rPr>
              <w:t>Provision for excess and obsolete inventory</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r>
      <w:tr>
        <w:trPr>
          <w:trHeight w:val="243"/>
        </w:trPr>
        <w:tc>
          <w:tcPr>
            <w:tcW w:w="802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1,305</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Due to/from related parties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(2,915)</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(46,181)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Development of internal-use software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(1,933)</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(15,486)</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principal payments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Capital lease principal payments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deferred transaction costs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3,684</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(57,983)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115,006</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57,023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324"/>
        </w:trPr>
        <w:tc>
          <w:tcPr>
            <w:tcW w:w="8020" w:type="dxa"/>
            <w:vAlign w:val="bottom"/>
          </w:tcPr>
          <w:p>
            <w:pPr>
              <w:ind w:left="2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development costs in accounts payable and accrued expenses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r>
      <w:tr>
        <w:trPr>
          <w:trHeight w:val="324"/>
        </w:trPr>
        <w:tc>
          <w:tcPr>
            <w:tcW w:w="8020" w:type="dxa"/>
            <w:vAlign w:val="bottom"/>
          </w:tcPr>
          <w:p>
            <w:pPr>
              <w:ind w:left="20"/>
              <w:spacing w:after="0"/>
              <w:rPr>
                <w:sz w:val="20"/>
                <w:szCs w:val="20"/>
                <w:color w:val="auto"/>
              </w:rPr>
            </w:pPr>
            <w:r>
              <w:rPr>
                <w:rFonts w:ascii="Arial" w:cs="Arial" w:eastAsia="Arial" w:hAnsi="Arial"/>
                <w:sz w:val="18"/>
                <w:szCs w:val="18"/>
                <w:color w:val="auto"/>
              </w:rPr>
              <w:t>Assets acquired under capital leases obligations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5,128</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impact of shares reclass into APIC</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8020" w:type="dxa"/>
            <w:vAlign w:val="bottom"/>
          </w:tcPr>
          <w:p>
            <w:pPr>
              <w:ind w:left="20"/>
              <w:spacing w:after="0"/>
              <w:rPr>
                <w:sz w:val="20"/>
                <w:szCs w:val="20"/>
                <w:color w:val="auto"/>
              </w:rPr>
            </w:pPr>
            <w:r>
              <w:rPr>
                <w:rFonts w:ascii="Arial" w:cs="Arial" w:eastAsia="Arial" w:hAnsi="Arial"/>
                <w:sz w:val="18"/>
                <w:szCs w:val="18"/>
                <w:color w:val="auto"/>
              </w:rPr>
              <w:t>Deferred transaction costs included in accounts payable and accrued expenses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5,799</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1240"/>
          </w:cols>
          <w:pgMar w:left="320" w:top="135" w:right="3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02"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7"/>
          <w:szCs w:val="17"/>
          <w:color w:val="auto"/>
        </w:rPr>
        <w:t>Mount Sinai Genomics, Inc., d/b/a Sema4 (the “Company” or “Sema4”) provides genomics-related diagnostic and information services and pursues genomics medical research. The Company utilizes an integrated portfolio of laboratory processes, software tools and informatics capabilities to process DNA-containing samples, analyze information about patient-specific genetic variation and generate test reports for clinicians and their patients. The Company provides a variety of genetic diagnostic tests and information with focus on reproductive health, pediatric, oncology and other conditions. In 2020, the Company began to provide diagnostic testing services in response to the recent novel coronavirus (“COVID-19”) outbreak. The Company serves patients and bills third party payors across the United States, with a substantial portion of its diagnostic testing volume occurring in the states of New York, California, Florida, Connecticut, and New Jersey.</w:t>
      </w:r>
    </w:p>
    <w:p>
      <w:pPr>
        <w:spacing w:after="0" w:line="124"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6"/>
          <w:szCs w:val="16"/>
          <w:color w:val="auto"/>
        </w:rPr>
        <w:t>The Company was incorporated in the State of Delaware as a for-profit corporation on October 16, 2015, with limited operations focused on establishing the Company as a capitalized, standalone entity. On June 1, 2017, the Company signed a contribution and funding agreement and other agreements with Icahn School of Medicine at Mount Sinai (“ISMMS”), whereby ISMMS contributed certain assets and liabilities related to the Company’s operations, provided certain services to the Company, and also committed to fund the Company up to $55.0 million in future capital contributions in exchange for equity in the Company (the “Spin-out”). Following the Spin-out, the Company commenced operations and began providing the services and performing research. The Company continues to be a party to service agreements (“Service Agreements”) with ISMMS (see Note 6).</w:t>
      </w:r>
    </w:p>
    <w:p>
      <w:pPr>
        <w:spacing w:after="0" w:line="1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8"/>
          <w:szCs w:val="18"/>
          <w:color w:val="auto"/>
        </w:rPr>
        <w:t>On February 9, 2021, the Company, CM Life Sciences, Inc. (“CMLS”), and S-IV Sub, Inc., a direct and wholly-owned subsidiary of CMLS, entered into an Agreement and Plan of Merger (the “Merger Agreement”). On July 22, 2021, the Company consummated the merger contemplated by the Merger Agreement, whereby Merger Sub merged with and into the Company, with the Company surviving the merger as a wholly-owned subsidiary of CMLS (the “Merger” and, together with the other transactions contemplated by the Merger Agreement, the “Business Combination”). In connection with the consummation of the Business Combination, CMLS changed its name to “Sema4 Holdings Corp.” and the Company changed its name to “Sema4 OpCo, Inc.” All equity securities of the Company were converted into the right to receive the applicable portion of merger consideration, discussed in Note 14 “Subsequent Events”.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accompanying unaudited condensed financial statements have been prepared in conformity with accounting principles generally accepted in the United States of America (“U.S. GAAP”) for interim financial information and pursuant to the accounting disclosure rules and regulations of the Securities and Exchange Commission (the “SEC”) regarding interim financial reporting. Accordingly, they do not include all of the information and footnotes required by U.S. GAAP for complete financial statements. As such, the accompanying unaudited condensed financial statements should be read in conjunction with the Company’s audited financial statements and notes thereto as of and for the years ended December 31, 2020, 2019 and 2018 that are included in the definitive proxy statement filed with the SEC on July 2, 2021.</w:t>
      </w:r>
    </w:p>
    <w:p>
      <w:pPr>
        <w:spacing w:after="0" w:line="135"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The accompanying unaudited condensed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35"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337" w:lineRule="auto"/>
        <w:rPr>
          <w:sz w:val="20"/>
          <w:szCs w:val="20"/>
          <w:color w:val="auto"/>
        </w:rPr>
      </w:pPr>
      <w:r>
        <w:rPr>
          <w:rFonts w:ascii="Arial" w:cs="Arial" w:eastAsia="Arial" w:hAnsi="Arial"/>
          <w:sz w:val="16"/>
          <w:szCs w:val="16"/>
          <w:color w:val="auto"/>
        </w:rPr>
        <w:t>The Company’s historical financial information includes costs of certain services historically provided by ISMMS pursuant to the Transition Services Agreement ("TSA") and Service Agreements. The Company’s historical results are not necessarily indicative of what its results of operations, financial position, cash flows, or costs and expenses would have been had the Company been an independent entity during the historical periods presented or what its results of operations, financial position, cash flows, or costs and expenses will be in the future when it is a publicly traded, stand-alone company.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9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about the Company’s ability to continue as a going concern within one year after the date that the unaudited condensed financial statements are issued. Based on its recurring losses from operations incurred since inception, expectation of continuing operating losses for the foreseeable future, and the need to raise additional capital to finance its future operations raised substantial doubt about the Company’s ability to continue as a going concern, as disclosed in the Company’s audited financial statements as of December 31, 2020 and 2019 and unaudited condensed financial statements included within the definitive proxy statement filed with the SEC on July 2, 2021.</w:t>
      </w:r>
    </w:p>
    <w:p>
      <w:pPr>
        <w:spacing w:after="0" w:line="13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color w:val="auto"/>
        </w:rPr>
        <w:t>On July 22, 2021, the Company completed the Merger with CMLS and received net cash proceeds of $510 million. Management determined that the cash proceeds received from the Merger provides the Company with sufficient liquidity to meet its obligations for at least twelve months from the date of this report. Accordingly, management believes that its plans to improve the Company’s liquidity position have been effectively implemented and the conditions that previously raised substantial doubt about the Company’s ability to continue as a going concern have been mitigated.</w:t>
      </w:r>
    </w:p>
    <w:p>
      <w:pPr>
        <w:spacing w:after="0" w:line="118" w:lineRule="exact"/>
        <w:rPr>
          <w:sz w:val="20"/>
          <w:szCs w:val="20"/>
          <w:color w:val="auto"/>
        </w:rPr>
      </w:pPr>
    </w:p>
    <w:p>
      <w:pPr>
        <w:jc w:val="both"/>
        <w:ind w:firstLine="324"/>
        <w:spacing w:after="0" w:line="341" w:lineRule="auto"/>
        <w:rPr>
          <w:sz w:val="20"/>
          <w:szCs w:val="20"/>
          <w:color w:val="auto"/>
        </w:rPr>
      </w:pPr>
      <w:r>
        <w:rPr>
          <w:rFonts w:ascii="Arial" w:cs="Arial" w:eastAsia="Arial" w:hAnsi="Arial"/>
          <w:sz w:val="17"/>
          <w:szCs w:val="17"/>
          <w:color w:val="auto"/>
        </w:rPr>
        <w:t>Accordingly, the unaudited condensed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8" w:lineRule="exact"/>
        <w:rPr>
          <w:sz w:val="20"/>
          <w:szCs w:val="20"/>
          <w:color w:val="auto"/>
        </w:rPr>
      </w:pPr>
    </w:p>
    <w:p>
      <w:pPr>
        <w:ind w:right="3260"/>
        <w:spacing w:after="0" w:line="295" w:lineRule="auto"/>
        <w:rPr>
          <w:sz w:val="20"/>
          <w:szCs w:val="20"/>
          <w:color w:val="auto"/>
        </w:rPr>
      </w:pPr>
      <w:r>
        <w:rPr>
          <w:rFonts w:ascii="Arial" w:cs="Arial" w:eastAsia="Arial" w:hAnsi="Arial"/>
          <w:sz w:val="18"/>
          <w:szCs w:val="18"/>
          <w:color w:val="auto"/>
        </w:rPr>
        <w:t>The Company operates and manages its business as one reportable operating segment based on the manner in which the Chief Executive Officer, who is the Company’s chief operating decision maker (“CODM”), assesses performance and allocates resources across the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6"/>
          <w:szCs w:val="16"/>
          <w:color w:val="auto"/>
        </w:rPr>
        <w:t>The preparation of unaudited condensed financial statements in conformity with U.S. GAAP requires management to make certain estimates, judgments and assumptions that affect the reported amounts of assets and liabilities and the related disclosures at the date of the unaudited condensed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and inventory. Actual results could differ materially from those estimates, judgments and assumptions.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9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35"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assesses both the customer and, if applicable, the third-party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at June 30, 2021 and December 31, 2020 were primarily from large managed care insurance companies and a reference laboratory. There was no individual customer that accounted for 10% or more of revenue or accounts receivable for any of the periods presented. The Company does not require collateral as a means to mitigate customer credit risk.</w:t>
      </w:r>
    </w:p>
    <w:p>
      <w:pPr>
        <w:spacing w:after="0" w:line="13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For each significant payor, revenue as a percentage of total revenues and accounts receivable as a percentage of total accounts receivable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gridSpan w:val="3"/>
          </w:tcPr>
          <w:p>
            <w:pPr>
              <w:ind w:left="240"/>
              <w:spacing w:after="0"/>
              <w:rPr>
                <w:sz w:val="20"/>
                <w:szCs w:val="20"/>
                <w:color w:val="auto"/>
              </w:rPr>
            </w:pPr>
            <w:r>
              <w:rPr>
                <w:rFonts w:ascii="Arial" w:cs="Arial" w:eastAsia="Arial" w:hAnsi="Arial"/>
                <w:sz w:val="14"/>
                <w:szCs w:val="14"/>
                <w:b w:val="1"/>
                <w:bCs w:val="1"/>
                <w:color w:val="auto"/>
              </w:rPr>
              <w:t>Revenue</w:t>
            </w: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3"/>
          </w:tcPr>
          <w:p>
            <w:pPr>
              <w:jc w:val="right"/>
              <w:ind w:right="657"/>
              <w:spacing w:after="0"/>
              <w:rPr>
                <w:sz w:val="20"/>
                <w:szCs w:val="20"/>
                <w:color w:val="auto"/>
              </w:rPr>
            </w:pPr>
            <w:r>
              <w:rPr>
                <w:rFonts w:ascii="Arial" w:cs="Arial" w:eastAsia="Arial" w:hAnsi="Arial"/>
                <w:sz w:val="14"/>
                <w:szCs w:val="14"/>
                <w:b w:val="1"/>
                <w:bCs w:val="1"/>
                <w:color w:val="auto"/>
              </w:rPr>
              <w:t>Accounts Receivable</w:t>
            </w:r>
          </w:p>
        </w:tc>
      </w:tr>
      <w:tr>
        <w:trPr>
          <w:trHeight w:val="26"/>
        </w:trPr>
        <w:tc>
          <w:tcPr>
            <w:tcW w:w="26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7"/>
        </w:trPr>
        <w:tc>
          <w:tcPr>
            <w:tcW w:w="2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r>
      <w:tr>
        <w:trPr>
          <w:trHeight w:val="213"/>
        </w:trPr>
        <w:tc>
          <w:tcPr>
            <w:tcW w:w="2680" w:type="dxa"/>
            <w:vAlign w:val="bottom"/>
          </w:tcPr>
          <w:p>
            <w:pPr>
              <w:spacing w:after="0"/>
              <w:rPr>
                <w:sz w:val="18"/>
                <w:szCs w:val="18"/>
                <w:color w:val="auto"/>
              </w:rPr>
            </w:pPr>
          </w:p>
        </w:tc>
        <w:tc>
          <w:tcPr>
            <w:tcW w:w="23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gridSpan w:val="3"/>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6"/>
        </w:trPr>
        <w:tc>
          <w:tcPr>
            <w:tcW w:w="26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3560" w:type="dxa"/>
            <w:vAlign w:val="bottom"/>
            <w:gridSpan w:val="2"/>
          </w:tcPr>
          <w:p>
            <w:pPr>
              <w:ind w:left="3220"/>
              <w:spacing w:after="0"/>
              <w:rPr>
                <w:sz w:val="20"/>
                <w:szCs w:val="20"/>
                <w:color w:val="auto"/>
              </w:rPr>
            </w:pPr>
            <w:r>
              <w:rPr>
                <w:rFonts w:ascii="Arial" w:cs="Arial" w:eastAsia="Arial" w:hAnsi="Arial"/>
                <w:sz w:val="14"/>
                <w:szCs w:val="14"/>
                <w:b w:val="1"/>
                <w:bCs w:val="1"/>
                <w:color w:val="auto"/>
              </w:rPr>
              <w:t>2021</w:t>
            </w:r>
          </w:p>
        </w:tc>
        <w:tc>
          <w:tcPr>
            <w:tcW w:w="14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775"/>
              <w:spacing w:after="0"/>
              <w:rPr>
                <w:sz w:val="20"/>
                <w:szCs w:val="20"/>
                <w:color w:val="auto"/>
              </w:rPr>
            </w:pPr>
            <w:r>
              <w:rPr>
                <w:rFonts w:ascii="Arial" w:cs="Arial" w:eastAsia="Arial" w:hAnsi="Arial"/>
                <w:sz w:val="14"/>
                <w:szCs w:val="14"/>
                <w:b w:val="1"/>
                <w:bCs w:val="1"/>
                <w:color w:val="auto"/>
              </w:rPr>
              <w:t>2021</w:t>
            </w:r>
          </w:p>
        </w:tc>
        <w:tc>
          <w:tcPr>
            <w:tcW w:w="11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26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rPr>
              <w:t>17 %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Payor B</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rPr>
              <w:t>13 %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Payor D</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255"/>
              <w:spacing w:after="0"/>
              <w:rPr>
                <w:sz w:val="20"/>
                <w:szCs w:val="20"/>
                <w:color w:val="auto"/>
              </w:rPr>
            </w:pPr>
            <w:r>
              <w:rPr>
                <w:rFonts w:ascii="Arial" w:cs="Arial" w:eastAsia="Arial" w:hAnsi="Arial"/>
                <w:sz w:val="18"/>
                <w:szCs w:val="18"/>
                <w:color w:val="auto"/>
              </w:rPr>
              <w:t>10 %</w:t>
            </w:r>
          </w:p>
        </w:tc>
        <w:tc>
          <w:tcPr>
            <w:tcW w:w="11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Payor 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26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*less than 10%</w:t>
      </w:r>
    </w:p>
    <w:p>
      <w:pPr>
        <w:spacing w:after="0" w:line="200" w:lineRule="exact"/>
        <w:rPr>
          <w:sz w:val="20"/>
          <w:szCs w:val="20"/>
          <w:color w:val="auto"/>
        </w:rPr>
      </w:pPr>
    </w:p>
    <w:p>
      <w:pPr>
        <w:spacing w:after="0" w:line="386"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The Company is subject to a concentration of risk from a limited number of suppliers for certain reagents and laboratory supplies. One supplier accounted for approximately 11% and 8% of purchases of lab supplies, reagents and kits for the six months ended June 30, 2021 and 2020, respectively and 10% and 4% for the three months ended June 30, 2021 and 2020. This risk is managed by maintaining a target quantity of surplus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9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In March 2020, the World Health Organization declared the COVID-19 outbreak a pandemic. COVID-19 has had, and continues to have, an extensive impact on the global health and economic environments. Many jurisdictions, including those in which the Company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4"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7"/>
          <w:szCs w:val="17"/>
          <w:color w:val="auto"/>
        </w:rPr>
        <w:t>Beginning in April 2020, the Company’s diagnostic test volumes decreased significantly as compared to the prior year as a result of COVID-19 and the related limitations and priorities across the healthcare system. In response, beginning in May 2020, the Company entered into several service agreements with state governments and healthcare institutions to provide testing for the presence of COVID-19 infection. While test volumes have since improved, the Company continues to experience changes in the mix of tests due to the impact of COVID-19. COVID-19 could continue to have a material impact on the Company’s results of operations, cash flows and financial condition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35"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7"/>
          <w:szCs w:val="17"/>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the Company received $5.4 million, comprised of $2.6 million received under the Provider Relief Fund (“PRF”) distribution, which was recognized in other income, net in the statements of operations and comprehensive loss, and $2.8 million received under the Employee Retention Credit (“ERC”) distribution, which was recorded in the other liabilities and reflected in this balance as of June 30, 2021 and December 31, 2020.</w:t>
      </w:r>
    </w:p>
    <w:p>
      <w:pPr>
        <w:spacing w:after="0" w:line="11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During 2021, the Company received an additional $5.6 million under the PRF distribution, which was recognized in other income, net in the statements of operations and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9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Cash equivalents consist of amounts invested in money market funds. Carrying values of cash equivalents approximate fair value due to the short-term nature of these instruments.</w:t>
      </w:r>
    </w:p>
    <w:p>
      <w:pPr>
        <w:spacing w:after="0" w:line="11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condensed balance sheets that sum to the total of the same amounts shown on the condensed statements of cash flows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June 30, 2021</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As of December 31, 2020</w:t>
            </w:r>
          </w:p>
        </w:tc>
      </w:tr>
      <w:tr>
        <w:trPr>
          <w:trHeight w:val="26"/>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108,132</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10,828</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8"/>
          <w:szCs w:val="18"/>
          <w:color w:val="auto"/>
        </w:rPr>
        <w:t>Restricted cash as of June 30, 2021 consists of money market deposit accounts that secure irrevocable standby letters of credit that serve as collateral for security deposits for financing obligations and operating leases (see Note 7 and Note 8,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transaction costs</w:t>
      </w:r>
    </w:p>
    <w:p>
      <w:pPr>
        <w:spacing w:after="0" w:line="198"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The Company capitalizes certain transaction costs, which consist of direct, incremental legal, professional, accounting and other third-party fees that are directly related to the execution of the Merger. As of June 30, 2021, the Company has deferred $8.6 million of transaction costs in prepaid expenses and other current assets on the condensed balance sheets that will be reclassified and offset against equity upon consummation of the Merger.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9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 xml:space="preserve">Effective January 1, 2021, the Company adopted Accounting Standards Update (“ASU”) 2018-18, </w:t>
      </w:r>
      <w:r>
        <w:rPr>
          <w:rFonts w:ascii="Arial" w:cs="Arial" w:eastAsia="Arial" w:hAnsi="Arial"/>
          <w:sz w:val="18"/>
          <w:szCs w:val="18"/>
          <w:i w:val="1"/>
          <w:iCs w:val="1"/>
          <w:color w:val="auto"/>
        </w:rPr>
        <w:t>Collaborative Arrangements: Clarifying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Interaction between Topic 808 and Topic 606 </w:t>
      </w:r>
      <w:r>
        <w:rPr>
          <w:rFonts w:ascii="Arial" w:cs="Arial" w:eastAsia="Arial" w:hAnsi="Arial"/>
          <w:sz w:val="18"/>
          <w:szCs w:val="18"/>
          <w:color w:val="auto"/>
        </w:rPr>
        <w:t>(“ASU 2018-18”), which clarifies that certain transactions between participants in a collaborative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should be accounted for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35"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 xml:space="preserve">ASC Topic 606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when the counterparty is a customer. In addition, ASC Topic 808 (“ASC 808”), </w:t>
      </w:r>
      <w:r>
        <w:rPr>
          <w:rFonts w:ascii="Arial" w:cs="Arial" w:eastAsia="Arial" w:hAnsi="Arial"/>
          <w:sz w:val="17"/>
          <w:szCs w:val="17"/>
          <w:i w:val="1"/>
          <w:iCs w:val="1"/>
          <w:color w:val="auto"/>
        </w:rPr>
        <w:t xml:space="preserve">Collaborative Arrangements </w:t>
      </w:r>
      <w:r>
        <w:rPr>
          <w:rFonts w:ascii="Arial" w:cs="Arial" w:eastAsia="Arial" w:hAnsi="Arial"/>
          <w:sz w:val="17"/>
          <w:szCs w:val="17"/>
          <w:color w:val="auto"/>
        </w:rPr>
        <w:t>precludes an entity from presenting consideration from a transaction in a collaborative arrangement as revenue from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with customers if the counterparty is not a customer for that transaction. Adoption of ASU 2018-18 did not have an impact on the Company’s unaudited condensed financial statements as the Company is not currently a participant in any such collaborative arrangements.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9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7"/>
          <w:szCs w:val="17"/>
          <w:color w:val="auto"/>
        </w:rPr>
        <w:t>In February 2016, the FASB issued ASU 2016-02, Leases (“ASU 2016-02”), which requires lessees to recognize right-of-use assets and lease liabilities for most leases on their balance sheets. Expense recognition for lessees under ASU 2016-02 is similar to current lease accounting. ASU 2016-02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provisions of ASU 2016-02 are effective for the Company for annual and interim periods beginning after December 15, 2021. Early adoption is permitted. The Company is evaluating the transition options permissible under ASU 2016-02 and plans to adopt through a cumulative adjustment to retained earnings on the date of adoption. Significant implementation matters being addressed by the Company include documenting the new lease accounting process, and determining incremental borrowing rate and complete population of the leases for evaluation. The Company is evaluating the effect this ASU will have on its financial statements, related disclosures and ongoing financial reporting. The Company expects implementation of this ASU to result in the recognition of right-of-use assets and corresponding lease liabilities in its balance sheets, principally related to office and facility leases.</w:t>
      </w:r>
    </w:p>
    <w:p>
      <w:pPr>
        <w:spacing w:after="0" w:line="129" w:lineRule="exact"/>
        <w:rPr>
          <w:sz w:val="20"/>
          <w:szCs w:val="20"/>
          <w:color w:val="auto"/>
        </w:rPr>
      </w:pPr>
    </w:p>
    <w:p>
      <w:pPr>
        <w:jc w:val="both"/>
        <w:ind w:firstLine="324"/>
        <w:spacing w:after="0" w:line="32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new credit losses standard changes the impairment model for most financial assets and certain other instruments.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08"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(Subtopic 350-40): Customer’s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Implementation Costs Incurred in a Cloud Computing Arrangement That Is a Service Contract </w:t>
      </w:r>
      <w:r>
        <w:rPr>
          <w:rFonts w:ascii="Arial" w:cs="Arial" w:eastAsia="Arial" w:hAnsi="Arial"/>
          <w:sz w:val="16"/>
          <w:szCs w:val="16"/>
          <w:color w:val="auto"/>
        </w:rPr>
        <w:t>(“ASU 2018-15”), which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standard. ASU 2018-15 will require an entity (customer) in a hosting arrangement that is a service contract to follow the guidance in Subtopic 350-40 to determine which implementation costs to capitalize as an asset related to the service contract and which costs to expense. ASU 2018-15 also requires the entity (customer) to expense the capitalized implementation costs of a hosting arrangement that is a service contract over the term of the hosting arrangement. Additionally, ASU 2018-15 requires the entity to present the expense related to the capitalized implementation costs in the same line item in the statement of income as the fees associated with the hosting element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35"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(service) of the arrangement and classify payments for capitalized implementation costs in the statement of cash flows in the same manner as payments made for fees associated with the hosting element. The entity is also required to present the capitalized implementation costs on the balance sheets in the same line item that a prepayment for the fees of the associated hosting arrangement would be presented. The amendments in ASU 2018-15 are effective for the Company in annual reporting periods beginning after December 15, 2020 and interim periods beginning after December 15, 2021. Early adoption is permitted. The Company is expecting to prospectively apply amendments to all implementation costs incurred after the date of adoption.</w:t>
      </w:r>
    </w:p>
    <w:p>
      <w:pPr>
        <w:spacing w:after="0" w:line="10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ASU 2019-12 simplifies the accounting for income taxes by removing certain exceptions to the general principles in ASC 740 and clarifying and amending existing guidance to improve consistent application. ASU 2019-12 is effective for fiscal years beginning after December 15, 2021. Early adoption is permitted. The Company is currently assessing the impact of adopting this new accounting guidance will have on its financial statements and related disclosures.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Revenue</w:t>
      </w:r>
    </w:p>
    <w:p>
      <w:pPr>
        <w:spacing w:after="0" w:line="19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The majority of revenue is generated from diagnostic services provided to three groups of customers: patients with third-party insurance coverage; patients without third-party insurance coverage or those who elect to self-pay; and institutional clients, such as hospitals, clinics and reference laboratories. Revenue from diagnostic testing services is recorded at the estimated transaction price, subject to the constraint for variable consideration, upon transfer of control of the service.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98" w:lineRule="exact"/>
        <w:rPr>
          <w:sz w:val="20"/>
          <w:szCs w:val="20"/>
          <w:color w:val="auto"/>
        </w:rPr>
      </w:pPr>
    </w:p>
    <w:p>
      <w:pPr>
        <w:jc w:val="both"/>
        <w:ind w:firstLine="324"/>
        <w:spacing w:after="0" w:line="327" w:lineRule="auto"/>
        <w:rPr>
          <w:sz w:val="20"/>
          <w:szCs w:val="20"/>
          <w:color w:val="auto"/>
        </w:rPr>
      </w:pPr>
      <w:r>
        <w:rPr>
          <w:rFonts w:ascii="Arial" w:cs="Arial" w:eastAsia="Arial" w:hAnsi="Arial"/>
          <w:sz w:val="16"/>
          <w:szCs w:val="16"/>
          <w:color w:val="auto"/>
        </w:rPr>
        <w:t>The Company enters into both short-term and long-term project-based collaboration service agreements with third parties, whereby the Company provides diagnostic testing, research and related data aggregation reporting services. The consideration to which the Company is entitled pursuant to its collaboration service agreements generally includes non-refundable upfront payments and variable payments based upon the achievement of certain milestones during the contract term. Non-refundable upfront payments are generally received in advance of performing the services and, therefore,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Revenue for such collaboration service agreements is recognized over time using an input measure based on costs incurred to satisfy the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35"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Company’s revenue disaggregated by type of customer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jc w:val="right"/>
              <w:ind w:right="633"/>
              <w:spacing w:after="0"/>
              <w:rPr>
                <w:sz w:val="20"/>
                <w:szCs w:val="20"/>
                <w:color w:val="auto"/>
              </w:rPr>
            </w:pPr>
            <w:r>
              <w:rPr>
                <w:rFonts w:ascii="Arial" w:cs="Arial" w:eastAsia="Arial" w:hAnsi="Arial"/>
                <w:sz w:val="14"/>
                <w:szCs w:val="14"/>
                <w:b w:val="1"/>
                <w:bCs w:val="1"/>
                <w:color w:val="auto"/>
              </w:rPr>
              <w:t>Three months ended June 30,</w:t>
            </w:r>
          </w:p>
        </w:tc>
      </w:tr>
      <w:tr>
        <w:trPr>
          <w:trHeight w:val="26"/>
        </w:trPr>
        <w:tc>
          <w:tcPr>
            <w:tcW w:w="79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Patients with third-party insurance</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40,210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27,399</w:t>
            </w:r>
          </w:p>
        </w:tc>
      </w:tr>
      <w:tr>
        <w:trPr>
          <w:trHeight w:val="27"/>
        </w:trPr>
        <w:tc>
          <w:tcPr>
            <w:tcW w:w="7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Institutional customers</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Self-pay patients</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46,865</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48"/>
        </w:trPr>
        <w:tc>
          <w:tcPr>
            <w:tcW w:w="7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5"/>
          </w:tcPr>
          <w:p>
            <w:pPr>
              <w:jc w:val="right"/>
              <w:ind w:right="713"/>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7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Patients with third-party insurance</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86,409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71,795</w:t>
            </w:r>
          </w:p>
        </w:tc>
      </w:tr>
      <w:tr>
        <w:trPr>
          <w:trHeight w:val="27"/>
        </w:trPr>
        <w:tc>
          <w:tcPr>
            <w:tcW w:w="7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Institutional customers</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Self-pay patients</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919</w:t>
            </w:r>
          </w:p>
        </w:tc>
      </w:tr>
      <w:tr>
        <w:trPr>
          <w:trHeight w:val="27"/>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75,866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7"/>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Reassessment of variable consideration</w:t>
      </w:r>
    </w:p>
    <w:p>
      <w:pPr>
        <w:spacing w:after="0" w:line="19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For the three months ended June 30, 2021, the quarterly change in estimate resulted in a $0.5 million downward adjustment for tests in which the performance obligation of delivering the test results was met in prior periods. The change in estimate is a result of changes in the estimated transaction price due to contractual adjustments, obtaining updated information from payors and patients that was unknown at the time the performance obligation was met and settlements with third party payors. For the three months ended June 30, 2020, the quarterly change in estimate did not result in material adjustments to the Company’s previously reported revenue or accounts receivable amounts.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98"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Due to the long-term nature of collaboration service agreement, the Company’s obligations pursuant to such agreement represent partially unsatisfied performance obligations as of June 30, 2021. The revenues under existing collaboration service agreements with original expected durations of more than one year are estimated to be approximately $11.4 million. The Company expects to recognize the majority of this revenue over the next 4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9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240"/>
          </w:cols>
          <w:pgMar w:left="320" w:top="135" w:right="3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Contract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5"/>
              <w:spacing w:after="0"/>
              <w:rPr>
                <w:sz w:val="20"/>
                <w:szCs w:val="20"/>
                <w:color w:val="auto"/>
              </w:rPr>
            </w:pPr>
            <w:r>
              <w:rPr>
                <w:rFonts w:ascii="Arial" w:cs="Arial" w:eastAsia="Arial" w:hAnsi="Arial"/>
                <w:sz w:val="14"/>
                <w:szCs w:val="14"/>
                <w:b w:val="1"/>
                <w:bCs w:val="1"/>
                <w:color w:val="auto"/>
              </w:rPr>
              <w:t>Contract</w:t>
            </w:r>
          </w:p>
        </w:tc>
      </w:tr>
      <w:tr>
        <w:trPr>
          <w:trHeight w:val="239"/>
        </w:trPr>
        <w:tc>
          <w:tcPr>
            <w:tcW w:w="79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Assets</w:t>
            </w: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4"/>
                <w:szCs w:val="14"/>
                <w:b w:val="1"/>
                <w:bCs w:val="1"/>
                <w:color w:val="auto"/>
              </w:rPr>
              <w:t>Liabilities</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080" w:type="dxa"/>
            <w:vAlign w:val="bottom"/>
            <w:tcBorders>
              <w:top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2,028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3,811</w:t>
            </w:r>
          </w:p>
        </w:tc>
      </w:tr>
      <w:tr>
        <w:trPr>
          <w:trHeight w:val="27"/>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 additions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Customer prepayments</w:t>
            </w:r>
          </w:p>
        </w:tc>
        <w:tc>
          <w:tcPr>
            <w:tcW w:w="10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1,723</w:t>
            </w:r>
          </w:p>
        </w:tc>
      </w:tr>
      <w:tr>
        <w:trPr>
          <w:trHeight w:val="27"/>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color w:val="auto"/>
              </w:rPr>
              <w:t>June 30, 2021</w:t>
            </w: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2,454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3,795</w:t>
            </w:r>
          </w:p>
        </w:tc>
      </w:tr>
      <w:tr>
        <w:trPr>
          <w:trHeight w:val="21"/>
        </w:trPr>
        <w:tc>
          <w:tcPr>
            <w:tcW w:w="7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The decrease in contract liabilities as of June 30, 2021 is primarily due to the execution of the performance obligations during the period. The Company presents contract assets and contract liabilities with respect to customer contracts on a net basis on its condensed balance sheets. As of June 30, 2021 and December 31, 2020, $1.3 million and $1.8 million is recorded as current contract liabilities, respectively.</w:t>
      </w:r>
    </w:p>
    <w:p>
      <w:pPr>
        <w:spacing w:after="0" w:line="12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Revenues recognized that were included in the contract liability balance at the beginning of each period were $1.5 million and $0.3 million, respectively, for the three months ended June 30, 2021 and June 30, 2020 and $2.2 million and $0.8 for the six months ended June 30, 2021 and June 30,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fulfill contracts</w:t>
      </w:r>
    </w:p>
    <w:p>
      <w:pPr>
        <w:spacing w:after="0" w:line="198"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condensed balance sheets as current or non-current based upon forecasted performance.</w:t>
      </w:r>
    </w:p>
    <w:p>
      <w:pPr>
        <w:spacing w:after="0" w:line="93" w:lineRule="exact"/>
        <w:rPr>
          <w:sz w:val="20"/>
          <w:szCs w:val="20"/>
          <w:color w:val="auto"/>
        </w:rPr>
      </w:pPr>
    </w:p>
    <w:p>
      <w:pPr>
        <w:jc w:val="both"/>
        <w:ind w:firstLine="324"/>
        <w:spacing w:after="0" w:line="377" w:lineRule="auto"/>
        <w:rPr>
          <w:sz w:val="20"/>
          <w:szCs w:val="20"/>
          <w:color w:val="auto"/>
        </w:rPr>
      </w:pPr>
      <w:r>
        <w:rPr>
          <w:rFonts w:ascii="Arial" w:cs="Arial" w:eastAsia="Arial" w:hAnsi="Arial"/>
          <w:sz w:val="16"/>
          <w:szCs w:val="16"/>
          <w:color w:val="auto"/>
        </w:rPr>
        <w:t>As of June 30, 2021 and December 31, 2020, the Company had outstanding deferred costs to fulfill contracts of $2.5 million and $3.0 million, respectively. As of June 30, 2021 and December 31, 2020, all outstanding deferred costs were recorded as prepaid expenses and other current assets.</w:t>
      </w:r>
    </w:p>
    <w:p>
      <w:pPr>
        <w:spacing w:after="0" w:line="70"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Amortization of deferred costs was $0.3 million and $0.2 million for the three months ended June 30, 2021 and 2020, respectively and $0.5 million and $0.5 million for the six months ended June 30, 2021 and 2020, respectively. The amortization of these costs is recorded in cost of services on the condensed statements of operations and comprehensive loss.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02"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12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The Company’s capital leases and long-term debt are classified within level 1 of the fair value hierarchy because such long-term debt and capital lease agreements bear interest at rates for instruments with similar characteristics; accordingly, the carrying value of these liabilities approximate their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35"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ind w:left="700"/>
              <w:spacing w:after="0"/>
              <w:rPr>
                <w:sz w:val="20"/>
                <w:szCs w:val="20"/>
                <w:color w:val="auto"/>
              </w:rPr>
            </w:pPr>
            <w:r>
              <w:rPr>
                <w:rFonts w:ascii="Arial" w:cs="Arial" w:eastAsia="Arial" w:hAnsi="Arial"/>
                <w:sz w:val="14"/>
                <w:szCs w:val="14"/>
                <w:b w:val="1"/>
                <w:bCs w:val="1"/>
                <w:color w:val="auto"/>
                <w:w w:val="89"/>
              </w:rPr>
              <w:t>As of June 30, 2021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Level 3</w:t>
            </w:r>
          </w:p>
        </w:tc>
      </w:tr>
      <w:tr>
        <w:trPr>
          <w:trHeight w:val="26"/>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21,904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680"/>
              <w:spacing w:after="0"/>
              <w:rPr>
                <w:sz w:val="20"/>
                <w:szCs w:val="20"/>
                <w:color w:val="auto"/>
              </w:rPr>
            </w:pPr>
            <w:r>
              <w:rPr>
                <w:rFonts w:ascii="Arial" w:cs="Arial" w:eastAsia="Arial" w:hAnsi="Arial"/>
                <w:sz w:val="18"/>
                <w:szCs w:val="18"/>
                <w:color w:val="auto"/>
                <w:w w:val="98"/>
              </w:rPr>
              <w:t>21,904</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98"/>
              </w:rPr>
              <w:t>21,904</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91"/>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5"/>
          </w:tcPr>
          <w:p>
            <w:pPr>
              <w:ind w:left="520"/>
              <w:spacing w:after="0"/>
              <w:rPr>
                <w:sz w:val="20"/>
                <w:szCs w:val="20"/>
                <w:color w:val="auto"/>
              </w:rPr>
            </w:pPr>
            <w:r>
              <w:rPr>
                <w:rFonts w:ascii="Arial" w:cs="Arial" w:eastAsia="Arial" w:hAnsi="Arial"/>
                <w:sz w:val="14"/>
                <w:szCs w:val="14"/>
                <w:b w:val="1"/>
                <w:bCs w:val="1"/>
                <w:color w:val="auto"/>
              </w:rPr>
              <w:t>As of December 31, 2020</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Level 3</w:t>
            </w:r>
          </w:p>
        </w:tc>
      </w:tr>
      <w:tr>
        <w:trPr>
          <w:trHeight w:val="26"/>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680"/>
              <w:spacing w:after="0"/>
              <w:rPr>
                <w:sz w:val="20"/>
                <w:szCs w:val="20"/>
                <w:color w:val="auto"/>
              </w:rPr>
            </w:pPr>
            <w:r>
              <w:rPr>
                <w:rFonts w:ascii="Arial" w:cs="Arial" w:eastAsia="Arial" w:hAnsi="Arial"/>
                <w:sz w:val="18"/>
                <w:szCs w:val="18"/>
                <w:color w:val="auto"/>
                <w:w w:val="98"/>
              </w:rPr>
              <w:t>92,940</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8"/>
              </w:rPr>
              <w:t>92,940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Money market funds are classified within Level 1 of the fair value hierarchy as the fair value is based on quoted prices in active markets.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 1, Level 2 and Level 3 during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34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As of</w:t>
            </w:r>
          </w:p>
        </w:tc>
      </w:tr>
      <w:tr>
        <w:trPr>
          <w:trHeight w:val="162"/>
        </w:trPr>
        <w:tc>
          <w:tcPr>
            <w:tcW w:w="8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34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center"/>
              <w:ind w:right="23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2020</w:t>
            </w:r>
          </w:p>
        </w:tc>
      </w:tr>
      <w:tr>
        <w:trPr>
          <w:trHeight w:val="53"/>
        </w:trPr>
        <w:tc>
          <w:tcPr>
            <w:tcW w:w="80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20,743</w:t>
            </w:r>
          </w:p>
        </w:tc>
      </w:tr>
      <w:tr>
        <w:trPr>
          <w:trHeight w:val="27"/>
        </w:trPr>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4,673</w:t>
            </w:r>
          </w:p>
        </w:tc>
      </w:tr>
      <w:tr>
        <w:trPr>
          <w:trHeight w:val="27"/>
        </w:trPr>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14,631</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4,118</w:t>
            </w:r>
          </w:p>
        </w:tc>
      </w:tr>
      <w:tr>
        <w:trPr>
          <w:trHeight w:val="27"/>
        </w:trPr>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Furnitures, fixtures and other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3,214</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16,736</w:t>
            </w:r>
          </w:p>
        </w:tc>
      </w:tr>
      <w:tr>
        <w:trPr>
          <w:trHeight w:val="27"/>
        </w:trPr>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93,209</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(30,099)</w:t>
            </w:r>
          </w:p>
        </w:tc>
      </w:tr>
      <w:tr>
        <w:trPr>
          <w:trHeight w:val="27"/>
        </w:trPr>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35"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For the three months ended June 30, 2021 and 2020, depreciation and amortization expense was $5.6 million and $2.7 million. For the six months ended June 30, 2021 and 2020, depreciation and amortization expense was $10.5 million and $5.1 million, respectively. This included software amortization expense of $1.4 million and $0.7 million for the three months ended June 30, 2021 and 2020 and $2.6 million and $1.2 million for the six months ended June 30, 2021 and 2020, respectively. Depreciation and amortization expense is included within the condensed statements of operations and comprehensive loss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60" w:type="dxa"/>
            <w:vAlign w:val="bottom"/>
            <w:gridSpan w:val="5"/>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r>
      <w:tr>
        <w:trPr>
          <w:trHeight w:val="26"/>
        </w:trPr>
        <w:tc>
          <w:tcPr>
            <w:tcW w:w="79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79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r>
      <w:tr>
        <w:trPr>
          <w:trHeight w:val="26"/>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00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798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expenses</w:t>
            </w:r>
          </w:p>
        </w:tc>
        <w:tc>
          <w:tcPr>
            <w:tcW w:w="1000" w:type="dxa"/>
            <w:vAlign w:val="bottom"/>
            <w:tcBorders>
              <w:bottom w:val="single" w:sz="8" w:color="auto"/>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448"/>
        </w:trPr>
        <w:tc>
          <w:tcPr>
            <w:tcW w:w="7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gridSpan w:val="5"/>
          </w:tcPr>
          <w:p>
            <w:pPr>
              <w:jc w:val="right"/>
              <w:ind w:right="156"/>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24"/>
                <w:szCs w:val="24"/>
                <w:color w:val="auto"/>
              </w:rPr>
            </w:pPr>
          </w:p>
        </w:tc>
      </w:tr>
      <w:tr>
        <w:trPr>
          <w:trHeight w:val="26"/>
        </w:trPr>
        <w:tc>
          <w:tcPr>
            <w:tcW w:w="798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79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r>
      <w:tr>
        <w:trPr>
          <w:trHeight w:val="26"/>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00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
        </w:trPr>
        <w:tc>
          <w:tcPr>
            <w:tcW w:w="798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7"/>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3"/>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expenses</w:t>
            </w:r>
          </w:p>
        </w:tc>
        <w:tc>
          <w:tcPr>
            <w:tcW w:w="100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10,521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revenues</w:t>
      </w:r>
    </w:p>
    <w:p>
      <w:pPr>
        <w:spacing w:after="0" w:line="19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Related party revenue with Mount Sinai Health Network for diagnostic testing revenues were nominal for the three months ended June 30, 2021 and June 30, 2020. Related party revenue with Mount Sinai Health Network for diagnostic testing revenues were $0.1 million for the six months ended June 30, 2021 and June 30, 2020. Related party revenues from collaborative service agreements were nominal for the three and six months ended June 30, 2021, while there were none for the three and six months ended June 30, 2020.</w:t>
      </w:r>
    </w:p>
    <w:p>
      <w:pPr>
        <w:spacing w:after="0" w:line="134"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The Company had amounts due from ISMMS and other entities within the Mount Sinai Health Network for revenues earned of $0.4 million and $0.3 million as of June 30, 2021 and December 31, 2020, respectively. These amounts are presented as due from related parties on the Company’s condensed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costs</w:t>
      </w:r>
    </w:p>
    <w:p>
      <w:pPr>
        <w:spacing w:after="0" w:line="19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color w:val="auto"/>
        </w:rPr>
        <w:t>Expenses recognized under the TSA totaled $0 and $1.9 million for the three months ended June 30, 2021 and 2020, respectively and $1.4 million and $3.8 million for the six months ended June 30, 2021 and 2020 and are presented within related party expenses in the condensed statements of operations and comprehensive loss. The Company had TSA payables due to ISMMS of $0 and $0.6 million at June 30, 2021 and December 31, 2020, respectively. These amounts are included within due to related parties on the Company’s condensed balance sheets.</w:t>
      </w:r>
    </w:p>
    <w:p>
      <w:pPr>
        <w:spacing w:after="0" w:line="11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Expenses recognized pursuant to the Service Agreements and other service arrangements with ISMMS totaled $1.9 million and $0.7 million for the three months ended June 30, 2021 and 2020 and $2.6 million and $1.6 million for the six months ended June 30, 2021 and 2020, respectively. These amounts are included in either cost of services or related party expenses on the condensed statements of operations and comprehensive loss depending on the</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240"/>
          </w:cols>
          <w:pgMar w:left="320" w:top="135" w:right="3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particular activity to which the costs relate. Payables due to ISMMS for the Service Agreements and other service arrangements were $1.3 million $0.8 million at June 30, 2021 and December 31, 2020, respectively. These amounts are included within due to related parties on the Company’s condensed balance sheets.</w:t>
      </w:r>
    </w:p>
    <w:p>
      <w:pPr>
        <w:spacing w:after="0" w:line="12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condensed statements of operations and comprehensive loss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6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Related party expenses</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2,111</w:t>
            </w:r>
          </w:p>
        </w:tc>
      </w:tr>
      <w:tr>
        <w:trPr>
          <w:trHeight w:val="27"/>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related party costs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448"/>
        </w:trPr>
        <w:tc>
          <w:tcPr>
            <w:tcW w:w="8020" w:type="dxa"/>
            <w:vAlign w:val="bottom"/>
          </w:tcPr>
          <w:p>
            <w:pPr>
              <w:spacing w:after="0"/>
              <w:rPr>
                <w:sz w:val="24"/>
                <w:szCs w:val="24"/>
                <w:color w:val="auto"/>
              </w:rPr>
            </w:pPr>
          </w:p>
        </w:tc>
        <w:tc>
          <w:tcPr>
            <w:tcW w:w="266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24"/>
                <w:szCs w:val="24"/>
                <w:color w:val="auto"/>
              </w:rPr>
            </w:pPr>
          </w:p>
        </w:tc>
      </w:tr>
      <w:tr>
        <w:trPr>
          <w:trHeight w:val="26"/>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Related party expenses</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4,306</w:t>
            </w:r>
          </w:p>
        </w:tc>
      </w:tr>
      <w:tr>
        <w:trPr>
          <w:trHeight w:val="27"/>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related party costs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9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June 2017, ISMMS assigned a loan funding commitment from the Connecticut Department of Economic and Community Development (“DECD”) to the Company. The DECD loan agreement, as amended,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This commitment is collateralized by providing a security interest in certain machinery and equipment the Company acquired from ISMMS, as defined in a separate security agreement. ISMMS also guarantees the Company’s obligation to repay the DECD.</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outstanding loan balance from the DECD was $11.0 million at June 30, 2021 and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98" w:lineRule="exact"/>
        <w:rPr>
          <w:sz w:val="20"/>
          <w:szCs w:val="20"/>
          <w:color w:val="auto"/>
        </w:rPr>
      </w:pPr>
    </w:p>
    <w:p>
      <w:pPr>
        <w:jc w:val="both"/>
        <w:ind w:firstLine="324"/>
        <w:spacing w:after="0" w:line="319" w:lineRule="auto"/>
        <w:rPr>
          <w:sz w:val="20"/>
          <w:szCs w:val="20"/>
          <w:color w:val="auto"/>
        </w:rPr>
      </w:pPr>
      <w:r>
        <w:rPr>
          <w:rFonts w:ascii="Arial" w:cs="Arial" w:eastAsia="Arial" w:hAnsi="Arial"/>
          <w:sz w:val="17"/>
          <w:szCs w:val="17"/>
          <w:color w:val="auto"/>
        </w:rPr>
        <w:t>In August 2020, the Company entered into a loan and security agreement with a bank, in which the Company received a loan of $6.3 million and deposited the proceeds into a deposit account held by the bank. The Company is required to make sixty consecutive monthly payments of principal and interest at a fixed monthly amount of $0.1 million beginning in November 2020. Interest payments are fixed at an annual interest rate of 4.75%.</w:t>
      </w:r>
    </w:p>
    <w:p>
      <w:pPr>
        <w:spacing w:after="0" w:line="11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The Company recorded the $6.3 million proceeds as restricted cash on the condensed balance sheets at June 30, 2021 and December 31, 2020. The outstanding loan balance was $5.5 million and $6.1 million at June 30, 2021 and December 31, 2020,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9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In December 2020, the Company entered into a lease agreement with a lender whereby the Company agreed to sell certain equipment and immediately leaseback the equipment, resulting in proceeds of $3.6 million. Per the terms of the agreement, a financial institution issued an irrevocable standby letter of credit to the lender for $3.6 million.</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240"/>
          </w:cols>
          <w:pgMar w:left="320" w:top="135" w:right="3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Company is required to make sixty consecutive monthly payments of principal and interest at a fixed monthly amount of $0.1 million beginning in February 2021. Interest payments are fixed at an annual interest rate of 3.54%.</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The Company must maintain an aggregate amount on deposit equal to at least 105% of the value of any outstanding letters of credit issued by the financial institution on the Company’s behalf. The letter of credit must be in place until all obligations have been paid in full. Further, the Company must furnish annual audited financial statements and other financial information to the lender on a regular basis. The Company was in compliance with the covenants as of June 30, 2021.</w:t>
      </w:r>
    </w:p>
    <w:p>
      <w:pPr>
        <w:spacing w:after="0" w:line="1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The Company recorded the $3.6 million proceeds as restricted cash on the condensed balance sheets at June 30, 2021 and December 31, 2020. The outstanding loan balance was $3.4 million and $3.6 million at June 30, 2021 and December 31, 2020,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b w:val="1"/>
                <w:bCs w:val="1"/>
                <w:i w:val="1"/>
                <w:iCs w:val="1"/>
                <w:color w:val="auto"/>
              </w:rPr>
              <w:t>Maturities of Long-Term Debt</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9680" w:type="dxa"/>
            <w:vAlign w:val="bottom"/>
          </w:tcPr>
          <w:p>
            <w:pPr>
              <w:ind w:left="340"/>
              <w:spacing w:after="0"/>
              <w:rPr>
                <w:sz w:val="20"/>
                <w:szCs w:val="20"/>
                <w:color w:val="auto"/>
              </w:rPr>
            </w:pPr>
            <w:r>
              <w:rPr>
                <w:rFonts w:ascii="Arial" w:cs="Arial" w:eastAsia="Arial" w:hAnsi="Arial"/>
                <w:sz w:val="18"/>
                <w:szCs w:val="18"/>
                <w:color w:val="auto"/>
              </w:rPr>
              <w:t>As of June 30, 2021, long-term debt matures as follows (in thousands):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9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1,906</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4,208</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5,886</w:t>
            </w:r>
          </w:p>
        </w:tc>
      </w:tr>
      <w:tr>
        <w:trPr>
          <w:trHeight w:val="27"/>
        </w:trPr>
        <w:tc>
          <w:tcPr>
            <w:tcW w:w="96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19,894</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(1,866)</w:t>
            </w:r>
          </w:p>
        </w:tc>
      </w:tr>
      <w:tr>
        <w:trPr>
          <w:trHeight w:val="27"/>
        </w:trPr>
        <w:tc>
          <w:tcPr>
            <w:tcW w:w="96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 net of current maturities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9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color w:val="auto"/>
        </w:rPr>
        <w:t>The Company’s operating leases consist of office and lab space leases and a ground lease associated with a building under capital lease. The Company has entered into leases of office and lab space with ISMSS, including month-to-month leases in place during the six months ended June 30, 2021 and 2020. Pursuant to the terms of a lease agreement, the Company was required to have issued an irrevocable standby letter of credit to the lessor for $0.9 million, which was included in restricted cash on the condensed balance sheets as of June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35"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340"/>
              <w:spacing w:after="0"/>
              <w:rPr>
                <w:sz w:val="20"/>
                <w:szCs w:val="20"/>
                <w:color w:val="auto"/>
              </w:rPr>
            </w:pPr>
            <w:r>
              <w:rPr>
                <w:rFonts w:ascii="Arial" w:cs="Arial" w:eastAsia="Arial" w:hAnsi="Arial"/>
                <w:sz w:val="18"/>
                <w:szCs w:val="18"/>
                <w:color w:val="auto"/>
              </w:rPr>
              <w:t>Future minimum payments under non-cancelable operating leases as of June 30, 2021 are as follows (in thousands):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3"/>
        </w:trPr>
        <w:tc>
          <w:tcPr>
            <w:tcW w:w="9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4,383</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4,562</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50,238</w:t>
            </w:r>
          </w:p>
        </w:tc>
      </w:tr>
      <w:tr>
        <w:trPr>
          <w:trHeight w:val="27"/>
        </w:trPr>
        <w:tc>
          <w:tcPr>
            <w:tcW w:w="96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obligations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70,479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337" w:lineRule="auto"/>
        <w:rPr>
          <w:sz w:val="20"/>
          <w:szCs w:val="20"/>
          <w:color w:val="auto"/>
        </w:rPr>
      </w:pPr>
      <w:r>
        <w:rPr>
          <w:rFonts w:ascii="Arial" w:cs="Arial" w:eastAsia="Arial" w:hAnsi="Arial"/>
          <w:sz w:val="16"/>
          <w:szCs w:val="16"/>
          <w:color w:val="auto"/>
        </w:rPr>
        <w:t>Rent expense related to non-cancelable operating leases was $1.4 million and $1.3 million for the three months ended June 30, 2021 and 2020, respectively. Rent expense related to month-to-month operating leases was $0.3 million and $0.8 million for the three months ended June 30, 2021 and 2020. Rent expense related to non-cancelable operating leases was $2.8 million and $2.6 million for the six months ended June 30, 2021 and 2020, respectively. Rent expense related to month-to-month operating leases was $0.6 million and $1.6 million for the six months ended June 30, 2021 and 2020.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9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1.9% to 12.0%. The leases are secured by the underlying equipment. The Company also leases a building used for office and laboratory space in which the building is accounted for as a capital lease and the land is as an operating lease.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under capital leases was $27.7 million and $27.0 million as of June 30, 2021 and December 31, 2020,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Accumulated amortization on capital lease assets was $11.7 million and $9.7 million at June 30, 2021 and December 31, 2020, respectively.</w:t>
      </w:r>
    </w:p>
    <w:p>
      <w:pPr>
        <w:spacing w:after="0" w:line="198" w:lineRule="exact"/>
        <w:rPr>
          <w:sz w:val="20"/>
          <w:szCs w:val="20"/>
          <w:color w:val="auto"/>
        </w:rPr>
      </w:pPr>
    </w:p>
    <w:p>
      <w:pPr>
        <w:jc w:val="both"/>
        <w:ind w:firstLine="324"/>
        <w:spacing w:after="0" w:line="377" w:lineRule="auto"/>
        <w:rPr>
          <w:sz w:val="20"/>
          <w:szCs w:val="20"/>
          <w:color w:val="auto"/>
        </w:rPr>
      </w:pPr>
      <w:r>
        <w:rPr>
          <w:rFonts w:ascii="Arial" w:cs="Arial" w:eastAsia="Arial" w:hAnsi="Arial"/>
          <w:sz w:val="16"/>
          <w:szCs w:val="16"/>
          <w:color w:val="auto"/>
        </w:rPr>
        <w:t>For all capital leases, the portion of the future payments designated as principal repayment is recorded as a capital lease obligation on the Company’s condensed balance sheets in accordance with repayment terms. Future payments under capital leases at June 30, 2021, are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4,808</w:t>
            </w:r>
          </w:p>
        </w:tc>
      </w:tr>
      <w:tr>
        <w:trPr>
          <w:trHeight w:val="27"/>
        </w:trPr>
        <w:tc>
          <w:tcPr>
            <w:tcW w:w="9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2,763</w:t>
            </w:r>
          </w:p>
        </w:tc>
      </w:tr>
      <w:tr>
        <w:trPr>
          <w:trHeight w:val="27"/>
        </w:trPr>
        <w:tc>
          <w:tcPr>
            <w:tcW w:w="9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51,886</w:t>
            </w:r>
          </w:p>
        </w:tc>
      </w:tr>
      <w:tr>
        <w:trPr>
          <w:trHeight w:val="27"/>
        </w:trPr>
        <w:tc>
          <w:tcPr>
            <w:tcW w:w="96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67,814</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(44,850)</w:t>
            </w:r>
          </w:p>
        </w:tc>
      </w:tr>
      <w:tr>
        <w:trPr>
          <w:trHeight w:val="27"/>
        </w:trPr>
        <w:tc>
          <w:tcPr>
            <w:tcW w:w="96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22,964</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Less : current portion</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(3,483)</w:t>
            </w:r>
          </w:p>
        </w:tc>
      </w:tr>
      <w:tr>
        <w:trPr>
          <w:trHeight w:val="27"/>
        </w:trPr>
        <w:tc>
          <w:tcPr>
            <w:tcW w:w="96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Interest expense related to capital leases was $0.6 million for the three months ended June 30, 2021 and 2020 and $1.1 million for the six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3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98" w:lineRule="exact"/>
        <w:rPr>
          <w:sz w:val="20"/>
          <w:szCs w:val="20"/>
          <w:color w:val="auto"/>
        </w:rPr>
      </w:pPr>
    </w:p>
    <w:p>
      <w:pPr>
        <w:jc w:val="both"/>
        <w:ind w:firstLine="324"/>
        <w:spacing w:after="0" w:line="325" w:lineRule="auto"/>
        <w:rPr>
          <w:sz w:val="20"/>
          <w:szCs w:val="20"/>
          <w:color w:val="auto"/>
        </w:rPr>
      </w:pPr>
      <w:r>
        <w:rPr>
          <w:rFonts w:ascii="Arial" w:cs="Arial" w:eastAsia="Arial" w:hAnsi="Arial"/>
          <w:sz w:val="16"/>
          <w:szCs w:val="16"/>
          <w:color w:val="auto"/>
        </w:rPr>
        <w:t>The Company may, from time to time, become involved in legal proceedings arising out of the normal course of its operations. For instance, the Company may be subject to lawsuits alleging negligence or other similar legal claims related to its provision of genetic testing and/or information services. The Company establishes reserves for specific legal matters when it determines that the likelihood of an unfavorable outcome is probable and the loss is reasonably estimable. The Company has also identified certain other legal matters where it believes an unfavorable outcome is not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of one or more of these lawsuits or other contingencies could have a material impact on the liquidity, results of operations, or financial condition of the Company.</w:t>
      </w:r>
    </w:p>
    <w:p>
      <w:pPr>
        <w:spacing w:after="0" w:line="11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13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The Company maintains various liability insurance coverages for, among other things, claims that could result from providing, or failing to provide diagnostic testing services, including inaccurate testing results, and other exposures. The Company’s insurance coverage limits its maximum exposure on claims; however, the Company is responsible for any uninsured portion of losses. Management believes that present insurance coverage is sufficient to cover potential exposures.</w:t>
      </w:r>
    </w:p>
    <w:p>
      <w:pPr>
        <w:spacing w:after="0" w:line="13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8"/>
          <w:szCs w:val="18"/>
          <w:color w:val="auto"/>
        </w:rPr>
        <w:t>The Company was not a party to any material legal proceedings at June 30, 2021, nor is it a party to any legal proceedings as of the date of issuance of these unaudited condensed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02"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The Company adopted the 2017 Stock Incentive Plan (the 2017 Plan) in April of 2017. The 2017 Plan was amended in February 2018, offering total aggregate shares of up to 279,192 shares of Class A common stock and Class B common stock, collectively, on an as-converted to Class A common stock basis. Following the amendment to the 2017 Plan, the Company intends to use available shares to grant Class B common stock awards.</w:t>
      </w:r>
    </w:p>
    <w:p>
      <w:pPr>
        <w:spacing w:after="0" w:line="93"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Under the 2017 Plan, the Company has a call option to repurchase awards for cash from the plan participants upon termination of the participant’s employment or consulting agreement</w:t>
      </w:r>
      <w:r>
        <w:rPr>
          <w:rFonts w:ascii="Arial" w:cs="Arial" w:eastAsia="Arial" w:hAnsi="Arial"/>
          <w:sz w:val="16"/>
          <w:szCs w:val="16"/>
          <w:color w:val="FF0000"/>
        </w:rPr>
        <w:t>.</w:t>
      </w:r>
      <w:r>
        <w:rPr>
          <w:rFonts w:ascii="Arial" w:cs="Arial" w:eastAsia="Arial" w:hAnsi="Arial"/>
          <w:sz w:val="16"/>
          <w:szCs w:val="16"/>
          <w:color w:val="auto"/>
        </w:rPr>
        <w:t xml:space="preserve"> The Company concludes that it is probable it will exercise its call option prior to the award holder being subject to the risks and rewards of equity ownership. As a result, the Company’s stock-based compensation awards are classified as a liability. Shares of common stock issued upon settlement of an award continue to be classified as a liability and remeasured to fair value each reporting period until the stockholder bears the risks and rewards of equity ownership for a reasonable period of time, which the Company concludes is a period of at least six months.</w:t>
      </w:r>
    </w:p>
    <w:p>
      <w:pPr>
        <w:spacing w:after="0" w:line="10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The Company historically granted stock appreciation rights (“SAR”) to one employee and one consultant. The SAR can only be exercised upon a liquidation event, which the Company concludes is not probable of occurring as of June 30, 2021. As a result, no expense related to the SAR was recognized by the Company during the three and six months ended June 30, 2021 and 2020. The Company did not grant SARs to any employees or consultants during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35"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324"/>
        <w:spacing w:after="0" w:line="341" w:lineRule="auto"/>
        <w:rPr>
          <w:sz w:val="20"/>
          <w:szCs w:val="20"/>
          <w:color w:val="auto"/>
        </w:rPr>
      </w:pPr>
      <w:r>
        <w:rPr>
          <w:rFonts w:ascii="Arial" w:cs="Arial" w:eastAsia="Arial" w:hAnsi="Arial"/>
          <w:sz w:val="17"/>
          <w:szCs w:val="17"/>
          <w:color w:val="auto"/>
        </w:rPr>
        <w:t>As of June 30, 2021 and December 31, 2020, stock-based compensation liabilities were $295.0 million and $132.0 million, respectively. Stock-based compensation expense is included within the condensed statements of operations and comprehensive loss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Three months ended June 30,</w:t>
            </w:r>
          </w:p>
        </w:tc>
      </w:tr>
      <w:tr>
        <w:trPr>
          <w:trHeight w:val="26"/>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48"/>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164,443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0" w:firstLine="324"/>
        <w:spacing w:after="0" w:line="308" w:lineRule="auto"/>
        <w:rPr>
          <w:sz w:val="20"/>
          <w:szCs w:val="20"/>
          <w:color w:val="auto"/>
        </w:rPr>
      </w:pPr>
      <w:r>
        <w:rPr>
          <w:rFonts w:ascii="Arial" w:cs="Arial" w:eastAsia="Arial" w:hAnsi="Arial"/>
          <w:sz w:val="18"/>
          <w:szCs w:val="18"/>
          <w:color w:val="auto"/>
        </w:rPr>
        <w:t>The following summarizes the activity under the 2017 Plan for Class A and Class B common stock options (in thousands, except share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 Available for</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Stock Options</w:t>
            </w: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Remaining Contractual</w:t>
            </w:r>
          </w:p>
        </w:tc>
        <w:tc>
          <w:tcPr>
            <w:tcW w:w="14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Arial" w:cs="Arial" w:eastAsia="Arial" w:hAnsi="Arial"/>
                <w:sz w:val="14"/>
                <w:szCs w:val="14"/>
                <w:b w:val="1"/>
                <w:bCs w:val="1"/>
                <w:color w:val="auto"/>
                <w:w w:val="95"/>
              </w:rPr>
              <w:t>Aggregate Intrinsic</w:t>
            </w:r>
          </w:p>
        </w:tc>
      </w:tr>
      <w:tr>
        <w:trPr>
          <w:trHeight w:val="186"/>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6"/>
                <w:szCs w:val="16"/>
                <w:color w:val="auto"/>
              </w:rPr>
            </w:pPr>
          </w:p>
        </w:tc>
        <w:tc>
          <w:tcPr>
            <w:tcW w:w="1420" w:type="dxa"/>
            <w:vAlign w:val="bottom"/>
          </w:tcPr>
          <w:p>
            <w:pPr>
              <w:jc w:val="right"/>
              <w:ind w:right="516"/>
              <w:spacing w:after="0"/>
              <w:rPr>
                <w:sz w:val="20"/>
                <w:szCs w:val="20"/>
                <w:color w:val="auto"/>
              </w:rPr>
            </w:pPr>
            <w:r>
              <w:rPr>
                <w:rFonts w:ascii="Arial" w:cs="Arial" w:eastAsia="Arial" w:hAnsi="Arial"/>
                <w:sz w:val="14"/>
                <w:szCs w:val="14"/>
                <w:b w:val="1"/>
                <w:bCs w:val="1"/>
                <w:color w:val="auto"/>
              </w:rPr>
              <w:t>Value</w:t>
            </w:r>
          </w:p>
        </w:tc>
      </w:tr>
      <w:tr>
        <w:trPr>
          <w:trHeight w:val="25"/>
        </w:trPr>
        <w:tc>
          <w:tcPr>
            <w:tcW w:w="30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64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80,565</w:t>
            </w: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Options forfeited and cancelled</w:t>
            </w: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Balances at June 30, 2021</w:t>
            </w: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121,965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169,224</w:t>
            </w:r>
          </w:p>
        </w:tc>
      </w:tr>
      <w:tr>
        <w:trPr>
          <w:trHeight w:val="27"/>
        </w:trPr>
        <w:tc>
          <w:tcPr>
            <w:tcW w:w="30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Options exercisable at June 30, 2021</w:t>
            </w:r>
          </w:p>
        </w:tc>
        <w:tc>
          <w:tcPr>
            <w:tcW w:w="15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119,625</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165,977</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outstanding stock options for Class A common stock have an exercise price of $18.94.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 Available for</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Stock Options</w:t>
            </w: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Contractual Life</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Aggregate Intrinsic</w:t>
            </w:r>
          </w:p>
        </w:tc>
      </w:tr>
      <w:tr>
        <w:trPr>
          <w:trHeight w:val="186"/>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(years)</w:t>
            </w:r>
          </w:p>
        </w:tc>
        <w:tc>
          <w:tcPr>
            <w:tcW w:w="300" w:type="dxa"/>
            <w:vAlign w:val="bottom"/>
          </w:tcPr>
          <w:p>
            <w:pPr>
              <w:spacing w:after="0"/>
              <w:rPr>
                <w:sz w:val="16"/>
                <w:szCs w:val="16"/>
                <w:color w:val="auto"/>
              </w:rPr>
            </w:pP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Value</w:t>
            </w:r>
          </w:p>
        </w:tc>
      </w:tr>
      <w:tr>
        <w:trPr>
          <w:trHeight w:val="25"/>
        </w:trPr>
        <w:tc>
          <w:tcPr>
            <w:tcW w:w="4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1,308,167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13,915,604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79,334</w:t>
            </w: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(194,706)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194,706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forfeited and cancelled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1,954,545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(1,954,545)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(1,011,984)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June 30, 2021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3,068,006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11,143,781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144,895</w:t>
            </w:r>
          </w:p>
        </w:tc>
      </w:tr>
      <w:tr>
        <w:trPr>
          <w:trHeight w:val="263"/>
        </w:trPr>
        <w:tc>
          <w:tcPr>
            <w:tcW w:w="4280" w:type="dxa"/>
            <w:vAlign w:val="bottom"/>
          </w:tcPr>
          <w:p>
            <w:pPr>
              <w:ind w:left="180"/>
              <w:spacing w:after="0"/>
              <w:rPr>
                <w:sz w:val="20"/>
                <w:szCs w:val="20"/>
                <w:color w:val="auto"/>
              </w:rPr>
            </w:pPr>
            <w:r>
              <w:rPr>
                <w:rFonts w:ascii="Arial" w:cs="Arial" w:eastAsia="Arial" w:hAnsi="Arial"/>
                <w:sz w:val="18"/>
                <w:szCs w:val="18"/>
                <w:color w:val="auto"/>
              </w:rPr>
              <w:t>Options exercisable at June 30, 2021</w:t>
            </w:r>
          </w:p>
        </w:tc>
        <w:tc>
          <w:tcPr>
            <w:tcW w:w="13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5,725,757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75,936</w:t>
            </w:r>
          </w:p>
        </w:tc>
      </w:tr>
      <w:tr>
        <w:trPr>
          <w:trHeight w:val="21"/>
        </w:trPr>
        <w:tc>
          <w:tcPr>
            <w:tcW w:w="4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240"/>
          </w:cols>
          <w:pgMar w:left="320" w:top="135" w:right="3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firstLine="324"/>
        <w:spacing w:after="0" w:line="295" w:lineRule="auto"/>
        <w:rPr>
          <w:sz w:val="20"/>
          <w:szCs w:val="20"/>
          <w:color w:val="auto"/>
        </w:rPr>
      </w:pPr>
      <w:r>
        <w:rPr>
          <w:rFonts w:ascii="Arial" w:cs="Arial" w:eastAsia="Arial" w:hAnsi="Arial"/>
          <w:sz w:val="18"/>
          <w:szCs w:val="18"/>
          <w:color w:val="auto"/>
        </w:rPr>
        <w:t>The aggregate intrinsic value in the tables above calculates the difference between the exercise price of the underlying stock options and the fair value of the Company’s common stock for stock options that were in-the-money and represents the value that would have been received by the option holders had all option holders exercised their options on June 30, 2021.</w:t>
      </w:r>
    </w:p>
    <w:p>
      <w:pPr>
        <w:spacing w:after="0" w:line="12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The estimated fair value of the stock option awards as of June 30, 2021 and June 30, 2020, was estimated using the Black-Scholes option pricing model with the following assumptions: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120" w:type="dxa"/>
            <w:vAlign w:val="bottom"/>
            <w:gridSpan w:val="3"/>
          </w:tcPr>
          <w:p>
            <w:pPr>
              <w:ind w:left="1380"/>
              <w:spacing w:after="0"/>
              <w:rPr>
                <w:sz w:val="20"/>
                <w:szCs w:val="20"/>
                <w:color w:val="auto"/>
              </w:rPr>
            </w:pPr>
            <w:r>
              <w:rPr>
                <w:rFonts w:ascii="Arial" w:cs="Arial" w:eastAsia="Arial" w:hAnsi="Arial"/>
                <w:sz w:val="14"/>
                <w:szCs w:val="14"/>
                <w:b w:val="1"/>
                <w:bCs w:val="1"/>
                <w:color w:val="auto"/>
                <w:w w:val="95"/>
              </w:rPr>
              <w:t>Six Months ended June 30,</w:t>
            </w:r>
          </w:p>
        </w:tc>
        <w:tc>
          <w:tcPr>
            <w:tcW w:w="1300" w:type="dxa"/>
            <w:vAlign w:val="bottom"/>
          </w:tcPr>
          <w:p>
            <w:pPr>
              <w:spacing w:after="0"/>
              <w:rPr>
                <w:sz w:val="16"/>
                <w:szCs w:val="16"/>
                <w:color w:val="auto"/>
              </w:rPr>
            </w:pPr>
          </w:p>
        </w:tc>
      </w:tr>
      <w:tr>
        <w:trPr>
          <w:trHeight w:val="26"/>
        </w:trPr>
        <w:tc>
          <w:tcPr>
            <w:tcW w:w="68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6820" w:type="dxa"/>
            <w:vAlign w:val="bottom"/>
          </w:tcPr>
          <w:p>
            <w:pPr>
              <w:spacing w:after="0"/>
              <w:rPr>
                <w:sz w:val="16"/>
                <w:szCs w:val="16"/>
                <w:color w:val="auto"/>
              </w:rPr>
            </w:pPr>
          </w:p>
        </w:tc>
        <w:tc>
          <w:tcPr>
            <w:tcW w:w="2160" w:type="dxa"/>
            <w:vAlign w:val="bottom"/>
          </w:tcPr>
          <w:p>
            <w:pPr>
              <w:jc w:val="right"/>
              <w:ind w:right="8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ind w:right="853"/>
              <w:spacing w:after="0"/>
              <w:rPr>
                <w:sz w:val="20"/>
                <w:szCs w:val="20"/>
                <w:color w:val="auto"/>
              </w:rPr>
            </w:pPr>
            <w:r>
              <w:rPr>
                <w:rFonts w:ascii="Arial" w:cs="Arial" w:eastAsia="Arial" w:hAnsi="Arial"/>
                <w:sz w:val="14"/>
                <w:szCs w:val="14"/>
                <w:b w:val="1"/>
                <w:bCs w:val="1"/>
                <w:color w:val="auto"/>
              </w:rPr>
              <w:t>2020</w:t>
            </w:r>
          </w:p>
        </w:tc>
      </w:tr>
      <w:tr>
        <w:trPr>
          <w:trHeight w:val="26"/>
        </w:trPr>
        <w:tc>
          <w:tcPr>
            <w:tcW w:w="68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46.60%- 71.60%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66.90%-76.70%</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160" w:type="dxa"/>
            <w:vAlign w:val="bottom"/>
          </w:tcPr>
          <w:p>
            <w:pPr>
              <w:jc w:val="right"/>
              <w:spacing w:after="0"/>
              <w:rPr>
                <w:sz w:val="20"/>
                <w:szCs w:val="20"/>
                <w:color w:val="auto"/>
              </w:rPr>
            </w:pPr>
            <w:r>
              <w:rPr>
                <w:rFonts w:ascii="Arial" w:cs="Arial" w:eastAsia="Arial" w:hAnsi="Arial"/>
                <w:sz w:val="18"/>
                <w:szCs w:val="18"/>
                <w:color w:val="auto"/>
              </w:rPr>
              <w:t>0.17- 1.50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1.17-2.50</w:t>
            </w:r>
          </w:p>
        </w:tc>
      </w:tr>
      <w:tr>
        <w:trPr>
          <w:trHeight w:val="27"/>
        </w:trPr>
        <w:tc>
          <w:tcPr>
            <w:tcW w:w="68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0.05%- 0.25%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0.16%-0.18%</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160" w:type="dxa"/>
            <w:vAlign w:val="bottom"/>
          </w:tcPr>
          <w:p>
            <w:pPr>
              <w:jc w:val="right"/>
              <w:spacing w:after="0"/>
              <w:rPr>
                <w:sz w:val="20"/>
                <w:szCs w:val="20"/>
                <w:color w:val="auto"/>
              </w:rPr>
            </w:pPr>
            <w:r>
              <w:rPr>
                <w:rFonts w:ascii="Arial" w:cs="Arial" w:eastAsia="Arial" w:hAnsi="Arial"/>
                <w:sz w:val="18"/>
                <w:szCs w:val="18"/>
                <w:color w:val="auto"/>
              </w:rPr>
              <w:t>0.00 %</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0.00 %</w:t>
            </w:r>
          </w:p>
        </w:tc>
      </w:tr>
      <w:tr>
        <w:trPr>
          <w:trHeight w:val="27"/>
        </w:trPr>
        <w:tc>
          <w:tcPr>
            <w:tcW w:w="68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$619.57-$1,493.83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$85.42-$97.58</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Fair value of Class B common stock</w:t>
            </w:r>
          </w:p>
        </w:tc>
        <w:tc>
          <w:tcPr>
            <w:tcW w:w="2160" w:type="dxa"/>
            <w:vAlign w:val="bottom"/>
          </w:tcPr>
          <w:p>
            <w:pPr>
              <w:jc w:val="right"/>
              <w:spacing w:after="0"/>
              <w:rPr>
                <w:sz w:val="20"/>
                <w:szCs w:val="20"/>
                <w:color w:val="auto"/>
              </w:rPr>
            </w:pPr>
            <w:r>
              <w:rPr>
                <w:rFonts w:ascii="Arial" w:cs="Arial" w:eastAsia="Arial" w:hAnsi="Arial"/>
                <w:sz w:val="18"/>
                <w:szCs w:val="18"/>
                <w:color w:val="auto"/>
              </w:rPr>
              <w:t>$6.20-$14.94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$0.85-$0.98</w:t>
            </w:r>
          </w:p>
        </w:tc>
      </w:tr>
    </w:tbl>
    <w:p>
      <w:pPr>
        <w:spacing w:after="0" w:line="283"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6"/>
          <w:szCs w:val="16"/>
          <w:color w:val="auto"/>
        </w:rPr>
        <w:t>As of June 30, 2021, the fair value associated with the Company’s stock options totaled $327.4 million. The vested portion of this fair value at June 30, 2021 was $169.1 million and $126.0 million for Class A and Class B stock options, respectively, and is included in stock-based compensation liabilities on the Company’s condensed balance sheets. As of June 30, 2021, unrecognized stock-based compensation cost related to the unvested portion of the Company’s stock options were $0.2 million and $32.2 million for Class A and Class B stock options, respectively. The Company expects to recognize the unrecognized compensation cost on a graded-vesting basis over a weighted-average period of 0.2 and 0.9 years for Class A and Class B stock options, respectively. Cash received from stock option exercise for the three and six months ended June 30, 2021 was $0.6 million and $1.0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Redeemable Convertible Preferred Stock at June 30, 2021 and December 31, 2020 consists of the following (in thousands, except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Issued and</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Aggregate Liquidation</w:t>
            </w:r>
          </w:p>
        </w:tc>
      </w:tr>
      <w:tr>
        <w:trPr>
          <w:trHeight w:val="186"/>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 Authorized</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280" w:type="dxa"/>
            <w:vAlign w:val="bottom"/>
          </w:tcPr>
          <w:p>
            <w:pPr>
              <w:jc w:val="right"/>
              <w:ind w:right="353"/>
              <w:spacing w:after="0"/>
              <w:rPr>
                <w:sz w:val="20"/>
                <w:szCs w:val="20"/>
                <w:color w:val="auto"/>
              </w:rPr>
            </w:pPr>
            <w:r>
              <w:rPr>
                <w:rFonts w:ascii="Arial" w:cs="Arial" w:eastAsia="Arial" w:hAnsi="Arial"/>
                <w:sz w:val="14"/>
                <w:szCs w:val="14"/>
                <w:b w:val="1"/>
                <w:bCs w:val="1"/>
                <w:color w:val="auto"/>
              </w:rPr>
              <w:t>Preference</w:t>
            </w:r>
          </w:p>
        </w:tc>
      </w:tr>
      <w:tr>
        <w:trPr>
          <w:trHeight w:val="25"/>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447,373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447,373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560" w:type="dxa"/>
            <w:vAlign w:val="bottom"/>
          </w:tcPr>
          <w:p>
            <w:pPr>
              <w:jc w:val="right"/>
              <w:spacing w:after="0"/>
              <w:rPr>
                <w:sz w:val="20"/>
                <w:szCs w:val="20"/>
                <w:color w:val="auto"/>
              </w:rPr>
            </w:pPr>
            <w:r>
              <w:rPr>
                <w:rFonts w:ascii="Arial" w:cs="Arial" w:eastAsia="Arial" w:hAnsi="Arial"/>
                <w:sz w:val="18"/>
                <w:szCs w:val="18"/>
                <w:color w:val="auto"/>
              </w:rPr>
              <w:t>522,627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401,347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49,342</w:t>
            </w:r>
          </w:p>
        </w:tc>
      </w:tr>
      <w:tr>
        <w:trPr>
          <w:trHeight w:val="27"/>
        </w:trPr>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204,302</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Series C</w:t>
            </w:r>
          </w:p>
        </w:tc>
        <w:tc>
          <w:tcPr>
            <w:tcW w:w="1560" w:type="dxa"/>
            <w:vAlign w:val="bottom"/>
          </w:tcPr>
          <w:p>
            <w:pPr>
              <w:jc w:val="right"/>
              <w:spacing w:after="0"/>
              <w:rPr>
                <w:sz w:val="20"/>
                <w:szCs w:val="20"/>
                <w:color w:val="auto"/>
              </w:rPr>
            </w:pPr>
            <w:r>
              <w:rPr>
                <w:rFonts w:ascii="Arial" w:cs="Arial" w:eastAsia="Arial" w:hAnsi="Arial"/>
                <w:sz w:val="18"/>
                <w:szCs w:val="18"/>
                <w:color w:val="auto"/>
              </w:rPr>
              <w:t>197,824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197,821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121,397</w:t>
            </w:r>
          </w:p>
        </w:tc>
      </w:tr>
      <w:tr>
        <w:trPr>
          <w:trHeight w:val="27"/>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1,506,487</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98" w:lineRule="exact"/>
        <w:rPr>
          <w:sz w:val="20"/>
          <w:szCs w:val="20"/>
          <w:color w:val="auto"/>
        </w:rPr>
      </w:pPr>
    </w:p>
    <w:p>
      <w:pPr>
        <w:ind w:right="20" w:firstLine="324"/>
        <w:spacing w:after="0" w:line="308" w:lineRule="auto"/>
        <w:rPr>
          <w:sz w:val="20"/>
          <w:szCs w:val="20"/>
          <w:color w:val="auto"/>
        </w:rPr>
      </w:pPr>
      <w:r>
        <w:rPr>
          <w:rFonts w:ascii="Arial" w:cs="Arial" w:eastAsia="Arial" w:hAnsi="Arial"/>
          <w:sz w:val="18"/>
          <w:szCs w:val="18"/>
          <w:color w:val="auto"/>
        </w:rPr>
        <w:t>Holders of the Redeemable Convertible Preferred Stock are entitled to a number of votes equal to the number of whole shares of Class A common stock into which it is convertible.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98" w:lineRule="exact"/>
        <w:rPr>
          <w:sz w:val="20"/>
          <w:szCs w:val="20"/>
          <w:color w:val="auto"/>
        </w:rPr>
      </w:pPr>
    </w:p>
    <w:p>
      <w:pPr>
        <w:ind w:right="20" w:firstLine="324"/>
        <w:spacing w:after="0" w:line="308" w:lineRule="auto"/>
        <w:rPr>
          <w:sz w:val="20"/>
          <w:szCs w:val="20"/>
          <w:color w:val="auto"/>
        </w:rPr>
      </w:pPr>
      <w:r>
        <w:rPr>
          <w:rFonts w:ascii="Arial" w:cs="Arial" w:eastAsia="Arial" w:hAnsi="Arial"/>
          <w:sz w:val="18"/>
          <w:szCs w:val="18"/>
          <w:color w:val="auto"/>
        </w:rPr>
        <w:t>Holders of the Redeemable Convertible Preferred Stock are entitled to receive or participate in dividends to the extent that dividends are declared for holders of Class A common stock and Class B common stock, at which 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35"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the Redeemable Convertible Preferred Stock are entitled to participate on an as-converted to Class A common stock basis.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not declared any cash or other dividends through June 30,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9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The Redeemable Convertible Preferred Stock is convertible into Class A common stock at the option of the holder at any time and without the payment of additional consideration and is mandatorily convertible upon the occurrence of certain events. The conversion ratio could be adjusted upon the Company’s issuance of shares of common stock below the original issue prices of the Redeemable Convertible Preferred Stock; the issuance of certain options or securities convertible into common stock of the Company; the issuance of certain dividends; and events such as stock splits, merger and reorganization.</w:t>
      </w:r>
    </w:p>
    <w:p>
      <w:pPr>
        <w:spacing w:after="0" w:line="135"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There were no conversions of Redeemable Convertible Preferred Stock into Class A common stock during the six months ended June 30, 2021. As of June 30, 2021 and December 31, 2020, all shares of Redeemable Convertible Preferred Stock were convertible into shares of Class A common stock at a 1:1 ratio.</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Redeemable Convertible Preferred Stock</w:t>
      </w:r>
    </w:p>
    <w:p>
      <w:pPr>
        <w:spacing w:after="0" w:line="198"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7"/>
          <w:szCs w:val="17"/>
          <w:color w:val="auto"/>
        </w:rPr>
        <w:t>The Redeemable Convertible Preferred Stock has deemed liquidation provisions which provide the holders the option to redeem the shares upon a change in control or other deemed liquidation event. The deemed liquidation preference provisions of the Redeemable Convertible Preferred Stock are considered contingent redemption provisions that are not solely within the Company’s control. Accordingly, the Redeemable Convertible Preferred Stock is presented outside of permanent equity in the mezzanine portion of the Company’s condensed balance sheets. No accretion was recorded during the six months ended June 30, 2021 and 2020, as a deemed liquidation event was not considered probable.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0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7"/>
          <w:szCs w:val="17"/>
          <w:color w:val="auto"/>
        </w:rPr>
        <w:t>There were 36 and 1 shares of Class A common stock issued and outstanding at June 30, 2021 and December 31, 2020, respectively. There were 1,117,413 and 105,429 shares of Class B common stock issued and outstanding at June 30, 2021 and December 31, 2020, respectively. There were 35 and 1,011,984 shares of Class A and Class B common stocks issued and outstanding at June 30, 2021 which remained liability-classified since the Company concluded that the stockholder did not yet bear the risks and rewards of equity ownership for a reasonable period of time. As of June 30, 2021, 105,429 shares of Class B common stock previously issued but recorded as the liability-classified awards were reclassified to equity as the Company concluded that the stockholder now bears the risks and rewards of equity ownership after a reasonable period of time has elapsed.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02"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Income taxes for the three and six months ended June 30, 2021 and June 30, 2020 are recorded at the Company’s estimated annual effective income tax rate, subject to adjustments for discrete events, should they occur. The Company’s estimated annual effective tax rate was 0.0% for the three and six months ended June 30, 2021 and June 30, 2020. The primary reconciling items between the federal statutory rate of 21.0% for these periods and the Company’s overall effective tax rate of 0.0% were related to the effects of deferred state income taxes, stock-based compensation, research and development credits, nondeductible transaction costs and the valuation allowance recorded against the full amount of its net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35"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June 30, 2021 and June 30, 2020 since management believes that based on the earnings history of the Company, it is more likely than not that the benefits of these assets will not be realized.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02"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For the three and six months ended June 30, 2021 and 2020, basic and diluted net loss per share attributable to common stockholders is presented in conformity with the two-class method. Net loss attributable to common stockholders was not allocated to the redeemable convertible preferred stock, as holders of the redeemable convertible preferred stock did not have a contractual obligation to share in losses.</w:t>
      </w:r>
    </w:p>
    <w:p>
      <w:pPr>
        <w:spacing w:after="0" w:line="12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During the three and six months ended June 30, 2021 and 2020, the net loss attributable to common stockholders was equivalent to the Company’s net loss and comprehensive loss. The following table sets forth the computation of basic net loss per share attributable to common stockholders (in thousands, except for share amounts):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8020" w:val="left"/>
        </w:tabs>
        <w:rPr>
          <w:sz w:val="20"/>
          <w:szCs w:val="20"/>
          <w:color w:val="auto"/>
        </w:rPr>
      </w:pPr>
      <w:r>
        <w:rPr>
          <w:rFonts w:ascii="Arial" w:cs="Arial" w:eastAsia="Arial" w:hAnsi="Arial"/>
          <w:sz w:val="18"/>
          <w:szCs w:val="18"/>
          <w:color w:val="auto"/>
        </w:rPr>
        <w:t>Net loss attributable to common stockholders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05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80" w:right="180" w:hanging="161"/>
        <w:spacing w:after="0" w:line="277" w:lineRule="auto"/>
        <w:rPr>
          <w:sz w:val="20"/>
          <w:szCs w:val="20"/>
          <w:color w:val="auto"/>
        </w:rPr>
      </w:pPr>
      <w:r>
        <w:rPr>
          <w:rFonts w:ascii="Arial" w:cs="Arial" w:eastAsia="Arial" w:hAnsi="Arial"/>
          <w:sz w:val="18"/>
          <w:szCs w:val="18"/>
          <w:color w:val="auto"/>
        </w:rPr>
        <w:t>Weighted average Class A shares outstanding used in computing allocation of 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600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3">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69" w:lineRule="exact"/>
        <w:rPr>
          <w:sz w:val="20"/>
          <w:szCs w:val="20"/>
          <w:color w:val="auto"/>
        </w:rPr>
      </w:pPr>
    </w:p>
    <w:p>
      <w:pPr>
        <w:ind w:left="180" w:right="200" w:hanging="161"/>
        <w:spacing w:after="0" w:line="277" w:lineRule="auto"/>
        <w:rPr>
          <w:sz w:val="20"/>
          <w:szCs w:val="20"/>
          <w:color w:val="auto"/>
        </w:rPr>
      </w:pPr>
      <w:r>
        <w:rPr>
          <w:rFonts w:ascii="Arial" w:cs="Arial" w:eastAsia="Arial" w:hAnsi="Arial"/>
          <w:sz w:val="18"/>
          <w:szCs w:val="18"/>
          <w:color w:val="auto"/>
        </w:rPr>
        <w:t>Weighted average Class B shares on an as converted to Class A basis used in computing allocation of 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Allocation of net loss attributable to common stockholders for basic: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Denominator:</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shares used in computing net loss per share attributable to Class A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shares used in computing net loss per share attributable to Class B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net loss per share attributable to Class 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net loss per share attributable to Class B</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64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39370</wp:posOffset>
            </wp:positionV>
            <wp:extent cx="20485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60"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333" w:lineRule="exact"/>
        <w:rPr>
          <w:sz w:val="20"/>
          <w:szCs w:val="20"/>
          <w:color w:val="auto"/>
        </w:rPr>
      </w:pPr>
    </w:p>
    <w:p>
      <w:pPr>
        <w:ind w:left="280"/>
        <w:spacing w:after="0"/>
        <w:tabs>
          <w:tab w:leader="none" w:pos="1020" w:val="left"/>
          <w:tab w:leader="none" w:pos="1920" w:val="left"/>
        </w:tabs>
        <w:rPr>
          <w:sz w:val="20"/>
          <w:szCs w:val="20"/>
          <w:color w:val="auto"/>
        </w:rPr>
      </w:pPr>
      <w:r>
        <w:rPr>
          <w:rFonts w:ascii="Arial" w:cs="Arial" w:eastAsia="Arial" w:hAnsi="Arial"/>
          <w:sz w:val="18"/>
          <w:szCs w:val="18"/>
          <w:color w:val="auto"/>
        </w:rPr>
        <w:t>(45,362)</w:t>
        <w:tab/>
        <w:t>$</w:t>
      </w:r>
      <w:r>
        <w:rPr>
          <w:sz w:val="20"/>
          <w:szCs w:val="20"/>
          <w:color w:val="auto"/>
        </w:rPr>
        <w:tab/>
      </w:r>
      <w:r>
        <w:rPr>
          <w:rFonts w:ascii="Arial" w:cs="Arial" w:eastAsia="Arial" w:hAnsi="Arial"/>
          <w:sz w:val="16"/>
          <w:szCs w:val="16"/>
          <w:color w:val="auto"/>
        </w:rPr>
        <w:t>(32,052)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spacing w:after="0"/>
        <w:tabs>
          <w:tab w:leader="none" w:pos="240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1</w:t>
      </w:r>
    </w:p>
    <w:p>
      <w:pPr>
        <w:spacing w:after="0" w:line="360" w:lineRule="exact"/>
        <w:rPr>
          <w:sz w:val="20"/>
          <w:szCs w:val="20"/>
          <w:color w:val="auto"/>
        </w:rPr>
      </w:pPr>
    </w:p>
    <w:p>
      <w:pPr>
        <w:ind w:left="440"/>
        <w:spacing w:after="0"/>
        <w:tabs>
          <w:tab w:leader="none" w:pos="2300" w:val="left"/>
        </w:tabs>
        <w:rPr>
          <w:sz w:val="20"/>
          <w:szCs w:val="20"/>
          <w:color w:val="auto"/>
        </w:rPr>
      </w:pPr>
      <w:r>
        <w:rPr>
          <w:rFonts w:ascii="Arial" w:cs="Arial" w:eastAsia="Arial" w:hAnsi="Arial"/>
          <w:sz w:val="18"/>
          <w:szCs w:val="18"/>
          <w:color w:val="auto"/>
        </w:rPr>
        <w:t>8,881</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940" w:hanging="1347"/>
        <w:spacing w:after="0"/>
        <w:tabs>
          <w:tab w:leader="none" w:pos="1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(32,052)</w:t>
      </w:r>
    </w:p>
    <w:p>
      <w:pPr>
        <w:spacing w:after="0" w:line="86" w:lineRule="exact"/>
        <w:rPr>
          <w:sz w:val="20"/>
          <w:szCs w:val="20"/>
          <w:color w:val="auto"/>
        </w:rPr>
      </w:pPr>
    </w:p>
    <w:p>
      <w:pPr>
        <w:ind w:left="280"/>
        <w:spacing w:after="0"/>
        <w:tabs>
          <w:tab w:leader="none" w:pos="2300" w:val="left"/>
        </w:tabs>
        <w:rPr>
          <w:sz w:val="20"/>
          <w:szCs w:val="20"/>
          <w:color w:val="auto"/>
        </w:rPr>
      </w:pPr>
      <w:r>
        <w:rPr>
          <w:rFonts w:ascii="Arial" w:cs="Arial" w:eastAsia="Arial" w:hAnsi="Arial"/>
          <w:sz w:val="18"/>
          <w:szCs w:val="18"/>
          <w:color w:val="auto"/>
        </w:rPr>
        <w:t>(45,321)</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60"/>
        <w:spacing w:after="0"/>
        <w:tabs>
          <w:tab w:leader="none" w:pos="240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1</w:t>
      </w:r>
    </w:p>
    <w:p>
      <w:pPr>
        <w:spacing w:after="0" w:line="144" w:lineRule="exact"/>
        <w:rPr>
          <w:sz w:val="20"/>
          <w:szCs w:val="20"/>
          <w:color w:val="auto"/>
        </w:rPr>
      </w:pPr>
    </w:p>
    <w:p>
      <w:pPr>
        <w:ind w:left="260"/>
        <w:spacing w:after="0"/>
        <w:tabs>
          <w:tab w:leader="none" w:pos="2300" w:val="left"/>
        </w:tabs>
        <w:rPr>
          <w:sz w:val="20"/>
          <w:szCs w:val="20"/>
          <w:color w:val="auto"/>
        </w:rPr>
      </w:pPr>
      <w:r>
        <w:rPr>
          <w:rFonts w:ascii="Arial" w:cs="Arial" w:eastAsia="Arial" w:hAnsi="Arial"/>
          <w:sz w:val="18"/>
          <w:szCs w:val="18"/>
          <w:color w:val="auto"/>
        </w:rPr>
        <w:t>888,087</w:t>
      </w:r>
      <w:r>
        <w:rPr>
          <w:sz w:val="20"/>
          <w:szCs w:val="20"/>
          <w:color w:val="auto"/>
        </w:rPr>
        <w:tab/>
      </w:r>
      <w:r>
        <w:rPr>
          <w:rFonts w:ascii="Arial" w:cs="Arial" w:eastAsia="Arial" w:hAnsi="Arial"/>
          <w:sz w:val="18"/>
          <w:szCs w:val="18"/>
          <w:color w:val="auto"/>
        </w:rPr>
        <w:t>—</w:t>
      </w:r>
    </w:p>
    <w:p>
      <w:pPr>
        <w:spacing w:after="0" w:line="387" w:lineRule="exact"/>
        <w:rPr>
          <w:sz w:val="20"/>
          <w:szCs w:val="20"/>
          <w:color w:val="auto"/>
        </w:rPr>
      </w:pPr>
    </w:p>
    <w:p>
      <w:pPr>
        <w:ind w:left="1940" w:hanging="1248"/>
        <w:spacing w:after="0"/>
        <w:tabs>
          <w:tab w:leader="none" w:pos="19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(32,052)</w:t>
      </w:r>
    </w:p>
    <w:p>
      <w:pPr>
        <w:spacing w:after="0" w:line="86"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120" w:space="540"/>
            <w:col w:w="2580"/>
          </w:cols>
          <w:pgMar w:left="320" w:top="1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40"/>
          </w:cols>
          <w:pgMar w:left="320" w:top="135" w:right="3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8020" w:val="left"/>
        </w:tabs>
        <w:rPr>
          <w:sz w:val="20"/>
          <w:szCs w:val="20"/>
          <w:color w:val="auto"/>
        </w:rPr>
      </w:pPr>
      <w:r>
        <w:rPr>
          <w:rFonts w:ascii="Arial" w:cs="Arial" w:eastAsia="Arial" w:hAnsi="Arial"/>
          <w:sz w:val="18"/>
          <w:szCs w:val="18"/>
          <w:color w:val="auto"/>
        </w:rPr>
        <w:t>Net loss attributable to common stockholders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3600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1">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97" w:lineRule="exact"/>
        <w:rPr>
          <w:sz w:val="20"/>
          <w:szCs w:val="20"/>
          <w:color w:val="auto"/>
        </w:rPr>
      </w:pPr>
    </w:p>
    <w:p>
      <w:pPr>
        <w:ind w:left="180" w:right="180" w:hanging="161"/>
        <w:spacing w:after="0" w:line="277" w:lineRule="auto"/>
        <w:rPr>
          <w:sz w:val="20"/>
          <w:szCs w:val="20"/>
          <w:color w:val="auto"/>
        </w:rPr>
      </w:pPr>
      <w:r>
        <w:rPr>
          <w:rFonts w:ascii="Arial" w:cs="Arial" w:eastAsia="Arial" w:hAnsi="Arial"/>
          <w:sz w:val="18"/>
          <w:szCs w:val="18"/>
          <w:color w:val="auto"/>
        </w:rPr>
        <w:t>Weighted average Class A shares outstanding used in computing allocation of net loss attributable to common stockholders</w:t>
      </w:r>
    </w:p>
    <w:p>
      <w:pPr>
        <w:spacing w:after="0" w:line="89" w:lineRule="exact"/>
        <w:rPr>
          <w:sz w:val="20"/>
          <w:szCs w:val="20"/>
          <w:color w:val="auto"/>
        </w:rPr>
      </w:pPr>
    </w:p>
    <w:p>
      <w:pPr>
        <w:ind w:left="180" w:right="200" w:hanging="161"/>
        <w:spacing w:after="0" w:line="277" w:lineRule="auto"/>
        <w:rPr>
          <w:sz w:val="20"/>
          <w:szCs w:val="20"/>
          <w:color w:val="auto"/>
        </w:rPr>
      </w:pPr>
      <w:r>
        <w:rPr>
          <w:rFonts w:ascii="Arial" w:cs="Arial" w:eastAsia="Arial" w:hAnsi="Arial"/>
          <w:sz w:val="18"/>
          <w:szCs w:val="18"/>
          <w:color w:val="auto"/>
        </w:rPr>
        <w:t>Weighted average Class B shares on an as converted to Class A basis used in computing allocation of 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Allocation of net loss attributable to common stockholders for basic: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B common stock</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222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shares used in computing net loss per share attributable to Class A common stockholders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shares used in computing net loss per share attributable to Class B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net loss per share attributable to Class A</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net loss per share attributable to Class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32385</wp:posOffset>
            </wp:positionV>
            <wp:extent cx="20485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9"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333" w:lineRule="exact"/>
        <w:rPr>
          <w:sz w:val="20"/>
          <w:szCs w:val="20"/>
          <w:color w:val="auto"/>
        </w:rPr>
      </w:pPr>
    </w:p>
    <w:p>
      <w:pPr>
        <w:ind w:left="180"/>
        <w:spacing w:after="0"/>
        <w:tabs>
          <w:tab w:leader="none" w:pos="1020" w:val="left"/>
          <w:tab w:leader="none" w:pos="1920" w:val="left"/>
        </w:tabs>
        <w:rPr>
          <w:sz w:val="20"/>
          <w:szCs w:val="20"/>
          <w:color w:val="auto"/>
        </w:rPr>
      </w:pPr>
      <w:r>
        <w:rPr>
          <w:rFonts w:ascii="Arial" w:cs="Arial" w:eastAsia="Arial" w:hAnsi="Arial"/>
          <w:sz w:val="18"/>
          <w:szCs w:val="18"/>
          <w:color w:val="auto"/>
        </w:rPr>
        <w:t>(236,355)</w:t>
        <w:tab/>
        <w:t>$</w:t>
      </w:r>
      <w:r>
        <w:rPr>
          <w:sz w:val="20"/>
          <w:szCs w:val="20"/>
          <w:color w:val="auto"/>
        </w:rPr>
        <w:tab/>
      </w:r>
      <w:r>
        <w:rPr>
          <w:rFonts w:ascii="Arial" w:cs="Arial" w:eastAsia="Arial" w:hAnsi="Arial"/>
          <w:sz w:val="16"/>
          <w:szCs w:val="16"/>
          <w:color w:val="auto"/>
        </w:rPr>
        <w:t>(59,042)</w:t>
      </w:r>
    </w:p>
    <w:p>
      <w:pPr>
        <w:spacing w:after="0" w:line="360" w:lineRule="exact"/>
        <w:rPr>
          <w:sz w:val="20"/>
          <w:szCs w:val="20"/>
          <w:color w:val="auto"/>
        </w:rPr>
      </w:pPr>
    </w:p>
    <w:p>
      <w:pPr>
        <w:ind w:left="760"/>
        <w:spacing w:after="0"/>
        <w:tabs>
          <w:tab w:leader="none" w:pos="24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1</w:t>
      </w:r>
    </w:p>
    <w:p>
      <w:pPr>
        <w:spacing w:after="0" w:line="360" w:lineRule="exact"/>
        <w:rPr>
          <w:sz w:val="20"/>
          <w:szCs w:val="20"/>
          <w:color w:val="auto"/>
        </w:rPr>
      </w:pPr>
    </w:p>
    <w:p>
      <w:pPr>
        <w:ind w:left="440"/>
        <w:spacing w:after="0"/>
        <w:tabs>
          <w:tab w:leader="none" w:pos="2300" w:val="left"/>
        </w:tabs>
        <w:rPr>
          <w:sz w:val="20"/>
          <w:szCs w:val="20"/>
          <w:color w:val="auto"/>
        </w:rPr>
      </w:pPr>
      <w:r>
        <w:rPr>
          <w:rFonts w:ascii="Arial" w:cs="Arial" w:eastAsia="Arial" w:hAnsi="Arial"/>
          <w:sz w:val="18"/>
          <w:szCs w:val="18"/>
          <w:color w:val="auto"/>
        </w:rPr>
        <w:t>6,672</w:t>
      </w:r>
      <w:r>
        <w:rPr>
          <w:sz w:val="20"/>
          <w:szCs w:val="20"/>
          <w:color w:val="auto"/>
        </w:rPr>
        <w:tab/>
      </w:r>
      <w:r>
        <w:rPr>
          <w:rFonts w:ascii="Arial" w:cs="Arial" w:eastAsia="Arial" w:hAnsi="Arial"/>
          <w:sz w:val="18"/>
          <w:szCs w:val="18"/>
          <w:color w:val="auto"/>
        </w:rPr>
        <w:t>—</w:t>
      </w:r>
    </w:p>
    <w:p>
      <w:pPr>
        <w:spacing w:after="0" w:line="333" w:lineRule="exact"/>
        <w:rPr>
          <w:sz w:val="20"/>
          <w:szCs w:val="20"/>
          <w:color w:val="auto"/>
        </w:rPr>
      </w:pPr>
    </w:p>
    <w:p>
      <w:pPr>
        <w:jc w:val="both"/>
        <w:ind w:left="360"/>
        <w:spacing w:after="0"/>
        <w:tabs>
          <w:tab w:leader="none" w:pos="1920" w:val="left"/>
        </w:tabs>
        <w:rPr>
          <w:sz w:val="20"/>
          <w:szCs w:val="20"/>
          <w:color w:val="auto"/>
        </w:rPr>
      </w:pPr>
      <w:r>
        <w:rPr>
          <w:rFonts w:ascii="Arial" w:cs="Arial" w:eastAsia="Arial" w:hAnsi="Arial"/>
          <w:sz w:val="18"/>
          <w:szCs w:val="18"/>
          <w:color w:val="auto"/>
        </w:rPr>
        <w:t>(1,268)</w:t>
      </w:r>
      <w:r>
        <w:rPr>
          <w:sz w:val="20"/>
          <w:szCs w:val="20"/>
          <w:color w:val="auto"/>
        </w:rPr>
        <w:tab/>
      </w:r>
      <w:r>
        <w:rPr>
          <w:rFonts w:ascii="Arial" w:cs="Arial" w:eastAsia="Arial" w:hAnsi="Arial"/>
          <w:sz w:val="18"/>
          <w:szCs w:val="18"/>
          <w:color w:val="auto"/>
        </w:rPr>
        <w:t>(59,042)</w:t>
      </w:r>
    </w:p>
    <w:p>
      <w:pPr>
        <w:spacing w:after="0" w:line="63" w:lineRule="exact"/>
        <w:rPr>
          <w:sz w:val="20"/>
          <w:szCs w:val="20"/>
          <w:color w:val="auto"/>
        </w:rPr>
      </w:pPr>
    </w:p>
    <w:p>
      <w:pPr>
        <w:ind w:left="180"/>
        <w:spacing w:after="0"/>
        <w:tabs>
          <w:tab w:leader="none" w:pos="2300" w:val="left"/>
        </w:tabs>
        <w:rPr>
          <w:sz w:val="20"/>
          <w:szCs w:val="20"/>
          <w:color w:val="auto"/>
        </w:rPr>
      </w:pPr>
      <w:r>
        <w:rPr>
          <w:rFonts w:ascii="Arial" w:cs="Arial" w:eastAsia="Arial" w:hAnsi="Arial"/>
          <w:sz w:val="18"/>
          <w:szCs w:val="18"/>
          <w:color w:val="auto"/>
        </w:rPr>
        <w:t>(235,087)</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ind w:left="760"/>
        <w:spacing w:after="0"/>
        <w:tabs>
          <w:tab w:leader="none" w:pos="24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1</w:t>
      </w:r>
    </w:p>
    <w:p>
      <w:pPr>
        <w:spacing w:after="0" w:line="144" w:lineRule="exact"/>
        <w:rPr>
          <w:sz w:val="20"/>
          <w:szCs w:val="20"/>
          <w:color w:val="auto"/>
        </w:rPr>
      </w:pPr>
    </w:p>
    <w:p>
      <w:pPr>
        <w:ind w:left="260"/>
        <w:spacing w:after="0"/>
        <w:tabs>
          <w:tab w:leader="none" w:pos="2300" w:val="left"/>
        </w:tabs>
        <w:rPr>
          <w:sz w:val="20"/>
          <w:szCs w:val="20"/>
          <w:color w:val="auto"/>
        </w:rPr>
      </w:pPr>
      <w:r>
        <w:rPr>
          <w:rFonts w:ascii="Arial" w:cs="Arial" w:eastAsia="Arial" w:hAnsi="Arial"/>
          <w:sz w:val="18"/>
          <w:szCs w:val="18"/>
          <w:color w:val="auto"/>
        </w:rPr>
        <w:t>667,203</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940" w:hanging="1437"/>
        <w:spacing w:after="0"/>
        <w:tabs>
          <w:tab w:leader="none" w:pos="1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(59,042)</w:t>
      </w:r>
    </w:p>
    <w:p>
      <w:pPr>
        <w:spacing w:after="0" w:line="92" w:lineRule="exact"/>
        <w:rPr>
          <w:sz w:val="20"/>
          <w:szCs w:val="20"/>
          <w:color w:val="auto"/>
        </w:rPr>
      </w:pPr>
    </w:p>
    <w:p>
      <w:pPr>
        <w:ind w:left="620"/>
        <w:spacing w:after="0"/>
        <w:tabs>
          <w:tab w:leader="none" w:pos="22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8120" w:space="540"/>
            <w:col w:w="2580"/>
          </w:cols>
          <w:pgMar w:left="320" w:top="135" w:right="339" w:bottom="1440" w:gutter="0" w:footer="0" w:header="0"/>
          <w:type w:val="continuous"/>
        </w:sectPr>
      </w:pPr>
    </w:p>
    <w:p>
      <w:pPr>
        <w:spacing w:after="0" w:line="9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Diluted net loss per share is computed based on the weighted-average number of shares of common stock, including the dilutive effect of common stock equivalents, outstanding. Basic net loss per share was determined to be the same as diluted net loss per share for the three and six months ended June 30, 2021 as the inclusion of potentially dilutive shares would have been anti-dilutive.</w:t>
      </w:r>
    </w:p>
    <w:p>
      <w:pPr>
        <w:spacing w:after="0" w:line="12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For the three and six months ended June 30, 2021, the Company’s diluted net loss per share of Class A common stock assumed the conversion of all Class B common stock into Class A common stock in accordance with the if-converted method. Additionally, the calculation of diluted net loss per share of Class B common stock did not differ from the calculation of basic net loss per share as the inclusion of potentially dilutive shares would have been anti-dilutive. The following tables sets forth the computation of diluted net loss per share of Class A common stock for the three and six months ended June 30, 2021 (in thousands, except for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60" w:type="dxa"/>
            <w:vAlign w:val="bottom"/>
            <w:gridSpan w:val="5"/>
          </w:tcPr>
          <w:p>
            <w:pPr>
              <w:jc w:val="center"/>
              <w:ind w:left="715"/>
              <w:spacing w:after="0"/>
              <w:rPr>
                <w:sz w:val="20"/>
                <w:szCs w:val="20"/>
                <w:color w:val="auto"/>
              </w:rPr>
            </w:pPr>
            <w:r>
              <w:rPr>
                <w:rFonts w:ascii="Arial" w:cs="Arial" w:eastAsia="Arial" w:hAnsi="Arial"/>
                <w:sz w:val="14"/>
                <w:szCs w:val="14"/>
                <w:b w:val="1"/>
                <w:bCs w:val="1"/>
                <w:color w:val="auto"/>
                <w:w w:val="91"/>
              </w:rPr>
              <w:t>Three months ended June 30, 2021</w:t>
            </w:r>
          </w:p>
        </w:tc>
        <w:tc>
          <w:tcPr>
            <w:tcW w:w="1320" w:type="dxa"/>
            <w:vAlign w:val="bottom"/>
          </w:tcPr>
          <w:p>
            <w:pPr>
              <w:spacing w:after="0"/>
              <w:rPr>
                <w:sz w:val="16"/>
                <w:szCs w:val="16"/>
                <w:color w:val="auto"/>
              </w:rPr>
            </w:pPr>
          </w:p>
        </w:tc>
      </w:tr>
      <w:tr>
        <w:trPr>
          <w:trHeight w:val="25"/>
        </w:trPr>
        <w:tc>
          <w:tcPr>
            <w:tcW w:w="620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60"/>
        </w:trPr>
        <w:tc>
          <w:tcPr>
            <w:tcW w:w="6200" w:type="dxa"/>
            <w:vAlign w:val="bottom"/>
          </w:tcPr>
          <w:p>
            <w:pPr>
              <w:spacing w:after="0"/>
              <w:rPr>
                <w:sz w:val="13"/>
                <w:szCs w:val="13"/>
                <w:color w:val="auto"/>
              </w:rPr>
            </w:pPr>
          </w:p>
        </w:tc>
        <w:tc>
          <w:tcPr>
            <w:tcW w:w="1660" w:type="dxa"/>
            <w:vAlign w:val="bottom"/>
            <w:gridSpan w:val="3"/>
          </w:tcPr>
          <w:p>
            <w:pPr>
              <w:ind w:left="80"/>
              <w:spacing w:after="0" w:line="160" w:lineRule="exact"/>
              <w:rPr>
                <w:sz w:val="20"/>
                <w:szCs w:val="20"/>
                <w:color w:val="auto"/>
              </w:rPr>
            </w:pPr>
            <w:r>
              <w:rPr>
                <w:rFonts w:ascii="Arial" w:cs="Arial" w:eastAsia="Arial" w:hAnsi="Arial"/>
                <w:sz w:val="14"/>
                <w:szCs w:val="14"/>
                <w:b w:val="1"/>
                <w:bCs w:val="1"/>
                <w:color w:val="auto"/>
              </w:rPr>
              <w:t>Net loss attributable to</w:t>
            </w:r>
          </w:p>
        </w:tc>
        <w:tc>
          <w:tcPr>
            <w:tcW w:w="166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89"/>
              </w:rPr>
              <w:t>Weighted average shares</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6"/>
        </w:trPr>
        <w:tc>
          <w:tcPr>
            <w:tcW w:w="62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Class A common stock</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6"/>
                <w:szCs w:val="16"/>
                <w:color w:val="auto"/>
              </w:rPr>
            </w:pPr>
          </w:p>
        </w:tc>
        <w:tc>
          <w:tcPr>
            <w:tcW w:w="1320" w:type="dxa"/>
            <w:vAlign w:val="bottom"/>
          </w:tcPr>
          <w:p>
            <w:pPr>
              <w:jc w:val="right"/>
              <w:ind w:right="256"/>
              <w:spacing w:after="0"/>
              <w:rPr>
                <w:sz w:val="20"/>
                <w:szCs w:val="20"/>
                <w:color w:val="auto"/>
              </w:rPr>
            </w:pPr>
            <w:r>
              <w:rPr>
                <w:rFonts w:ascii="Arial" w:cs="Arial" w:eastAsia="Arial" w:hAnsi="Arial"/>
                <w:sz w:val="14"/>
                <w:szCs w:val="14"/>
                <w:b w:val="1"/>
                <w:bCs w:val="1"/>
                <w:color w:val="auto"/>
                <w:w w:val="96"/>
              </w:rPr>
              <w:t>Loss per share</w:t>
            </w:r>
          </w:p>
        </w:tc>
      </w:tr>
      <w:tr>
        <w:trPr>
          <w:trHeight w:val="25"/>
        </w:trPr>
        <w:tc>
          <w:tcPr>
            <w:tcW w:w="6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Add: The effect of dilutive potential Class A common stock</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B common stock on an as converted to Class A basis</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(45,321)</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Diluted net loss per share attributable to Class A common stock</w:t>
            </w: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(45,362)</w:t>
            </w:r>
          </w:p>
        </w:tc>
        <w:tc>
          <w:tcPr>
            <w:tcW w:w="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8,889</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35" w:right="3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6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rPr>
              <w:t>Six months ended June 30, 2021</w:t>
            </w:r>
          </w:p>
        </w:tc>
        <w:tc>
          <w:tcPr>
            <w:tcW w:w="1360" w:type="dxa"/>
            <w:vAlign w:val="bottom"/>
          </w:tcPr>
          <w:p>
            <w:pPr>
              <w:spacing w:after="0"/>
              <w:rPr>
                <w:sz w:val="16"/>
                <w:szCs w:val="16"/>
                <w:color w:val="auto"/>
              </w:rPr>
            </w:pPr>
          </w:p>
        </w:tc>
      </w:tr>
      <w:tr>
        <w:trPr>
          <w:trHeight w:val="26"/>
        </w:trPr>
        <w:tc>
          <w:tcPr>
            <w:tcW w:w="620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0"/>
        </w:trPr>
        <w:tc>
          <w:tcPr>
            <w:tcW w:w="6200" w:type="dxa"/>
            <w:vAlign w:val="bottom"/>
          </w:tcPr>
          <w:p>
            <w:pPr>
              <w:spacing w:after="0"/>
              <w:rPr>
                <w:sz w:val="13"/>
                <w:szCs w:val="13"/>
                <w:color w:val="auto"/>
              </w:rPr>
            </w:pPr>
          </w:p>
        </w:tc>
        <w:tc>
          <w:tcPr>
            <w:tcW w:w="1660" w:type="dxa"/>
            <w:vAlign w:val="bottom"/>
            <w:gridSpan w:val="3"/>
          </w:tcPr>
          <w:p>
            <w:pPr>
              <w:ind w:left="80"/>
              <w:spacing w:after="0" w:line="160" w:lineRule="exact"/>
              <w:rPr>
                <w:sz w:val="20"/>
                <w:szCs w:val="20"/>
                <w:color w:val="auto"/>
              </w:rPr>
            </w:pPr>
            <w:r>
              <w:rPr>
                <w:rFonts w:ascii="Arial" w:cs="Arial" w:eastAsia="Arial" w:hAnsi="Arial"/>
                <w:sz w:val="14"/>
                <w:szCs w:val="14"/>
                <w:b w:val="1"/>
                <w:bCs w:val="1"/>
                <w:color w:val="auto"/>
              </w:rPr>
              <w:t>Net loss attributable to</w:t>
            </w:r>
          </w:p>
        </w:tc>
        <w:tc>
          <w:tcPr>
            <w:tcW w:w="166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89"/>
              </w:rPr>
              <w:t>Weighted average shares</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6"/>
        </w:trPr>
        <w:tc>
          <w:tcPr>
            <w:tcW w:w="62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Class A common stock</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6"/>
                <w:szCs w:val="16"/>
                <w:color w:val="auto"/>
              </w:rPr>
            </w:pPr>
          </w:p>
        </w:tc>
        <w:tc>
          <w:tcPr>
            <w:tcW w:w="1360" w:type="dxa"/>
            <w:vAlign w:val="bottom"/>
          </w:tcPr>
          <w:p>
            <w:pPr>
              <w:jc w:val="right"/>
              <w:ind w:right="256"/>
              <w:spacing w:after="0"/>
              <w:rPr>
                <w:sz w:val="20"/>
                <w:szCs w:val="20"/>
                <w:color w:val="auto"/>
              </w:rPr>
            </w:pPr>
            <w:r>
              <w:rPr>
                <w:rFonts w:ascii="Arial" w:cs="Arial" w:eastAsia="Arial" w:hAnsi="Arial"/>
                <w:sz w:val="14"/>
                <w:szCs w:val="14"/>
                <w:b w:val="1"/>
                <w:bCs w:val="1"/>
                <w:color w:val="auto"/>
              </w:rPr>
              <w:t>Loss per share</w:t>
            </w:r>
          </w:p>
        </w:tc>
      </w:tr>
      <w:tr>
        <w:trPr>
          <w:trHeight w:val="26"/>
        </w:trPr>
        <w:tc>
          <w:tcPr>
            <w:tcW w:w="6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Add: The effect of dilutive potential Class A common stock</w:t>
            </w: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B common stock on an as converted to Class A basis</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(235,087)</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Diluted net loss per share attributable to Class A common stock</w:t>
            </w: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(236,355)</w:t>
            </w:r>
          </w:p>
        </w:tc>
        <w:tc>
          <w:tcPr>
            <w:tcW w:w="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324"/>
        <w:spacing w:after="0" w:line="341" w:lineRule="auto"/>
        <w:rPr>
          <w:sz w:val="20"/>
          <w:szCs w:val="20"/>
          <w:color w:val="auto"/>
        </w:rPr>
      </w:pPr>
      <w:r>
        <w:rPr>
          <w:rFonts w:ascii="Arial" w:cs="Arial" w:eastAsia="Arial" w:hAnsi="Arial"/>
          <w:sz w:val="17"/>
          <w:szCs w:val="17"/>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22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Three months ended June 30,</w:t>
            </w:r>
          </w:p>
        </w:tc>
      </w:tr>
      <w:tr>
        <w:trPr>
          <w:trHeight w:val="26"/>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5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Class A common stock</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121,965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122,000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Outstanding options to purchase Class B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11,143,781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12,056,803</w:t>
            </w:r>
          </w:p>
        </w:tc>
      </w:tr>
      <w:tr>
        <w:trPr>
          <w:trHeight w:val="27"/>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(on an if-converted basis)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1,187,383</w:t>
            </w:r>
          </w:p>
        </w:tc>
      </w:tr>
      <w:tr>
        <w:trPr>
          <w:trHeight w:val="26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12,650,950</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13,366,186</w:t>
            </w:r>
          </w:p>
        </w:tc>
      </w:tr>
      <w:tr>
        <w:trPr>
          <w:trHeight w:val="21"/>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832"/>
        </w:trPr>
        <w:tc>
          <w:tcPr>
            <w:tcW w:w="8020" w:type="dxa"/>
            <w:vAlign w:val="bottom"/>
          </w:tcPr>
          <w:p>
            <w:pPr>
              <w:spacing w:after="0"/>
              <w:rPr>
                <w:sz w:val="24"/>
                <w:szCs w:val="24"/>
                <w:color w:val="auto"/>
              </w:rPr>
            </w:pPr>
          </w:p>
        </w:tc>
        <w:tc>
          <w:tcPr>
            <w:tcW w:w="3220" w:type="dxa"/>
            <w:vAlign w:val="bottom"/>
            <w:gridSpan w:val="3"/>
          </w:tcPr>
          <w:p>
            <w:pPr>
              <w:jc w:val="right"/>
              <w:ind w:right="714"/>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5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5"/>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Class A common stock</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121,965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122,000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Outstanding options to purchase Class B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11,143,781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12,056,803</w:t>
            </w:r>
          </w:p>
        </w:tc>
      </w:tr>
      <w:tr>
        <w:trPr>
          <w:trHeight w:val="27"/>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(on an if-converted basis)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1,187,383</w:t>
            </w:r>
          </w:p>
        </w:tc>
      </w:tr>
      <w:tr>
        <w:trPr>
          <w:trHeight w:val="26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12,650,950</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13,366,186</w:t>
            </w:r>
          </w:p>
        </w:tc>
      </w:tr>
      <w:tr>
        <w:trPr>
          <w:trHeight w:val="21"/>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w:t>
      </w:r>
    </w:p>
    <w:p>
      <w:pPr>
        <w:spacing w:after="0" w:line="18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July 22, 2021, we consummated the transactions contemplated by that certain Agreement and Plan of Merger, dated as of February 9, 2021 (as amended, the “Merger Agreement”), by and among CMLS, S-IV Sub, Inc. (“Merger Sub”) and the Company. In particular, on July 22, 2021, we consummated the merger contemplated by the Merger Agreement, whereby Merger Sub merged with and into Sema4, with Sema4 surviving the merger as a wholly-owned subsidiary of CMLS. In connection with the consummation of the Business Combination, CMLS changed its name to “Sema4 Holdings Corp.” and Sema4 changed its name to “Sema4 OpCo, Inc.”</w:t>
      </w:r>
    </w:p>
    <w:p>
      <w:pPr>
        <w:spacing w:after="0" w:line="80"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On July 22, 2021, the Company completed the Merger transaction as discussed in Note 1, and received net cash proceeds of $510 million. On July 23, 2021, Sema4’s shares of Class A common stock began trading on the Nasdaq Global Select Market under the ticker symbol “SMFR” and warrants under ticker symbol “SMFRW”.</w:t>
      </w:r>
    </w:p>
    <w:p>
      <w:pPr>
        <w:spacing w:after="0" w:line="68"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The Merger will be accounted for as a reverse recapitalization in accordance with U.S. GAAP. Under this method of accounting, CMLS, who is the legal acquirer will be treated as the “acquired” company for financial reporting purposes and the Company will be treated as the accounting acquirer. Upon the consummation of the merger, CMLS changed its name to Sema4 Holdings Corp.</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Merger, the following occurred:</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240"/>
          </w:cols>
          <w:pgMar w:left="320" w:top="135" w:right="339" w:bottom="1440" w:gutter="0" w:footer="0" w:header="0"/>
          <w:type w:val="continuous"/>
        </w:sectPr>
      </w:pPr>
    </w:p>
    <w:bookmarkStart w:id="72" w:name="page73"/>
    <w:bookmarkEnd w:id="72"/>
    <w:p>
      <w:pPr>
        <w:jc w:val="center"/>
        <w:ind w:right="-59"/>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right="80" w:hanging="328"/>
        <w:spacing w:after="0" w:line="22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share of Sema4 Class B common stock issued and outstanding immediately prior to the effective time was converted into 1/100th of a share of Sema4 Class A common stock (“Sema4 Common Stock”) as set forth in the Merger Agreement</w:t>
      </w:r>
    </w:p>
    <w:p>
      <w:pPr>
        <w:ind w:left="660" w:hanging="328"/>
        <w:spacing w:after="0" w:line="236"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Immediately thereafter, each share of Sema4 Common Stock and Sema4 Preferred Stock (other than Excluded Shares and Dissenting Shares (each as defined in the Merger Agreement) issued and outstanding immediately prior to the effective time was cancelled and automatically deemed for all purposes to represent the right to receive a portion of the merger consideration, with Sema4 equity holders (the “Sema4 equity holders”) who had elected to receive Closing Available Cash (as defined in the Merger Agreement) receiving an aggregate of $231 million of cash and Sema4 equity holders receiving an aggregate of 178,336,298 shares of common stock of the post-combination company. Additionally, certain Sema4 equity holders became entitled to a pro rata share of 19,021,576 Earn-Out Shares, including Earn-Out RSUs, issuable pursuant to the terms of the Merger Agreement (the “Earnout”) upon the achievement of certain vesting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Payments</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July 2021, the Company terminated certain existing long-term debt arrangements in place by paying them off. Both 2020 Master Loan Agreement and 2020 Master Lease Agreement were fully paid off, totaling $9.1 million, including principal, interest and early payment penalties assessed pursuant to the terms of the agreements. As a result of these early payments, we expect to record a loss of approximately $0.3 million, which primarily relates to the early payment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sectPr>
      <w:pgSz w:w="11900" w:h="16838" w:orient="portrait"/>
      <w:cols w:equalWidth="0" w:num="1">
        <w:col w:w="11200"/>
      </w:cols>
      <w:pgMar w:left="320" w:top="1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upp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2"/>
    </w:lvl>
  </w:abstractNum>
  <w:abstractNum w:abstractNumId="19">
    <w:nsid w:val="6763845E"/>
    <w:multiLevelType w:val="hybridMultilevel"/>
    <w:lvl w:ilvl="0">
      <w:lvlJc w:val="left"/>
      <w:lvlText w:val="(%1)"/>
      <w:numFmt w:val="lowerLetter"/>
      <w:start w:val="3"/>
    </w:lvl>
  </w:abstractNum>
  <w:abstractNum w:abstractNumId="20">
    <w:nsid w:val="75A2A8D4"/>
    <w:multiLevelType w:val="hybridMultilevel"/>
    <w:lvl w:ilvl="0">
      <w:lvlJc w:val="left"/>
      <w:lvlText w:val="%1."/>
      <w:numFmt w:val="decimal"/>
      <w:start w:val="6"/>
    </w:lvl>
  </w:abstractNum>
  <w:abstractNum w:abstractNumId="21">
    <w:nsid w:val="8EDBDAB"/>
    <w:multiLevelType w:val="hybridMultilevel"/>
    <w:lvl w:ilvl="0">
      <w:lvlJc w:val="left"/>
      <w:lvlText w:val="(%1)"/>
      <w:numFmt w:val="upperLetter"/>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41"/>
    </w:lvl>
  </w:abstractNum>
  <w:abstractNum w:abstractNumId="24">
    <w:nsid w:val="B03E0C6"/>
    <w:multiLevelType w:val="hybridMultilevel"/>
    <w:lvl w:ilvl="0">
      <w:lvlJc w:val="left"/>
      <w:lvlText w:val="(%1)"/>
      <w:numFmt w:val="decimal"/>
      <w:start w:val="5"/>
    </w:lvl>
  </w:abstractNum>
  <w:abstractNum w:abstractNumId="25">
    <w:nsid w:val="189A769B"/>
    <w:multiLevelType w:val="hybridMultilevel"/>
    <w:lvl w:ilvl="0">
      <w:lvlJc w:val="left"/>
      <w:lvlText w:val="(%1)"/>
      <w:numFmt w:val="decimal"/>
      <w:start w:val="317"/>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2" Type="http://schemas.openxmlformats.org/officeDocument/2006/relationships/image" Target="media/image43.png"/><Relationship Id="rId83" Type="http://schemas.openxmlformats.org/officeDocument/2006/relationships/image" Target="media/image44.png"/><Relationship Id="rId88" Type="http://schemas.openxmlformats.org/officeDocument/2006/relationships/image" Target="media/image45.png"/><Relationship Id="rId89" Type="http://schemas.openxmlformats.org/officeDocument/2006/relationships/image" Target="media/image46.png"/><Relationship Id="rId90" Type="http://schemas.openxmlformats.org/officeDocument/2006/relationships/image" Target="media/image47.png"/><Relationship Id="rId91" Type="http://schemas.openxmlformats.org/officeDocument/2006/relationships/image" Target="media/image48.png"/><Relationship Id="rId92" Type="http://schemas.openxmlformats.org/officeDocument/2006/relationships/image" Target="media/image49.png"/><Relationship Id="rId93" Type="http://schemas.openxmlformats.org/officeDocument/2006/relationships/image" Target="media/image50.png"/><Relationship Id="rId94" Type="http://schemas.openxmlformats.org/officeDocument/2006/relationships/image" Target="media/image51.png"/><Relationship Id="rId95" Type="http://schemas.openxmlformats.org/officeDocument/2006/relationships/image" Target="media/image52.png"/><Relationship Id="rId96" Type="http://schemas.openxmlformats.org/officeDocument/2006/relationships/image" Target="media/image53.png"/><Relationship Id="rId97" Type="http://schemas.openxmlformats.org/officeDocument/2006/relationships/image" Target="media/image54.png"/><Relationship Id="rId98" Type="http://schemas.openxmlformats.org/officeDocument/2006/relationships/image" Target="media/image55.png"/><Relationship Id="rId99" Type="http://schemas.openxmlformats.org/officeDocument/2006/relationships/image" Target="media/image56.png"/><Relationship Id="rId100" Type="http://schemas.openxmlformats.org/officeDocument/2006/relationships/image" Target="media/image57.png"/><Relationship Id="rId101" Type="http://schemas.openxmlformats.org/officeDocument/2006/relationships/image" Target="media/image58.png"/><Relationship Id="rId102" Type="http://schemas.openxmlformats.org/officeDocument/2006/relationships/image" Target="media/image59.png"/><Relationship Id="rId103" Type="http://schemas.openxmlformats.org/officeDocument/2006/relationships/image" Target="media/image60.png"/><Relationship Id="rId104" Type="http://schemas.openxmlformats.org/officeDocument/2006/relationships/image" Target="media/image61.png"/><Relationship Id="rId105" Type="http://schemas.openxmlformats.org/officeDocument/2006/relationships/image" Target="media/image62.png"/><Relationship Id="rId106" Type="http://schemas.openxmlformats.org/officeDocument/2006/relationships/image" Target="media/image63.png"/><Relationship Id="rId107" Type="http://schemas.openxmlformats.org/officeDocument/2006/relationships/image" Target="media/image64.png"/><Relationship Id="rId108" Type="http://schemas.openxmlformats.org/officeDocument/2006/relationships/image" Target="media/image65.png"/><Relationship Id="rId109" Type="http://schemas.openxmlformats.org/officeDocument/2006/relationships/image" Target="media/image66.png"/><Relationship Id="rId110" Type="http://schemas.openxmlformats.org/officeDocument/2006/relationships/image" Target="media/image67.png"/><Relationship Id="rId111" Type="http://schemas.openxmlformats.org/officeDocument/2006/relationships/image" Target="media/image68.png"/><Relationship Id="rId112" Type="http://schemas.openxmlformats.org/officeDocument/2006/relationships/image" Target="media/image69.png"/><Relationship Id="rId113" Type="http://schemas.openxmlformats.org/officeDocument/2006/relationships/image" Target="media/image70.png"/><Relationship Id="rId114" Type="http://schemas.openxmlformats.org/officeDocument/2006/relationships/image" Target="media/image71.png"/><Relationship Id="rId115" Type="http://schemas.openxmlformats.org/officeDocument/2006/relationships/image" Target="media/image72.png"/><Relationship Id="rId116" Type="http://schemas.openxmlformats.org/officeDocument/2006/relationships/image" Target="media/image73.png"/><Relationship Id="rId117" Type="http://schemas.openxmlformats.org/officeDocument/2006/relationships/image" Target="media/image74.png"/><Relationship Id="rId118" Type="http://schemas.openxmlformats.org/officeDocument/2006/relationships/image" Target="media/image75.png"/><Relationship Id="rId119" Type="http://schemas.openxmlformats.org/officeDocument/2006/relationships/image" Target="media/image76.png"/><Relationship Id="rId120" Type="http://schemas.openxmlformats.org/officeDocument/2006/relationships/image" Target="media/image77.png"/><Relationship Id="rId121" Type="http://schemas.openxmlformats.org/officeDocument/2006/relationships/image" Target="media/image78.png"/><Relationship Id="rId122" Type="http://schemas.openxmlformats.org/officeDocument/2006/relationships/image" Target="media/image79.png"/><Relationship Id="rId123" Type="http://schemas.openxmlformats.org/officeDocument/2006/relationships/image" Target="media/image80.png"/><Relationship Id="rId124" Type="http://schemas.openxmlformats.org/officeDocument/2006/relationships/image" Target="media/image81.png"/><Relationship Id="rId125" Type="http://schemas.openxmlformats.org/officeDocument/2006/relationships/image" Target="media/image82.png"/><Relationship Id="rId126" Type="http://schemas.openxmlformats.org/officeDocument/2006/relationships/image" Target="media/image83.png"/><Relationship Id="rId127" Type="http://schemas.openxmlformats.org/officeDocument/2006/relationships/image" Target="media/image84.png"/><Relationship Id="rId128" Type="http://schemas.openxmlformats.org/officeDocument/2006/relationships/image" Target="media/image85.png"/><Relationship Id="rId129" Type="http://schemas.openxmlformats.org/officeDocument/2006/relationships/image" Target="media/image86.png"/><Relationship Id="rId130" Type="http://schemas.openxmlformats.org/officeDocument/2006/relationships/image" Target="media/image87.png"/><Relationship Id="rId131" Type="http://schemas.openxmlformats.org/officeDocument/2006/relationships/image" Target="media/image88.png"/><Relationship Id="rId132" Type="http://schemas.openxmlformats.org/officeDocument/2006/relationships/image" Target="media/image89.png"/><Relationship Id="rId133" Type="http://schemas.openxmlformats.org/officeDocument/2006/relationships/image" Target="media/image90.png"/><Relationship Id="rId134" Type="http://schemas.openxmlformats.org/officeDocument/2006/relationships/image" Target="media/image91.png"/><Relationship Id="rId135" Type="http://schemas.openxmlformats.org/officeDocument/2006/relationships/image" Target="media/image92.png"/><Relationship Id="rId136" Type="http://schemas.openxmlformats.org/officeDocument/2006/relationships/image" Target="media/image93.png"/><Relationship Id="rId50" Type="http://schemas.openxmlformats.org/officeDocument/2006/relationships/hyperlink" Target="https://www.sec.gov/Archives/edgar/data/1818331/000162828021013404/sema4proxy.htm#i8b8880c1ddfa423593153735d1fc233d_1878" TargetMode="External"/><Relationship Id="rId51" Type="http://schemas.openxmlformats.org/officeDocument/2006/relationships/hyperlink" Target="https://www.sec.gov/Archives/edgar/data/1818331/000162828021014760/exhibit31-super8xk.htm" TargetMode="External"/><Relationship Id="rId52" Type="http://schemas.openxmlformats.org/officeDocument/2006/relationships/hyperlink" Target="https://www.sec.gov/Archives/edgar/data/1818331/000162828021014760/exhibit32-super8xk.htm" TargetMode="External"/><Relationship Id="rId53" Type="http://schemas.openxmlformats.org/officeDocument/2006/relationships/hyperlink" Target="https://www.sec.gov/Archives/edgar/data/1818331/000121390020023383/fs12020a1ex4-2_cmlifesci.htm" TargetMode="External"/><Relationship Id="rId54" Type="http://schemas.openxmlformats.org/officeDocument/2006/relationships/hyperlink" Target="https://www.sec.gov/Archives/edgar/data/1818331/000121390020023383/fs12020a1ex4-3_cmlifesci.htm" TargetMode="External"/><Relationship Id="rId55" Type="http://schemas.openxmlformats.org/officeDocument/2006/relationships/hyperlink" Target="https://www.sec.gov/Archives/edgar/data/1818331/000121390020025454/ea126481ex10-1_cmlife.htm" TargetMode="External"/><Relationship Id="rId56" Type="http://schemas.openxmlformats.org/officeDocument/2006/relationships/hyperlink" Target="https://www.sec.gov/Archives/edgar/data/1818331/000121390021008253/ea135116ex10-2_cmlife.htm" TargetMode="External"/><Relationship Id="rId57" Type="http://schemas.openxmlformats.org/officeDocument/2006/relationships/hyperlink" Target="https://www.sec.gov/Archives/edgar/data/1818331/000162828021014760/exhibit102-super8xk.htm" TargetMode="External"/><Relationship Id="rId58" Type="http://schemas.openxmlformats.org/officeDocument/2006/relationships/hyperlink" Target="https://www.sec.gov/Archives/edgar/data/1818331/000121390021008253/ea135116ex10-1_cmlife.htm" TargetMode="External"/><Relationship Id="rId59" Type="http://schemas.openxmlformats.org/officeDocument/2006/relationships/hyperlink" Target="https://www.sec.gov/Archives/edgar/data/1818331/000162828021014760/exhibit104-super8xk.htm" TargetMode="External"/><Relationship Id="rId60" Type="http://schemas.openxmlformats.org/officeDocument/2006/relationships/hyperlink" Target="https://www.sec.gov/Archives/edgar/data/1818331/000162828021014760/exhibit105-super8xk.htm" TargetMode="External"/><Relationship Id="rId61" Type="http://schemas.openxmlformats.org/officeDocument/2006/relationships/hyperlink" Target="https://www.sec.gov/Archives/edgar/data/1818331/000162828021014760/exhibit106-super8xk.htm" TargetMode="External"/><Relationship Id="rId63" Type="http://schemas.openxmlformats.org/officeDocument/2006/relationships/hyperlink" Target="https://www.sec.gov/Archives/edgar/data/1818331/000162828021014760/exhibit107-super8xk.htm" TargetMode="External"/><Relationship Id="rId64" Type="http://schemas.openxmlformats.org/officeDocument/2006/relationships/hyperlink" Target="https://www.sec.gov/Archives/edgar/data/1818331/000162828021014760/exhibit108-super8xk.htm" TargetMode="External"/><Relationship Id="rId65" Type="http://schemas.openxmlformats.org/officeDocument/2006/relationships/hyperlink" Target="https://www.sec.gov/Archives/edgar/data/1818331/000162828021014760/exhibit109-super8xk.htm" TargetMode="External"/><Relationship Id="rId66" Type="http://schemas.openxmlformats.org/officeDocument/2006/relationships/hyperlink" Target="https://www.sec.gov/Archives/edgar/data/1818331/000162828021014760/exhibit1010-super8xk.htm" TargetMode="External"/><Relationship Id="rId67" Type="http://schemas.openxmlformats.org/officeDocument/2006/relationships/hyperlink" Target="https://www.sec.gov/Archives/edgar/data/1818331/000162828021014760/exhibit1011-super8xk.htm" TargetMode="External"/><Relationship Id="rId68" Type="http://schemas.openxmlformats.org/officeDocument/2006/relationships/hyperlink" Target="https://www.sec.gov/Archives/edgar/data/1818331/000162828021014760/exhibit1012-super8xk.htm" TargetMode="External"/><Relationship Id="rId69" Type="http://schemas.openxmlformats.org/officeDocument/2006/relationships/hyperlink" Target="https://www.sec.gov/Archives/edgar/data/1818331/000162828021014760/exhibit1013-super8xk.htm" TargetMode="External"/><Relationship Id="rId70" Type="http://schemas.openxmlformats.org/officeDocument/2006/relationships/hyperlink" Target="https://www.sec.gov/Archives/edgar/data/1818331/000162828021014760/exhibit1014-super8xk.htm" TargetMode="External"/><Relationship Id="rId71" Type="http://schemas.openxmlformats.org/officeDocument/2006/relationships/hyperlink" Target="https://www.sec.gov/Archives/edgar/data/1818331/000162828021014760/exhibit1015-super8xk.htm" TargetMode="External"/><Relationship Id="rId72" Type="http://schemas.openxmlformats.org/officeDocument/2006/relationships/hyperlink" Target="https://www.sec.gov/Archives/edgar/data/1818331/000162828021014760/exhibit1016-super8xk.htm" TargetMode="External"/><Relationship Id="rId73" Type="http://schemas.openxmlformats.org/officeDocument/2006/relationships/hyperlink" Target="https://www.sec.gov/Archives/edgar/data/1818331/000162828021014760/exhibit1017-super8xk.htm" TargetMode="External"/><Relationship Id="rId74" Type="http://schemas.openxmlformats.org/officeDocument/2006/relationships/hyperlink" Target="https://www.sec.gov/Archives/edgar/data/1818331/000162828021014760/exhibit1018-super8xk.htm" TargetMode="External"/><Relationship Id="rId75" Type="http://schemas.openxmlformats.org/officeDocument/2006/relationships/hyperlink" Target="https://www.sec.gov/Archives/edgar/data/1818331/000162828021014760/exhibit1019-super8xk.htm" TargetMode="External"/><Relationship Id="rId76" Type="http://schemas.openxmlformats.org/officeDocument/2006/relationships/hyperlink" Target="https://www.sec.gov/Archives/edgar/data/1818331/000162828021014760/exhibit1020-super8xk.htm" TargetMode="External"/><Relationship Id="rId77" Type="http://schemas.openxmlformats.org/officeDocument/2006/relationships/hyperlink" Target="https://www.sec.gov/Archives/edgar/data/1818331/000162828021014760/exhibit1021-super8xk.htm" TargetMode="External"/><Relationship Id="rId78" Type="http://schemas.openxmlformats.org/officeDocument/2006/relationships/hyperlink" Target="https://www.sec.gov/Archives/edgar/data/1818331/000162828021014760/exhibit1022-super8xk.htm" TargetMode="External"/><Relationship Id="rId79" Type="http://schemas.openxmlformats.org/officeDocument/2006/relationships/hyperlink" Target="https://www.sec.gov/Archives/edgar/data/1818331/000162828021014760/exhibit1023-super8xk.htm" TargetMode="External"/><Relationship Id="rId80" Type="http://schemas.openxmlformats.org/officeDocument/2006/relationships/hyperlink" Target="https://www.sec.gov/Archives/edgar/data/1818331/000162828021014760/exhibit1024-super8xk.htm" TargetMode="External"/><Relationship Id="rId81" Type="http://schemas.openxmlformats.org/officeDocument/2006/relationships/hyperlink" Target="https://www.sec.gov/Archives/edgar/data/1818331/000162828021014760/exhibit1025-super8xk.htm" TargetMode="External"/><Relationship Id="rId82" Type="http://schemas.openxmlformats.org/officeDocument/2006/relationships/hyperlink" Target="https://www.sec.gov/Archives/edgar/data/1818331/000162828021014760/exhibit1026-super8xk.htm" TargetMode="External"/><Relationship Id="rId84" Type="http://schemas.openxmlformats.org/officeDocument/2006/relationships/hyperlink" Target="https://www.sec.gov/Archives/edgar/data/1818331/000162828021014760/exhibit1027-super8xk.htm" TargetMode="External"/><Relationship Id="rId85" Type="http://schemas.openxmlformats.org/officeDocument/2006/relationships/hyperlink" Target="https://www.sec.gov/Archives/edgar/data/1818331/000162828021014760/exhibit161-super8xk.htm" TargetMode="External"/><Relationship Id="rId86" Type="http://schemas.openxmlformats.org/officeDocument/2006/relationships/hyperlink" Target="https://www.sec.gov/Archives/edgar/data/0001818331/000162828021014760/exhibit211-super8xk.htm" TargetMode="External"/><Relationship Id="rId87" Type="http://schemas.openxmlformats.org/officeDocument/2006/relationships/hyperlink" Target="https://www.sec.gov/Archives/edgar/data/1818331/000162828021014760/exhibit991-super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2021-08-16T16:26:29Z</dcterms:created>
  <dcterms:modified xsi:type="dcterms:W3CDTF">2021-08-16T16:26:29Z</dcterms:modified>
</cp:coreProperties>
</file>