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10501</w:t>
      </w:r>
      <w:r>
        <w:rPr>
          <w:sz w:val="20"/>
          <w:szCs w:val="20"/>
          <w:color w:val="auto"/>
        </w:rPr>
        <w:tab/>
      </w:r>
      <w:r>
        <w:rPr>
          <w:rFonts w:ascii="Times New Roman" w:cs="Times New Roman" w:eastAsia="Times New Roman" w:hAnsi="Times New Roman"/>
          <w:sz w:val="21"/>
          <w:szCs w:val="21"/>
          <w:color w:val="auto"/>
        </w:rPr>
        <w:t>394732.59</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27405710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10501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09/16/2024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09/09/2024 3639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121287.87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07/29/2024 2154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72245.16</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Represents shares to be sold on behalf of the Reporting Person to cover tax withholding obligations in connection</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the vesting of restricted stock units.</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09/16/2024</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Stueland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2024-09-16T17:57:45Z</dcterms:created>
  <dcterms:modified xsi:type="dcterms:W3CDTF">2024-09-16T17:57:45Z</dcterms:modified>
</cp:coreProperties>
</file>