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FORM 8-K</w:t>
      </w:r>
    </w:p>
    <w:p>
      <w:pPr>
        <w:spacing w:after="0" w:line="194" w:lineRule="exact"/>
        <w:rPr>
          <w:sz w:val="24"/>
          <w:szCs w:val="24"/>
          <w:color w:val="auto"/>
        </w:rPr>
      </w:pPr>
    </w:p>
    <w:p>
      <w:pPr>
        <w:ind w:left="5020"/>
        <w:spacing w:after="0"/>
        <w:rPr>
          <w:sz w:val="20"/>
          <w:szCs w:val="20"/>
          <w:color w:val="auto"/>
        </w:rPr>
      </w:pPr>
      <w:r>
        <w:rPr>
          <w:rFonts w:ascii="Arial" w:cs="Arial" w:eastAsia="Arial" w:hAnsi="Arial"/>
          <w:sz w:val="13"/>
          <w:szCs w:val="13"/>
          <w:b w:val="1"/>
          <w:bCs w:val="1"/>
          <w:color w:val="auto"/>
        </w:rPr>
        <w:t>CURRENT REPORT</w:t>
      </w:r>
    </w:p>
    <w:p>
      <w:pPr>
        <w:spacing w:after="0" w:line="31" w:lineRule="exact"/>
        <w:rPr>
          <w:sz w:val="24"/>
          <w:szCs w:val="24"/>
          <w:color w:val="auto"/>
        </w:rPr>
      </w:pPr>
    </w:p>
    <w:p>
      <w:pPr>
        <w:ind w:left="4220"/>
        <w:spacing w:after="0"/>
        <w:rPr>
          <w:sz w:val="20"/>
          <w:szCs w:val="20"/>
          <w:color w:val="auto"/>
        </w:rPr>
      </w:pPr>
      <w:r>
        <w:rPr>
          <w:rFonts w:ascii="Arial" w:cs="Arial" w:eastAsia="Arial" w:hAnsi="Arial"/>
          <w:sz w:val="13"/>
          <w:szCs w:val="13"/>
          <w:b w:val="1"/>
          <w:bCs w:val="1"/>
          <w:color w:val="auto"/>
        </w:rPr>
        <w:t>PURSUANT TO SECTION 13 OR 15(d) OF THE</w:t>
      </w:r>
    </w:p>
    <w:p>
      <w:pPr>
        <w:spacing w:after="0" w:line="31" w:lineRule="exact"/>
        <w:rPr>
          <w:sz w:val="24"/>
          <w:szCs w:val="24"/>
          <w:color w:val="auto"/>
        </w:rPr>
      </w:pPr>
    </w:p>
    <w:p>
      <w:pPr>
        <w:ind w:left="4440"/>
        <w:spacing w:after="0"/>
        <w:rPr>
          <w:sz w:val="20"/>
          <w:szCs w:val="20"/>
          <w:color w:val="auto"/>
        </w:rPr>
      </w:pPr>
      <w:r>
        <w:rPr>
          <w:rFonts w:ascii="Arial" w:cs="Arial" w:eastAsia="Arial" w:hAnsi="Arial"/>
          <w:sz w:val="13"/>
          <w:szCs w:val="13"/>
          <w:b w:val="1"/>
          <w:bCs w:val="1"/>
          <w:color w:val="auto"/>
        </w:rPr>
        <w:t>SECURITIES EXCHANGE ACT OF 1934</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Date of Report (Date of earliest event reported): </w:t>
      </w:r>
      <w:r>
        <w:rPr>
          <w:rFonts w:ascii="Arial" w:cs="Arial" w:eastAsia="Arial" w:hAnsi="Arial"/>
          <w:sz w:val="13"/>
          <w:szCs w:val="13"/>
          <w:b w:val="1"/>
          <w:bCs w:val="1"/>
          <w:color w:val="auto"/>
        </w:rPr>
        <w:t>August 16, 2021 (August 13, 2021)</w:t>
      </w:r>
    </w:p>
    <w:p>
      <w:pPr>
        <w:spacing w:after="0" w:line="167" w:lineRule="exact"/>
        <w:rPr>
          <w:sz w:val="24"/>
          <w:szCs w:val="24"/>
          <w:color w:val="auto"/>
        </w:rPr>
      </w:pPr>
    </w:p>
    <w:p>
      <w:pPr>
        <w:jc w:val="center"/>
        <w:ind w:right="60"/>
        <w:spacing w:after="0"/>
        <w:rPr>
          <w:sz w:val="20"/>
          <w:szCs w:val="20"/>
          <w:color w:val="auto"/>
        </w:rPr>
      </w:pPr>
      <w:r>
        <w:rPr>
          <w:rFonts w:ascii="Arial" w:cs="Arial" w:eastAsia="Arial" w:hAnsi="Arial"/>
          <w:sz w:val="19"/>
          <w:szCs w:val="19"/>
          <w:b w:val="1"/>
          <w:bCs w:val="1"/>
          <w:color w:val="auto"/>
        </w:rPr>
        <w:t>Sema4 Holdings Corp.</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20" w:type="dxa"/>
            <w:vAlign w:val="bottom"/>
            <w:gridSpan w:val="4"/>
          </w:tcPr>
          <w:p>
            <w:pPr>
              <w:ind w:left="200"/>
              <w:spacing w:after="0"/>
              <w:rPr>
                <w:sz w:val="20"/>
                <w:szCs w:val="20"/>
                <w:color w:val="auto"/>
              </w:rPr>
            </w:pPr>
            <w:r>
              <w:rPr>
                <w:rFonts w:ascii="Arial" w:cs="Arial" w:eastAsia="Arial" w:hAnsi="Arial"/>
                <w:sz w:val="13"/>
                <w:szCs w:val="13"/>
                <w:color w:val="auto"/>
              </w:rPr>
              <w:t>(Exact name of registrant as specified in its charter)</w:t>
            </w:r>
          </w:p>
        </w:tc>
        <w:tc>
          <w:tcPr>
            <w:tcW w:w="3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50"/>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Delaware</w:t>
            </w: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3"/>
                <w:szCs w:val="13"/>
                <w:b w:val="1"/>
                <w:bCs w:val="1"/>
                <w:color w:val="auto"/>
                <w:w w:val="90"/>
              </w:rPr>
              <w:t>001-39482</w:t>
            </w:r>
          </w:p>
        </w:tc>
        <w:tc>
          <w:tcPr>
            <w:tcW w:w="16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85-1966622</w:t>
            </w:r>
          </w:p>
        </w:tc>
        <w:tc>
          <w:tcPr>
            <w:tcW w:w="40" w:type="dxa"/>
            <w:vAlign w:val="bottom"/>
          </w:tcPr>
          <w:p>
            <w:pPr>
              <w:spacing w:after="0"/>
              <w:rPr>
                <w:sz w:val="24"/>
                <w:szCs w:val="24"/>
                <w:color w:val="auto"/>
              </w:rPr>
            </w:pPr>
          </w:p>
        </w:tc>
      </w:tr>
      <w:tr>
        <w:trPr>
          <w:trHeight w:val="206"/>
        </w:trPr>
        <w:tc>
          <w:tcPr>
            <w:tcW w:w="4080" w:type="dxa"/>
            <w:vAlign w:val="bottom"/>
            <w:gridSpan w:val="3"/>
          </w:tcPr>
          <w:p>
            <w:pPr>
              <w:jc w:val="center"/>
              <w:ind w:right="440"/>
              <w:spacing w:after="0"/>
              <w:rPr>
                <w:sz w:val="20"/>
                <w:szCs w:val="20"/>
                <w:color w:val="auto"/>
              </w:rPr>
            </w:pPr>
            <w:r>
              <w:rPr>
                <w:rFonts w:ascii="Arial" w:cs="Arial" w:eastAsia="Arial" w:hAnsi="Arial"/>
                <w:sz w:val="13"/>
                <w:szCs w:val="13"/>
                <w:color w:val="auto"/>
                <w:w w:val="94"/>
              </w:rPr>
              <w:t>(State or other jurisdiction</w:t>
            </w:r>
          </w:p>
        </w:tc>
        <w:tc>
          <w:tcPr>
            <w:tcW w:w="3520" w:type="dxa"/>
            <w:vAlign w:val="bottom"/>
            <w:gridSpan w:val="4"/>
          </w:tcPr>
          <w:p>
            <w:pPr>
              <w:jc w:val="center"/>
              <w:ind w:right="440"/>
              <w:spacing w:after="0"/>
              <w:rPr>
                <w:sz w:val="20"/>
                <w:szCs w:val="20"/>
                <w:color w:val="auto"/>
              </w:rPr>
            </w:pPr>
            <w:r>
              <w:rPr>
                <w:rFonts w:ascii="Arial" w:cs="Arial" w:eastAsia="Arial" w:hAnsi="Arial"/>
                <w:sz w:val="13"/>
                <w:szCs w:val="13"/>
                <w:color w:val="auto"/>
                <w:w w:val="94"/>
              </w:rPr>
              <w:t>(Commission</w:t>
            </w:r>
          </w:p>
        </w:tc>
        <w:tc>
          <w:tcPr>
            <w:tcW w:w="3660" w:type="dxa"/>
            <w:vAlign w:val="bottom"/>
          </w:tcPr>
          <w:p>
            <w:pPr>
              <w:jc w:val="center"/>
              <w:spacing w:after="0"/>
              <w:rPr>
                <w:sz w:val="20"/>
                <w:szCs w:val="20"/>
                <w:color w:val="auto"/>
              </w:rPr>
            </w:pPr>
            <w:r>
              <w:rPr>
                <w:rFonts w:ascii="Arial" w:cs="Arial" w:eastAsia="Arial" w:hAnsi="Arial"/>
                <w:sz w:val="13"/>
                <w:szCs w:val="13"/>
                <w:color w:val="auto"/>
                <w:w w:val="94"/>
              </w:rPr>
              <w:t>(IRS Employer</w:t>
            </w:r>
          </w:p>
        </w:tc>
        <w:tc>
          <w:tcPr>
            <w:tcW w:w="40" w:type="dxa"/>
            <w:vAlign w:val="bottom"/>
          </w:tcPr>
          <w:p>
            <w:pPr>
              <w:spacing w:after="0"/>
              <w:rPr>
                <w:sz w:val="17"/>
                <w:szCs w:val="17"/>
                <w:color w:val="auto"/>
              </w:rPr>
            </w:pPr>
          </w:p>
        </w:tc>
      </w:tr>
      <w:tr>
        <w:trPr>
          <w:trHeight w:val="180"/>
        </w:trPr>
        <w:tc>
          <w:tcPr>
            <w:tcW w:w="4080" w:type="dxa"/>
            <w:vAlign w:val="bottom"/>
            <w:gridSpan w:val="3"/>
          </w:tcPr>
          <w:p>
            <w:pPr>
              <w:jc w:val="center"/>
              <w:ind w:right="460"/>
              <w:spacing w:after="0"/>
              <w:rPr>
                <w:sz w:val="20"/>
                <w:szCs w:val="20"/>
                <w:color w:val="auto"/>
              </w:rPr>
            </w:pPr>
            <w:r>
              <w:rPr>
                <w:rFonts w:ascii="Arial" w:cs="Arial" w:eastAsia="Arial" w:hAnsi="Arial"/>
                <w:sz w:val="13"/>
                <w:szCs w:val="13"/>
                <w:color w:val="auto"/>
                <w:w w:val="95"/>
              </w:rPr>
              <w:t>of incorporation)</w:t>
            </w:r>
          </w:p>
        </w:tc>
        <w:tc>
          <w:tcPr>
            <w:tcW w:w="3520" w:type="dxa"/>
            <w:vAlign w:val="bottom"/>
            <w:gridSpan w:val="4"/>
          </w:tcPr>
          <w:p>
            <w:pPr>
              <w:jc w:val="center"/>
              <w:ind w:right="440"/>
              <w:spacing w:after="0"/>
              <w:rPr>
                <w:sz w:val="20"/>
                <w:szCs w:val="20"/>
                <w:color w:val="auto"/>
              </w:rPr>
            </w:pPr>
            <w:r>
              <w:rPr>
                <w:rFonts w:ascii="Arial" w:cs="Arial" w:eastAsia="Arial" w:hAnsi="Arial"/>
                <w:sz w:val="13"/>
                <w:szCs w:val="13"/>
                <w:color w:val="auto"/>
                <w:w w:val="95"/>
              </w:rPr>
              <w:t>File Number)</w:t>
            </w:r>
          </w:p>
        </w:tc>
        <w:tc>
          <w:tcPr>
            <w:tcW w:w="3660" w:type="dxa"/>
            <w:vAlign w:val="bottom"/>
          </w:tcPr>
          <w:p>
            <w:pPr>
              <w:jc w:val="center"/>
              <w:spacing w:after="0"/>
              <w:rPr>
                <w:sz w:val="20"/>
                <w:szCs w:val="20"/>
                <w:color w:val="auto"/>
              </w:rPr>
            </w:pPr>
            <w:r>
              <w:rPr>
                <w:rFonts w:ascii="Arial" w:cs="Arial" w:eastAsia="Arial" w:hAnsi="Arial"/>
                <w:sz w:val="13"/>
                <w:szCs w:val="13"/>
                <w:color w:val="auto"/>
                <w:w w:val="96"/>
              </w:rPr>
              <w:t>Identification No.)</w:t>
            </w:r>
          </w:p>
        </w:tc>
        <w:tc>
          <w:tcPr>
            <w:tcW w:w="40" w:type="dxa"/>
            <w:vAlign w:val="bottom"/>
          </w:tcPr>
          <w:p>
            <w:pPr>
              <w:spacing w:after="0"/>
              <w:rPr>
                <w:sz w:val="15"/>
                <w:szCs w:val="15"/>
                <w:color w:val="auto"/>
              </w:rPr>
            </w:pPr>
          </w:p>
        </w:tc>
      </w:tr>
      <w:tr>
        <w:trPr>
          <w:trHeight w:val="441"/>
        </w:trPr>
        <w:tc>
          <w:tcPr>
            <w:tcW w:w="4080" w:type="dxa"/>
            <w:vAlign w:val="bottom"/>
            <w:gridSpan w:val="3"/>
          </w:tcPr>
          <w:p>
            <w:pPr>
              <w:jc w:val="center"/>
              <w:ind w:left="1214"/>
              <w:spacing w:after="0"/>
              <w:rPr>
                <w:sz w:val="20"/>
                <w:szCs w:val="20"/>
                <w:color w:val="auto"/>
              </w:rPr>
            </w:pPr>
            <w:r>
              <w:rPr>
                <w:rFonts w:ascii="Arial" w:cs="Arial" w:eastAsia="Arial" w:hAnsi="Arial"/>
                <w:sz w:val="13"/>
                <w:szCs w:val="13"/>
                <w:b w:val="1"/>
                <w:bCs w:val="1"/>
                <w:color w:val="auto"/>
                <w:w w:val="93"/>
              </w:rPr>
              <w:t>333 Ludlow Street, North Tower, 8th Floor</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7"/>
        </w:trPr>
        <w:tc>
          <w:tcPr>
            <w:tcW w:w="4080" w:type="dxa"/>
            <w:vAlign w:val="bottom"/>
            <w:tcBorders>
              <w:bottom w:val="single" w:sz="8" w:color="auto"/>
            </w:tcBorders>
            <w:gridSpan w:val="3"/>
          </w:tcPr>
          <w:p>
            <w:pPr>
              <w:ind w:left="2080"/>
              <w:spacing w:after="0"/>
              <w:rPr>
                <w:sz w:val="20"/>
                <w:szCs w:val="20"/>
                <w:color w:val="auto"/>
              </w:rPr>
            </w:pPr>
            <w:r>
              <w:rPr>
                <w:rFonts w:ascii="Arial" w:cs="Arial" w:eastAsia="Arial" w:hAnsi="Arial"/>
                <w:sz w:val="13"/>
                <w:szCs w:val="13"/>
                <w:b w:val="1"/>
                <w:bCs w:val="1"/>
                <w:color w:val="auto"/>
              </w:rPr>
              <w:t>Stamford, Connecticut</w:t>
            </w:r>
          </w:p>
        </w:tc>
        <w:tc>
          <w:tcPr>
            <w:tcW w:w="128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tcPr>
          <w:p>
            <w:pPr>
              <w:jc w:val="right"/>
              <w:ind w:right="2574"/>
              <w:spacing w:after="0"/>
              <w:rPr>
                <w:sz w:val="20"/>
                <w:szCs w:val="20"/>
                <w:color w:val="auto"/>
              </w:rPr>
            </w:pPr>
            <w:r>
              <w:rPr>
                <w:rFonts w:ascii="Arial" w:cs="Arial" w:eastAsia="Arial" w:hAnsi="Arial"/>
                <w:sz w:val="13"/>
                <w:szCs w:val="13"/>
                <w:b w:val="1"/>
                <w:bCs w:val="1"/>
                <w:color w:val="auto"/>
              </w:rPr>
              <w:t>06902</w:t>
            </w:r>
          </w:p>
        </w:tc>
        <w:tc>
          <w:tcPr>
            <w:tcW w:w="40" w:type="dxa"/>
            <w:vAlign w:val="bottom"/>
            <w:tcBorders>
              <w:bottom w:val="single" w:sz="8" w:color="auto"/>
            </w:tcBorders>
          </w:tcPr>
          <w:p>
            <w:pPr>
              <w:spacing w:after="0"/>
              <w:rPr>
                <w:sz w:val="17"/>
                <w:szCs w:val="17"/>
                <w:color w:val="auto"/>
              </w:rPr>
            </w:pPr>
          </w:p>
        </w:tc>
      </w:tr>
      <w:tr>
        <w:trPr>
          <w:trHeight w:val="170"/>
        </w:trPr>
        <w:tc>
          <w:tcPr>
            <w:tcW w:w="4080" w:type="dxa"/>
            <w:vAlign w:val="bottom"/>
            <w:gridSpan w:val="3"/>
          </w:tcPr>
          <w:p>
            <w:pPr>
              <w:jc w:val="center"/>
              <w:ind w:left="1214"/>
              <w:spacing w:after="0"/>
              <w:rPr>
                <w:sz w:val="20"/>
                <w:szCs w:val="20"/>
                <w:color w:val="auto"/>
              </w:rPr>
            </w:pPr>
            <w:r>
              <w:rPr>
                <w:rFonts w:ascii="Arial" w:cs="Arial" w:eastAsia="Arial" w:hAnsi="Arial"/>
                <w:sz w:val="13"/>
                <w:szCs w:val="13"/>
                <w:color w:val="auto"/>
                <w:w w:val="93"/>
              </w:rPr>
              <w:t>(Address of principal executive offices)</w:t>
            </w: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60" w:type="dxa"/>
            <w:vAlign w:val="bottom"/>
          </w:tcPr>
          <w:p>
            <w:pPr>
              <w:jc w:val="center"/>
              <w:ind w:right="1874"/>
              <w:spacing w:after="0"/>
              <w:rPr>
                <w:sz w:val="20"/>
                <w:szCs w:val="20"/>
                <w:color w:val="auto"/>
              </w:rPr>
            </w:pPr>
            <w:r>
              <w:rPr>
                <w:rFonts w:ascii="Arial" w:cs="Arial" w:eastAsia="Arial" w:hAnsi="Arial"/>
                <w:sz w:val="13"/>
                <w:szCs w:val="13"/>
                <w:color w:val="auto"/>
                <w:w w:val="97"/>
              </w:rPr>
              <w:t>(Zip Code)</w:t>
            </w:r>
          </w:p>
        </w:tc>
        <w:tc>
          <w:tcPr>
            <w:tcW w:w="40" w:type="dxa"/>
            <w:vAlign w:val="bottom"/>
          </w:tcPr>
          <w:p>
            <w:pPr>
              <w:spacing w:after="0"/>
              <w:rPr>
                <w:sz w:val="14"/>
                <w:szCs w:val="14"/>
                <w:color w:val="auto"/>
              </w:rPr>
            </w:pPr>
          </w:p>
        </w:tc>
      </w:tr>
    </w:tbl>
    <w:p>
      <w:pPr>
        <w:spacing w:after="0" w:line="145" w:lineRule="exact"/>
        <w:rPr>
          <w:sz w:val="24"/>
          <w:szCs w:val="24"/>
          <w:color w:val="auto"/>
        </w:rPr>
      </w:pPr>
    </w:p>
    <w:p>
      <w:pPr>
        <w:ind w:left="5240"/>
        <w:spacing w:after="0"/>
        <w:rPr>
          <w:sz w:val="20"/>
          <w:szCs w:val="20"/>
          <w:color w:val="auto"/>
        </w:rPr>
      </w:pPr>
      <w:r>
        <w:rPr>
          <w:rFonts w:ascii="Arial" w:cs="Arial" w:eastAsia="Arial" w:hAnsi="Arial"/>
          <w:sz w:val="13"/>
          <w:szCs w:val="13"/>
          <w:b w:val="1"/>
          <w:bCs w:val="1"/>
          <w:color w:val="auto"/>
        </w:rPr>
        <w:t>(800) 298-6470</w:t>
      </w:r>
    </w:p>
    <w:p>
      <w:pPr>
        <w:spacing w:after="0" w:line="107" w:lineRule="exact"/>
        <w:rPr>
          <w:sz w:val="24"/>
          <w:szCs w:val="24"/>
          <w:color w:val="auto"/>
        </w:rPr>
      </w:pPr>
    </w:p>
    <w:p>
      <w:pPr>
        <w:ind w:left="4300"/>
        <w:spacing w:after="0"/>
        <w:rPr>
          <w:sz w:val="20"/>
          <w:szCs w:val="20"/>
          <w:color w:val="auto"/>
        </w:rPr>
      </w:pPr>
      <w:r>
        <w:rPr>
          <w:rFonts w:ascii="Arial" w:cs="Arial" w:eastAsia="Arial" w:hAnsi="Arial"/>
          <w:sz w:val="13"/>
          <w:szCs w:val="13"/>
          <w:color w:val="auto"/>
        </w:rPr>
        <w:t>Registrant’s telephone number, including area code</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460" w:hanging="453"/>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75" w:lineRule="exact"/>
        <w:rPr>
          <w:rFonts w:ascii="MS PGothic" w:cs="MS PGothic" w:eastAsia="MS PGothic" w:hAnsi="MS PGothic"/>
          <w:sz w:val="13"/>
          <w:szCs w:val="13"/>
          <w:color w:val="auto"/>
        </w:rPr>
      </w:pPr>
    </w:p>
    <w:p>
      <w:pPr>
        <w:ind w:left="460" w:hanging="453"/>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75" w:lineRule="exact"/>
        <w:rPr>
          <w:rFonts w:ascii="MS PGothic" w:cs="MS PGothic" w:eastAsia="MS PGothic" w:hAnsi="MS PGothic"/>
          <w:sz w:val="13"/>
          <w:szCs w:val="13"/>
          <w:color w:val="auto"/>
        </w:rPr>
      </w:pPr>
    </w:p>
    <w:p>
      <w:pPr>
        <w:ind w:left="460" w:hanging="453"/>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75" w:lineRule="exact"/>
        <w:rPr>
          <w:rFonts w:ascii="MS PGothic" w:cs="MS PGothic" w:eastAsia="MS PGothic" w:hAnsi="MS PGothic"/>
          <w:sz w:val="13"/>
          <w:szCs w:val="13"/>
          <w:color w:val="auto"/>
        </w:rPr>
      </w:pPr>
    </w:p>
    <w:p>
      <w:pPr>
        <w:ind w:left="460" w:hanging="453"/>
        <w:spacing w:after="0"/>
        <w:tabs>
          <w:tab w:leader="none" w:pos="460"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391"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596265</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71"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Title of each class</w:t>
            </w:r>
          </w:p>
        </w:tc>
        <w:tc>
          <w:tcPr>
            <w:tcW w:w="8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Trading Symbol(s)</w:t>
            </w:r>
          </w:p>
        </w:tc>
        <w:tc>
          <w:tcPr>
            <w:tcW w:w="80" w:type="dxa"/>
            <w:vAlign w:val="bottom"/>
          </w:tcPr>
          <w:p>
            <w:pPr>
              <w:spacing w:after="0"/>
              <w:rPr>
                <w:sz w:val="15"/>
                <w:szCs w:val="15"/>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70"/>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Class A common stock, par value $0.0001 per share</w:t>
            </w:r>
          </w:p>
        </w:tc>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SMFR</w:t>
            </w:r>
          </w:p>
        </w:tc>
        <w:tc>
          <w:tcPr>
            <w:tcW w:w="3700" w:type="dxa"/>
            <w:vAlign w:val="bottom"/>
          </w:tcPr>
          <w:p>
            <w:pPr>
              <w:jc w:val="center"/>
              <w:spacing w:after="0"/>
              <w:rPr>
                <w:sz w:val="20"/>
                <w:szCs w:val="20"/>
                <w:color w:val="auto"/>
              </w:rPr>
            </w:pPr>
            <w:r>
              <w:rPr>
                <w:rFonts w:ascii="Arial" w:cs="Arial" w:eastAsia="Arial" w:hAnsi="Arial"/>
                <w:sz w:val="13"/>
                <w:szCs w:val="13"/>
                <w:color w:val="auto"/>
                <w:w w:val="92"/>
              </w:rPr>
              <w:t>The Nasdaq Global Select Market</w:t>
            </w:r>
          </w:p>
        </w:tc>
      </w:tr>
      <w:tr>
        <w:trPr>
          <w:trHeight w:val="176"/>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89"/>
              </w:rPr>
              <w:t>Warrants to purchase one share of Class A common stock, each at an</w:t>
            </w:r>
          </w:p>
        </w:tc>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3"/>
              </w:rPr>
              <w:t>SMFRW</w:t>
            </w:r>
          </w:p>
        </w:tc>
        <w:tc>
          <w:tcPr>
            <w:tcW w:w="3700" w:type="dxa"/>
            <w:vAlign w:val="bottom"/>
          </w:tcPr>
          <w:p>
            <w:pPr>
              <w:jc w:val="center"/>
              <w:spacing w:after="0"/>
              <w:rPr>
                <w:sz w:val="20"/>
                <w:szCs w:val="20"/>
                <w:color w:val="auto"/>
              </w:rPr>
            </w:pPr>
            <w:r>
              <w:rPr>
                <w:rFonts w:ascii="Arial" w:cs="Arial" w:eastAsia="Arial" w:hAnsi="Arial"/>
                <w:sz w:val="13"/>
                <w:szCs w:val="13"/>
                <w:color w:val="auto"/>
                <w:w w:val="92"/>
              </w:rPr>
              <w:t>The Nasdaq Global Select Market</w:t>
            </w:r>
          </w:p>
        </w:tc>
      </w:tr>
      <w:tr>
        <w:trPr>
          <w:trHeight w:val="166"/>
        </w:trPr>
        <w:tc>
          <w:tcPr>
            <w:tcW w:w="3780" w:type="dxa"/>
            <w:vAlign w:val="bottom"/>
            <w:gridSpan w:val="2"/>
          </w:tcPr>
          <w:p>
            <w:pPr>
              <w:jc w:val="center"/>
              <w:ind w:right="80"/>
              <w:spacing w:after="0"/>
              <w:rPr>
                <w:sz w:val="20"/>
                <w:szCs w:val="20"/>
                <w:color w:val="auto"/>
              </w:rPr>
            </w:pPr>
            <w:r>
              <w:rPr>
                <w:rFonts w:ascii="Arial" w:cs="Arial" w:eastAsia="Arial" w:hAnsi="Arial"/>
                <w:sz w:val="13"/>
                <w:szCs w:val="13"/>
                <w:color w:val="auto"/>
                <w:w w:val="90"/>
              </w:rPr>
              <w:t>exercise price of $11.50 per share</w:t>
            </w:r>
          </w:p>
        </w:tc>
        <w:tc>
          <w:tcPr>
            <w:tcW w:w="3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r>
    </w:tbl>
    <w:p>
      <w:pPr>
        <w:spacing w:after="0" w:line="230" w:lineRule="exact"/>
        <w:rPr>
          <w:sz w:val="20"/>
          <w:szCs w:val="20"/>
          <w:color w:val="auto"/>
        </w:rPr>
      </w:pPr>
    </w:p>
    <w:p>
      <w:pPr>
        <w:jc w:val="both"/>
        <w:spacing w:after="0" w:line="314"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8" w:lineRule="exact"/>
        <w:rPr>
          <w:sz w:val="20"/>
          <w:szCs w:val="20"/>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99" w:lineRule="exact"/>
        <w:rPr>
          <w:sz w:val="20"/>
          <w:szCs w:val="20"/>
          <w:color w:val="auto"/>
        </w:rPr>
      </w:pPr>
    </w:p>
    <w:p>
      <w:pPr>
        <w:jc w:val="both"/>
        <w:ind w:right="20"/>
        <w:spacing w:after="0" w:line="18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575945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25" w:right="299" w:bottom="1440" w:gutter="0" w:footer="0" w:header="0"/>
        </w:sectPr>
      </w:pPr>
    </w:p>
    <w:bookmarkStart w:id="2" w:name="page3"/>
    <w:bookmarkEnd w:id="2"/>
    <w:p>
      <w:pPr>
        <w:spacing w:after="0"/>
        <w:tabs>
          <w:tab w:leader="none" w:pos="860" w:val="left"/>
        </w:tabs>
        <w:rPr>
          <w:sz w:val="20"/>
          <w:szCs w:val="20"/>
          <w:color w:val="auto"/>
        </w:rPr>
      </w:pPr>
      <w:r>
        <w:rPr>
          <w:rFonts w:ascii="Arial" w:cs="Arial" w:eastAsia="Arial" w:hAnsi="Arial"/>
          <w:sz w:val="13"/>
          <w:szCs w:val="13"/>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On August 16, 2021, Sema4 Holdings Corp. (“Sema4 Holdings” or the “Company”) issued a press release (the “Press Release”) and will hold a conference call announcing the financial results of Mount Sinai Genomics, Inc. dba Sema4 (“Sema4”), which the Company combined with in its previously announced business combination transaction, for the three and six months ended June 30, 2021. Copies of the Press Release and Earnings Presentation are furnished as Exhibits 99.1 and 99.2, respectively, to this Current Report on Form 8-K.</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The information furnished with this Item 2.02, including Exhibits 99.1 and 99.2,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3"/>
          <w:szCs w:val="13"/>
          <w:b w:val="1"/>
          <w:bCs w:val="1"/>
          <w:color w:val="auto"/>
        </w:rPr>
        <w:t>Item 4.01</w:t>
      </w:r>
      <w:r>
        <w:rPr>
          <w:sz w:val="20"/>
          <w:szCs w:val="20"/>
          <w:color w:val="auto"/>
        </w:rPr>
        <w:tab/>
      </w:r>
      <w:r>
        <w:rPr>
          <w:rFonts w:ascii="Arial" w:cs="Arial" w:eastAsia="Arial" w:hAnsi="Arial"/>
          <w:sz w:val="11"/>
          <w:szCs w:val="11"/>
          <w:b w:val="1"/>
          <w:bCs w:val="1"/>
          <w:color w:val="auto"/>
        </w:rPr>
        <w:t>Changes in Registrant’s Certifying Accountant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(b) Newly Appointed Independent Registered Public Accountant</w:t>
      </w:r>
    </w:p>
    <w:p>
      <w:pPr>
        <w:spacing w:after="0" w:line="148" w:lineRule="exact"/>
        <w:rPr>
          <w:sz w:val="20"/>
          <w:szCs w:val="20"/>
          <w:color w:val="auto"/>
        </w:rPr>
      </w:pPr>
    </w:p>
    <w:p>
      <w:pPr>
        <w:jc w:val="both"/>
        <w:ind w:right="20"/>
        <w:spacing w:after="0" w:line="271" w:lineRule="auto"/>
        <w:rPr>
          <w:sz w:val="20"/>
          <w:szCs w:val="20"/>
          <w:color w:val="auto"/>
        </w:rPr>
      </w:pPr>
      <w:r>
        <w:rPr>
          <w:rFonts w:ascii="Arial" w:cs="Arial" w:eastAsia="Arial" w:hAnsi="Arial"/>
          <w:sz w:val="13"/>
          <w:szCs w:val="13"/>
          <w:color w:val="auto"/>
        </w:rPr>
        <w:t>On August 13, 2021, the Audit Committee of the Company’s Board of Directors approved the appointment of Ernst &amp; Young LLP (“EY”) as the Company’s new independent registered public accounting firm to audit the Company’s consolidated financial statements for the year ended December 31, 2021.</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3"/>
          <w:szCs w:val="13"/>
          <w:color w:val="auto"/>
        </w:rPr>
        <w:t>During the year period from July 10, 2020 (inception) to December 31, 2020, and the interim periods through June 30, 2021, the Company did not consult EY with respect to either (i) the application of accounting principles to a specified transaction, either completed or proposed; or the type of audit opinion that might be rendered on the Company’s financial statements, and no written report or oral advice was provided to the Company by EY that EY concluded was an important factor considered by the Company in reaching a decision as to the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120"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 and Exhibits.</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color w:val="auto"/>
        </w:rPr>
        <w:t>(d) Exhibits.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60" w:type="dxa"/>
            <w:vAlign w:val="bottom"/>
            <w:gridSpan w:val="3"/>
          </w:tcPr>
          <w:p>
            <w:pPr>
              <w:jc w:val="center"/>
              <w:ind w:right="540"/>
              <w:spacing w:after="0"/>
              <w:rPr>
                <w:sz w:val="20"/>
                <w:szCs w:val="20"/>
                <w:color w:val="auto"/>
              </w:rPr>
            </w:pPr>
            <w:r>
              <w:rPr>
                <w:rFonts w:ascii="Arial" w:cs="Arial" w:eastAsia="Arial" w:hAnsi="Arial"/>
                <w:sz w:val="13"/>
                <w:szCs w:val="13"/>
                <w:b w:val="1"/>
                <w:bCs w:val="1"/>
                <w:color w:val="auto"/>
                <w:w w:val="96"/>
              </w:rPr>
              <w:t>Exhibit</w:t>
            </w:r>
          </w:p>
        </w:tc>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restart"/>
          </w:tcPr>
          <w:p>
            <w:pPr>
              <w:spacing w:after="0"/>
              <w:rPr>
                <w:sz w:val="13"/>
                <w:szCs w:val="13"/>
                <w:color w:val="auto"/>
              </w:rPr>
            </w:pPr>
          </w:p>
        </w:tc>
        <w:tc>
          <w:tcPr>
            <w:tcW w:w="4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3"/>
              </w:rPr>
              <w:t>Number</w:t>
            </w:r>
          </w:p>
        </w:tc>
        <w:tc>
          <w:tcPr>
            <w:tcW w:w="500" w:type="dxa"/>
            <w:vAlign w:val="bottom"/>
            <w:vMerge w:val="restart"/>
          </w:tcPr>
          <w:p>
            <w:pPr>
              <w:spacing w:after="0"/>
              <w:rPr>
                <w:sz w:val="13"/>
                <w:szCs w:val="13"/>
                <w:color w:val="auto"/>
              </w:rPr>
            </w:pPr>
          </w:p>
        </w:tc>
        <w:tc>
          <w:tcPr>
            <w:tcW w:w="20" w:type="dxa"/>
            <w:vAlign w:val="bottom"/>
            <w:vMerge w:val="restart"/>
          </w:tcPr>
          <w:p>
            <w:pPr>
              <w:spacing w:after="0"/>
              <w:rPr>
                <w:sz w:val="13"/>
                <w:szCs w:val="13"/>
                <w:color w:val="auto"/>
              </w:rPr>
            </w:pPr>
          </w:p>
        </w:tc>
        <w:tc>
          <w:tcPr>
            <w:tcW w:w="2400" w:type="dxa"/>
            <w:vAlign w:val="bottom"/>
            <w:vMerge w:val="restart"/>
          </w:tcPr>
          <w:p>
            <w:pPr>
              <w:spacing w:after="0"/>
              <w:rPr>
                <w:sz w:val="13"/>
                <w:szCs w:val="13"/>
                <w:color w:val="auto"/>
              </w:rPr>
            </w:pPr>
          </w:p>
        </w:tc>
        <w:tc>
          <w:tcPr>
            <w:tcW w:w="2160" w:type="dxa"/>
            <w:vAlign w:val="bottom"/>
            <w:vMerge w:val="restart"/>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3"/>
                <w:szCs w:val="13"/>
                <w:b w:val="1"/>
                <w:bCs w:val="1"/>
                <w:color w:val="auto"/>
                <w:w w:val="89"/>
              </w:rPr>
              <w:t>Description</w:t>
            </w:r>
          </w:p>
        </w:tc>
        <w:tc>
          <w:tcPr>
            <w:tcW w:w="46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20" w:type="dxa"/>
            <w:vAlign w:val="bottom"/>
            <w:vMerge w:val="continu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660" w:type="dxa"/>
            <w:vAlign w:val="bottom"/>
            <w:tcBorders>
              <w:bottom w:val="single" w:sz="8" w:color="auto"/>
            </w:tcBorders>
            <w:vMerge w:val="continue"/>
          </w:tcPr>
          <w:p>
            <w:pPr>
              <w:spacing w:after="0" w:line="20" w:lineRule="exact"/>
              <w:rPr>
                <w:sz w:val="1"/>
                <w:szCs w:val="1"/>
                <w:color w:val="auto"/>
              </w:rPr>
            </w:pPr>
          </w:p>
        </w:tc>
        <w:tc>
          <w:tcPr>
            <w:tcW w:w="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0" w:type="dxa"/>
            <w:vAlign w:val="bottom"/>
            <w:gridSpan w:val="2"/>
          </w:tcPr>
          <w:p>
            <w:pPr>
              <w:jc w:val="center"/>
              <w:spacing w:after="0"/>
              <w:rPr>
                <w:sz w:val="20"/>
                <w:szCs w:val="20"/>
                <w:color w:val="auto"/>
              </w:rPr>
            </w:pPr>
            <w:r>
              <w:rPr>
                <w:rFonts w:ascii="Arial" w:cs="Arial" w:eastAsia="Arial" w:hAnsi="Arial"/>
                <w:sz w:val="13"/>
                <w:szCs w:val="13"/>
                <w:color w:val="auto"/>
                <w:w w:val="94"/>
              </w:rPr>
              <w:t>99.1</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80" w:type="dxa"/>
            <w:vAlign w:val="bottom"/>
            <w:tcBorders>
              <w:bottom w:val="single" w:sz="8" w:color="0000FF"/>
            </w:tcBorders>
            <w:gridSpan w:val="4"/>
          </w:tcPr>
          <w:p>
            <w:pPr>
              <w:spacing w:after="0"/>
              <w:rPr>
                <w:rFonts w:ascii="Arial" w:cs="Arial" w:eastAsia="Arial" w:hAnsi="Arial"/>
                <w:sz w:val="13"/>
                <w:szCs w:val="13"/>
                <w:color w:val="0000FF"/>
                <w:w w:val="89"/>
              </w:rPr>
            </w:pPr>
            <w:hyperlink w:anchor="page5">
              <w:r>
                <w:rPr>
                  <w:rFonts w:ascii="Arial" w:cs="Arial" w:eastAsia="Arial" w:hAnsi="Arial"/>
                  <w:sz w:val="13"/>
                  <w:szCs w:val="13"/>
                  <w:color w:val="0000FF"/>
                  <w:w w:val="89"/>
                </w:rPr>
                <w:t>Press Release, dated August 16, 2021, regarding the Registrant’s results for the quarter ended June 30, 2021</w:t>
              </w:r>
            </w:hyperlink>
          </w:p>
        </w:tc>
        <w:tc>
          <w:tcPr>
            <w:tcW w:w="0" w:type="dxa"/>
            <w:vAlign w:val="bottom"/>
          </w:tcPr>
          <w:p>
            <w:pPr>
              <w:spacing w:after="0"/>
              <w:rPr>
                <w:sz w:val="1"/>
                <w:szCs w:val="1"/>
                <w:color w:val="auto"/>
              </w:rPr>
            </w:pPr>
          </w:p>
        </w:tc>
      </w:tr>
      <w:tr>
        <w:trPr>
          <w:trHeight w:val="223"/>
        </w:trPr>
        <w:tc>
          <w:tcPr>
            <w:tcW w:w="440" w:type="dxa"/>
            <w:vAlign w:val="bottom"/>
            <w:gridSpan w:val="2"/>
          </w:tcPr>
          <w:p>
            <w:pPr>
              <w:jc w:val="center"/>
              <w:spacing w:after="0"/>
              <w:rPr>
                <w:sz w:val="20"/>
                <w:szCs w:val="20"/>
                <w:color w:val="auto"/>
              </w:rPr>
            </w:pPr>
            <w:r>
              <w:rPr>
                <w:rFonts w:ascii="Arial" w:cs="Arial" w:eastAsia="Arial" w:hAnsi="Arial"/>
                <w:sz w:val="13"/>
                <w:szCs w:val="13"/>
                <w:color w:val="auto"/>
                <w:w w:val="94"/>
              </w:rPr>
              <w:t>99.2</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20" w:type="dxa"/>
            <w:vAlign w:val="bottom"/>
            <w:tcBorders>
              <w:bottom w:val="single" w:sz="8" w:color="0000FF"/>
            </w:tcBorders>
            <w:gridSpan w:val="2"/>
          </w:tcPr>
          <w:p>
            <w:pPr>
              <w:spacing w:after="0"/>
              <w:rPr>
                <w:rFonts w:ascii="Arial" w:cs="Arial" w:eastAsia="Arial" w:hAnsi="Arial"/>
                <w:sz w:val="13"/>
                <w:szCs w:val="13"/>
                <w:color w:val="0000FF"/>
                <w:w w:val="90"/>
              </w:rPr>
            </w:pPr>
            <w:r>
              <w:rPr>
                <w:rFonts w:ascii="Arial" w:cs="Arial" w:eastAsia="Arial" w:hAnsi="Arial"/>
                <w:sz w:val="13"/>
                <w:szCs w:val="13"/>
                <w:color w:val="0000FF"/>
                <w:w w:val="90"/>
              </w:rPr>
              <w:t xml:space="preserve">Earnings </w:t>
            </w:r>
            <w:hyperlink w:anchor="page10">
              <w:r>
                <w:rPr>
                  <w:rFonts w:ascii="Arial" w:cs="Arial" w:eastAsia="Arial" w:hAnsi="Arial"/>
                  <w:sz w:val="13"/>
                  <w:szCs w:val="13"/>
                  <w:color w:val="0000FF"/>
                  <w:w w:val="90"/>
                </w:rPr>
                <w:t>Presentation, dated August 16, 2021</w:t>
              </w:r>
            </w:hyperlink>
          </w:p>
        </w:tc>
        <w:tc>
          <w:tcPr>
            <w:tcW w:w="32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-5080</wp:posOffset>
            </wp:positionV>
            <wp:extent cx="209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9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53975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1" w:right="299" w:bottom="1440" w:gutter="0" w:footer="0" w:header="0"/>
        </w:sectPr>
      </w:pPr>
    </w:p>
    <w:bookmarkStart w:id="3" w:name="page4"/>
    <w:bookmarkEnd w:id="3"/>
    <w:p>
      <w:pPr>
        <w:ind w:left="5220"/>
        <w:spacing w:after="0"/>
        <w:rPr>
          <w:sz w:val="20"/>
          <w:szCs w:val="20"/>
          <w:color w:val="auto"/>
        </w:rPr>
      </w:pPr>
      <w:r>
        <w:rPr>
          <w:rFonts w:ascii="Arial" w:cs="Arial" w:eastAsia="Arial" w:hAnsi="Arial"/>
          <w:sz w:val="13"/>
          <w:szCs w:val="13"/>
          <w:b w:val="1"/>
          <w:bCs w:val="1"/>
          <w:color w:val="auto"/>
        </w:rPr>
        <w:t>SIGNATURES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7780" w:type="dxa"/>
            <w:vAlign w:val="bottom"/>
            <w:gridSpan w:val="2"/>
          </w:tcPr>
          <w:p>
            <w:pPr>
              <w:ind w:left="1780"/>
              <w:spacing w:after="0"/>
              <w:rPr>
                <w:sz w:val="20"/>
                <w:szCs w:val="20"/>
                <w:color w:val="auto"/>
              </w:rPr>
            </w:pPr>
            <w:r>
              <w:rPr>
                <w:rFonts w:ascii="Arial" w:cs="Arial" w:eastAsia="Arial" w:hAnsi="Arial"/>
                <w:sz w:val="13"/>
                <w:szCs w:val="13"/>
                <w:b w:val="1"/>
                <w:bCs w:val="1"/>
                <w:color w:val="auto"/>
              </w:rPr>
              <w:t>Sema4 Holdings Corp.</w:t>
            </w:r>
          </w:p>
        </w:tc>
      </w:tr>
      <w:tr>
        <w:trPr>
          <w:trHeight w:val="422"/>
        </w:trPr>
        <w:tc>
          <w:tcPr>
            <w:tcW w:w="580" w:type="dxa"/>
            <w:vAlign w:val="bottom"/>
          </w:tcPr>
          <w:p>
            <w:pPr>
              <w:spacing w:after="0"/>
              <w:rPr>
                <w:sz w:val="20"/>
                <w:szCs w:val="20"/>
                <w:color w:val="auto"/>
              </w:rPr>
            </w:pPr>
            <w:r>
              <w:rPr>
                <w:rFonts w:ascii="Arial" w:cs="Arial" w:eastAsia="Arial" w:hAnsi="Arial"/>
                <w:sz w:val="13"/>
                <w:szCs w:val="13"/>
                <w:color w:val="auto"/>
              </w:rPr>
              <w:t>Date:</w:t>
            </w:r>
          </w:p>
        </w:tc>
        <w:tc>
          <w:tcPr>
            <w:tcW w:w="2920" w:type="dxa"/>
            <w:vAlign w:val="bottom"/>
          </w:tcPr>
          <w:p>
            <w:pPr>
              <w:ind w:left="280"/>
              <w:spacing w:after="0"/>
              <w:rPr>
                <w:sz w:val="20"/>
                <w:szCs w:val="20"/>
                <w:color w:val="auto"/>
              </w:rPr>
            </w:pPr>
            <w:r>
              <w:rPr>
                <w:rFonts w:ascii="Arial" w:cs="Arial" w:eastAsia="Arial" w:hAnsi="Arial"/>
                <w:sz w:val="13"/>
                <w:szCs w:val="13"/>
                <w:color w:val="auto"/>
              </w:rPr>
              <w:t>August 16, 2021</w:t>
            </w:r>
          </w:p>
        </w:tc>
        <w:tc>
          <w:tcPr>
            <w:tcW w:w="2740" w:type="dxa"/>
            <w:vAlign w:val="bottom"/>
          </w:tcPr>
          <w:p>
            <w:pPr>
              <w:ind w:left="1780"/>
              <w:spacing w:after="0"/>
              <w:rPr>
                <w:sz w:val="20"/>
                <w:szCs w:val="20"/>
                <w:color w:val="auto"/>
              </w:rPr>
            </w:pPr>
            <w:r>
              <w:rPr>
                <w:rFonts w:ascii="Arial" w:cs="Arial" w:eastAsia="Arial" w:hAnsi="Arial"/>
                <w:sz w:val="13"/>
                <w:szCs w:val="13"/>
                <w:color w:val="auto"/>
              </w:rPr>
              <w:t>By:</w:t>
            </w: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Eric Schadt</w:t>
            </w:r>
          </w:p>
        </w:tc>
      </w:tr>
      <w:tr>
        <w:trPr>
          <w:trHeight w:val="170"/>
        </w:trPr>
        <w:tc>
          <w:tcPr>
            <w:tcW w:w="5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740" w:type="dxa"/>
            <w:vAlign w:val="bottom"/>
          </w:tcPr>
          <w:p>
            <w:pPr>
              <w:ind w:left="1780"/>
              <w:spacing w:after="0"/>
              <w:rPr>
                <w:sz w:val="20"/>
                <w:szCs w:val="20"/>
                <w:color w:val="auto"/>
              </w:rPr>
            </w:pPr>
            <w:r>
              <w:rPr>
                <w:rFonts w:ascii="Arial" w:cs="Arial" w:eastAsia="Arial" w:hAnsi="Arial"/>
                <w:sz w:val="13"/>
                <w:szCs w:val="13"/>
                <w:color w:val="auto"/>
              </w:rPr>
              <w:t>Name:</w:t>
            </w:r>
          </w:p>
        </w:tc>
        <w:tc>
          <w:tcPr>
            <w:tcW w:w="5040" w:type="dxa"/>
            <w:vAlign w:val="bottom"/>
          </w:tcPr>
          <w:p>
            <w:pPr>
              <w:ind w:left="20"/>
              <w:spacing w:after="0"/>
              <w:rPr>
                <w:sz w:val="20"/>
                <w:szCs w:val="20"/>
                <w:color w:val="auto"/>
              </w:rPr>
            </w:pPr>
            <w:r>
              <w:rPr>
                <w:rFonts w:ascii="Arial" w:cs="Arial" w:eastAsia="Arial" w:hAnsi="Arial"/>
                <w:sz w:val="13"/>
                <w:szCs w:val="13"/>
                <w:color w:val="auto"/>
              </w:rPr>
              <w:t>Eric Schadt</w:t>
            </w:r>
          </w:p>
        </w:tc>
      </w:tr>
      <w:tr>
        <w:trPr>
          <w:trHeight w:val="189"/>
        </w:trPr>
        <w:tc>
          <w:tcPr>
            <w:tcW w:w="58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740" w:type="dxa"/>
            <w:vAlign w:val="bottom"/>
          </w:tcPr>
          <w:p>
            <w:pPr>
              <w:ind w:left="1780"/>
              <w:spacing w:after="0"/>
              <w:rPr>
                <w:sz w:val="20"/>
                <w:szCs w:val="20"/>
                <w:color w:val="auto"/>
              </w:rPr>
            </w:pPr>
            <w:r>
              <w:rPr>
                <w:rFonts w:ascii="Arial" w:cs="Arial" w:eastAsia="Arial" w:hAnsi="Arial"/>
                <w:sz w:val="13"/>
                <w:szCs w:val="13"/>
                <w:color w:val="auto"/>
              </w:rPr>
              <w:t>Title:</w:t>
            </w:r>
          </w:p>
        </w:tc>
        <w:tc>
          <w:tcPr>
            <w:tcW w:w="5040" w:type="dxa"/>
            <w:vAlign w:val="bottom"/>
          </w:tcPr>
          <w:p>
            <w:pPr>
              <w:ind w:left="20"/>
              <w:spacing w:after="0"/>
              <w:rPr>
                <w:sz w:val="20"/>
                <w:szCs w:val="20"/>
                <w:color w:val="auto"/>
              </w:rPr>
            </w:pPr>
            <w:r>
              <w:rPr>
                <w:rFonts w:ascii="Arial" w:cs="Arial" w:eastAsia="Arial" w:hAnsi="Arial"/>
                <w:sz w:val="13"/>
                <w:szCs w:val="13"/>
                <w:color w:val="auto"/>
              </w:rPr>
              <w:t>Chief Executive Officer</w:t>
            </w:r>
          </w:p>
        </w:tc>
      </w:tr>
      <w:tr>
        <w:trPr>
          <w:trHeight w:val="889"/>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740" w:type="dxa"/>
            <w:vAlign w:val="bottom"/>
          </w:tcPr>
          <w:p>
            <w:pPr>
              <w:ind w:left="2120"/>
              <w:spacing w:after="0"/>
              <w:rPr>
                <w:sz w:val="20"/>
                <w:szCs w:val="20"/>
                <w:color w:val="auto"/>
              </w:rPr>
            </w:pPr>
            <w:r>
              <w:rPr>
                <w:rFonts w:ascii="Arial" w:cs="Arial" w:eastAsia="Arial" w:hAnsi="Arial"/>
                <w:sz w:val="12"/>
                <w:szCs w:val="12"/>
                <w:color w:val="auto"/>
              </w:rPr>
              <w:t>2</w:t>
            </w:r>
          </w:p>
        </w:tc>
        <w:tc>
          <w:tcPr>
            <w:tcW w:w="5040" w:type="dxa"/>
            <w:vAlign w:val="bottom"/>
          </w:tcPr>
          <w:p>
            <w:pPr>
              <w:spacing w:after="0"/>
              <w:rPr>
                <w:sz w:val="24"/>
                <w:szCs w:val="24"/>
                <w:color w:val="auto"/>
              </w:rPr>
            </w:pPr>
          </w:p>
        </w:tc>
      </w:tr>
    </w:tbl>
    <w:p>
      <w:pPr>
        <w:sectPr>
          <w:pgSz w:w="11900" w:h="16838" w:orient="portrait"/>
          <w:cols w:equalWidth="0" w:num="1">
            <w:col w:w="11280"/>
          </w:cols>
          <w:pgMar w:left="300" w:top="1097"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1085850" cy="302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5850"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Sema4 Reports Second Quarter 2021 Financial Results and Business Highlights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85% test-volume growth (excluding COVID-19 tests) compared to same period in 2020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Recorded 56% growth in total revenue of $46.9 million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Expanded health system partnerships to include NorthShore University, AdventHealth, and Avera Health</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Commitment to 2023 target of ~$500m in total revenue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Sema4 to host conference call today at 4:30 p.m. ET</w:t>
      </w:r>
    </w:p>
    <w:p>
      <w:pPr>
        <w:spacing w:after="0" w:line="137" w:lineRule="exact"/>
        <w:rPr>
          <w:sz w:val="20"/>
          <w:szCs w:val="20"/>
          <w:color w:val="auto"/>
        </w:rPr>
      </w:pPr>
    </w:p>
    <w:p>
      <w:pPr>
        <w:jc w:val="both"/>
        <w:spacing w:after="0" w:line="267" w:lineRule="auto"/>
        <w:rPr>
          <w:sz w:val="20"/>
          <w:szCs w:val="20"/>
          <w:color w:val="auto"/>
        </w:rPr>
      </w:pPr>
      <w:r>
        <w:rPr>
          <w:rFonts w:ascii="Arial" w:cs="Arial" w:eastAsia="Arial" w:hAnsi="Arial"/>
          <w:sz w:val="12"/>
          <w:szCs w:val="12"/>
          <w:b w:val="1"/>
          <w:bCs w:val="1"/>
          <w:color w:val="auto"/>
        </w:rPr>
        <w:t xml:space="preserve">STAMFORD, CT — August 16, 2021 — </w:t>
      </w:r>
      <w:r>
        <w:rPr>
          <w:rFonts w:ascii="Arial" w:cs="Arial" w:eastAsia="Arial" w:hAnsi="Arial"/>
          <w:sz w:val="12"/>
          <w:szCs w:val="12"/>
          <w:u w:val="single" w:color="auto"/>
          <w:color w:val="0563C1"/>
        </w:rPr>
        <w:t>Sema4</w:t>
      </w:r>
      <w:r>
        <w:rPr>
          <w:rFonts w:ascii="Arial" w:cs="Arial" w:eastAsia="Arial" w:hAnsi="Arial"/>
          <w:sz w:val="12"/>
          <w:szCs w:val="12"/>
          <w:b w:val="1"/>
          <w:bCs w:val="1"/>
          <w:color w:val="auto"/>
        </w:rPr>
        <w:t xml:space="preserve"> </w:t>
      </w:r>
      <w:r>
        <w:rPr>
          <w:rFonts w:ascii="Arial" w:cs="Arial" w:eastAsia="Arial" w:hAnsi="Arial"/>
          <w:sz w:val="12"/>
          <w:szCs w:val="12"/>
          <w:color w:val="auto"/>
        </w:rPr>
        <w:t>Holdings Corp. (Nasdaq: SMFR) (“Sema4”), an AI-driven genomic and clinical data intelligence platform company, today reported the financial results for the second quarter ended</w:t>
      </w:r>
      <w:r>
        <w:rPr>
          <w:rFonts w:ascii="Arial" w:cs="Arial" w:eastAsia="Arial" w:hAnsi="Arial"/>
          <w:sz w:val="12"/>
          <w:szCs w:val="12"/>
          <w:b w:val="1"/>
          <w:bCs w:val="1"/>
          <w:color w:val="auto"/>
        </w:rPr>
        <w:t xml:space="preserve"> </w:t>
      </w:r>
      <w:r>
        <w:rPr>
          <w:rFonts w:ascii="Arial" w:cs="Arial" w:eastAsia="Arial" w:hAnsi="Arial"/>
          <w:sz w:val="12"/>
          <w:szCs w:val="12"/>
          <w:color w:val="auto"/>
        </w:rPr>
        <w:t>June 30, 2021 of Mount Sinai Genomics, Inc. d/b/a Sema4, Sema4’s operating entity prior to the business combination, and provided an update on key strategic and operational initiatives.</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2"/>
          <w:szCs w:val="12"/>
          <w:color w:val="auto"/>
        </w:rPr>
        <w:t xml:space="preserve">“Becoming a public company last month marked a transformative step towards delivering on our long-term mission to combine genomic and clinical data in a precision medicine model to improve the standard of care for patients,” said </w:t>
      </w:r>
      <w:r>
        <w:rPr>
          <w:rFonts w:ascii="Arial" w:cs="Arial" w:eastAsia="Arial" w:hAnsi="Arial"/>
          <w:sz w:val="12"/>
          <w:szCs w:val="12"/>
          <w:color w:val="0563C1"/>
        </w:rPr>
        <w:t>Eric Schadt</w:t>
      </w:r>
      <w:r>
        <w:rPr>
          <w:rFonts w:ascii="Arial" w:cs="Arial" w:eastAsia="Arial" w:hAnsi="Arial"/>
          <w:sz w:val="12"/>
          <w:szCs w:val="12"/>
          <w:color w:val="000000"/>
        </w:rPr>
        <w:t>, Ph.D., Founder and Chief Executive Officer of Sema4. “The business platform is similarly purpose built, driving a virtuous cycle of ingesting data, delivering differentiated insights to support clinicians, researchers, and</w:t>
      </w:r>
      <w:r>
        <w:rPr>
          <w:rFonts w:ascii="Arial" w:cs="Arial" w:eastAsia="Arial" w:hAnsi="Arial"/>
          <w:sz w:val="12"/>
          <w:szCs w:val="12"/>
          <w:color w:val="0563C1"/>
        </w:rPr>
        <w:t xml:space="preserve"> </w:t>
      </w:r>
      <w:r>
        <w:rPr>
          <w:rFonts w:ascii="Arial" w:cs="Arial" w:eastAsia="Arial" w:hAnsi="Arial"/>
          <w:sz w:val="12"/>
          <w:szCs w:val="12"/>
          <w:color w:val="000000"/>
        </w:rPr>
        <w:t>patients, which in turn drives more engagement, more interactions, and generates more data to fuel the cycle.”</w:t>
      </w:r>
    </w:p>
    <w:p>
      <w:pPr>
        <w:spacing w:after="0" w:line="123" w:lineRule="exact"/>
        <w:rPr>
          <w:sz w:val="20"/>
          <w:szCs w:val="20"/>
          <w:color w:val="auto"/>
        </w:rPr>
      </w:pPr>
    </w:p>
    <w:p>
      <w:pPr>
        <w:jc w:val="both"/>
        <w:spacing w:after="0" w:line="281" w:lineRule="auto"/>
        <w:rPr>
          <w:sz w:val="20"/>
          <w:szCs w:val="20"/>
          <w:color w:val="auto"/>
        </w:rPr>
      </w:pPr>
      <w:r>
        <w:rPr>
          <w:rFonts w:ascii="Arial" w:cs="Arial" w:eastAsia="Arial" w:hAnsi="Arial"/>
          <w:sz w:val="11"/>
          <w:szCs w:val="11"/>
          <w:color w:val="auto"/>
        </w:rPr>
        <w:t>“With a deep balance sheet we are rapidly expanding our core reproductive health and emerging oncology businesses, and believe as the size and scale of Sema4’s health intelligence platform grows, so will its potential value. In that regard, we are excited to announce three new health system partnerships in 2021 thus far,” Dr. Schadt continued. “These are critical proof points in our model and we expect the proceeds from our recent merger to accelerate our ability to fuel organic growth through our rapid investment in infrastructure, people, technology, and sales, and drive increased capabilities and market share through the acquisition of complementary businesses.</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2"/>
          <w:szCs w:val="12"/>
          <w:u w:val="single" w:color="auto"/>
          <w:color w:val="0563C1"/>
        </w:rPr>
        <w:t>Isaac Ro</w:t>
      </w:r>
      <w:r>
        <w:rPr>
          <w:rFonts w:ascii="Arial" w:cs="Arial" w:eastAsia="Arial" w:hAnsi="Arial"/>
          <w:sz w:val="12"/>
          <w:szCs w:val="12"/>
          <w:color w:val="000000"/>
          <w:highlight w:val="white"/>
        </w:rPr>
        <w:t>, Chief Financial Officer of Sema4, added: “Volume growth is strong and we remain confident in our long-term goal of delivering $500 million in 2023 revenue as we partner with health systems, expand the menu of offerings,</w:t>
      </w:r>
      <w:r>
        <w:rPr>
          <w:rFonts w:ascii="Arial" w:cs="Arial" w:eastAsia="Arial" w:hAnsi="Arial"/>
          <w:sz w:val="12"/>
          <w:szCs w:val="12"/>
          <w:color w:val="0563C1"/>
        </w:rPr>
        <w:t xml:space="preserve"> </w:t>
      </w:r>
      <w:r>
        <w:rPr>
          <w:rFonts w:ascii="Arial" w:cs="Arial" w:eastAsia="Arial" w:hAnsi="Arial"/>
          <w:sz w:val="12"/>
          <w:szCs w:val="12"/>
          <w:color w:val="000000"/>
        </w:rPr>
        <w:t>and scale the business.”</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Second Quarter &amp; Recent Highlights</w:t>
      </w:r>
    </w:p>
    <w:p>
      <w:pPr>
        <w:spacing w:after="0" w:line="145" w:lineRule="exact"/>
        <w:rPr>
          <w:sz w:val="20"/>
          <w:szCs w:val="20"/>
          <w:color w:val="auto"/>
        </w:rPr>
      </w:pPr>
    </w:p>
    <w:p>
      <w:pPr>
        <w:ind w:left="400" w:hanging="192"/>
        <w:spacing w:after="0"/>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Resulted 71,702 diagnostic tests in the second quarter, excluding COVID-19 tests, up 85% compared to the same period of 2020 and up 7% compared to the first quarter 2021</w:t>
      </w:r>
    </w:p>
    <w:p>
      <w:pPr>
        <w:spacing w:after="0" w:line="7" w:lineRule="exact"/>
        <w:rPr>
          <w:rFonts w:ascii="Arial" w:cs="Arial" w:eastAsia="Arial" w:hAnsi="Arial"/>
          <w:sz w:val="12"/>
          <w:szCs w:val="12"/>
          <w:color w:val="auto"/>
        </w:rPr>
      </w:pPr>
    </w:p>
    <w:p>
      <w:pPr>
        <w:ind w:left="400" w:hanging="192"/>
        <w:spacing w:after="0" w:line="234" w:lineRule="auto"/>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Recorded 56% growth in total revenue with $46.9 million compared to $30.1 million in the same period of 2020</w:t>
      </w:r>
    </w:p>
    <w:p>
      <w:pPr>
        <w:ind w:left="400" w:hanging="192"/>
        <w:spacing w:after="0" w:line="234" w:lineRule="auto"/>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Expanded health system collaborations with new partners and services with NorthShore University HealthSystem, AdventHealth, and Avera Health</w:t>
      </w:r>
    </w:p>
    <w:p>
      <w:pPr>
        <w:ind w:left="400" w:hanging="192"/>
        <w:spacing w:after="0" w:line="234" w:lineRule="auto"/>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Now managing a data asset over 35 petabytes, expanding at 1.2 petabytes per month with an accelerating growth rate</w:t>
      </w:r>
    </w:p>
    <w:p>
      <w:pPr>
        <w:ind w:left="400" w:hanging="192"/>
        <w:spacing w:after="0" w:line="234" w:lineRule="auto"/>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Now maintains a database that includes more than 11.7 million de-identified individual clinical records, many with genomic profiles</w:t>
      </w:r>
    </w:p>
    <w:p>
      <w:pPr>
        <w:ind w:left="400" w:hanging="192"/>
        <w:spacing w:after="0" w:line="234" w:lineRule="auto"/>
        <w:tabs>
          <w:tab w:leader="none" w:pos="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Completed business combination with CM Life Sciences, Inc, a special purpose acquisition company (SPAC), raising $510 million in net cash proceeds in July</w:t>
      </w:r>
    </w:p>
    <w:p>
      <w:pPr>
        <w:ind w:left="400" w:hanging="192"/>
        <w:spacing w:after="0"/>
        <w:tabs>
          <w:tab w:leader="none" w:pos="400" w:val="left"/>
        </w:tabs>
        <w:numPr>
          <w:ilvl w:val="0"/>
          <w:numId w:val="2"/>
        </w:numPr>
        <w:rPr>
          <w:rFonts w:ascii="Arial" w:cs="Arial" w:eastAsia="Arial" w:hAnsi="Arial"/>
          <w:sz w:val="11"/>
          <w:szCs w:val="11"/>
          <w:color w:val="auto"/>
        </w:rPr>
      </w:pPr>
      <w:r>
        <w:rPr>
          <w:rFonts w:ascii="Arial" w:cs="Arial" w:eastAsia="Arial" w:hAnsi="Arial"/>
          <w:sz w:val="11"/>
          <w:szCs w:val="11"/>
          <w:color w:val="auto"/>
        </w:rPr>
        <w:t>Further strengthened C-suite bench with the addition of experienced industry leaders, including Isaac Ro (Chief Financial Officer), William Oh (Chief Medical Science Officer), and Andrew Kasarskis (Chief Data Officer)</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Second Quarter Financial Results</w:t>
      </w:r>
    </w:p>
    <w:p>
      <w:pPr>
        <w:spacing w:after="0" w:line="14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Total revenue for the second quarter of 2021 was $46.9 million, compared to $30.1 million in the second quarter of 2020. Revenue growth was driven primarily by an increase of volume in Women’s Health and Oncology solutions, along with growth in collaboration service activities due to the execution of three new third-party contracts.</w:t>
      </w:r>
    </w:p>
    <w:p>
      <w:pPr>
        <w:spacing w:after="0" w:line="115" w:lineRule="exact"/>
        <w:rPr>
          <w:sz w:val="20"/>
          <w:szCs w:val="20"/>
          <w:color w:val="auto"/>
        </w:rPr>
      </w:pPr>
    </w:p>
    <w:p>
      <w:pPr>
        <w:spacing w:after="0" w:line="260" w:lineRule="auto"/>
        <w:rPr>
          <w:sz w:val="20"/>
          <w:szCs w:val="20"/>
          <w:color w:val="auto"/>
        </w:rPr>
      </w:pPr>
      <w:r>
        <w:rPr>
          <w:rFonts w:ascii="Arial" w:cs="Arial" w:eastAsia="Arial" w:hAnsi="Arial"/>
          <w:sz w:val="12"/>
          <w:szCs w:val="12"/>
          <w:color w:val="auto"/>
        </w:rPr>
        <w:t>Cost of services was $49.6 million in the second quarter of 2021, compared to $36.0 million in the same period of 2020. The increase was due to increased volumes in our non-COVID business, footprint expansion in our Stamford lab, expanded headcount, temporary labor costs related to COVID-19, and higher logistical and supply costs.</w:t>
      </w:r>
    </w:p>
    <w:p>
      <w:pPr>
        <w:sectPr>
          <w:pgSz w:w="11900" w:h="16838" w:orient="portrait"/>
          <w:cols w:equalWidth="0" w:num="1">
            <w:col w:w="11300"/>
          </w:cols>
          <w:pgMar w:left="300" w:top="127" w:right="299" w:bottom="1440" w:gutter="0" w:footer="0" w:header="0"/>
        </w:sectPr>
      </w:pPr>
    </w:p>
    <w:bookmarkStart w:id="5" w:name="page6"/>
    <w:bookmarkEnd w:id="5"/>
    <w:p>
      <w:pPr>
        <w:jc w:val="both"/>
        <w:spacing w:after="0" w:line="26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1085850" cy="302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85850" cy="302895"/>
                    </a:xfrm>
                    <a:prstGeom prst="rect">
                      <a:avLst/>
                    </a:prstGeom>
                    <a:noFill/>
                  </pic:spPr>
                </pic:pic>
              </a:graphicData>
            </a:graphic>
          </wp:anchor>
        </w:drawing>
        <w:t>Operating expenses for the second quarter of 2021 were $41.9 million. This compared to operating expenses of $28.3 million in the second quarter of 2020. The increase in operating expenses was due in part to higher personnel-related costs coupled with professional services related to the business combination.</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Second quarter of 2021 net loss was ($45.4) million compared to net loss of ($32.1) million for the same period in 2020.</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Total cash, including cash equivalents, was $26.5 million as of June 30, 2021. This does not include $510 million net cash proceeds Sema4 received from the consummation of the July 2021 business combination.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Webcast and Conference Call Details</w:t>
      </w:r>
    </w:p>
    <w:p>
      <w:pPr>
        <w:spacing w:after="0" w:line="11" w:lineRule="exact"/>
        <w:rPr>
          <w:sz w:val="20"/>
          <w:szCs w:val="20"/>
          <w:color w:val="auto"/>
        </w:rPr>
      </w:pPr>
    </w:p>
    <w:p>
      <w:pPr>
        <w:ind w:right="320"/>
        <w:spacing w:after="0" w:line="243" w:lineRule="auto"/>
        <w:rPr>
          <w:sz w:val="20"/>
          <w:szCs w:val="20"/>
          <w:color w:val="auto"/>
        </w:rPr>
      </w:pPr>
      <w:r>
        <w:rPr>
          <w:rFonts w:ascii="Arial" w:cs="Arial" w:eastAsia="Arial" w:hAnsi="Arial"/>
          <w:sz w:val="12"/>
          <w:szCs w:val="12"/>
          <w:color w:val="auto"/>
        </w:rPr>
        <w:t xml:space="preserve">Sema4 will host a conference call today, August 16, 2021, at 4:30 p.m. Eastern Time. Interested parties may access the live teleconference by dialing (844) 631-4065 for domestic callers or (929) 517-0920 for international callers, followed by conference ID: 6887762. A live and archived webcast of the event will be available on the “Events” section of the Sema4 investor relations website at </w:t>
      </w:r>
      <w:r>
        <w:rPr>
          <w:rFonts w:ascii="Arial" w:cs="Arial" w:eastAsia="Arial" w:hAnsi="Arial"/>
          <w:sz w:val="12"/>
          <w:szCs w:val="12"/>
          <w:u w:val="single" w:color="auto"/>
          <w:color w:val="0563C1"/>
        </w:rPr>
        <w:t>https://ir.sema4.com/</w:t>
      </w:r>
      <w:r>
        <w:rPr>
          <w:rFonts w:ascii="Arial" w:cs="Arial" w:eastAsia="Arial" w:hAnsi="Arial"/>
          <w:sz w:val="12"/>
          <w:szCs w:val="12"/>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1" w:lineRule="exact"/>
        <w:rPr>
          <w:sz w:val="20"/>
          <w:szCs w:val="20"/>
          <w:color w:val="auto"/>
        </w:rPr>
      </w:pPr>
    </w:p>
    <w:p>
      <w:pPr>
        <w:jc w:val="both"/>
        <w:spacing w:after="0" w:line="258" w:lineRule="auto"/>
        <w:rPr>
          <w:sz w:val="20"/>
          <w:szCs w:val="20"/>
          <w:color w:val="auto"/>
        </w:rPr>
      </w:pPr>
      <w:r>
        <w:rPr>
          <w:rFonts w:ascii="Arial" w:cs="Arial" w:eastAsia="Arial" w:hAnsi="Arial"/>
          <w:sz w:val="11"/>
          <w:szCs w:val="11"/>
          <w:color w:val="auto"/>
        </w:rPr>
        <w:t>This press release contains certain forward-looking statements within the meaning of the federal securities laws, including statements regarding our future performance and our market opportunity, including our long-term goal for 2023 revenue, and our expectations for our growth and future investment in our business.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ability to implement business plans, goals and forecasts, and identify and realize additional opportunities, (ii) the risk of downturns and a changing regulatory landscape in the highly competitive healthcare industry, and (iii) the size and growth of the market in which we operate. In particular, our ability to achieve our long-term goal for 2023 revenue is highly dependent on a number of variables, including our ability to increase the number of billable tests and achieve reimbursement for our tests from third-party payers, our ability to successfully execute our technology and business development plans and growth strategy, our ability to compete in rapidly developing markets, our ability to demonstrate the clinical utility of and continue to commercialize our platforms including Centrellis and Traversa, and the continuation of favorable regulations affecting the markets in which we operate. The foregoing list of factors is not exhaustive. You should carefully consider the foregoing factors and the other risks and uncertainties described in the “Risk Factors” section of our definitive proxy statement on Schedule 14A filed with the U.S. Securities and Exchange Commission (the “SEC”) on July 2, 2021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 Furthermore, our long-term goal for 2023 revenue should not be looked upon as “guidance” of any sort.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Sema4</w:t>
      </w:r>
    </w:p>
    <w:p>
      <w:pPr>
        <w:spacing w:after="0" w:line="11" w:lineRule="exact"/>
        <w:rPr>
          <w:sz w:val="20"/>
          <w:szCs w:val="20"/>
          <w:color w:val="auto"/>
        </w:rPr>
      </w:pPr>
    </w:p>
    <w:p>
      <w:pPr>
        <w:jc w:val="both"/>
        <w:spacing w:after="0" w:line="271" w:lineRule="auto"/>
        <w:rPr>
          <w:sz w:val="20"/>
          <w:szCs w:val="20"/>
          <w:color w:val="auto"/>
        </w:rPr>
      </w:pPr>
      <w:r>
        <w:rPr>
          <w:rFonts w:ascii="Arial" w:cs="Arial" w:eastAsia="Arial" w:hAnsi="Arial"/>
          <w:sz w:val="11"/>
          <w:szCs w:val="11"/>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more information, please visit sema4.com and connect with Sema4 on </w:t>
      </w:r>
      <w:r>
        <w:rPr>
          <w:rFonts w:ascii="Arial" w:cs="Arial" w:eastAsia="Arial" w:hAnsi="Arial"/>
          <w:sz w:val="12"/>
          <w:szCs w:val="12"/>
          <w:u w:val="single" w:color="auto"/>
          <w:color w:val="0563C1"/>
        </w:rPr>
        <w:t>Twitter</w:t>
      </w:r>
      <w:r>
        <w:rPr>
          <w:rFonts w:ascii="Arial" w:cs="Arial" w:eastAsia="Arial" w:hAnsi="Arial"/>
          <w:sz w:val="12"/>
          <w:szCs w:val="12"/>
          <w:color w:val="auto"/>
        </w:rPr>
        <w:t xml:space="preserve">, </w:t>
      </w:r>
      <w:r>
        <w:rPr>
          <w:rFonts w:ascii="Arial" w:cs="Arial" w:eastAsia="Arial" w:hAnsi="Arial"/>
          <w:sz w:val="12"/>
          <w:szCs w:val="12"/>
          <w:u w:val="single" w:color="auto"/>
          <w:color w:val="0563C1"/>
        </w:rPr>
        <w:t>LinkedIn</w:t>
      </w:r>
      <w:r>
        <w:rPr>
          <w:rFonts w:ascii="Arial" w:cs="Arial" w:eastAsia="Arial" w:hAnsi="Arial"/>
          <w:sz w:val="12"/>
          <w:szCs w:val="12"/>
          <w:color w:val="auto"/>
        </w:rPr>
        <w:t xml:space="preserve">, </w:t>
      </w:r>
      <w:r>
        <w:rPr>
          <w:rFonts w:ascii="Arial" w:cs="Arial" w:eastAsia="Arial" w:hAnsi="Arial"/>
          <w:sz w:val="12"/>
          <w:szCs w:val="12"/>
          <w:u w:val="single" w:color="auto"/>
          <w:color w:val="0563C1"/>
        </w:rPr>
        <w:t>Facebook</w:t>
      </w:r>
      <w:r>
        <w:rPr>
          <w:rFonts w:ascii="Arial" w:cs="Arial" w:eastAsia="Arial" w:hAnsi="Arial"/>
          <w:sz w:val="12"/>
          <w:szCs w:val="12"/>
          <w:color w:val="auto"/>
        </w:rPr>
        <w:t xml:space="preserve"> and </w:t>
      </w:r>
      <w:r>
        <w:rPr>
          <w:rFonts w:ascii="Arial" w:cs="Arial" w:eastAsia="Arial" w:hAnsi="Arial"/>
          <w:sz w:val="12"/>
          <w:szCs w:val="12"/>
          <w:u w:val="single" w:color="auto"/>
          <w:color w:val="0563C1"/>
        </w:rPr>
        <w:t>YouTube</w:t>
      </w:r>
      <w:r>
        <w:rPr>
          <w:rFonts w:ascii="Arial" w:cs="Arial" w:eastAsia="Arial" w:hAnsi="Arial"/>
          <w:sz w:val="12"/>
          <w:szCs w:val="12"/>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 Contact: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Joel Kaufman</w:t>
      </w:r>
    </w:p>
    <w:p>
      <w:pPr>
        <w:spacing w:after="0"/>
        <w:rPr>
          <w:sz w:val="20"/>
          <w:szCs w:val="20"/>
          <w:color w:val="auto"/>
        </w:rPr>
      </w:pPr>
      <w:r>
        <w:rPr>
          <w:rFonts w:ascii="Arial" w:cs="Arial" w:eastAsia="Arial" w:hAnsi="Arial"/>
          <w:sz w:val="12"/>
          <w:szCs w:val="12"/>
          <w:u w:val="single" w:color="auto"/>
          <w:color w:val="0563C1"/>
        </w:rPr>
        <w:t>investors@sema4.com</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auto"/>
        </w:rPr>
        <w:t>Radley Moss</w:t>
      </w:r>
    </w:p>
    <w:p>
      <w:pPr>
        <w:spacing w:after="0"/>
        <w:rPr>
          <w:sz w:val="20"/>
          <w:szCs w:val="20"/>
          <w:color w:val="auto"/>
        </w:rPr>
      </w:pPr>
      <w:r>
        <w:rPr>
          <w:rFonts w:ascii="Arial" w:cs="Arial" w:eastAsia="Arial" w:hAnsi="Arial"/>
          <w:sz w:val="12"/>
          <w:szCs w:val="12"/>
          <w:u w:val="single" w:color="auto"/>
          <w:color w:val="0563C1"/>
        </w:rPr>
        <w:t>radley.moss@sema4.com</w:t>
      </w:r>
    </w:p>
    <w:p>
      <w:pPr>
        <w:sectPr>
          <w:pgSz w:w="11900" w:h="16838" w:orient="portrait"/>
          <w:cols w:equalWidth="0" w:num="1">
            <w:col w:w="11300"/>
          </w:cols>
          <w:pgMar w:left="300" w:top="1121" w:right="29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2"/>
          <w:szCs w:val="12"/>
          <w:b w:val="1"/>
          <w:bCs w:val="1"/>
          <w:color w:val="auto"/>
        </w:rPr>
        <w:t>Mount Sinai Genomics,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Balance Sheets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4"/>
              </w:rPr>
              <w:t>June 30,</w:t>
            </w:r>
          </w:p>
        </w:tc>
        <w:tc>
          <w:tcPr>
            <w:tcW w:w="240" w:type="dxa"/>
            <w:vAlign w:val="bottom"/>
          </w:tcPr>
          <w:p>
            <w:pPr>
              <w:spacing w:after="0"/>
              <w:rPr>
                <w:sz w:val="10"/>
                <w:szCs w:val="10"/>
                <w:color w:val="auto"/>
              </w:rPr>
            </w:pPr>
          </w:p>
        </w:tc>
        <w:tc>
          <w:tcPr>
            <w:tcW w:w="1120" w:type="dxa"/>
            <w:vAlign w:val="bottom"/>
          </w:tcPr>
          <w:p>
            <w:pPr>
              <w:jc w:val="right"/>
              <w:ind w:right="346"/>
              <w:spacing w:after="0"/>
              <w:rPr>
                <w:sz w:val="20"/>
                <w:szCs w:val="20"/>
                <w:color w:val="auto"/>
              </w:rPr>
            </w:pPr>
            <w:r>
              <w:rPr>
                <w:rFonts w:ascii="Arial" w:cs="Arial" w:eastAsia="Arial" w:hAnsi="Arial"/>
                <w:sz w:val="10"/>
                <w:szCs w:val="10"/>
                <w:b w:val="1"/>
                <w:bCs w:val="1"/>
                <w:color w:val="auto"/>
              </w:rPr>
              <w:t>December 31,</w:t>
            </w:r>
          </w:p>
        </w:tc>
      </w:tr>
      <w:tr>
        <w:trPr>
          <w:trHeight w:val="132"/>
        </w:trPr>
        <w:tc>
          <w:tcPr>
            <w:tcW w:w="8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8"/>
              </w:rPr>
              <w:t>2021 (unaudited)</w:t>
            </w:r>
          </w:p>
        </w:tc>
        <w:tc>
          <w:tcPr>
            <w:tcW w:w="240" w:type="dxa"/>
            <w:vAlign w:val="bottom"/>
          </w:tcPr>
          <w:p>
            <w:pPr>
              <w:spacing w:after="0"/>
              <w:rPr>
                <w:sz w:val="11"/>
                <w:szCs w:val="11"/>
                <w:color w:val="auto"/>
              </w:rPr>
            </w:pPr>
          </w:p>
        </w:tc>
        <w:tc>
          <w:tcPr>
            <w:tcW w:w="1120" w:type="dxa"/>
            <w:vAlign w:val="bottom"/>
          </w:tcPr>
          <w:p>
            <w:pPr>
              <w:jc w:val="right"/>
              <w:ind w:right="526"/>
              <w:spacing w:after="0"/>
              <w:rPr>
                <w:sz w:val="20"/>
                <w:szCs w:val="20"/>
                <w:color w:val="auto"/>
              </w:rPr>
            </w:pPr>
            <w:r>
              <w:rPr>
                <w:rFonts w:ascii="Arial" w:cs="Arial" w:eastAsia="Arial" w:hAnsi="Arial"/>
                <w:sz w:val="10"/>
                <w:szCs w:val="10"/>
                <w:b w:val="1"/>
                <w:bCs w:val="1"/>
                <w:color w:val="auto"/>
              </w:rPr>
              <w:t>2020</w:t>
            </w:r>
          </w:p>
        </w:tc>
      </w:tr>
      <w:tr>
        <w:trPr>
          <w:trHeight w:val="139"/>
        </w:trPr>
        <w:tc>
          <w:tcPr>
            <w:tcW w:w="8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12"/>
                <w:szCs w:val="12"/>
                <w:color w:val="auto"/>
              </w:rPr>
            </w:pPr>
          </w:p>
        </w:tc>
        <w:tc>
          <w:tcPr>
            <w:tcW w:w="116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CCEEFF"/>
            </w:tcBorders>
            <w:shd w:val="clear" w:color="auto" w:fill="CCEEFF"/>
          </w:tcPr>
          <w:p>
            <w:pPr>
              <w:spacing w:after="0"/>
              <w:rPr>
                <w:sz w:val="12"/>
                <w:szCs w:val="12"/>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Current assets: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Cash and cash equivalents</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26,501</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108,132</w:t>
            </w:r>
          </w:p>
        </w:tc>
      </w:tr>
      <w:tr>
        <w:trPr>
          <w:trHeight w:val="149"/>
        </w:trPr>
        <w:tc>
          <w:tcPr>
            <w:tcW w:w="8500" w:type="dxa"/>
            <w:vAlign w:val="bottom"/>
          </w:tcPr>
          <w:p>
            <w:pPr>
              <w:ind w:left="140"/>
              <w:spacing w:after="0"/>
              <w:rPr>
                <w:sz w:val="20"/>
                <w:szCs w:val="20"/>
                <w:color w:val="auto"/>
              </w:rPr>
            </w:pPr>
            <w:r>
              <w:rPr>
                <w:rFonts w:ascii="Arial" w:cs="Arial" w:eastAsia="Arial" w:hAnsi="Arial"/>
                <w:sz w:val="11"/>
                <w:szCs w:val="11"/>
                <w:color w:val="auto"/>
              </w:rPr>
              <w:t>Accounts receivable</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24,568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32,044</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Due from related parties</w:t>
            </w: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437</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289</w:t>
            </w:r>
          </w:p>
        </w:tc>
      </w:tr>
      <w:tr>
        <w:trPr>
          <w:trHeight w:val="149"/>
        </w:trPr>
        <w:tc>
          <w:tcPr>
            <w:tcW w:w="8500" w:type="dxa"/>
            <w:vAlign w:val="bottom"/>
          </w:tcPr>
          <w:p>
            <w:pPr>
              <w:ind w:left="140"/>
              <w:spacing w:after="0"/>
              <w:rPr>
                <w:sz w:val="20"/>
                <w:szCs w:val="20"/>
                <w:color w:val="auto"/>
              </w:rPr>
            </w:pPr>
            <w:r>
              <w:rPr>
                <w:rFonts w:ascii="Arial" w:cs="Arial" w:eastAsia="Arial" w:hAnsi="Arial"/>
                <w:sz w:val="11"/>
                <w:szCs w:val="11"/>
                <w:color w:val="auto"/>
              </w:rPr>
              <w:t>Inventory</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29,128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24,962</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Prepaid expenses and other current assets</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18,378</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8,681</w:t>
            </w:r>
          </w:p>
        </w:tc>
      </w:tr>
      <w:tr>
        <w:trPr>
          <w:trHeight w:val="138"/>
        </w:trPr>
        <w:tc>
          <w:tcPr>
            <w:tcW w:w="8500" w:type="dxa"/>
            <w:vAlign w:val="bottom"/>
          </w:tcPr>
          <w:p>
            <w:pPr>
              <w:ind w:left="300"/>
              <w:spacing w:after="0"/>
              <w:rPr>
                <w:sz w:val="20"/>
                <w:szCs w:val="20"/>
                <w:color w:val="auto"/>
              </w:rPr>
            </w:pPr>
            <w:r>
              <w:rPr>
                <w:rFonts w:ascii="Arial" w:cs="Arial" w:eastAsia="Arial" w:hAnsi="Arial"/>
                <w:sz w:val="11"/>
                <w:szCs w:val="11"/>
                <w:color w:val="auto"/>
              </w:rPr>
              <w:t>Total current assets</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99,012</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174,108</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Property and equipment, net</w:t>
            </w: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62,097</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63,110</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Restricted cash</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10,828</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10,828</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Other assets</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3,596</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3,596</w:t>
            </w:r>
          </w:p>
        </w:tc>
      </w:tr>
      <w:tr>
        <w:trPr>
          <w:trHeight w:val="182"/>
        </w:trPr>
        <w:tc>
          <w:tcPr>
            <w:tcW w:w="850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Total assets</w:t>
            </w: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175,533</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251,642</w:t>
            </w:r>
          </w:p>
        </w:tc>
      </w:tr>
      <w:tr>
        <w:trPr>
          <w:trHeight w:val="111"/>
        </w:trPr>
        <w:tc>
          <w:tcPr>
            <w:tcW w:w="85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b w:val="1"/>
                <w:bCs w:val="1"/>
                <w:color w:val="auto"/>
              </w:rPr>
              <w:t>Liabilities, Redeemable Convertible Preferred Stock and Stockholders’ Deficit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Current liabilities:</w:t>
            </w: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r>
      <w:tr>
        <w:trPr>
          <w:trHeight w:val="149"/>
        </w:trPr>
        <w:tc>
          <w:tcPr>
            <w:tcW w:w="8500" w:type="dxa"/>
            <w:vAlign w:val="bottom"/>
          </w:tcPr>
          <w:p>
            <w:pPr>
              <w:ind w:left="140"/>
              <w:spacing w:after="0"/>
              <w:rPr>
                <w:sz w:val="20"/>
                <w:szCs w:val="20"/>
                <w:color w:val="auto"/>
              </w:rPr>
            </w:pPr>
            <w:r>
              <w:rPr>
                <w:rFonts w:ascii="Arial" w:cs="Arial" w:eastAsia="Arial" w:hAnsi="Arial"/>
                <w:sz w:val="11"/>
                <w:szCs w:val="11"/>
                <w:color w:val="auto"/>
              </w:rPr>
              <w:t>Accounts payable and accrued expenses</w:t>
            </w:r>
          </w:p>
        </w:tc>
        <w:tc>
          <w:tcPr>
            <w:tcW w:w="200" w:type="dxa"/>
            <w:vAlign w:val="bottom"/>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spacing w:after="0"/>
              <w:rPr>
                <w:sz w:val="20"/>
                <w:szCs w:val="20"/>
                <w:color w:val="auto"/>
              </w:rPr>
            </w:pPr>
            <w:r>
              <w:rPr>
                <w:rFonts w:ascii="Arial" w:cs="Arial" w:eastAsia="Arial" w:hAnsi="Arial"/>
                <w:sz w:val="11"/>
                <w:szCs w:val="11"/>
                <w:color w:val="auto"/>
              </w:rPr>
              <w:t>43,650</w:t>
            </w:r>
          </w:p>
        </w:tc>
        <w:tc>
          <w:tcPr>
            <w:tcW w:w="8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38,591</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Due to related parties</w:t>
            </w: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1,278</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1,425</w:t>
            </w:r>
          </w:p>
        </w:tc>
      </w:tr>
      <w:tr>
        <w:trPr>
          <w:trHeight w:val="149"/>
        </w:trPr>
        <w:tc>
          <w:tcPr>
            <w:tcW w:w="8500" w:type="dxa"/>
            <w:vAlign w:val="bottom"/>
          </w:tcPr>
          <w:p>
            <w:pPr>
              <w:ind w:left="140"/>
              <w:spacing w:after="0"/>
              <w:rPr>
                <w:sz w:val="20"/>
                <w:szCs w:val="20"/>
                <w:color w:val="auto"/>
              </w:rPr>
            </w:pPr>
            <w:r>
              <w:rPr>
                <w:rFonts w:ascii="Arial" w:cs="Arial" w:eastAsia="Arial" w:hAnsi="Arial"/>
                <w:sz w:val="11"/>
                <w:szCs w:val="11"/>
                <w:color w:val="auto"/>
              </w:rPr>
              <w:t>Current contract liabilities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1,341</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1,783</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current liabilities</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24,764</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31,643</w:t>
            </w:r>
          </w:p>
        </w:tc>
      </w:tr>
      <w:tr>
        <w:trPr>
          <w:trHeight w:val="138"/>
        </w:trPr>
        <w:tc>
          <w:tcPr>
            <w:tcW w:w="8500" w:type="dxa"/>
            <w:vAlign w:val="bottom"/>
          </w:tcPr>
          <w:p>
            <w:pPr>
              <w:ind w:left="300"/>
              <w:spacing w:after="0"/>
              <w:rPr>
                <w:sz w:val="20"/>
                <w:szCs w:val="20"/>
                <w:color w:val="auto"/>
              </w:rPr>
            </w:pPr>
            <w:r>
              <w:rPr>
                <w:rFonts w:ascii="Arial" w:cs="Arial" w:eastAsia="Arial" w:hAnsi="Arial"/>
                <w:sz w:val="11"/>
                <w:szCs w:val="11"/>
                <w:color w:val="auto"/>
              </w:rPr>
              <w:t>Total current liabilities</w:t>
            </w: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71,033</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73,442</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Long-term debt, net of current portion</w:t>
            </w: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18,028</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18,971</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Stock-based compensation liabilities</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295,049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131,989</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Other liabilities</w:t>
            </w:r>
          </w:p>
        </w:tc>
        <w:tc>
          <w:tcPr>
            <w:tcW w:w="20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21,907</w:t>
            </w: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22,852</w:t>
            </w:r>
          </w:p>
        </w:tc>
      </w:tr>
      <w:tr>
        <w:trPr>
          <w:trHeight w:val="178"/>
        </w:trPr>
        <w:tc>
          <w:tcPr>
            <w:tcW w:w="8500" w:type="dxa"/>
            <w:vAlign w:val="bottom"/>
            <w:tcBorders>
              <w:bottom w:val="single" w:sz="8" w:color="CCEEFF"/>
            </w:tcBorders>
          </w:tcPr>
          <w:p>
            <w:pPr>
              <w:ind w:left="300"/>
              <w:spacing w:after="0"/>
              <w:rPr>
                <w:sz w:val="20"/>
                <w:szCs w:val="20"/>
                <w:color w:val="auto"/>
              </w:rPr>
            </w:pPr>
            <w:r>
              <w:rPr>
                <w:rFonts w:ascii="Arial" w:cs="Arial" w:eastAsia="Arial" w:hAnsi="Arial"/>
                <w:sz w:val="11"/>
                <w:szCs w:val="11"/>
                <w:color w:val="auto"/>
              </w:rPr>
              <w:t>Total liabilities</w:t>
            </w:r>
          </w:p>
        </w:tc>
        <w:tc>
          <w:tcPr>
            <w:tcW w:w="2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406,017</w:t>
            </w: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247,254</w:t>
            </w:r>
          </w:p>
        </w:tc>
      </w:tr>
      <w:tr>
        <w:trPr>
          <w:trHeight w:val="115"/>
        </w:trPr>
        <w:tc>
          <w:tcPr>
            <w:tcW w:w="85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Commitments and contingencies</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35"/>
        </w:trPr>
        <w:tc>
          <w:tcPr>
            <w:tcW w:w="8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Redeemable convertible preferred stock:</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8500" w:type="dxa"/>
            <w:vAlign w:val="bottom"/>
            <w:shd w:val="clear" w:color="auto" w:fill="CCEEFF"/>
          </w:tcPr>
          <w:p>
            <w:pPr>
              <w:ind w:left="120"/>
              <w:spacing w:after="0"/>
              <w:rPr>
                <w:sz w:val="20"/>
                <w:szCs w:val="20"/>
                <w:color w:val="auto"/>
              </w:rPr>
            </w:pPr>
            <w:r>
              <w:rPr>
                <w:rFonts w:ascii="Arial" w:cs="Arial" w:eastAsia="Arial" w:hAnsi="Arial"/>
                <w:sz w:val="11"/>
                <w:szCs w:val="11"/>
                <w:color w:val="auto"/>
                <w:w w:val="91"/>
              </w:rPr>
              <w:t>Series A-1 redeemable convertible preferred stock, $0.00001 par value: 447,373 shares authorized, issued and outstanding at June 30, 2021 and December 31, 2020; aggregate liquidation</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38"/>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preference of $55,000 at June 30, 2021 and December 31, 2020</w:t>
            </w:r>
          </w:p>
        </w:tc>
        <w:tc>
          <w:tcPr>
            <w:tcW w:w="2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51,811</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51,811</w:t>
            </w:r>
          </w:p>
        </w:tc>
      </w:tr>
      <w:tr>
        <w:trPr>
          <w:trHeight w:val="148"/>
        </w:trPr>
        <w:tc>
          <w:tcPr>
            <w:tcW w:w="8500" w:type="dxa"/>
            <w:vAlign w:val="bottom"/>
          </w:tcPr>
          <w:p>
            <w:pPr>
              <w:ind w:left="120"/>
              <w:spacing w:after="0"/>
              <w:rPr>
                <w:sz w:val="20"/>
                <w:szCs w:val="20"/>
                <w:color w:val="auto"/>
              </w:rPr>
            </w:pPr>
            <w:r>
              <w:rPr>
                <w:rFonts w:ascii="Arial" w:cs="Arial" w:eastAsia="Arial" w:hAnsi="Arial"/>
                <w:sz w:val="11"/>
                <w:szCs w:val="11"/>
                <w:color w:val="auto"/>
                <w:w w:val="87"/>
              </w:rPr>
              <w:t>Series A-2 redeemable convertible preferred stock, $0.00001 par value: 522,627 shares authorized at June 30, 2021 and December 31, 2020; 401,347 shares authorized, issued and outstanding at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6"/>
        </w:trPr>
        <w:tc>
          <w:tcPr>
            <w:tcW w:w="8500" w:type="dxa"/>
            <w:vAlign w:val="bottom"/>
          </w:tcPr>
          <w:p>
            <w:pPr>
              <w:ind w:left="220"/>
              <w:spacing w:after="0"/>
              <w:rPr>
                <w:sz w:val="20"/>
                <w:szCs w:val="20"/>
                <w:color w:val="auto"/>
              </w:rPr>
            </w:pPr>
            <w:r>
              <w:rPr>
                <w:rFonts w:ascii="Arial" w:cs="Arial" w:eastAsia="Arial" w:hAnsi="Arial"/>
                <w:sz w:val="11"/>
                <w:szCs w:val="11"/>
                <w:color w:val="auto"/>
              </w:rPr>
              <w:t>June 30, 2021 and December 31, 2020; aggregate liquidation preference of $49,342 at June 30, 2021 and December 31, 2020</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46,480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46,480</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8500" w:type="dxa"/>
            <w:vAlign w:val="bottom"/>
            <w:shd w:val="clear" w:color="auto" w:fill="CCEEFF"/>
          </w:tcPr>
          <w:p>
            <w:pPr>
              <w:ind w:left="120"/>
              <w:spacing w:after="0"/>
              <w:rPr>
                <w:sz w:val="20"/>
                <w:szCs w:val="20"/>
                <w:color w:val="auto"/>
              </w:rPr>
            </w:pPr>
            <w:r>
              <w:rPr>
                <w:rFonts w:ascii="Arial" w:cs="Arial" w:eastAsia="Arial" w:hAnsi="Arial"/>
                <w:sz w:val="11"/>
                <w:szCs w:val="11"/>
                <w:color w:val="auto"/>
                <w:w w:val="92"/>
              </w:rPr>
              <w:t>Series B redeemable convertible preferred stock, $0.00001 par value: 338,663 shares authorized, issued and outstanding at June 30, 2021 and December 31, 2020; aggregate liquidation</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38"/>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preference of $204,302 at June 30, 2021 and December 31, 2020</w:t>
            </w:r>
          </w:p>
        </w:tc>
        <w:tc>
          <w:tcPr>
            <w:tcW w:w="20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118,824</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118,824</w:t>
            </w:r>
          </w:p>
        </w:tc>
      </w:tr>
      <w:tr>
        <w:trPr>
          <w:trHeight w:val="148"/>
        </w:trPr>
        <w:tc>
          <w:tcPr>
            <w:tcW w:w="8500" w:type="dxa"/>
            <w:vAlign w:val="bottom"/>
          </w:tcPr>
          <w:p>
            <w:pPr>
              <w:ind w:left="120"/>
              <w:spacing w:after="0"/>
              <w:rPr>
                <w:sz w:val="20"/>
                <w:szCs w:val="20"/>
                <w:color w:val="auto"/>
              </w:rPr>
            </w:pPr>
            <w:r>
              <w:rPr>
                <w:rFonts w:ascii="Arial" w:cs="Arial" w:eastAsia="Arial" w:hAnsi="Arial"/>
                <w:sz w:val="11"/>
                <w:szCs w:val="11"/>
                <w:color w:val="auto"/>
                <w:w w:val="89"/>
              </w:rPr>
              <w:t>Series C redeemable convertible preferred stock, $0.00001 par value: 197,824 shares authorized at June 30, 2021 and December 31, 2020; 197,821 shares issued and outstanding at June 30,</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6"/>
        </w:trPr>
        <w:tc>
          <w:tcPr>
            <w:tcW w:w="8500" w:type="dxa"/>
            <w:vAlign w:val="bottom"/>
          </w:tcPr>
          <w:p>
            <w:pPr>
              <w:ind w:left="220"/>
              <w:spacing w:after="0"/>
              <w:rPr>
                <w:sz w:val="20"/>
                <w:szCs w:val="20"/>
                <w:color w:val="auto"/>
              </w:rPr>
            </w:pPr>
            <w:r>
              <w:rPr>
                <w:rFonts w:ascii="Arial" w:cs="Arial" w:eastAsia="Arial" w:hAnsi="Arial"/>
                <w:sz w:val="11"/>
                <w:szCs w:val="11"/>
                <w:color w:val="auto"/>
              </w:rPr>
              <w:t>2021 and December 31, 2020; aggregate liquidation preference of $121,397 at June 30, 2021 and December 31, 2020</w:t>
            </w:r>
          </w:p>
        </w:tc>
        <w:tc>
          <w:tcPr>
            <w:tcW w:w="20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117,324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117,324</w:t>
            </w:r>
          </w:p>
        </w:tc>
      </w:tr>
      <w:tr>
        <w:trPr>
          <w:trHeight w:val="22"/>
        </w:trPr>
        <w:tc>
          <w:tcPr>
            <w:tcW w:w="8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0"/>
        </w:trPr>
        <w:tc>
          <w:tcPr>
            <w:tcW w:w="8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Redeemable convertible preferred stock</w:t>
            </w: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334,439</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334,439</w:t>
            </w:r>
          </w:p>
        </w:tc>
      </w:tr>
      <w:tr>
        <w:trPr>
          <w:trHeight w:val="129"/>
        </w:trPr>
        <w:tc>
          <w:tcPr>
            <w:tcW w:w="8500" w:type="dxa"/>
            <w:vAlign w:val="bottom"/>
          </w:tcPr>
          <w:p>
            <w:pPr>
              <w:spacing w:after="0"/>
              <w:rPr>
                <w:sz w:val="20"/>
                <w:szCs w:val="20"/>
                <w:color w:val="auto"/>
              </w:rPr>
            </w:pPr>
            <w:r>
              <w:rPr>
                <w:rFonts w:ascii="Arial" w:cs="Arial" w:eastAsia="Arial" w:hAnsi="Arial"/>
                <w:sz w:val="11"/>
                <w:szCs w:val="11"/>
                <w:b w:val="1"/>
                <w:bCs w:val="1"/>
                <w:color w:val="auto"/>
              </w:rPr>
              <w:t>Stockholders’ deficit:</w:t>
            </w: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8"/>
        </w:trPr>
        <w:tc>
          <w:tcPr>
            <w:tcW w:w="8500" w:type="dxa"/>
            <w:vAlign w:val="bottom"/>
            <w:shd w:val="clear" w:color="auto" w:fill="CCEEFF"/>
          </w:tcPr>
          <w:p>
            <w:pPr>
              <w:ind w:left="120"/>
              <w:spacing w:after="0"/>
              <w:rPr>
                <w:sz w:val="20"/>
                <w:szCs w:val="20"/>
                <w:color w:val="auto"/>
              </w:rPr>
            </w:pPr>
            <w:r>
              <w:rPr>
                <w:rFonts w:ascii="Arial" w:cs="Arial" w:eastAsia="Arial" w:hAnsi="Arial"/>
                <w:sz w:val="11"/>
                <w:szCs w:val="11"/>
                <w:color w:val="auto"/>
                <w:w w:val="89"/>
              </w:rPr>
              <w:t>Class A common stock, $0.00001 par value: 2,500,000 shares authorized at June 30, 2021 and December 31, 2020; 36 and 1 share issued and outstanding at June 30, 2021 and December 31,</w:t>
            </w:r>
          </w:p>
        </w:tc>
        <w:tc>
          <w:tcPr>
            <w:tcW w:w="2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38"/>
        </w:trPr>
        <w:tc>
          <w:tcPr>
            <w:tcW w:w="85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1"/>
                <w:szCs w:val="11"/>
                <w:color w:val="auto"/>
              </w:rPr>
              <w:t>2020, respectively</w:t>
            </w:r>
          </w:p>
        </w:tc>
        <w:tc>
          <w:tcPr>
            <w:tcW w:w="20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8"/>
        </w:trPr>
        <w:tc>
          <w:tcPr>
            <w:tcW w:w="8500" w:type="dxa"/>
            <w:vAlign w:val="bottom"/>
          </w:tcPr>
          <w:p>
            <w:pPr>
              <w:ind w:left="120"/>
              <w:spacing w:after="0"/>
              <w:rPr>
                <w:sz w:val="20"/>
                <w:szCs w:val="20"/>
                <w:color w:val="auto"/>
              </w:rPr>
            </w:pPr>
            <w:r>
              <w:rPr>
                <w:rFonts w:ascii="Arial" w:cs="Arial" w:eastAsia="Arial" w:hAnsi="Arial"/>
                <w:sz w:val="11"/>
                <w:szCs w:val="11"/>
                <w:color w:val="auto"/>
                <w:w w:val="87"/>
              </w:rPr>
              <w:t>Class B convertible common stock, $0.00001 par value: 15,000,000 shares authorized at June 30, 2021 and December 31, 2020; 1,117,413 and 105,429 shares issued and outstanding at June 30,</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36"/>
        </w:trPr>
        <w:tc>
          <w:tcPr>
            <w:tcW w:w="8500" w:type="dxa"/>
            <w:vAlign w:val="bottom"/>
          </w:tcPr>
          <w:p>
            <w:pPr>
              <w:ind w:left="220"/>
              <w:spacing w:after="0"/>
              <w:rPr>
                <w:sz w:val="20"/>
                <w:szCs w:val="20"/>
                <w:color w:val="auto"/>
              </w:rPr>
            </w:pPr>
            <w:r>
              <w:rPr>
                <w:rFonts w:ascii="Arial" w:cs="Arial" w:eastAsia="Arial" w:hAnsi="Arial"/>
                <w:sz w:val="11"/>
                <w:szCs w:val="11"/>
                <w:color w:val="auto"/>
              </w:rPr>
              <w:t>2021 and December 31, 2020, respectively</w:t>
            </w:r>
          </w:p>
        </w:tc>
        <w:tc>
          <w:tcPr>
            <w:tcW w:w="200" w:type="dxa"/>
            <w:vAlign w:val="bottom"/>
          </w:tcPr>
          <w:p>
            <w:pPr>
              <w:spacing w:after="0"/>
              <w:rPr>
                <w:sz w:val="11"/>
                <w:szCs w:val="11"/>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2"/>
        </w:trPr>
        <w:tc>
          <w:tcPr>
            <w:tcW w:w="8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Additional paid-in capital</w:t>
            </w: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1,483</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Accumulated deficit</w:t>
            </w:r>
          </w:p>
        </w:tc>
        <w:tc>
          <w:tcPr>
            <w:tcW w:w="20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(566,406)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(330,051)</w:t>
            </w:r>
          </w:p>
        </w:tc>
      </w:tr>
      <w:tr>
        <w:trPr>
          <w:trHeight w:val="22"/>
        </w:trPr>
        <w:tc>
          <w:tcPr>
            <w:tcW w:w="8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0"/>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stockholders’ deficit</w:t>
            </w:r>
          </w:p>
        </w:tc>
        <w:tc>
          <w:tcPr>
            <w:tcW w:w="20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(564,923)</w:t>
            </w: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(330,051)</w:t>
            </w:r>
          </w:p>
        </w:tc>
      </w:tr>
      <w:tr>
        <w:trPr>
          <w:trHeight w:val="158"/>
        </w:trPr>
        <w:tc>
          <w:tcPr>
            <w:tcW w:w="8500" w:type="dxa"/>
            <w:vAlign w:val="bottom"/>
          </w:tcPr>
          <w:p>
            <w:pPr>
              <w:spacing w:after="0"/>
              <w:rPr>
                <w:sz w:val="20"/>
                <w:szCs w:val="20"/>
                <w:color w:val="auto"/>
              </w:rPr>
            </w:pPr>
            <w:r>
              <w:rPr>
                <w:rFonts w:ascii="Arial" w:cs="Arial" w:eastAsia="Arial" w:hAnsi="Arial"/>
                <w:sz w:val="11"/>
                <w:szCs w:val="11"/>
                <w:color w:val="auto"/>
              </w:rPr>
              <w:t>Total liabilities, redeemable convertible preferred stock and stockholders’ deficit</w:t>
            </w: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175,533</w:t>
            </w:r>
          </w:p>
        </w:tc>
        <w:tc>
          <w:tcPr>
            <w:tcW w:w="8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251,642</w:t>
            </w:r>
          </w:p>
        </w:tc>
      </w:tr>
      <w:tr>
        <w:trPr>
          <w:trHeight w:val="20"/>
        </w:trPr>
        <w:tc>
          <w:tcPr>
            <w:tcW w:w="8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559" w:right="2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2"/>
          <w:szCs w:val="12"/>
          <w:b w:val="1"/>
          <w:bCs w:val="1"/>
          <w:color w:val="auto"/>
        </w:rPr>
        <w:t>Mount Sinai Genomics,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Statements of Operations and Comprehensive Loss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 except share amounts)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080" w:type="dxa"/>
            <w:vAlign w:val="bottom"/>
          </w:tcPr>
          <w:p>
            <w:pPr>
              <w:spacing w:after="0"/>
              <w:rPr>
                <w:sz w:val="11"/>
                <w:szCs w:val="11"/>
                <w:color w:val="auto"/>
              </w:rPr>
            </w:pPr>
          </w:p>
        </w:tc>
        <w:tc>
          <w:tcPr>
            <w:tcW w:w="21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0"/>
                <w:szCs w:val="10"/>
                <w:b w:val="1"/>
                <w:bCs w:val="1"/>
                <w:color w:val="auto"/>
              </w:rPr>
              <w:t>Three months ended June 30,</w:t>
            </w: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Six months ended June 30,</w:t>
            </w:r>
          </w:p>
        </w:tc>
        <w:tc>
          <w:tcPr>
            <w:tcW w:w="740" w:type="dxa"/>
            <w:vAlign w:val="bottom"/>
            <w:tcBorders>
              <w:bottom w:val="single" w:sz="8" w:color="auto"/>
            </w:tcBorders>
          </w:tcPr>
          <w:p>
            <w:pPr>
              <w:spacing w:after="0"/>
              <w:rPr>
                <w:sz w:val="11"/>
                <w:szCs w:val="11"/>
                <w:color w:val="auto"/>
              </w:rPr>
            </w:pPr>
          </w:p>
        </w:tc>
      </w:tr>
      <w:tr>
        <w:trPr>
          <w:trHeight w:val="142"/>
        </w:trPr>
        <w:tc>
          <w:tcPr>
            <w:tcW w:w="60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b w:val="1"/>
                <w:bCs w:val="1"/>
                <w:color w:val="auto"/>
              </w:rPr>
              <w:t>2021</w:t>
            </w: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rPr>
              <w:t>2020</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7"/>
              <w:spacing w:after="0"/>
              <w:rPr>
                <w:sz w:val="20"/>
                <w:szCs w:val="20"/>
                <w:color w:val="auto"/>
              </w:rPr>
            </w:pPr>
            <w:r>
              <w:rPr>
                <w:rFonts w:ascii="Arial" w:cs="Arial" w:eastAsia="Arial" w:hAnsi="Arial"/>
                <w:sz w:val="10"/>
                <w:szCs w:val="10"/>
                <w:b w:val="1"/>
                <w:bCs w:val="1"/>
                <w:color w:val="auto"/>
              </w:rPr>
              <w:t>2021</w:t>
            </w:r>
          </w:p>
        </w:tc>
        <w:tc>
          <w:tcPr>
            <w:tcW w:w="6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86"/>
              <w:spacing w:after="0"/>
              <w:rPr>
                <w:sz w:val="20"/>
                <w:szCs w:val="20"/>
                <w:color w:val="auto"/>
              </w:rPr>
            </w:pPr>
            <w:r>
              <w:rPr>
                <w:rFonts w:ascii="Arial" w:cs="Arial" w:eastAsia="Arial" w:hAnsi="Arial"/>
                <w:sz w:val="10"/>
                <w:szCs w:val="10"/>
                <w:b w:val="1"/>
                <w:bCs w:val="1"/>
                <w:color w:val="auto"/>
                <w:w w:val="80"/>
              </w:rPr>
              <w:t>2020</w:t>
            </w:r>
          </w:p>
        </w:tc>
      </w:tr>
      <w:tr>
        <w:trPr>
          <w:trHeight w:val="139"/>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Revenue</w:t>
            </w:r>
          </w:p>
        </w:tc>
        <w:tc>
          <w:tcPr>
            <w:tcW w:w="7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r>
      <w:tr>
        <w:trPr>
          <w:trHeight w:val="148"/>
        </w:trPr>
        <w:tc>
          <w:tcPr>
            <w:tcW w:w="6080" w:type="dxa"/>
            <w:vAlign w:val="bottom"/>
          </w:tcPr>
          <w:p>
            <w:pPr>
              <w:spacing w:after="0"/>
              <w:rPr>
                <w:sz w:val="20"/>
                <w:szCs w:val="20"/>
                <w:color w:val="auto"/>
              </w:rPr>
            </w:pPr>
            <w:r>
              <w:rPr>
                <w:rFonts w:ascii="Arial" w:cs="Arial" w:eastAsia="Arial" w:hAnsi="Arial"/>
                <w:sz w:val="11"/>
                <w:szCs w:val="11"/>
                <w:color w:val="auto"/>
                <w:w w:val="90"/>
              </w:rPr>
              <w:t>Diagnostic test revenue (including related party revenue of $37 and $39 for the three months ended June 30, 2021 and 2020, respectively</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36"/>
        </w:trPr>
        <w:tc>
          <w:tcPr>
            <w:tcW w:w="6080" w:type="dxa"/>
            <w:vAlign w:val="bottom"/>
          </w:tcPr>
          <w:p>
            <w:pPr>
              <w:ind w:left="120"/>
              <w:spacing w:after="0"/>
              <w:rPr>
                <w:sz w:val="20"/>
                <w:szCs w:val="20"/>
                <w:color w:val="auto"/>
              </w:rPr>
            </w:pPr>
            <w:r>
              <w:rPr>
                <w:rFonts w:ascii="Arial" w:cs="Arial" w:eastAsia="Arial" w:hAnsi="Arial"/>
                <w:sz w:val="11"/>
                <w:szCs w:val="11"/>
                <w:color w:val="auto"/>
              </w:rPr>
              <w:t>and $70 and $100 for the six months ended June 30, 2021 and 2020, respectively)</w:t>
            </w: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44,803</w:t>
            </w:r>
          </w:p>
        </w:tc>
        <w:tc>
          <w:tcPr>
            <w:tcW w:w="80" w:type="dxa"/>
            <w:vAlign w:val="bottom"/>
          </w:tcPr>
          <w:p>
            <w:pPr>
              <w:spacing w:after="0"/>
              <w:rPr>
                <w:sz w:val="11"/>
                <w:szCs w:val="11"/>
                <w:color w:val="auto"/>
              </w:rPr>
            </w:pP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29,796</w:t>
            </w:r>
          </w:p>
        </w:tc>
        <w:tc>
          <w:tcPr>
            <w:tcW w:w="80" w:type="dxa"/>
            <w:vAlign w:val="bottom"/>
          </w:tcPr>
          <w:p>
            <w:pPr>
              <w:spacing w:after="0"/>
              <w:rPr>
                <w:sz w:val="11"/>
                <w:szCs w:val="11"/>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107,563</w:t>
            </w:r>
          </w:p>
        </w:tc>
        <w:tc>
          <w:tcPr>
            <w:tcW w:w="60" w:type="dxa"/>
            <w:vAlign w:val="bottom"/>
          </w:tcPr>
          <w:p>
            <w:pPr>
              <w:spacing w:after="0"/>
              <w:rPr>
                <w:sz w:val="11"/>
                <w:szCs w:val="11"/>
                <w:color w:val="auto"/>
              </w:rPr>
            </w:pP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75,866</w:t>
            </w:r>
          </w:p>
        </w:tc>
      </w:tr>
      <w:tr>
        <w:trPr>
          <w:trHeight w:val="22"/>
        </w:trPr>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48"/>
        </w:trPr>
        <w:tc>
          <w:tcPr>
            <w:tcW w:w="6080" w:type="dxa"/>
            <w:vAlign w:val="bottom"/>
            <w:shd w:val="clear" w:color="auto" w:fill="CCEEFF"/>
          </w:tcPr>
          <w:p>
            <w:pPr>
              <w:spacing w:after="0"/>
              <w:rPr>
                <w:sz w:val="20"/>
                <w:szCs w:val="20"/>
                <w:color w:val="auto"/>
              </w:rPr>
            </w:pPr>
            <w:r>
              <w:rPr>
                <w:rFonts w:ascii="Arial" w:cs="Arial" w:eastAsia="Arial" w:hAnsi="Arial"/>
                <w:sz w:val="11"/>
                <w:szCs w:val="11"/>
                <w:color w:val="auto"/>
                <w:w w:val="88"/>
              </w:rPr>
              <w:t>Other revenue (including related party revenue of $62 and $0 for the three months ended June 30, 2021 and 2020, respectively and $89 and</w:t>
            </w: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58"/>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$0 for the six months ended June 30, 2021 and 2020, respectively)</w:t>
            </w:r>
          </w:p>
        </w:tc>
        <w:tc>
          <w:tcPr>
            <w:tcW w:w="7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2,062</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306</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3,653</w:t>
            </w: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891</w:t>
            </w:r>
          </w:p>
        </w:tc>
      </w:tr>
      <w:tr>
        <w:trPr>
          <w:trHeight w:val="138"/>
        </w:trPr>
        <w:tc>
          <w:tcPr>
            <w:tcW w:w="6080" w:type="dxa"/>
            <w:vAlign w:val="bottom"/>
          </w:tcPr>
          <w:p>
            <w:pPr>
              <w:spacing w:after="0"/>
              <w:rPr>
                <w:sz w:val="20"/>
                <w:szCs w:val="20"/>
                <w:color w:val="auto"/>
              </w:rPr>
            </w:pPr>
            <w:r>
              <w:rPr>
                <w:rFonts w:ascii="Arial" w:cs="Arial" w:eastAsia="Arial" w:hAnsi="Arial"/>
                <w:sz w:val="11"/>
                <w:szCs w:val="11"/>
                <w:color w:val="auto"/>
              </w:rPr>
              <w:t>Total revenue</w:t>
            </w:r>
          </w:p>
        </w:tc>
        <w:tc>
          <w:tcPr>
            <w:tcW w:w="7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46,865</w:t>
            </w: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30,102</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111,216</w:t>
            </w: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76,757</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28"/>
        </w:trPr>
        <w:tc>
          <w:tcPr>
            <w:tcW w:w="6080" w:type="dxa"/>
            <w:vAlign w:val="bottom"/>
            <w:shd w:val="clear" w:color="auto" w:fill="CCEEFF"/>
          </w:tcPr>
          <w:p>
            <w:pPr>
              <w:spacing w:after="0"/>
              <w:rPr>
                <w:sz w:val="20"/>
                <w:szCs w:val="20"/>
                <w:color w:val="auto"/>
              </w:rPr>
            </w:pPr>
            <w:r>
              <w:rPr>
                <w:rFonts w:ascii="Arial" w:cs="Arial" w:eastAsia="Arial" w:hAnsi="Arial"/>
                <w:sz w:val="11"/>
                <w:szCs w:val="11"/>
                <w:color w:val="auto"/>
                <w:w w:val="88"/>
              </w:rPr>
              <w:t>Cost of services (including related party expenses of $1,008 and $459 for the three months ended June 30, 2021 and 2020, respectively and</w:t>
            </w:r>
          </w:p>
        </w:tc>
        <w:tc>
          <w:tcPr>
            <w:tcW w:w="7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r>
      <w:tr>
        <w:trPr>
          <w:trHeight w:val="158"/>
        </w:trPr>
        <w:tc>
          <w:tcPr>
            <w:tcW w:w="6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1"/>
                <w:szCs w:val="11"/>
                <w:color w:val="auto"/>
              </w:rPr>
              <w:t>$1,286 and $1,033 for the six months ended June 30, 2021 and 2020, respectively)</w:t>
            </w:r>
          </w:p>
        </w:tc>
        <w:tc>
          <w:tcPr>
            <w:tcW w:w="7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49,631</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35,985</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121,443</w:t>
            </w: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75,224</w:t>
            </w:r>
          </w:p>
        </w:tc>
      </w:tr>
      <w:tr>
        <w:trPr>
          <w:trHeight w:val="138"/>
        </w:trPr>
        <w:tc>
          <w:tcPr>
            <w:tcW w:w="6080" w:type="dxa"/>
            <w:vAlign w:val="bottom"/>
          </w:tcPr>
          <w:p>
            <w:pPr>
              <w:spacing w:after="0"/>
              <w:rPr>
                <w:sz w:val="20"/>
                <w:szCs w:val="20"/>
                <w:color w:val="auto"/>
              </w:rPr>
            </w:pPr>
            <w:r>
              <w:rPr>
                <w:rFonts w:ascii="Arial" w:cs="Arial" w:eastAsia="Arial" w:hAnsi="Arial"/>
                <w:sz w:val="11"/>
                <w:szCs w:val="11"/>
                <w:color w:val="auto"/>
              </w:rPr>
              <w:t>Gross (loss) profit</w:t>
            </w:r>
          </w:p>
        </w:tc>
        <w:tc>
          <w:tcPr>
            <w:tcW w:w="7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(2,766)</w:t>
            </w: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(5,883)</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(10,227)</w:t>
            </w:r>
          </w:p>
        </w:tc>
        <w:tc>
          <w:tcPr>
            <w:tcW w:w="6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1,533</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Research and development</w:t>
            </w:r>
          </w:p>
        </w:tc>
        <w:tc>
          <w:tcPr>
            <w:tcW w:w="7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11,954</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9,361</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65,085</w:t>
            </w: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22,457</w:t>
            </w:r>
          </w:p>
        </w:tc>
      </w:tr>
      <w:tr>
        <w:trPr>
          <w:trHeight w:val="149"/>
        </w:trPr>
        <w:tc>
          <w:tcPr>
            <w:tcW w:w="6080" w:type="dxa"/>
            <w:vAlign w:val="bottom"/>
          </w:tcPr>
          <w:p>
            <w:pPr>
              <w:spacing w:after="0"/>
              <w:rPr>
                <w:sz w:val="20"/>
                <w:szCs w:val="20"/>
                <w:color w:val="auto"/>
              </w:rPr>
            </w:pPr>
            <w:r>
              <w:rPr>
                <w:rFonts w:ascii="Arial" w:cs="Arial" w:eastAsia="Arial" w:hAnsi="Arial"/>
                <w:sz w:val="11"/>
                <w:szCs w:val="11"/>
                <w:color w:val="auto"/>
              </w:rPr>
              <w:t>Selling and marketing</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16,247</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8,686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47,816</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20,419</w:t>
            </w:r>
          </w:p>
        </w:tc>
      </w:tr>
      <w:tr>
        <w:trPr>
          <w:trHeight w:val="22"/>
        </w:trPr>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51"/>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General and administrative</w:t>
            </w:r>
          </w:p>
        </w:tc>
        <w:tc>
          <w:tcPr>
            <w:tcW w:w="7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12,794</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8,121</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114,711</w:t>
            </w: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15,285</w:t>
            </w:r>
          </w:p>
        </w:tc>
      </w:tr>
      <w:tr>
        <w:trPr>
          <w:trHeight w:val="149"/>
        </w:trPr>
        <w:tc>
          <w:tcPr>
            <w:tcW w:w="6080" w:type="dxa"/>
            <w:vAlign w:val="bottom"/>
          </w:tcPr>
          <w:p>
            <w:pPr>
              <w:spacing w:after="0"/>
              <w:rPr>
                <w:sz w:val="20"/>
                <w:szCs w:val="20"/>
                <w:color w:val="auto"/>
              </w:rPr>
            </w:pPr>
            <w:r>
              <w:rPr>
                <w:rFonts w:ascii="Arial" w:cs="Arial" w:eastAsia="Arial" w:hAnsi="Arial"/>
                <w:sz w:val="11"/>
                <w:szCs w:val="11"/>
                <w:color w:val="auto"/>
              </w:rPr>
              <w:t>Related party expenses</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888</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2,111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2,685</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4,306</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Loss from operations</w:t>
            </w:r>
          </w:p>
        </w:tc>
        <w:tc>
          <w:tcPr>
            <w:tcW w:w="7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(44,649)</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(34,162)</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(240,524)</w:t>
            </w: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(60,934)</w:t>
            </w:r>
          </w:p>
        </w:tc>
      </w:tr>
      <w:tr>
        <w:trPr>
          <w:trHeight w:val="160"/>
        </w:trPr>
        <w:tc>
          <w:tcPr>
            <w:tcW w:w="60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151"/>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Other income (expense):</w:t>
            </w:r>
          </w:p>
        </w:tc>
        <w:tc>
          <w:tcPr>
            <w:tcW w:w="7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r>
      <w:tr>
        <w:trPr>
          <w:trHeight w:val="149"/>
        </w:trPr>
        <w:tc>
          <w:tcPr>
            <w:tcW w:w="6080" w:type="dxa"/>
            <w:vAlign w:val="bottom"/>
          </w:tcPr>
          <w:p>
            <w:pPr>
              <w:spacing w:after="0"/>
              <w:rPr>
                <w:sz w:val="20"/>
                <w:szCs w:val="20"/>
                <w:color w:val="auto"/>
              </w:rPr>
            </w:pPr>
            <w:r>
              <w:rPr>
                <w:rFonts w:ascii="Arial" w:cs="Arial" w:eastAsia="Arial" w:hAnsi="Arial"/>
                <w:sz w:val="11"/>
                <w:szCs w:val="11"/>
                <w:color w:val="auto"/>
              </w:rPr>
              <w:t>Interest income</w:t>
            </w:r>
          </w:p>
        </w:tc>
        <w:tc>
          <w:tcPr>
            <w:tcW w:w="7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76</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30</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410</w:t>
            </w:r>
          </w:p>
        </w:tc>
      </w:tr>
      <w:tr>
        <w:trPr>
          <w:trHeight w:val="22"/>
        </w:trPr>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51"/>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7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(722)</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(615)</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(1,445)</w:t>
            </w: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(1,189)</w:t>
            </w:r>
          </w:p>
        </w:tc>
      </w:tr>
      <w:tr>
        <w:trPr>
          <w:trHeight w:val="149"/>
        </w:trPr>
        <w:tc>
          <w:tcPr>
            <w:tcW w:w="6080" w:type="dxa"/>
            <w:vAlign w:val="bottom"/>
          </w:tcPr>
          <w:p>
            <w:pPr>
              <w:spacing w:after="0"/>
              <w:rPr>
                <w:sz w:val="20"/>
                <w:szCs w:val="20"/>
                <w:color w:val="auto"/>
              </w:rPr>
            </w:pPr>
            <w:r>
              <w:rPr>
                <w:rFonts w:ascii="Arial" w:cs="Arial" w:eastAsia="Arial" w:hAnsi="Arial"/>
                <w:sz w:val="11"/>
                <w:szCs w:val="11"/>
                <w:color w:val="auto"/>
              </w:rPr>
              <w:t>Other income, net</w:t>
            </w:r>
          </w:p>
        </w:tc>
        <w:tc>
          <w:tcPr>
            <w:tcW w:w="780" w:type="dxa"/>
            <w:vAlign w:val="bottom"/>
          </w:tcPr>
          <w:p>
            <w:pPr>
              <w:spacing w:after="0"/>
              <w:rPr>
                <w:sz w:val="12"/>
                <w:szCs w:val="1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2,649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7"/>
              <w:spacing w:after="0"/>
              <w:rPr>
                <w:sz w:val="20"/>
                <w:szCs w:val="20"/>
                <w:color w:val="auto"/>
              </w:rPr>
            </w:pPr>
            <w:r>
              <w:rPr>
                <w:rFonts w:ascii="Arial" w:cs="Arial" w:eastAsia="Arial" w:hAnsi="Arial"/>
                <w:sz w:val="11"/>
                <w:szCs w:val="11"/>
                <w:color w:val="auto"/>
              </w:rPr>
              <w:t>5,584</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2,671</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 other income (expense), net</w:t>
            </w:r>
          </w:p>
        </w:tc>
        <w:tc>
          <w:tcPr>
            <w:tcW w:w="7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(713)</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2,110</w:t>
            </w:r>
          </w:p>
        </w:tc>
        <w:tc>
          <w:tcPr>
            <w:tcW w:w="8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4,169</w:t>
            </w: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1,892</w:t>
            </w:r>
          </w:p>
        </w:tc>
      </w:tr>
      <w:tr>
        <w:trPr>
          <w:trHeight w:val="138"/>
        </w:trPr>
        <w:tc>
          <w:tcPr>
            <w:tcW w:w="6080" w:type="dxa"/>
            <w:vAlign w:val="bottom"/>
          </w:tcPr>
          <w:p>
            <w:pPr>
              <w:spacing w:after="0"/>
              <w:rPr>
                <w:sz w:val="20"/>
                <w:szCs w:val="20"/>
                <w:color w:val="auto"/>
              </w:rPr>
            </w:pPr>
            <w:r>
              <w:rPr>
                <w:rFonts w:ascii="Arial" w:cs="Arial" w:eastAsia="Arial" w:hAnsi="Arial"/>
                <w:sz w:val="11"/>
                <w:szCs w:val="11"/>
                <w:color w:val="auto"/>
              </w:rPr>
              <w:t>Loss before income taxes</w:t>
            </w:r>
          </w:p>
        </w:tc>
        <w:tc>
          <w:tcPr>
            <w:tcW w:w="780" w:type="dxa"/>
            <w:vAlign w:val="bottom"/>
            <w:tcBorders>
              <w:top w:val="single" w:sz="8" w:color="auto"/>
            </w:tcBorders>
          </w:tcPr>
          <w:p>
            <w:pPr>
              <w:jc w:val="right"/>
              <w:ind w:right="67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(45,362)</w:t>
            </w: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(32,052)</w:t>
            </w: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(236,355)</w:t>
            </w:r>
          </w:p>
        </w:tc>
        <w:tc>
          <w:tcPr>
            <w:tcW w:w="60" w:type="dxa"/>
            <w:vAlign w:val="bottom"/>
          </w:tcPr>
          <w:p>
            <w:pPr>
              <w:spacing w:after="0"/>
              <w:rPr>
                <w:sz w:val="12"/>
                <w:szCs w:val="12"/>
                <w:color w:val="auto"/>
              </w:rPr>
            </w:pPr>
          </w:p>
        </w:tc>
        <w:tc>
          <w:tcPr>
            <w:tcW w:w="520" w:type="dxa"/>
            <w:vAlign w:val="bottom"/>
            <w:tcBorders>
              <w:top w:val="single" w:sz="8" w:color="auto"/>
            </w:tcBorders>
          </w:tcPr>
          <w:p>
            <w:pPr>
              <w:jc w:val="right"/>
              <w:ind w:right="38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(59,042)</w:t>
            </w:r>
          </w:p>
        </w:tc>
      </w:tr>
      <w:tr>
        <w:trPr>
          <w:trHeight w:val="22"/>
        </w:trPr>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1"/>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Income tax provision</w:t>
            </w:r>
          </w:p>
        </w:tc>
        <w:tc>
          <w:tcPr>
            <w:tcW w:w="7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38"/>
        </w:trPr>
        <w:tc>
          <w:tcPr>
            <w:tcW w:w="6080" w:type="dxa"/>
            <w:vAlign w:val="bottom"/>
          </w:tcPr>
          <w:p>
            <w:pPr>
              <w:spacing w:after="0"/>
              <w:rPr>
                <w:sz w:val="20"/>
                <w:szCs w:val="20"/>
                <w:color w:val="auto"/>
              </w:rPr>
            </w:pPr>
            <w:r>
              <w:rPr>
                <w:rFonts w:ascii="Arial" w:cs="Arial" w:eastAsia="Arial" w:hAnsi="Arial"/>
                <w:sz w:val="11"/>
                <w:szCs w:val="11"/>
                <w:color w:val="auto"/>
              </w:rPr>
              <w:t>Net loss and comprehensive loss</w:t>
            </w:r>
          </w:p>
        </w:tc>
        <w:tc>
          <w:tcPr>
            <w:tcW w:w="780" w:type="dxa"/>
            <w:vAlign w:val="bottom"/>
            <w:tcBorders>
              <w:top w:val="single" w:sz="8" w:color="auto"/>
            </w:tcBorders>
          </w:tcPr>
          <w:p>
            <w:pPr>
              <w:jc w:val="right"/>
              <w:ind w:right="672"/>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(45,362)</w:t>
            </w:r>
          </w:p>
        </w:tc>
        <w:tc>
          <w:tcPr>
            <w:tcW w:w="80" w:type="dxa"/>
            <w:vAlign w:val="bottom"/>
          </w:tcPr>
          <w:p>
            <w:pPr>
              <w:spacing w:after="0"/>
              <w:rPr>
                <w:sz w:val="12"/>
                <w:szCs w:val="12"/>
                <w:color w:val="auto"/>
              </w:rPr>
            </w:pPr>
          </w:p>
        </w:tc>
        <w:tc>
          <w:tcPr>
            <w:tcW w:w="800" w:type="dxa"/>
            <w:vAlign w:val="bottom"/>
            <w:tcBorders>
              <w:top w:val="single" w:sz="8" w:color="auto"/>
            </w:tcBorders>
          </w:tcPr>
          <w:p>
            <w:pPr>
              <w:jc w:val="right"/>
              <w:ind w:right="692"/>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(32,052)</w:t>
            </w:r>
          </w:p>
        </w:tc>
        <w:tc>
          <w:tcPr>
            <w:tcW w:w="80" w:type="dxa"/>
            <w:vAlign w:val="bottom"/>
          </w:tcPr>
          <w:p>
            <w:pPr>
              <w:spacing w:after="0"/>
              <w:rPr>
                <w:sz w:val="12"/>
                <w:szCs w:val="12"/>
                <w:color w:val="auto"/>
              </w:rPr>
            </w:pPr>
          </w:p>
        </w:tc>
        <w:tc>
          <w:tcPr>
            <w:tcW w:w="300" w:type="dxa"/>
            <w:vAlign w:val="bottom"/>
            <w:tcBorders>
              <w:top w:val="single" w:sz="8" w:color="auto"/>
            </w:tcBorders>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(236,355)</w:t>
            </w:r>
          </w:p>
        </w:tc>
        <w:tc>
          <w:tcPr>
            <w:tcW w:w="60" w:type="dxa"/>
            <w:vAlign w:val="bottom"/>
          </w:tcPr>
          <w:p>
            <w:pPr>
              <w:spacing w:after="0"/>
              <w:rPr>
                <w:sz w:val="12"/>
                <w:szCs w:val="12"/>
                <w:color w:val="auto"/>
              </w:rPr>
            </w:pPr>
          </w:p>
        </w:tc>
        <w:tc>
          <w:tcPr>
            <w:tcW w:w="520" w:type="dxa"/>
            <w:vAlign w:val="bottom"/>
            <w:tcBorders>
              <w:top w:val="single" w:sz="8" w:color="auto"/>
            </w:tcBorders>
          </w:tcPr>
          <w:p>
            <w:pPr>
              <w:jc w:val="right"/>
              <w:ind w:right="386"/>
              <w:spacing w:after="0"/>
              <w:rPr>
                <w:sz w:val="20"/>
                <w:szCs w:val="20"/>
                <w:color w:val="auto"/>
              </w:rPr>
            </w:pPr>
            <w:r>
              <w:rPr>
                <w:rFonts w:ascii="Arial" w:cs="Arial" w:eastAsia="Arial" w:hAnsi="Arial"/>
                <w:sz w:val="11"/>
                <w:szCs w:val="11"/>
                <w:color w:val="auto"/>
                <w:w w:val="97"/>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(59,042)</w:t>
            </w:r>
          </w:p>
        </w:tc>
      </w:tr>
      <w:tr>
        <w:trPr>
          <w:trHeight w:val="22"/>
        </w:trPr>
        <w:tc>
          <w:tcPr>
            <w:tcW w:w="60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40"/>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Weighted average shares outstanding of Class A common stock</w:t>
            </w:r>
          </w:p>
        </w:tc>
        <w:tc>
          <w:tcPr>
            <w:tcW w:w="7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8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w:t>
            </w:r>
          </w:p>
        </w:tc>
        <w:tc>
          <w:tcPr>
            <w:tcW w:w="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9"/>
        </w:trPr>
        <w:tc>
          <w:tcPr>
            <w:tcW w:w="6080" w:type="dxa"/>
            <w:vAlign w:val="bottom"/>
          </w:tcPr>
          <w:p>
            <w:pPr>
              <w:spacing w:after="0"/>
              <w:rPr>
                <w:sz w:val="20"/>
                <w:szCs w:val="20"/>
                <w:color w:val="auto"/>
              </w:rPr>
            </w:pPr>
            <w:r>
              <w:rPr>
                <w:rFonts w:ascii="Arial" w:cs="Arial" w:eastAsia="Arial" w:hAnsi="Arial"/>
                <w:sz w:val="11"/>
                <w:szCs w:val="11"/>
                <w:color w:val="auto"/>
              </w:rPr>
              <w:t>Basic and diluted net loss per share, Class A common stock</w:t>
            </w: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2"/>
                <w:szCs w:val="12"/>
                <w:color w:val="auto"/>
              </w:rPr>
            </w:pP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(32,052)</w:t>
            </w:r>
          </w:p>
        </w:tc>
        <w:tc>
          <w:tcPr>
            <w:tcW w:w="80" w:type="dxa"/>
            <w:vAlign w:val="bottom"/>
          </w:tcPr>
          <w:p>
            <w:pPr>
              <w:spacing w:after="0"/>
              <w:rPr>
                <w:sz w:val="12"/>
                <w:szCs w:val="12"/>
                <w:color w:val="auto"/>
              </w:rPr>
            </w:pP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(317)</w:t>
            </w:r>
          </w:p>
        </w:tc>
        <w:tc>
          <w:tcPr>
            <w:tcW w:w="60" w:type="dxa"/>
            <w:vAlign w:val="bottom"/>
          </w:tcPr>
          <w:p>
            <w:pPr>
              <w:spacing w:after="0"/>
              <w:rPr>
                <w:sz w:val="12"/>
                <w:szCs w:val="12"/>
                <w:color w:val="auto"/>
              </w:rPr>
            </w:pP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(59,042)</w:t>
            </w:r>
          </w:p>
        </w:tc>
      </w:tr>
      <w:tr>
        <w:trPr>
          <w:trHeight w:val="22"/>
        </w:trPr>
        <w:tc>
          <w:tcPr>
            <w:tcW w:w="6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51"/>
        </w:trPr>
        <w:tc>
          <w:tcPr>
            <w:tcW w:w="6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Weighted average shares outstanding of Class B common stock</w:t>
            </w:r>
          </w:p>
        </w:tc>
        <w:tc>
          <w:tcPr>
            <w:tcW w:w="780" w:type="dxa"/>
            <w:vAlign w:val="bottom"/>
            <w:tcBorders>
              <w:bottom w:val="single" w:sz="8" w:color="CCEEFF"/>
            </w:tcBorders>
            <w:shd w:val="clear" w:color="auto" w:fill="CCEEFF"/>
          </w:tcPr>
          <w:p>
            <w:pPr>
              <w:spacing w:after="0"/>
              <w:rPr>
                <w:sz w:val="13"/>
                <w:szCs w:val="1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888,087</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667,203</w:t>
            </w:r>
          </w:p>
        </w:tc>
        <w:tc>
          <w:tcPr>
            <w:tcW w:w="6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6080" w:type="dxa"/>
            <w:vAlign w:val="bottom"/>
          </w:tcPr>
          <w:p>
            <w:pPr>
              <w:spacing w:after="0"/>
              <w:rPr>
                <w:sz w:val="20"/>
                <w:szCs w:val="20"/>
                <w:color w:val="auto"/>
              </w:rPr>
            </w:pPr>
            <w:r>
              <w:rPr>
                <w:rFonts w:ascii="Arial" w:cs="Arial" w:eastAsia="Arial" w:hAnsi="Arial"/>
                <w:sz w:val="11"/>
                <w:szCs w:val="11"/>
                <w:color w:val="auto"/>
              </w:rPr>
              <w:t>Basic and diluted net loss per share, Class B common stock</w:t>
            </w:r>
          </w:p>
        </w:tc>
        <w:tc>
          <w:tcPr>
            <w:tcW w:w="780" w:type="dxa"/>
            <w:vAlign w:val="bottom"/>
          </w:tcPr>
          <w:p>
            <w:pPr>
              <w:jc w:val="right"/>
              <w:ind w:right="672"/>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692"/>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tcPr>
          <w:p>
            <w:pPr>
              <w:jc w:val="right"/>
              <w:ind w:right="386"/>
              <w:spacing w:after="0"/>
              <w:rPr>
                <w:sz w:val="20"/>
                <w:szCs w:val="20"/>
                <w:color w:val="auto"/>
              </w:rPr>
            </w:pPr>
            <w:r>
              <w:rPr>
                <w:rFonts w:ascii="Arial" w:cs="Arial" w:eastAsia="Arial" w:hAnsi="Arial"/>
                <w:sz w:val="11"/>
                <w:szCs w:val="11"/>
                <w:color w:val="auto"/>
                <w:w w:val="97"/>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r>
    </w:tbl>
    <w:p>
      <w:pPr>
        <w:sectPr>
          <w:pgSz w:w="11900" w:h="16838" w:orient="portrait"/>
          <w:cols w:equalWidth="0" w:num="1">
            <w:col w:w="11300"/>
          </w:cols>
          <w:pgMar w:left="300" w:top="559" w:right="29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2"/>
          <w:szCs w:val="12"/>
          <w:b w:val="1"/>
          <w:bCs w:val="1"/>
          <w:color w:val="auto"/>
        </w:rPr>
        <w:t>Mount Sinai Genomics, Inc.</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Condensed Statements of Cash Flows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 thousands)</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85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87"/>
              </w:rPr>
              <w:t>Six months ended June 30</w:t>
            </w:r>
          </w:p>
        </w:tc>
        <w:tc>
          <w:tcPr>
            <w:tcW w:w="820" w:type="dxa"/>
            <w:vAlign w:val="bottom"/>
            <w:tcBorders>
              <w:bottom w:val="single" w:sz="8" w:color="auto"/>
            </w:tcBorders>
          </w:tcPr>
          <w:p>
            <w:pPr>
              <w:spacing w:after="0"/>
              <w:rPr>
                <w:sz w:val="11"/>
                <w:szCs w:val="11"/>
                <w:color w:val="auto"/>
              </w:rPr>
            </w:pPr>
          </w:p>
        </w:tc>
      </w:tr>
      <w:tr>
        <w:trPr>
          <w:trHeight w:val="142"/>
        </w:trPr>
        <w:tc>
          <w:tcPr>
            <w:tcW w:w="850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2021</w:t>
            </w: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26"/>
              <w:spacing w:after="0"/>
              <w:rPr>
                <w:sz w:val="20"/>
                <w:szCs w:val="20"/>
                <w:color w:val="auto"/>
              </w:rPr>
            </w:pPr>
            <w:r>
              <w:rPr>
                <w:rFonts w:ascii="Arial" w:cs="Arial" w:eastAsia="Arial" w:hAnsi="Arial"/>
                <w:sz w:val="10"/>
                <w:szCs w:val="10"/>
                <w:b w:val="1"/>
                <w:bCs w:val="1"/>
                <w:color w:val="auto"/>
                <w:w w:val="98"/>
              </w:rPr>
              <w:t>2020</w:t>
            </w:r>
          </w:p>
        </w:tc>
      </w:tr>
      <w:tr>
        <w:trPr>
          <w:trHeight w:val="140"/>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Operating activities</w:t>
            </w:r>
          </w:p>
        </w:tc>
        <w:tc>
          <w:tcPr>
            <w:tcW w:w="8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Net loss</w:t>
            </w:r>
          </w:p>
        </w:tc>
        <w:tc>
          <w:tcPr>
            <w:tcW w:w="820" w:type="dxa"/>
            <w:vAlign w:val="bottom"/>
          </w:tcPr>
          <w:p>
            <w:pPr>
              <w:jc w:val="right"/>
              <w:ind w:right="68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(236,355)</w:t>
            </w:r>
          </w:p>
        </w:tc>
        <w:tc>
          <w:tcPr>
            <w:tcW w:w="80" w:type="dxa"/>
            <w:vAlign w:val="bottom"/>
          </w:tcPr>
          <w:p>
            <w:pPr>
              <w:spacing w:after="0"/>
              <w:rPr>
                <w:sz w:val="12"/>
                <w:szCs w:val="12"/>
                <w:color w:val="auto"/>
              </w:rPr>
            </w:pP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(59,042)</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4"/>
        </w:trPr>
        <w:tc>
          <w:tcPr>
            <w:tcW w:w="85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Adjustments to reconcile net loss to net cash used in operating activities:</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Depreciation and amortization expense</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10,521</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5,080</w:t>
            </w:r>
          </w:p>
        </w:tc>
      </w:tr>
      <w:tr>
        <w:trPr>
          <w:trHeight w:val="149"/>
        </w:trPr>
        <w:tc>
          <w:tcPr>
            <w:tcW w:w="8500" w:type="dxa"/>
            <w:vAlign w:val="bottom"/>
          </w:tcPr>
          <w:p>
            <w:pPr>
              <w:ind w:left="60"/>
              <w:spacing w:after="0"/>
              <w:rPr>
                <w:sz w:val="20"/>
                <w:szCs w:val="20"/>
                <w:color w:val="auto"/>
              </w:rPr>
            </w:pPr>
            <w:r>
              <w:rPr>
                <w:rFonts w:ascii="Arial" w:cs="Arial" w:eastAsia="Arial" w:hAnsi="Arial"/>
                <w:sz w:val="11"/>
                <w:szCs w:val="11"/>
                <w:color w:val="auto"/>
              </w:rPr>
              <w:t>Stock-based compensation expense</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164,443</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620</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Provision for excess and obsolete inventory</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2,466</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500" w:type="dxa"/>
            <w:vAlign w:val="bottom"/>
          </w:tcPr>
          <w:p>
            <w:pPr>
              <w:ind w:left="60"/>
              <w:spacing w:after="0"/>
              <w:rPr>
                <w:sz w:val="20"/>
                <w:szCs w:val="20"/>
                <w:color w:val="auto"/>
              </w:rPr>
            </w:pPr>
            <w:r>
              <w:rPr>
                <w:rFonts w:ascii="Arial" w:cs="Arial" w:eastAsia="Arial" w:hAnsi="Arial"/>
                <w:sz w:val="11"/>
                <w:szCs w:val="11"/>
                <w:color w:val="auto"/>
              </w:rPr>
              <w:t>Non-cash lease expense</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383</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5,165</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1"/>
                <w:szCs w:val="11"/>
                <w:color w:val="auto"/>
              </w:rPr>
              <w:t>Change in operating assets and liabilities:</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49"/>
        </w:trPr>
        <w:tc>
          <w:tcPr>
            <w:tcW w:w="8500" w:type="dxa"/>
            <w:vAlign w:val="bottom"/>
          </w:tcPr>
          <w:p>
            <w:pPr>
              <w:ind w:left="140"/>
              <w:spacing w:after="0"/>
              <w:rPr>
                <w:sz w:val="20"/>
                <w:szCs w:val="20"/>
                <w:color w:val="auto"/>
              </w:rPr>
            </w:pPr>
            <w:r>
              <w:rPr>
                <w:rFonts w:ascii="Arial" w:cs="Arial" w:eastAsia="Arial" w:hAnsi="Arial"/>
                <w:sz w:val="11"/>
                <w:szCs w:val="11"/>
                <w:color w:val="auto"/>
              </w:rPr>
              <w:t>Accounts receivable</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7,476</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(277)</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Inventory</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(6,632)</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1,305</w:t>
            </w:r>
          </w:p>
        </w:tc>
      </w:tr>
      <w:tr>
        <w:trPr>
          <w:trHeight w:val="149"/>
        </w:trPr>
        <w:tc>
          <w:tcPr>
            <w:tcW w:w="8500" w:type="dxa"/>
            <w:vAlign w:val="bottom"/>
          </w:tcPr>
          <w:p>
            <w:pPr>
              <w:ind w:left="140"/>
              <w:spacing w:after="0"/>
              <w:rPr>
                <w:sz w:val="20"/>
                <w:szCs w:val="20"/>
                <w:color w:val="auto"/>
              </w:rPr>
            </w:pPr>
            <w:r>
              <w:rPr>
                <w:rFonts w:ascii="Arial" w:cs="Arial" w:eastAsia="Arial" w:hAnsi="Arial"/>
                <w:sz w:val="11"/>
                <w:szCs w:val="11"/>
                <w:color w:val="auto"/>
              </w:rPr>
              <w:t>Prepaid expenses and other current assets</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(9,697)</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2,574</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Due to/from related parties</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(350)</w:t>
            </w:r>
          </w:p>
        </w:tc>
      </w:tr>
      <w:tr>
        <w:trPr>
          <w:trHeight w:val="149"/>
        </w:trPr>
        <w:tc>
          <w:tcPr>
            <w:tcW w:w="8500" w:type="dxa"/>
            <w:vAlign w:val="bottom"/>
          </w:tcPr>
          <w:p>
            <w:pPr>
              <w:ind w:left="140"/>
              <w:spacing w:after="0"/>
              <w:rPr>
                <w:sz w:val="20"/>
                <w:szCs w:val="20"/>
                <w:color w:val="auto"/>
              </w:rPr>
            </w:pPr>
            <w:r>
              <w:rPr>
                <w:rFonts w:ascii="Arial" w:cs="Arial" w:eastAsia="Arial" w:hAnsi="Arial"/>
                <w:sz w:val="11"/>
                <w:szCs w:val="11"/>
                <w:color w:val="auto"/>
              </w:rPr>
              <w:t>Other assets</w:t>
            </w:r>
          </w:p>
        </w:tc>
        <w:tc>
          <w:tcPr>
            <w:tcW w:w="8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1,174</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Accounts payable and accrued expenses</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8,447</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269</w:t>
            </w:r>
          </w:p>
        </w:tc>
      </w:tr>
      <w:tr>
        <w:trPr>
          <w:trHeight w:val="149"/>
        </w:trPr>
        <w:tc>
          <w:tcPr>
            <w:tcW w:w="8500" w:type="dxa"/>
            <w:vAlign w:val="bottom"/>
          </w:tcPr>
          <w:p>
            <w:pPr>
              <w:ind w:left="140"/>
              <w:spacing w:after="0"/>
              <w:rPr>
                <w:sz w:val="20"/>
                <w:szCs w:val="20"/>
                <w:color w:val="auto"/>
              </w:rPr>
            </w:pPr>
            <w:r>
              <w:rPr>
                <w:rFonts w:ascii="Arial" w:cs="Arial" w:eastAsia="Arial" w:hAnsi="Arial"/>
                <w:sz w:val="11"/>
                <w:szCs w:val="11"/>
                <w:color w:val="auto"/>
              </w:rPr>
              <w:t>Contract liabilities</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(442)</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216</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1"/>
        </w:trPr>
        <w:tc>
          <w:tcPr>
            <w:tcW w:w="8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1"/>
                <w:szCs w:val="11"/>
                <w:color w:val="auto"/>
              </w:rPr>
              <w:t>Other current liabilities</w:t>
            </w:r>
          </w:p>
        </w:tc>
        <w:tc>
          <w:tcPr>
            <w:tcW w:w="8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(7,824)</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(2,915)</w:t>
            </w:r>
          </w:p>
        </w:tc>
      </w:tr>
      <w:tr>
        <w:trPr>
          <w:trHeight w:val="138"/>
        </w:trPr>
        <w:tc>
          <w:tcPr>
            <w:tcW w:w="8500" w:type="dxa"/>
            <w:vAlign w:val="bottom"/>
          </w:tcPr>
          <w:p>
            <w:pPr>
              <w:spacing w:after="0"/>
              <w:rPr>
                <w:sz w:val="20"/>
                <w:szCs w:val="20"/>
                <w:color w:val="auto"/>
              </w:rPr>
            </w:pPr>
            <w:r>
              <w:rPr>
                <w:rFonts w:ascii="Arial" w:cs="Arial" w:eastAsia="Arial" w:hAnsi="Arial"/>
                <w:sz w:val="11"/>
                <w:szCs w:val="11"/>
                <w:color w:val="auto"/>
              </w:rPr>
              <w:t>Net cash used in operating activities</w:t>
            </w:r>
          </w:p>
        </w:tc>
        <w:tc>
          <w:tcPr>
            <w:tcW w:w="8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(67,509)</w:t>
            </w:r>
          </w:p>
        </w:tc>
        <w:tc>
          <w:tcPr>
            <w:tcW w:w="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(46,181)</w:t>
            </w:r>
          </w:p>
        </w:tc>
      </w:tr>
      <w:tr>
        <w:trPr>
          <w:trHeight w:val="22"/>
        </w:trPr>
        <w:tc>
          <w:tcPr>
            <w:tcW w:w="8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4"/>
        </w:trPr>
        <w:tc>
          <w:tcPr>
            <w:tcW w:w="85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b w:val="1"/>
                <w:bCs w:val="1"/>
                <w:color w:val="auto"/>
              </w:rPr>
              <w:t>Investing activities</w:t>
            </w: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Purchases of property and equipment</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(3,320)</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(13,553)</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Development of internal-use software assets</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(6,155)</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(1,933)</w:t>
            </w:r>
          </w:p>
        </w:tc>
      </w:tr>
      <w:tr>
        <w:trPr>
          <w:trHeight w:val="22"/>
        </w:trPr>
        <w:tc>
          <w:tcPr>
            <w:tcW w:w="8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0"/>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cash used in investing activities</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(9,475)</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(15,486)</w:t>
            </w:r>
          </w:p>
        </w:tc>
      </w:tr>
      <w:tr>
        <w:trPr>
          <w:trHeight w:val="124"/>
        </w:trPr>
        <w:tc>
          <w:tcPr>
            <w:tcW w:w="85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Financing activities</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Proceeds from long-term debt</w:t>
            </w:r>
          </w:p>
        </w:tc>
        <w:tc>
          <w:tcPr>
            <w:tcW w:w="820" w:type="dxa"/>
            <w:vAlign w:val="bottom"/>
          </w:tcPr>
          <w:p>
            <w:pPr>
              <w:spacing w:after="0"/>
              <w:rPr>
                <w:sz w:val="12"/>
                <w:szCs w:val="1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6,000</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Exercise of stock options</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974</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Long-term debt principal payments</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(848)</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(2,316)</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Capital lease principal payments</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(1,994)</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Payment of deferred transaction costs</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(2,779)</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2"/>
        </w:trPr>
        <w:tc>
          <w:tcPr>
            <w:tcW w:w="8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0"/>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cash (used in) provided by financing activities</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(4,647)</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3,684</w:t>
            </w:r>
          </w:p>
        </w:tc>
      </w:tr>
      <w:tr>
        <w:trPr>
          <w:trHeight w:val="124"/>
        </w:trPr>
        <w:tc>
          <w:tcPr>
            <w:tcW w:w="85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Net decrease in cash, cash equivalents and restricted cash</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(81,631)</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(57,983)</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Cash, cash equivalents and restricted cash, at beginning of period</w:t>
            </w:r>
          </w:p>
        </w:tc>
        <w:tc>
          <w:tcPr>
            <w:tcW w:w="8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118,960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115,006</w:t>
            </w:r>
          </w:p>
        </w:tc>
      </w:tr>
      <w:tr>
        <w:trPr>
          <w:trHeight w:val="22"/>
        </w:trPr>
        <w:tc>
          <w:tcPr>
            <w:tcW w:w="85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0"/>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Cash, cash equivalents and restricted cash, at end of period</w:t>
            </w:r>
          </w:p>
        </w:tc>
        <w:tc>
          <w:tcPr>
            <w:tcW w:w="820" w:type="dxa"/>
            <w:vAlign w:val="bottom"/>
            <w:tcBorders>
              <w:bottom w:val="single" w:sz="8" w:color="CCEEFF"/>
            </w:tcBorders>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37,329</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57,023</w:t>
            </w:r>
          </w:p>
        </w:tc>
      </w:tr>
      <w:tr>
        <w:trPr>
          <w:trHeight w:val="124"/>
        </w:trPr>
        <w:tc>
          <w:tcPr>
            <w:tcW w:w="850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Supplemental disclosures of cash flow information</w:t>
            </w:r>
          </w:p>
        </w:tc>
        <w:tc>
          <w:tcPr>
            <w:tcW w:w="8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spacing w:after="0"/>
              <w:rPr>
                <w:sz w:val="13"/>
                <w:szCs w:val="13"/>
                <w:color w:val="auto"/>
              </w:rPr>
            </w:pP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Cash paid for interest</w:t>
            </w:r>
          </w:p>
        </w:tc>
        <w:tc>
          <w:tcPr>
            <w:tcW w:w="820" w:type="dxa"/>
            <w:vAlign w:val="bottom"/>
          </w:tcPr>
          <w:p>
            <w:pPr>
              <w:jc w:val="right"/>
              <w:ind w:right="68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1,445</w:t>
            </w:r>
          </w:p>
        </w:tc>
        <w:tc>
          <w:tcPr>
            <w:tcW w:w="80" w:type="dxa"/>
            <w:vAlign w:val="bottom"/>
          </w:tcPr>
          <w:p>
            <w:pPr>
              <w:spacing w:after="0"/>
              <w:rPr>
                <w:sz w:val="12"/>
                <w:szCs w:val="12"/>
                <w:color w:val="auto"/>
              </w:rPr>
            </w:pP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1,238</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Purchases of property and equipment in accounts payable and accrued expenses</w:t>
            </w:r>
          </w:p>
        </w:tc>
        <w:tc>
          <w:tcPr>
            <w:tcW w:w="820" w:type="dxa"/>
            <w:vAlign w:val="bottom"/>
            <w:tcBorders>
              <w:bottom w:val="single" w:sz="8" w:color="CCEEFF"/>
            </w:tcBorders>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87</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301</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Software development costs in accounts payable and accrued expenses</w:t>
            </w:r>
          </w:p>
        </w:tc>
        <w:tc>
          <w:tcPr>
            <w:tcW w:w="820" w:type="dxa"/>
            <w:vAlign w:val="bottom"/>
          </w:tcPr>
          <w:p>
            <w:pPr>
              <w:jc w:val="right"/>
              <w:ind w:right="68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1,225</w:t>
            </w:r>
          </w:p>
        </w:tc>
        <w:tc>
          <w:tcPr>
            <w:tcW w:w="80" w:type="dxa"/>
            <w:vAlign w:val="bottom"/>
          </w:tcPr>
          <w:p>
            <w:pPr>
              <w:spacing w:after="0"/>
              <w:rPr>
                <w:sz w:val="12"/>
                <w:szCs w:val="12"/>
                <w:color w:val="auto"/>
              </w:rPr>
            </w:pP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1,972</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1"/>
        </w:trPr>
        <w:tc>
          <w:tcPr>
            <w:tcW w:w="8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Assets acquired under capital leases obligations</w:t>
            </w:r>
          </w:p>
        </w:tc>
        <w:tc>
          <w:tcPr>
            <w:tcW w:w="820" w:type="dxa"/>
            <w:vAlign w:val="bottom"/>
            <w:tcBorders>
              <w:bottom w:val="single" w:sz="8" w:color="CCEEFF"/>
            </w:tcBorders>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641</w:t>
            </w:r>
          </w:p>
        </w:tc>
        <w:tc>
          <w:tcPr>
            <w:tcW w:w="8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5,128</w:t>
            </w:r>
          </w:p>
        </w:tc>
      </w:tr>
      <w:tr>
        <w:trPr>
          <w:trHeight w:val="149"/>
        </w:trPr>
        <w:tc>
          <w:tcPr>
            <w:tcW w:w="8500" w:type="dxa"/>
            <w:vAlign w:val="bottom"/>
          </w:tcPr>
          <w:p>
            <w:pPr>
              <w:spacing w:after="0"/>
              <w:rPr>
                <w:sz w:val="20"/>
                <w:szCs w:val="20"/>
                <w:color w:val="auto"/>
              </w:rPr>
            </w:pPr>
            <w:r>
              <w:rPr>
                <w:rFonts w:ascii="Arial" w:cs="Arial" w:eastAsia="Arial" w:hAnsi="Arial"/>
                <w:sz w:val="11"/>
                <w:szCs w:val="11"/>
                <w:color w:val="auto"/>
              </w:rPr>
              <w:t>Non-cash impact of shares reclass into APIC</w:t>
            </w:r>
          </w:p>
        </w:tc>
        <w:tc>
          <w:tcPr>
            <w:tcW w:w="820" w:type="dxa"/>
            <w:vAlign w:val="bottom"/>
          </w:tcPr>
          <w:p>
            <w:pPr>
              <w:jc w:val="right"/>
              <w:ind w:right="687"/>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1,483</w:t>
            </w:r>
          </w:p>
        </w:tc>
        <w:tc>
          <w:tcPr>
            <w:tcW w:w="80" w:type="dxa"/>
            <w:vAlign w:val="bottom"/>
          </w:tcPr>
          <w:p>
            <w:pPr>
              <w:spacing w:after="0"/>
              <w:rPr>
                <w:sz w:val="12"/>
                <w:szCs w:val="12"/>
                <w:color w:val="auto"/>
              </w:rPr>
            </w:pPr>
          </w:p>
        </w:tc>
        <w:tc>
          <w:tcPr>
            <w:tcW w:w="540" w:type="dxa"/>
            <w:vAlign w:val="bottom"/>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2"/>
        </w:trPr>
        <w:tc>
          <w:tcPr>
            <w:tcW w:w="8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49"/>
        </w:trPr>
        <w:tc>
          <w:tcPr>
            <w:tcW w:w="8500" w:type="dxa"/>
            <w:vAlign w:val="bottom"/>
            <w:shd w:val="clear" w:color="auto" w:fill="CCEEFF"/>
          </w:tcPr>
          <w:p>
            <w:pPr>
              <w:spacing w:after="0"/>
              <w:rPr>
                <w:sz w:val="20"/>
                <w:szCs w:val="20"/>
                <w:color w:val="auto"/>
              </w:rPr>
            </w:pPr>
            <w:r>
              <w:rPr>
                <w:rFonts w:ascii="Arial" w:cs="Arial" w:eastAsia="Arial" w:hAnsi="Arial"/>
                <w:sz w:val="11"/>
                <w:szCs w:val="11"/>
                <w:color w:val="auto"/>
              </w:rPr>
              <w:t>Unpaid deferred transaction costs included in accounts payable and accrued expenses</w:t>
            </w:r>
          </w:p>
        </w:tc>
        <w:tc>
          <w:tcPr>
            <w:tcW w:w="820" w:type="dxa"/>
            <w:vAlign w:val="bottom"/>
            <w:shd w:val="clear" w:color="auto" w:fill="CCEEFF"/>
          </w:tcPr>
          <w:p>
            <w:pPr>
              <w:jc w:val="right"/>
              <w:ind w:right="687"/>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5,799</w:t>
            </w: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43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2"/>
        </w:trPr>
        <w:tc>
          <w:tcPr>
            <w:tcW w:w="850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r>
    </w:tbl>
    <w:p>
      <w:pPr>
        <w:sectPr>
          <w:pgSz w:w="11900" w:h="16838" w:orient="portrait"/>
          <w:cols w:equalWidth="0" w:num="1">
            <w:col w:w="11300"/>
          </w:cols>
          <w:pgMar w:left="300" w:top="559" w:right="29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88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38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2021-08-16T15:55:14Z</dcterms:created>
  <dcterms:modified xsi:type="dcterms:W3CDTF">2021-08-16T15:55:14Z</dcterms:modified>
</cp:coreProperties>
</file>