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18978W109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4"/>
          <w:szCs w:val="24"/>
          <w:color w:val="auto"/>
        </w:rPr>
      </w:pPr>
      <w:r>
        <w:rPr>
          <w:rFonts w:ascii="Times New Roman" w:cs="Times New Roman" w:eastAsia="Times New Roman" w:hAnsi="Times New Roman"/>
          <w:sz w:val="18"/>
          <w:szCs w:val="18"/>
          <w:color w:val="auto"/>
        </w:rPr>
        <w:t>Rule 13d-1(b)</w:t>
      </w:r>
    </w:p>
    <w:p>
      <w:pPr>
        <w:spacing w:after="0" w:line="198" w:lineRule="exact"/>
        <w:rPr>
          <w:sz w:val="24"/>
          <w:szCs w:val="24"/>
          <w:color w:val="auto"/>
        </w:rPr>
      </w:pPr>
    </w:p>
    <w:p>
      <w:pPr>
        <w:ind w:left="440" w:hanging="213"/>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5" w:lineRule="exact"/>
        <w:rPr>
          <w:sz w:val="24"/>
          <w:szCs w:val="24"/>
          <w:color w:val="auto"/>
        </w:rPr>
      </w:pPr>
    </w:p>
    <w:p>
      <w:pPr>
        <w:ind w:left="220"/>
        <w:spacing w:after="0"/>
        <w:rPr>
          <w:sz w:val="24"/>
          <w:szCs w:val="24"/>
          <w:color w:val="auto"/>
        </w:rPr>
      </w:pPr>
      <w:r>
        <w:rPr>
          <w:rFonts w:ascii="Times New Roman" w:cs="Times New Roman" w:eastAsia="Times New Roman" w:hAnsi="Times New Roman"/>
          <w:sz w:val="18"/>
          <w:szCs w:val="18"/>
          <w:color w:val="auto"/>
        </w:rPr>
        <w:t>Rule 13d-1(d)</w:t>
      </w:r>
    </w:p>
    <w:p>
      <w:pPr>
        <w:spacing w:after="0" w:line="184" w:lineRule="exact"/>
        <w:rPr>
          <w:sz w:val="24"/>
          <w:szCs w:val="24"/>
          <w:color w:val="auto"/>
        </w:rPr>
      </w:pPr>
    </w:p>
    <w:p>
      <w:pPr>
        <w:spacing w:after="0" w:line="275" w:lineRule="auto"/>
        <w:rPr>
          <w:sz w:val="24"/>
          <w:szCs w:val="24"/>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3" w:lineRule="exact"/>
        <w:rPr>
          <w:sz w:val="24"/>
          <w:szCs w:val="24"/>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20"/>
          </w:cols>
          <w:pgMar w:left="320" w:top="23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125730</wp:posOffset>
            </wp:positionV>
            <wp:extent cx="7136130" cy="5027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-132080</wp:posOffset>
            </wp:positionV>
            <wp:extent cx="570230" cy="158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-129540</wp:posOffset>
            </wp:positionV>
            <wp:extent cx="578485" cy="158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485" cy="15875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6">
            <w:col w:w="800" w:space="700"/>
            <w:col w:w="2880" w:space="720"/>
            <w:col w:w="3800" w:space="520"/>
            <w:col w:w="100" w:space="500"/>
            <w:col w:w="160" w:space="520"/>
            <w:col w:w="540"/>
          </w:cols>
          <w:pgMar w:left="320" w:top="557" w:right="339" w:bottom="1440" w:gutter="0" w:footer="0" w:header="0"/>
        </w:sectPr>
      </w:pP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07" w:lineRule="exact"/>
        <w:tabs>
          <w:tab w:leader="none" w:pos="100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405"/>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NUMBER OF</w:t>
            </w:r>
          </w:p>
        </w:tc>
        <w:tc>
          <w:tcPr>
            <w:tcW w:w="76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w:t>
            </w:r>
          </w:p>
        </w:tc>
        <w:tc>
          <w:tcPr>
            <w:tcW w:w="8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85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1,824,970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76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7</w:t>
            </w: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8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REPORTING</w:t>
            </w:r>
          </w:p>
        </w:tc>
        <w:tc>
          <w:tcPr>
            <w:tcW w:w="760" w:type="dxa"/>
            <w:vAlign w:val="bottom"/>
            <w:tcBorders>
              <w:right w:val="single" w:sz="8" w:color="auto"/>
            </w:tcBorders>
            <w:vMerge w:val="continue"/>
          </w:tcPr>
          <w:p>
            <w:pPr>
              <w:spacing w:after="0"/>
              <w:rPr>
                <w:sz w:val="11"/>
                <w:szCs w:val="11"/>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196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vMerge w:val="continue"/>
          </w:tcPr>
          <w:p>
            <w:pPr>
              <w:spacing w:after="0"/>
              <w:rPr>
                <w:sz w:val="14"/>
                <w:szCs w:val="14"/>
                <w:color w:val="auto"/>
              </w:rPr>
            </w:pPr>
          </w:p>
        </w:tc>
        <w:tc>
          <w:tcPr>
            <w:tcW w:w="850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1,824,970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1,824,970</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4.1%</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5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125730</wp:posOffset>
            </wp:positionV>
            <wp:extent cx="7136130" cy="5027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-132080</wp:posOffset>
            </wp:positionV>
            <wp:extent cx="561340" cy="158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57" w:right="339" w:bottom="1440" w:gutter="0" w:footer="0" w:header="0"/>
        </w:sectPr>
      </w:pP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ICS Opportunities, Ltd.</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07" w:lineRule="exact"/>
        <w:tabs>
          <w:tab w:leader="none" w:pos="100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405"/>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642,318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642,318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642,318</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1.5%</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w:t>
      </w:r>
    </w:p>
    <w:p>
      <w:pPr>
        <w:sectPr>
          <w:pgSz w:w="11900" w:h="16838" w:orient="portrait"/>
          <w:cols w:equalWidth="0" w:num="1">
            <w:col w:w="11240"/>
          </w:cols>
          <w:pgMar w:left="320" w:top="55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125730</wp:posOffset>
            </wp:positionV>
            <wp:extent cx="7136130" cy="5027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-132080</wp:posOffset>
            </wp:positionV>
            <wp:extent cx="561340" cy="158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57" w:right="339" w:bottom="1440" w:gutter="0" w:footer="0" w:header="0"/>
        </w:sectPr>
      </w:pP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International Management LP</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07" w:lineRule="exact"/>
        <w:tabs>
          <w:tab w:leader="none" w:pos="100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405"/>
        <w:spacing w:after="0"/>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642,318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642,318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642,318</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1.5%</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PN</w:t>
      </w:r>
    </w:p>
    <w:p>
      <w:pPr>
        <w:sectPr>
          <w:pgSz w:w="11900" w:h="16838" w:orient="portrait"/>
          <w:cols w:equalWidth="0" w:num="1">
            <w:col w:w="11240"/>
          </w:cols>
          <w:pgMar w:left="320" w:top="55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125730</wp:posOffset>
            </wp:positionV>
            <wp:extent cx="7136130" cy="5027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-132080</wp:posOffset>
            </wp:positionV>
            <wp:extent cx="561340" cy="158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57" w:right="339" w:bottom="1440" w:gutter="0" w:footer="0" w:header="0"/>
        </w:sectPr>
      </w:pP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07" w:lineRule="exact"/>
        <w:tabs>
          <w:tab w:leader="none" w:pos="100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405"/>
        <w:spacing w:after="0"/>
        <w:tabs>
          <w:tab w:leader="none" w:pos="6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2,467,288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2,467,288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2,467,288</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5.6%</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5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125730</wp:posOffset>
            </wp:positionV>
            <wp:extent cx="7136130" cy="50272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-132080</wp:posOffset>
            </wp:positionV>
            <wp:extent cx="561340" cy="158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57" w:right="339" w:bottom="1440" w:gutter="0" w:footer="0" w:header="0"/>
        </w:sectPr>
      </w:pP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07" w:lineRule="exact"/>
        <w:tabs>
          <w:tab w:leader="none" w:pos="1000"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405"/>
        <w:spacing w:after="0"/>
        <w:tabs>
          <w:tab w:leader="none" w:pos="6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2,467,288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2,467,288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2,467,288</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5.6%</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5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125730</wp:posOffset>
            </wp:positionV>
            <wp:extent cx="7136130" cy="5027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-132080</wp:posOffset>
            </wp:positionV>
            <wp:extent cx="561340" cy="158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57" w:right="339" w:bottom="1440" w:gutter="0" w:footer="0" w:header="0"/>
        </w:sectPr>
      </w:pP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07" w:lineRule="exact"/>
        <w:tabs>
          <w:tab w:leader="none" w:pos="100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405"/>
        <w:spacing w:after="0"/>
        <w:tabs>
          <w:tab w:leader="none" w:pos="6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2,467,288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2,467,288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2,467,288</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5.6%</w:t>
      </w:r>
    </w:p>
    <w:p>
      <w:pPr>
        <w:spacing w:after="0" w:line="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w:t>
      </w:r>
    </w:p>
    <w:p>
      <w:pPr>
        <w:sectPr>
          <w:pgSz w:w="11900" w:h="16838" w:orient="portrait"/>
          <w:cols w:equalWidth="0" w:num="1">
            <w:col w:w="11240"/>
          </w:cols>
          <w:pgMar w:left="320" w:top="557"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18978W109</w:t>
            </w:r>
          </w:p>
        </w:tc>
        <w:tc>
          <w:tcPr>
            <w:tcW w:w="350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w w:val="95"/>
              </w:rPr>
              <w:t>SCHEDULE 13G</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w:t>
      </w:r>
    </w:p>
    <w:p>
      <w:pPr>
        <w:spacing w:after="0" w:line="21" w:lineRule="exact"/>
        <w:rPr>
          <w:sz w:val="20"/>
          <w:szCs w:val="20"/>
          <w:color w:val="auto"/>
        </w:rPr>
      </w:pPr>
    </w:p>
    <w:p>
      <w:pPr>
        <w:ind w:left="1260" w:hanging="375"/>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 of Issuer</w:t>
      </w:r>
      <w:r>
        <w:rPr>
          <w:rFonts w:ascii="Times New Roman" w:cs="Times New Roman" w:eastAsia="Times New Roman" w:hAnsi="Times New Roman"/>
          <w:sz w:val="18"/>
          <w:szCs w:val="18"/>
          <w:color w:val="auto"/>
        </w:rPr>
        <w:t>:</w:t>
      </w:r>
    </w:p>
    <w:p>
      <w:pPr>
        <w:spacing w:after="0" w:line="222"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 Life Sciences, Inc., a Delaware corporation (the "Issuer").</w:t>
      </w:r>
    </w:p>
    <w:p>
      <w:pPr>
        <w:spacing w:after="0" w:line="228"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 Corvex Management LP</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667 Madison Avenue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New York 10065</w:t>
      </w:r>
    </w:p>
    <w:p>
      <w:pPr>
        <w:spacing w:after="0" w:line="211" w:lineRule="exact"/>
        <w:rPr>
          <w:sz w:val="20"/>
          <w:szCs w:val="20"/>
          <w:color w:val="auto"/>
        </w:rPr>
      </w:pPr>
    </w:p>
    <w:p>
      <w:pPr>
        <w:spacing w:after="0"/>
        <w:tabs>
          <w:tab w:leader="none" w:pos="860" w:val="left"/>
          <w:tab w:leader="none" w:pos="124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u w:val="single" w:color="auto"/>
          <w:color w:val="auto"/>
        </w:rPr>
        <w:t>Name of Person Filing</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1260" w:hanging="375"/>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left="1260" w:right="40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Core Strategies (US) LLC c/o Millennium Management LLC 666 Fifth Avenue</w:t>
      </w:r>
    </w:p>
    <w:p>
      <w:pPr>
        <w:ind w:left="1260" w:right="460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Delaware</w:t>
      </w:r>
    </w:p>
    <w:p>
      <w:pPr>
        <w:spacing w:after="0" w:line="140"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ICS Opportunities, Ltd.</w:t>
      </w:r>
    </w:p>
    <w:p>
      <w:pPr>
        <w:spacing w:after="0" w:line="21" w:lineRule="exact"/>
        <w:rPr>
          <w:rFonts w:ascii="Times New Roman" w:cs="Times New Roman" w:eastAsia="Times New Roman" w:hAnsi="Times New Roman"/>
          <w:sz w:val="18"/>
          <w:szCs w:val="18"/>
          <w:color w:val="auto"/>
        </w:rPr>
      </w:pPr>
    </w:p>
    <w:p>
      <w:pPr>
        <w:ind w:left="1260" w:right="33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International Management LP 666 Fifth Avenue</w:t>
      </w:r>
    </w:p>
    <w:p>
      <w:pPr>
        <w:jc w:val="both"/>
        <w:ind w:left="1260" w:right="460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Cayman Islands</w:t>
      </w:r>
    </w:p>
    <w:p>
      <w:pPr>
        <w:spacing w:after="0" w:line="140" w:lineRule="exact"/>
        <w:rPr>
          <w:rFonts w:ascii="Times New Roman" w:cs="Times New Roman" w:eastAsia="Times New Roman" w:hAnsi="Times New Roman"/>
          <w:sz w:val="18"/>
          <w:szCs w:val="18"/>
          <w:color w:val="auto"/>
        </w:rPr>
      </w:pPr>
    </w:p>
    <w:p>
      <w:pPr>
        <w:ind w:left="1260" w:right="36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International Management LP 666 Fifth Avenue</w:t>
      </w:r>
    </w:p>
    <w:p>
      <w:pPr>
        <w:spacing w:after="0" w:line="1" w:lineRule="exact"/>
        <w:rPr>
          <w:rFonts w:ascii="Times New Roman" w:cs="Times New Roman" w:eastAsia="Times New Roman" w:hAnsi="Times New Roman"/>
          <w:sz w:val="18"/>
          <w:szCs w:val="18"/>
          <w:color w:val="auto"/>
        </w:rPr>
      </w:pPr>
    </w:p>
    <w:p>
      <w:pPr>
        <w:ind w:left="1260" w:right="460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Delaware</w:t>
      </w:r>
    </w:p>
    <w:p>
      <w:pPr>
        <w:spacing w:after="0" w:line="140" w:lineRule="exact"/>
        <w:rPr>
          <w:rFonts w:ascii="Times New Roman" w:cs="Times New Roman" w:eastAsia="Times New Roman" w:hAnsi="Times New Roman"/>
          <w:sz w:val="18"/>
          <w:szCs w:val="18"/>
          <w:color w:val="auto"/>
        </w:rPr>
      </w:pPr>
    </w:p>
    <w:p>
      <w:pPr>
        <w:ind w:left="1260" w:right="44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Management LLC 666 Fifth Avenue</w:t>
      </w:r>
    </w:p>
    <w:p>
      <w:pPr>
        <w:spacing w:after="0" w:line="1" w:lineRule="exact"/>
        <w:rPr>
          <w:rFonts w:ascii="Times New Roman" w:cs="Times New Roman" w:eastAsia="Times New Roman" w:hAnsi="Times New Roman"/>
          <w:sz w:val="18"/>
          <w:szCs w:val="18"/>
          <w:color w:val="auto"/>
        </w:rPr>
      </w:pPr>
    </w:p>
    <w:p>
      <w:pPr>
        <w:ind w:left="1260" w:right="460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Delaware</w:t>
      </w:r>
    </w:p>
    <w:p>
      <w:pPr>
        <w:spacing w:after="0" w:line="140" w:lineRule="exact"/>
        <w:rPr>
          <w:rFonts w:ascii="Times New Roman" w:cs="Times New Roman" w:eastAsia="Times New Roman" w:hAnsi="Times New Roman"/>
          <w:sz w:val="18"/>
          <w:szCs w:val="18"/>
          <w:color w:val="auto"/>
        </w:rPr>
      </w:pPr>
    </w:p>
    <w:p>
      <w:pPr>
        <w:ind w:left="1260" w:right="39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Group Management LLC 666 Fifth Avenue</w:t>
      </w:r>
    </w:p>
    <w:p>
      <w:pPr>
        <w:spacing w:after="0" w:line="1" w:lineRule="exact"/>
        <w:rPr>
          <w:rFonts w:ascii="Times New Roman" w:cs="Times New Roman" w:eastAsia="Times New Roman" w:hAnsi="Times New Roman"/>
          <w:sz w:val="18"/>
          <w:szCs w:val="18"/>
          <w:color w:val="auto"/>
        </w:rPr>
      </w:pPr>
    </w:p>
    <w:p>
      <w:pPr>
        <w:ind w:left="1260" w:right="460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Delaware</w:t>
      </w:r>
    </w:p>
    <w:p>
      <w:pPr>
        <w:spacing w:after="0" w:line="140"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 A. Englander</w:t>
      </w:r>
    </w:p>
    <w:p>
      <w:pPr>
        <w:spacing w:after="0" w:line="21" w:lineRule="exact"/>
        <w:rPr>
          <w:rFonts w:ascii="Times New Roman" w:cs="Times New Roman" w:eastAsia="Times New Roman" w:hAnsi="Times New Roman"/>
          <w:sz w:val="18"/>
          <w:szCs w:val="18"/>
          <w:color w:val="auto"/>
        </w:rPr>
      </w:pPr>
    </w:p>
    <w:p>
      <w:pPr>
        <w:ind w:left="1260" w:right="42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Management LLC 666 Fifth Avenue</w:t>
      </w:r>
    </w:p>
    <w:p>
      <w:pPr>
        <w:ind w:left="1260" w:right="460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United States</w:t>
      </w:r>
    </w:p>
    <w:p>
      <w:pPr>
        <w:spacing w:after="0" w:line="140"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Class A common stock, par value $0.0001 per share ("Class A Common Stock")</w:t>
      </w:r>
    </w:p>
    <w:p>
      <w:pPr>
        <w:spacing w:after="0" w:line="275" w:lineRule="exact"/>
        <w:rPr>
          <w:rFonts w:ascii="Times New Roman" w:cs="Times New Roman" w:eastAsia="Times New Roman" w:hAnsi="Times New Roman"/>
          <w:sz w:val="18"/>
          <w:szCs w:val="18"/>
          <w:color w:val="auto"/>
        </w:rPr>
      </w:pPr>
    </w:p>
    <w:p>
      <w:pPr>
        <w:ind w:left="1260" w:right="5460" w:hanging="375"/>
        <w:spacing w:after="0" w:line="621" w:lineRule="auto"/>
        <w:tabs>
          <w:tab w:leader="none" w:pos="12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 xml:space="preserve">CUSIP Number: </w:t>
      </w:r>
      <w:r>
        <w:rPr>
          <w:rFonts w:ascii="Times New Roman" w:cs="Times New Roman" w:eastAsia="Times New Roman" w:hAnsi="Times New Roman"/>
          <w:sz w:val="16"/>
          <w:szCs w:val="16"/>
          <w:color w:val="auto"/>
        </w:rPr>
        <w:t>18978W109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Page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-117475</wp:posOffset>
            </wp:positionV>
            <wp:extent cx="552450" cy="158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245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ectPr>
          <w:pgSz w:w="11900" w:h="16838" w:orient="portrait"/>
          <w:cols w:equalWidth="0" w:num="5">
            <w:col w:w="7880" w:space="720"/>
            <w:col w:w="340" w:space="520"/>
            <w:col w:w="80" w:space="500"/>
            <w:col w:w="140" w:space="520"/>
            <w:col w:w="180"/>
          </w:cols>
          <w:pgMar w:left="320" w:top="332" w:right="6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6"/>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30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18978W109</w:t>
            </w:r>
          </w:p>
        </w:tc>
        <w:tc>
          <w:tcPr>
            <w:tcW w:w="51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Page</w:t>
            </w:r>
          </w:p>
        </w:tc>
      </w:tr>
      <w:tr>
        <w:trPr>
          <w:trHeight w:val="564"/>
        </w:trPr>
        <w:tc>
          <w:tcPr>
            <w:tcW w:w="7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Item 3. If this statement is filed pursuant to Rule 13d-1(b), or 13d-2(b), check whether the person filing is a:</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10"/>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Pr>
          <w:p>
            <w:pPr>
              <w:spacing w:after="0"/>
              <w:rPr>
                <w:sz w:val="24"/>
                <w:szCs w:val="24"/>
                <w:color w:val="auto"/>
              </w:rPr>
            </w:pPr>
          </w:p>
        </w:tc>
        <w:tc>
          <w:tcPr>
            <w:tcW w:w="6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c>
          <w:tcPr>
            <w:tcW w:w="800" w:type="dxa"/>
            <w:vAlign w:val="bottom"/>
          </w:tcPr>
          <w:p>
            <w:pPr>
              <w:spacing w:after="0"/>
              <w:rPr>
                <w:sz w:val="24"/>
                <w:szCs w:val="24"/>
                <w:color w:val="auto"/>
              </w:rPr>
            </w:pPr>
          </w:p>
        </w:tc>
      </w:tr>
      <w:tr>
        <w:trPr>
          <w:trHeight w:val="432"/>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w:t>
            </w:r>
          </w:p>
        </w:tc>
        <w:tc>
          <w:tcPr>
            <w:tcW w:w="300" w:type="dxa"/>
            <w:vAlign w:val="bottom"/>
          </w:tcPr>
          <w:p>
            <w:pPr>
              <w:spacing w:after="0"/>
              <w:rPr>
                <w:sz w:val="24"/>
                <w:szCs w:val="24"/>
                <w:color w:val="auto"/>
              </w:rPr>
            </w:pPr>
          </w:p>
        </w:tc>
        <w:tc>
          <w:tcPr>
            <w:tcW w:w="6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c>
          <w:tcPr>
            <w:tcW w:w="800" w:type="dxa"/>
            <w:vAlign w:val="bottom"/>
          </w:tcPr>
          <w:p>
            <w:pPr>
              <w:spacing w:after="0"/>
              <w:rPr>
                <w:sz w:val="24"/>
                <w:szCs w:val="24"/>
                <w:color w:val="auto"/>
              </w:rPr>
            </w:pPr>
          </w:p>
        </w:tc>
      </w:tr>
      <w:tr>
        <w:trPr>
          <w:trHeight w:val="432"/>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w:t>
            </w:r>
          </w:p>
        </w:tc>
        <w:tc>
          <w:tcPr>
            <w:tcW w:w="300" w:type="dxa"/>
            <w:vAlign w:val="bottom"/>
          </w:tcPr>
          <w:p>
            <w:pPr>
              <w:spacing w:after="0"/>
              <w:rPr>
                <w:sz w:val="24"/>
                <w:szCs w:val="24"/>
                <w:color w:val="auto"/>
              </w:rPr>
            </w:pPr>
          </w:p>
        </w:tc>
        <w:tc>
          <w:tcPr>
            <w:tcW w:w="6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c>
          <w:tcPr>
            <w:tcW w:w="800" w:type="dxa"/>
            <w:vAlign w:val="bottom"/>
          </w:tcPr>
          <w:p>
            <w:pPr>
              <w:spacing w:after="0"/>
              <w:rPr>
                <w:sz w:val="24"/>
                <w:szCs w:val="24"/>
                <w:color w:val="auto"/>
              </w:rPr>
            </w:pPr>
          </w:p>
        </w:tc>
      </w:tr>
      <w:tr>
        <w:trPr>
          <w:trHeight w:val="432"/>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w:t>
            </w:r>
          </w:p>
        </w:tc>
        <w:tc>
          <w:tcPr>
            <w:tcW w:w="300" w:type="dxa"/>
            <w:vAlign w:val="bottom"/>
          </w:tcPr>
          <w:p>
            <w:pPr>
              <w:spacing w:after="0"/>
              <w:rPr>
                <w:sz w:val="24"/>
                <w:szCs w:val="24"/>
                <w:color w:val="auto"/>
              </w:rPr>
            </w:pPr>
          </w:p>
        </w:tc>
        <w:tc>
          <w:tcPr>
            <w:tcW w:w="7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w w:val="97"/>
              </w:rPr>
              <w:t>Investment company registered under section 8 of the Investment Company Act of 1940 (15 U.S.C. 80a-8);</w:t>
            </w:r>
          </w:p>
        </w:tc>
      </w:tr>
      <w:tr>
        <w:trPr>
          <w:trHeight w:val="432"/>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w:t>
            </w:r>
          </w:p>
        </w:tc>
        <w:tc>
          <w:tcPr>
            <w:tcW w:w="300" w:type="dxa"/>
            <w:vAlign w:val="bottom"/>
          </w:tcPr>
          <w:p>
            <w:pPr>
              <w:spacing w:after="0"/>
              <w:rPr>
                <w:sz w:val="24"/>
                <w:szCs w:val="24"/>
                <w:color w:val="auto"/>
              </w:rPr>
            </w:pPr>
          </w:p>
        </w:tc>
        <w:tc>
          <w:tcPr>
            <w:tcW w:w="6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tc>
        <w:tc>
          <w:tcPr>
            <w:tcW w:w="800" w:type="dxa"/>
            <w:vAlign w:val="bottom"/>
          </w:tcPr>
          <w:p>
            <w:pPr>
              <w:spacing w:after="0"/>
              <w:rPr>
                <w:sz w:val="24"/>
                <w:szCs w:val="24"/>
                <w:color w:val="auto"/>
              </w:rPr>
            </w:pPr>
          </w:p>
        </w:tc>
      </w:tr>
    </w:tbl>
    <w:p>
      <w:pPr>
        <w:spacing w:after="0" w:line="204" w:lineRule="exact"/>
        <w:rPr>
          <w:sz w:val="20"/>
          <w:szCs w:val="20"/>
          <w:color w:val="auto"/>
        </w:rPr>
      </w:pPr>
    </w:p>
    <w:p>
      <w:pPr>
        <w:ind w:left="920" w:hanging="453"/>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benefit plan or endowment fund in accordance with §240.13d-1(b)(1)(ii)(F);</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-132080</wp:posOffset>
            </wp:positionV>
            <wp:extent cx="570230" cy="158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230" cy="158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-129540</wp:posOffset>
            </wp:positionV>
            <wp:extent cx="578485" cy="158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8485" cy="158115"/>
                    </a:xfrm>
                    <a:prstGeom prst="rect">
                      <a:avLst/>
                    </a:prstGeom>
                    <a:noFill/>
                  </pic:spPr>
                </pic:pic>
              </a:graphicData>
            </a:graphic>
          </wp:anchor>
        </w:drawing>
      </w:r>
    </w:p>
    <w:p>
      <w:pPr>
        <w:sectPr>
          <w:pgSz w:w="11900" w:h="16838" w:orient="portrait"/>
          <w:cols w:equalWidth="0" w:num="4">
            <w:col w:w="8900" w:space="520"/>
            <w:col w:w="100" w:space="500"/>
            <w:col w:w="160" w:space="520"/>
            <w:col w:w="180"/>
          </w:cols>
          <w:pgMar w:left="320" w:top="548" w:right="6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30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18978W109</w:t>
            </w:r>
          </w:p>
        </w:tc>
        <w:tc>
          <w:tcPr>
            <w:tcW w:w="514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8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1"/>
              </w:rPr>
              <w:t>Page</w:t>
            </w:r>
          </w:p>
        </w:tc>
      </w:tr>
      <w:tr>
        <w:trPr>
          <w:trHeight w:val="427"/>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w:t>
            </w:r>
          </w:p>
        </w:tc>
        <w:tc>
          <w:tcPr>
            <w:tcW w:w="300" w:type="dxa"/>
            <w:vAlign w:val="bottom"/>
          </w:tcPr>
          <w:p>
            <w:pPr>
              <w:spacing w:after="0"/>
              <w:rPr>
                <w:sz w:val="24"/>
                <w:szCs w:val="24"/>
                <w:color w:val="auto"/>
              </w:rPr>
            </w:pPr>
          </w:p>
        </w:tc>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§240.13d-1(b)(1)(ii)(G);</w:t>
            </w:r>
          </w:p>
        </w:tc>
        <w:tc>
          <w:tcPr>
            <w:tcW w:w="840" w:type="dxa"/>
            <w:vAlign w:val="bottom"/>
          </w:tcPr>
          <w:p>
            <w:pPr>
              <w:spacing w:after="0"/>
              <w:rPr>
                <w:sz w:val="24"/>
                <w:szCs w:val="24"/>
                <w:color w:val="auto"/>
              </w:rPr>
            </w:pPr>
          </w:p>
        </w:tc>
      </w:tr>
      <w:tr>
        <w:trPr>
          <w:trHeight w:val="432"/>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w:t>
            </w:r>
          </w:p>
        </w:tc>
        <w:tc>
          <w:tcPr>
            <w:tcW w:w="300" w:type="dxa"/>
            <w:vAlign w:val="bottom"/>
          </w:tcPr>
          <w:p>
            <w:pPr>
              <w:spacing w:after="0"/>
              <w:rPr>
                <w:sz w:val="24"/>
                <w:szCs w:val="24"/>
                <w:color w:val="auto"/>
              </w:rPr>
            </w:pPr>
          </w:p>
        </w:tc>
        <w:tc>
          <w:tcPr>
            <w:tcW w:w="7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 (12 U.S.C. 1813);</w:t>
            </w: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-132080</wp:posOffset>
            </wp:positionV>
            <wp:extent cx="561340" cy="158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1129" w:lineRule="exact"/>
        <w:rPr>
          <w:sz w:val="20"/>
          <w:szCs w:val="20"/>
          <w:color w:val="auto"/>
        </w:rPr>
      </w:pPr>
    </w:p>
    <w:p>
      <w:pPr>
        <w:sectPr>
          <w:pgSz w:w="11900" w:h="16838" w:orient="portrait"/>
          <w:cols w:equalWidth="0" w:num="4">
            <w:col w:w="8940" w:space="460"/>
            <w:col w:w="180" w:space="460"/>
            <w:col w:w="140" w:space="520"/>
            <w:col w:w="540"/>
          </w:cols>
          <w:pgMar w:left="320" w:top="332" w:right="339" w:bottom="1440" w:gutter="0" w:footer="0" w:header="0"/>
        </w:sectPr>
      </w:pPr>
    </w:p>
    <w:p>
      <w:pPr>
        <w:spacing w:after="0" w:line="4"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w:t>
      </w:r>
    </w:p>
    <w:p>
      <w:pPr>
        <w:spacing w:after="0" w:line="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1940 (15 U.S.C. 80a-3);</w:t>
      </w:r>
    </w:p>
    <w:p>
      <w:pPr>
        <w:spacing w:after="0" w:line="205"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8"/>
          <w:szCs w:val="18"/>
          <w:color w:val="auto"/>
        </w:rPr>
        <w:t>Group, in accordance with §240.13d-1(b)(1)(ii)(J).</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 Amount Beneficially Owned:</w:t>
      </w:r>
    </w:p>
    <w:p>
      <w:pPr>
        <w:spacing w:after="0" w:line="185"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As of the close of business on December 31, 2020, the reporting persons beneficially owned an aggregate of 2,467,288 shares of the Issuer’s Class A Common Stock as a result of holding 1,824,967 shares of the Issuer’s Class A Common Stock and 642,321 of the Issuer’s units. Each unit consists of one share of the Issuer’s Class A Common Stock and one-third of one warrant. Each whole warrant entitles the holder to purchase one share of the Issuer’s Class A Common Stock. The Issuer’s warrants will become exercisable on the later of 30 days after the completion of the Issuer’s initial business combination and 12 months from the closing of the Issuer’s initial public offering. Specifically, as of the close of business on December 31, 2020:</w:t>
      </w:r>
    </w:p>
    <w:p>
      <w:pPr>
        <w:spacing w:after="0" w:line="152" w:lineRule="exact"/>
        <w:rPr>
          <w:sz w:val="20"/>
          <w:szCs w:val="20"/>
          <w:color w:val="auto"/>
        </w:rPr>
      </w:pPr>
    </w:p>
    <w:p>
      <w:pPr>
        <w:ind w:right="20" w:firstLine="195"/>
        <w:spacing w:after="0" w:line="275" w:lineRule="auto"/>
        <w:tabs>
          <w:tab w:leader="none" w:pos="3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Core Strategies (US) LLC, a Delaware limited liability company ("Integrated Core Strategies"), beneficially owned 1,824,970 shares of the Issuer’s Class A Common Stock as a result of holding 1,824,967 shares of the Issuer’s Class A Common Stock and 3 of the Issuer’s units; and</w:t>
      </w:r>
    </w:p>
    <w:p>
      <w:pPr>
        <w:spacing w:after="0" w:line="133" w:lineRule="exact"/>
        <w:rPr>
          <w:rFonts w:ascii="Times New Roman" w:cs="Times New Roman" w:eastAsia="Times New Roman" w:hAnsi="Times New Roman"/>
          <w:sz w:val="18"/>
          <w:szCs w:val="18"/>
          <w:color w:val="auto"/>
        </w:rPr>
      </w:pPr>
    </w:p>
    <w:p>
      <w:pPr>
        <w:jc w:val="both"/>
        <w:ind w:firstLine="145"/>
        <w:spacing w:after="0" w:line="258" w:lineRule="auto"/>
        <w:tabs>
          <w:tab w:leader="none" w:pos="33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ICS Opportunities, Ltd., an exempted company organized under the laws of the Cayman Islands ("ICS Opportunities"), beneficially owned 642,318 shares of the Issuer’s Class A Common Stock as a result of holding 642,318 of the Issuer’s units, which together with the shares of the Issuer’s Class A Common Stock beneficially owned by Integrated Core Strategies represented 2,467,288 shares of the Issuer’s Class A Common Stock or 5.6% of the Issuer’s Class A Common Stock outstanding.</w:t>
      </w:r>
    </w:p>
    <w:p>
      <w:pPr>
        <w:spacing w:after="0" w:line="149" w:lineRule="exact"/>
        <w:rPr>
          <w:sz w:val="20"/>
          <w:szCs w:val="20"/>
          <w:color w:val="auto"/>
        </w:rPr>
      </w:pPr>
    </w:p>
    <w:p>
      <w:pPr>
        <w:jc w:val="both"/>
        <w:ind w:right="20" w:firstLine="198"/>
        <w:spacing w:after="0" w:line="275" w:lineRule="auto"/>
        <w:rPr>
          <w:sz w:val="20"/>
          <w:szCs w:val="20"/>
          <w:color w:val="auto"/>
        </w:rPr>
      </w:pPr>
      <w:r>
        <w:rPr>
          <w:rFonts w:ascii="Times New Roman" w:cs="Times New Roman" w:eastAsia="Times New Roman" w:hAnsi="Times New Roman"/>
          <w:sz w:val="18"/>
          <w:szCs w:val="18"/>
          <w:color w:val="auto"/>
        </w:rPr>
        <w:t>Millennium International Management LP, a Delaware limited partnership ("Millennium International Management"), is the investment manager to ICS Opportunities and may be deemed to have shared voting control and investment discretion over securities owned by ICS Opportunities.</w:t>
      </w:r>
    </w:p>
    <w:p>
      <w:pPr>
        <w:spacing w:after="0" w:line="133" w:lineRule="exact"/>
        <w:rPr>
          <w:sz w:val="20"/>
          <w:szCs w:val="20"/>
          <w:color w:val="auto"/>
        </w:rPr>
      </w:pPr>
    </w:p>
    <w:p>
      <w:pPr>
        <w:jc w:val="both"/>
        <w:ind w:firstLine="215"/>
        <w:spacing w:after="0" w:line="258" w:lineRule="auto"/>
        <w:rPr>
          <w:sz w:val="20"/>
          <w:szCs w:val="20"/>
          <w:color w:val="auto"/>
        </w:rPr>
      </w:pPr>
      <w:r>
        <w:rPr>
          <w:rFonts w:ascii="Times New Roman" w:cs="Times New Roman" w:eastAsia="Times New Roman" w:hAnsi="Times New Roman"/>
          <w:sz w:val="18"/>
          <w:szCs w:val="18"/>
          <w:color w:val="auto"/>
        </w:rPr>
        <w:t>Millennium Management LLC, a Delaware limited liability company ("Millennium Management"), is the general partner of the managing member of Integrated Core Strategies and may be deemed to have shared voting control and investment discretion over securities owned by Integrated Core Strategies. Millennium Management is also the general partner of the 100% owner of ICS Opportunities and may also be deemed to have shared voting control and investment discretion over securities owned by ICS Opportunities.</w:t>
      </w:r>
    </w:p>
    <w:p>
      <w:pPr>
        <w:spacing w:after="0" w:line="149" w:lineRule="exact"/>
        <w:rPr>
          <w:sz w:val="20"/>
          <w:szCs w:val="20"/>
          <w:color w:val="auto"/>
        </w:rPr>
      </w:pPr>
    </w:p>
    <w:p>
      <w:pPr>
        <w:jc w:val="both"/>
        <w:ind w:firstLine="172"/>
        <w:spacing w:after="0" w:line="258" w:lineRule="auto"/>
        <w:rPr>
          <w:sz w:val="20"/>
          <w:szCs w:val="20"/>
          <w:color w:val="auto"/>
        </w:rPr>
      </w:pPr>
      <w:r>
        <w:rPr>
          <w:rFonts w:ascii="Times New Roman" w:cs="Times New Roman" w:eastAsia="Times New Roman" w:hAnsi="Times New Roman"/>
          <w:sz w:val="18"/>
          <w:szCs w:val="18"/>
          <w:color w:val="auto"/>
        </w:rPr>
        <w:t>Millennium Group Management LLC, a Delaware limited liability company ("Millennium Group Management"), is the managing member of Millennium Management and may also be deemed to have shared voting control and investment discretion over securities owned by Integrated Core Strategies. Millennium Group Management is also the general partner of Millennium International Management and may also be deemed to have shared voting control and investment discretion over securities owned by ICS Opportunities.</w:t>
      </w:r>
    </w:p>
    <w:p>
      <w:pPr>
        <w:spacing w:after="0" w:line="149" w:lineRule="exact"/>
        <w:rPr>
          <w:sz w:val="20"/>
          <w:szCs w:val="20"/>
          <w:color w:val="auto"/>
        </w:rPr>
      </w:pPr>
    </w:p>
    <w:p>
      <w:pPr>
        <w:jc w:val="both"/>
        <w:ind w:firstLine="137"/>
        <w:spacing w:after="0" w:line="262" w:lineRule="auto"/>
        <w:rPr>
          <w:sz w:val="20"/>
          <w:szCs w:val="20"/>
          <w:color w:val="auto"/>
        </w:rPr>
      </w:pPr>
      <w:r>
        <w:rPr>
          <w:rFonts w:ascii="Times New Roman" w:cs="Times New Roman" w:eastAsia="Times New Roman" w:hAnsi="Times New Roman"/>
          <w:sz w:val="18"/>
          <w:szCs w:val="18"/>
          <w:color w:val="auto"/>
        </w:rPr>
        <w:t>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and ICS Opportunities.</w:t>
      </w:r>
    </w:p>
    <w:p>
      <w:pPr>
        <w:spacing w:after="0" w:line="146" w:lineRule="exact"/>
        <w:rPr>
          <w:sz w:val="20"/>
          <w:szCs w:val="20"/>
          <w:color w:val="auto"/>
        </w:rPr>
      </w:pPr>
    </w:p>
    <w:p>
      <w:pPr>
        <w:jc w:val="both"/>
        <w:ind w:firstLine="180"/>
        <w:spacing w:after="0" w:line="262" w:lineRule="auto"/>
        <w:rPr>
          <w:sz w:val="20"/>
          <w:szCs w:val="20"/>
          <w:color w:val="auto"/>
        </w:rPr>
      </w:pPr>
      <w:r>
        <w:rPr>
          <w:rFonts w:ascii="Times New Roman" w:cs="Times New Roman" w:eastAsia="Times New Roman" w:hAnsi="Times New Roman"/>
          <w:sz w:val="18"/>
          <w:szCs w:val="18"/>
          <w:color w:val="auto"/>
        </w:rPr>
        <w:t>The foregoing should not be construed in and of itself as an admission by Millennium International Management, Millennium Management, Millennium Group Management or Mr. Englander as to beneficial ownership of the securities owned by Integrated Core Strategies or ICS Opportunities, as the case may be.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 Percent of Class:</w:t>
      </w:r>
    </w:p>
    <w:p>
      <w:pPr>
        <w:spacing w:after="0" w:line="185" w:lineRule="exact"/>
        <w:rPr>
          <w:sz w:val="20"/>
          <w:szCs w:val="20"/>
          <w:color w:val="auto"/>
        </w:rPr>
      </w:pPr>
    </w:p>
    <w:p>
      <w:pPr>
        <w:jc w:val="both"/>
        <w:ind w:firstLine="156"/>
        <w:spacing w:after="0" w:line="258" w:lineRule="auto"/>
        <w:rPr>
          <w:sz w:val="20"/>
          <w:szCs w:val="20"/>
          <w:color w:val="auto"/>
        </w:rPr>
      </w:pPr>
      <w:r>
        <w:rPr>
          <w:rFonts w:ascii="Times New Roman" w:cs="Times New Roman" w:eastAsia="Times New Roman" w:hAnsi="Times New Roman"/>
          <w:sz w:val="18"/>
          <w:szCs w:val="18"/>
          <w:color w:val="auto"/>
        </w:rPr>
        <w:t>As of the close of business on December 31, 2020, Millennium Management, Millennium Group Management and Mr. Englander may be deemed to have beneficially owned 2,467,288 shares of the Issuer’s Class A Common Stock or 5.6% of the Issuer’s Class A Common Stock outstanding (see Item 4(a) above), which percentage was calculated based on 44,275,000 shares of the Issuer’s Class A Common Stock outstanding as of November 16, 2020, as reported in the Issuer’s Form 10-Q filed on November 16, 2020.</w:t>
      </w:r>
    </w:p>
    <w:p>
      <w:pPr>
        <w:sectPr>
          <w:pgSz w:w="11900" w:h="16838" w:orient="portrait"/>
          <w:cols w:equalWidth="0" w:num="1">
            <w:col w:w="11240"/>
          </w:cols>
          <w:pgMar w:left="320" w:top="332"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-132080</wp:posOffset>
            </wp:positionV>
            <wp:extent cx="561340" cy="158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6">
            <w:col w:w="800" w:space="700"/>
            <w:col w:w="2920" w:space="720"/>
            <w:col w:w="3800" w:space="460"/>
            <w:col w:w="180" w:space="460"/>
            <w:col w:w="140" w:space="520"/>
            <w:col w:w="540"/>
          </w:cols>
          <w:pgMar w:left="320" w:top="341" w:right="339" w:bottom="1440" w:gutter="0" w:footer="0" w:header="0"/>
        </w:sectPr>
      </w:pPr>
    </w:p>
    <w:p>
      <w:pPr>
        <w:ind w:left="300" w:hanging="248"/>
        <w:spacing w:after="0"/>
        <w:tabs>
          <w:tab w:leader="none" w:pos="300" w:val="left"/>
        </w:tabs>
        <w:numPr>
          <w:ilvl w:val="0"/>
          <w:numId w:val="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Number of shares as to which such person has:</w:t>
      </w:r>
    </w:p>
    <w:p>
      <w:pPr>
        <w:spacing w:after="0" w:line="167" w:lineRule="exact"/>
        <w:rPr>
          <w:rFonts w:ascii="Times New Roman" w:cs="Times New Roman" w:eastAsia="Times New Roman" w:hAnsi="Times New Roman"/>
          <w:sz w:val="18"/>
          <w:szCs w:val="18"/>
          <w:u w:val="single" w:color="auto"/>
          <w:color w:val="auto"/>
        </w:rPr>
      </w:pPr>
    </w:p>
    <w:p>
      <w:pPr>
        <w:ind w:left="680" w:right="7740" w:hanging="132"/>
        <w:spacing w:after="0" w:line="453" w:lineRule="auto"/>
        <w:tabs>
          <w:tab w:leader="none" w:pos="75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1" w:lineRule="exact"/>
        <w:rPr>
          <w:rFonts w:ascii="Times New Roman" w:cs="Times New Roman" w:eastAsia="Times New Roman" w:hAnsi="Times New Roman"/>
          <w:sz w:val="18"/>
          <w:szCs w:val="18"/>
          <w:color w:val="auto"/>
        </w:rPr>
      </w:pPr>
    </w:p>
    <w:p>
      <w:pPr>
        <w:ind w:left="800" w:hanging="252"/>
        <w:spacing w:after="0"/>
        <w:tabs>
          <w:tab w:leader="none" w:pos="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1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2,467,288 (See Item 4(b))</w:t>
      </w:r>
    </w:p>
    <w:p>
      <w:pPr>
        <w:spacing w:after="0" w:line="185" w:lineRule="exact"/>
        <w:rPr>
          <w:sz w:val="20"/>
          <w:szCs w:val="20"/>
          <w:color w:val="auto"/>
        </w:rPr>
      </w:pPr>
    </w:p>
    <w:p>
      <w:pPr>
        <w:ind w:left="900" w:hanging="308"/>
        <w:spacing w:after="0"/>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184"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184" w:lineRule="exact"/>
        <w:rPr>
          <w:rFonts w:ascii="Times New Roman" w:cs="Times New Roman" w:eastAsia="Times New Roman" w:hAnsi="Times New Roman"/>
          <w:sz w:val="18"/>
          <w:szCs w:val="18"/>
          <w:color w:val="auto"/>
        </w:rPr>
      </w:pPr>
    </w:p>
    <w:p>
      <w:pPr>
        <w:ind w:left="680" w:right="6600" w:hanging="132"/>
        <w:spacing w:after="0" w:line="453" w:lineRule="auto"/>
        <w:tabs>
          <w:tab w:leader="none" w:pos="8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2,467,288 (See Item 4(b))</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Ownership of Five Percent or Less of a Class</w:t>
      </w:r>
    </w:p>
    <w:p>
      <w:pPr>
        <w:spacing w:after="0" w:line="185" w:lineRule="exact"/>
        <w:rPr>
          <w:sz w:val="20"/>
          <w:szCs w:val="20"/>
          <w:color w:val="auto"/>
        </w:rPr>
      </w:pPr>
    </w:p>
    <w:p>
      <w:pPr>
        <w:jc w:val="both"/>
        <w:ind w:firstLine="140"/>
        <w:spacing w:after="0" w:line="275"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Exhibit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62"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4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-132080</wp:posOffset>
            </wp:positionV>
            <wp:extent cx="570230" cy="158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6">
            <w:col w:w="800" w:space="700"/>
            <w:col w:w="2880" w:space="720"/>
            <w:col w:w="3820" w:space="480"/>
            <w:col w:w="180" w:space="460"/>
            <w:col w:w="140" w:space="520"/>
            <w:col w:w="520"/>
          </w:cols>
          <w:pgMar w:left="320" w:top="341" w:right="3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16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Exhibit I: Joint Filing Agreement, dated as of January 15, 2021, by and among Integrated Core Strategies (US) LLC, ICS Opportunities, Ltd., Millennium International Management LP, Millennium Management LLC, Millennium Group Management LLC and Israel A. Englander.</w:t>
      </w:r>
    </w:p>
    <w:p>
      <w:pPr>
        <w:sectPr>
          <w:pgSz w:w="11900" w:h="16838" w:orient="portrait"/>
          <w:cols w:equalWidth="0" w:num="1">
            <w:col w:w="11220"/>
          </w:cols>
          <w:pgMar w:left="320" w:top="341"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179"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-132080</wp:posOffset>
            </wp:positionV>
            <wp:extent cx="561340" cy="158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660" w:lineRule="exact"/>
        <w:rPr>
          <w:sz w:val="20"/>
          <w:szCs w:val="20"/>
          <w:color w:val="auto"/>
        </w:rPr>
      </w:pPr>
    </w:p>
    <w:p>
      <w:pPr>
        <w:sectPr>
          <w:pgSz w:w="11900" w:h="16838" w:orient="portrait"/>
          <w:cols w:equalWidth="0" w:num="6">
            <w:col w:w="800" w:space="700"/>
            <w:col w:w="2900" w:space="720"/>
            <w:col w:w="3820" w:space="460"/>
            <w:col w:w="180" w:space="460"/>
            <w:col w:w="140" w:space="520"/>
            <w:col w:w="540"/>
          </w:cols>
          <w:pgMar w:left="320" w:top="341" w:right="339" w:bottom="1440" w:gutter="0" w:footer="0" w:header="0"/>
        </w:sectPr>
      </w:pPr>
    </w:p>
    <w:p>
      <w:pPr>
        <w:spacing w:after="0" w:line="275"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15, 2021</w:t>
      </w:r>
    </w:p>
    <w:p>
      <w:pPr>
        <w:spacing w:after="0" w:line="21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International Management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179"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31"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b w:val="1"/>
          <w:bCs w:val="1"/>
          <w:color w:val="auto"/>
        </w:rPr>
        <w:t>JOINT FILING AGREEMENT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-132080</wp:posOffset>
            </wp:positionV>
            <wp:extent cx="561340" cy="158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1083" w:lineRule="exact"/>
        <w:rPr>
          <w:sz w:val="20"/>
          <w:szCs w:val="20"/>
          <w:color w:val="auto"/>
        </w:rPr>
      </w:pPr>
    </w:p>
    <w:p>
      <w:pPr>
        <w:sectPr>
          <w:pgSz w:w="11900" w:h="16838" w:orient="portrait"/>
          <w:cols w:equalWidth="0" w:num="6">
            <w:col w:w="800" w:space="700"/>
            <w:col w:w="2360" w:space="720"/>
            <w:col w:w="4360" w:space="460"/>
            <w:col w:w="180" w:space="460"/>
            <w:col w:w="140" w:space="520"/>
            <w:col w:w="540"/>
          </w:cols>
          <w:pgMar w:left="320" w:top="341" w:right="339" w:bottom="1440" w:gutter="0" w:footer="0" w:header="0"/>
        </w:sectPr>
      </w:pPr>
    </w:p>
    <w:p>
      <w:pPr>
        <w:spacing w:after="0" w:line="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Class A Common Stock, par value $0.0001 per share, of CM Life Sciences, Inc., a Delaware corporation,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15, 2021</w:t>
      </w:r>
    </w:p>
    <w:p>
      <w:pPr>
        <w:spacing w:after="0" w:line="20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International Management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sectPr>
      <w:pgSz w:w="11900" w:h="16838" w:orient="portrait"/>
      <w:cols w:equalWidth="0" w:num="1">
        <w:col w:w="11240"/>
      </w:cols>
      <w:pgMar w:left="320" w:top="34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lvl w:ilvl="1">
      <w:lvlJc w:val="left"/>
      <w:lvlText w:val=" "/>
      <w:numFmt w:val="bullet"/>
      <w:start w:val="1"/>
    </w:lvl>
  </w:abstractNum>
  <w:abstractNum w:abstractNumId="3">
    <w:nsid w:val="3352255A"/>
    <w:multiLevelType w:val="hybridMultilevel"/>
    <w:lvl w:ilvl="0">
      <w:lvlJc w:val="left"/>
      <w:lvlText w:val="2"/>
      <w:numFmt w:val="bullet"/>
      <w:start w:val="1"/>
    </w:lvl>
    <w:lvl w:ilvl="1">
      <w:lvlJc w:val="left"/>
      <w:lvlText w:val="(%2)"/>
      <w:numFmt w:val="lowerLetter"/>
      <w:start w:val="2"/>
    </w:lvl>
  </w:abstractNum>
  <w:abstractNum w:abstractNumId="4">
    <w:nsid w:val="109CF92E"/>
    <w:multiLevelType w:val="hybridMultilevel"/>
    <w:lvl w:ilvl="0">
      <w:lvlJc w:val="left"/>
      <w:lvlText w:val="3"/>
      <w:numFmt w:val="bullet"/>
      <w:start w:val="1"/>
    </w:lvl>
  </w:abstractNum>
  <w:abstractNum w:abstractNumId="5">
    <w:nsid w:val="DED7263"/>
    <w:multiLevelType w:val="hybridMultilevel"/>
    <w:lvl w:ilvl="0">
      <w:lvlJc w:val="left"/>
      <w:lvlText w:val="2"/>
      <w:numFmt w:val="bullet"/>
      <w:start w:val="1"/>
    </w:lvl>
    <w:lvl w:ilvl="1">
      <w:lvlJc w:val="left"/>
      <w:lvlText w:val="(%2)"/>
      <w:numFmt w:val="lowerLetter"/>
      <w:start w:val="2"/>
    </w:lvl>
  </w:abstractNum>
  <w:abstractNum w:abstractNumId="6">
    <w:nsid w:val="7FDCC233"/>
    <w:multiLevelType w:val="hybridMultilevel"/>
    <w:lvl w:ilvl="0">
      <w:lvlJc w:val="left"/>
      <w:lvlText w:val="3"/>
      <w:numFmt w:val="bullet"/>
      <w:start w:val="1"/>
    </w:lvl>
  </w:abstractNum>
  <w:abstractNum w:abstractNumId="7">
    <w:nsid w:val="1BEFD79F"/>
    <w:multiLevelType w:val="hybridMultilevel"/>
    <w:lvl w:ilvl="0">
      <w:lvlJc w:val="left"/>
      <w:lvlText w:val="2"/>
      <w:numFmt w:val="bullet"/>
      <w:start w:val="1"/>
    </w:lvl>
    <w:lvl w:ilvl="1">
      <w:lvlJc w:val="left"/>
      <w:lvlText w:val="(%2)"/>
      <w:numFmt w:val="lowerLetter"/>
      <w:start w:val="2"/>
    </w:lvl>
  </w:abstractNum>
  <w:abstractNum w:abstractNumId="8">
    <w:nsid w:val="41A7C4C9"/>
    <w:multiLevelType w:val="hybridMultilevel"/>
    <w:lvl w:ilvl="0">
      <w:lvlJc w:val="left"/>
      <w:lvlText w:val="3"/>
      <w:numFmt w:val="bullet"/>
      <w:start w:val="1"/>
    </w:lvl>
  </w:abstractNum>
  <w:abstractNum w:abstractNumId="9">
    <w:nsid w:val="6B68079A"/>
    <w:multiLevelType w:val="hybridMultilevel"/>
    <w:lvl w:ilvl="0">
      <w:lvlJc w:val="left"/>
      <w:lvlText w:val="2"/>
      <w:numFmt w:val="bullet"/>
      <w:start w:val="1"/>
    </w:lvl>
    <w:lvl w:ilvl="1">
      <w:lvlJc w:val="left"/>
      <w:lvlText w:val="(%2)"/>
      <w:numFmt w:val="lowerLetter"/>
      <w:start w:val="2"/>
    </w:lvl>
  </w:abstractNum>
  <w:abstractNum w:abstractNumId="10">
    <w:nsid w:val="4E6AFB66"/>
    <w:multiLevelType w:val="hybridMultilevel"/>
    <w:lvl w:ilvl="0">
      <w:lvlJc w:val="left"/>
      <w:lvlText w:val="3"/>
      <w:numFmt w:val="bullet"/>
      <w:start w:val="1"/>
    </w:lvl>
  </w:abstractNum>
  <w:abstractNum w:abstractNumId="11">
    <w:nsid w:val="25E45D32"/>
    <w:multiLevelType w:val="hybridMultilevel"/>
    <w:lvl w:ilvl="0">
      <w:lvlJc w:val="left"/>
      <w:lvlText w:val="2"/>
      <w:numFmt w:val="bullet"/>
      <w:start w:val="1"/>
    </w:lvl>
    <w:lvl w:ilvl="1">
      <w:lvlJc w:val="left"/>
      <w:lvlText w:val="(%2)"/>
      <w:numFmt w:val="lowerLetter"/>
      <w:start w:val="2"/>
    </w:lvl>
  </w:abstractNum>
  <w:abstractNum w:abstractNumId="12">
    <w:nsid w:val="519B500D"/>
    <w:multiLevelType w:val="hybridMultilevel"/>
    <w:lvl w:ilvl="0">
      <w:lvlJc w:val="left"/>
      <w:lvlText w:val="3"/>
      <w:numFmt w:val="bullet"/>
      <w:start w:val="1"/>
    </w:lvl>
  </w:abstractNum>
  <w:abstractNum w:abstractNumId="13">
    <w:nsid w:val="431BD7B7"/>
    <w:multiLevelType w:val="hybridMultilevel"/>
    <w:lvl w:ilvl="0">
      <w:lvlJc w:val="left"/>
      <w:lvlText w:val="2"/>
      <w:numFmt w:val="bullet"/>
      <w:start w:val="1"/>
    </w:lvl>
    <w:lvl w:ilvl="1">
      <w:lvlJc w:val="left"/>
      <w:lvlText w:val="(%2)"/>
      <w:numFmt w:val="lowerLetter"/>
      <w:start w:val="2"/>
    </w:lvl>
  </w:abstractNum>
  <w:abstractNum w:abstractNumId="14">
    <w:nsid w:val="3F2DBA31"/>
    <w:multiLevelType w:val="hybridMultilevel"/>
    <w:lvl w:ilvl="0">
      <w:lvlJc w:val="left"/>
      <w:lvlText w:val="3"/>
      <w:numFmt w:val="bullet"/>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2"/>
    </w:lvl>
  </w:abstractNum>
  <w:abstractNum w:abstractNumId="17">
    <w:nsid w:val="62BBD95A"/>
    <w:multiLevelType w:val="hybridMultilevel"/>
    <w:lvl w:ilvl="0">
      <w:lvlJc w:val="left"/>
      <w:lvlText w:val="(%1)"/>
      <w:numFmt w:val="lowerLetter"/>
      <w:start w:val="6"/>
    </w:lvl>
  </w:abstractNum>
  <w:abstractNum w:abstractNumId="18">
    <w:nsid w:val="436C6125"/>
    <w:multiLevelType w:val="hybridMultilevel"/>
    <w:lvl w:ilvl="0">
      <w:lvlJc w:val="left"/>
      <w:lvlText w:val="%1)"/>
      <w:numFmt w:val="lowerRoman"/>
      <w:start w:val="1"/>
    </w:lvl>
  </w:abstractNum>
  <w:abstractNum w:abstractNumId="19">
    <w:nsid w:val="628C895D"/>
    <w:multiLevelType w:val="hybridMultilevel"/>
    <w:lvl w:ilvl="0">
      <w:lvlJc w:val="left"/>
      <w:lvlText w:val="(%1)"/>
      <w:numFmt w:val="lowerLetter"/>
      <w:start w:val="3"/>
    </w:lvl>
    <w:lvl w:ilvl="1">
      <w:lvlJc w:val="left"/>
      <w:lvlText w:val="(%2)"/>
      <w:numFmt w:val="lowerRoman"/>
      <w:start w:val="1"/>
    </w:lvl>
  </w:abstractNum>
  <w:abstractNum w:abstractNumId="20">
    <w:nsid w:val="333AB105"/>
    <w:multiLevelType w:val="hybridMultilevel"/>
    <w:lvl w:ilvl="0">
      <w:lvlJc w:val="left"/>
      <w:lvlText w:val="%1"/>
      <w:numFmt w:val="lowerRoman"/>
      <w:start w:val="1"/>
    </w:lvl>
    <w:lvl w:ilvl="1">
      <w:lvlJc w:val="left"/>
      <w:lvlText w:val="(%2)"/>
      <w:numFmt w:val="lowerRoman"/>
      <w:start w:val="3"/>
    </w:lvl>
  </w:abstractNum>
  <w:abstractNum w:abstractNumId="21">
    <w:nsid w:val="721DA317"/>
    <w:multiLevelType w:val="hybridMultilevel"/>
    <w:lvl w:ilvl="0">
      <w:lvlJc w:val="left"/>
      <w:lvlText w:val="(%1)"/>
      <w:numFmt w:val="lowerRoman"/>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2021-01-19T15:50:59Z</dcterms:created>
  <dcterms:modified xsi:type="dcterms:W3CDTF">2021-01-19T15:50:59Z</dcterms:modified>
</cp:coreProperties>
</file>