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0000943431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6"/>
        <w:gridCol w:w="4159"/>
      </w:tblGrid>
      <w:tr>
        <w:trPr/>
        <w:tc>
          <w:tcPr>
            <w:tcW w:w="6046" w:type="dxa"/>
            <w:tcBorders/>
            <w:vAlign w:val="center"/>
          </w:tcPr>
          <w:p>
            <w:pPr>
              <w:pStyle w:val="TableContents"/>
              <w:bidi w:val="0"/>
              <w:spacing w:before="0" w:after="283"/>
              <w:jc w:val="left"/>
              <w:rPr/>
            </w:pPr>
            <w:r>
              <w:rPr/>
              <w:t>Name of Issuer</w:t>
            </w:r>
          </w:p>
        </w:tc>
        <w:tc>
          <w:tcPr>
            <w:tcW w:w="4159" w:type="dxa"/>
            <w:tcBorders/>
            <w:vAlign w:val="center"/>
          </w:tcPr>
          <w:p>
            <w:pPr>
              <w:pStyle w:val="TableContents"/>
              <w:bidi w:val="0"/>
              <w:spacing w:before="0" w:after="0"/>
              <w:jc w:val="left"/>
              <w:rPr/>
            </w:pPr>
            <w:r>
              <w:rPr/>
              <w:t>GeneDx Holdings Corp.</w:t>
            </w:r>
          </w:p>
        </w:tc>
      </w:tr>
      <w:tr>
        <w:trPr/>
        <w:tc>
          <w:tcPr>
            <w:tcW w:w="6046" w:type="dxa"/>
            <w:tcBorders/>
            <w:vAlign w:val="center"/>
          </w:tcPr>
          <w:p>
            <w:pPr>
              <w:pStyle w:val="TableContents"/>
              <w:bidi w:val="0"/>
              <w:spacing w:before="0" w:after="283"/>
              <w:jc w:val="left"/>
              <w:rPr/>
            </w:pPr>
            <w:r>
              <w:rPr/>
              <w:t>SEC File Number</w:t>
            </w:r>
          </w:p>
        </w:tc>
        <w:tc>
          <w:tcPr>
            <w:tcW w:w="4159" w:type="dxa"/>
            <w:tcBorders/>
            <w:vAlign w:val="center"/>
          </w:tcPr>
          <w:p>
            <w:pPr>
              <w:pStyle w:val="TableContents"/>
              <w:bidi w:val="0"/>
              <w:spacing w:before="0" w:after="0"/>
              <w:jc w:val="left"/>
              <w:rPr/>
            </w:pPr>
            <w:r>
              <w:rPr/>
              <w:t>001-39482</w:t>
            </w:r>
          </w:p>
        </w:tc>
      </w:tr>
      <w:tr>
        <w:trPr/>
        <w:tc>
          <w:tcPr>
            <w:tcW w:w="6046" w:type="dxa"/>
            <w:tcBorders/>
            <w:vAlign w:val="center"/>
          </w:tcPr>
          <w:p>
            <w:pPr>
              <w:pStyle w:val="TableContents"/>
              <w:bidi w:val="0"/>
              <w:spacing w:before="0" w:after="283"/>
              <w:jc w:val="left"/>
              <w:rPr/>
            </w:pPr>
            <w:r>
              <w:rPr/>
              <w:t>Address of Issuer</w:t>
            </w:r>
          </w:p>
        </w:tc>
        <w:tc>
          <w:tcPr>
            <w:tcW w:w="4159" w:type="dxa"/>
            <w:tcBorders/>
            <w:vAlign w:val="center"/>
          </w:tcPr>
          <w:p>
            <w:pPr>
              <w:pStyle w:val="TableContents"/>
              <w:bidi w:val="0"/>
              <w:spacing w:before="0" w:after="0"/>
              <w:jc w:val="left"/>
              <w:rPr/>
            </w:pPr>
            <w:r>
              <w:rPr/>
              <w:t>333 LUDLOW STREET</w:t>
              <w:br/>
              <w:t>NORTH TOWER, 6TH FLOOR</w:t>
              <w:br/>
              <w:t>STAMFORD</w:t>
              <w:br/>
              <w:t xml:space="preserve">CONNECTICUT </w:t>
              <w:br/>
              <w:t>06902</w:t>
            </w:r>
          </w:p>
        </w:tc>
      </w:tr>
      <w:tr>
        <w:trPr/>
        <w:tc>
          <w:tcPr>
            <w:tcW w:w="6046" w:type="dxa"/>
            <w:tcBorders/>
            <w:vAlign w:val="center"/>
          </w:tcPr>
          <w:p>
            <w:pPr>
              <w:pStyle w:val="TableContents"/>
              <w:bidi w:val="0"/>
              <w:spacing w:before="0" w:after="283"/>
              <w:jc w:val="left"/>
              <w:rPr/>
            </w:pPr>
            <w:r>
              <w:rPr/>
              <w:t>Phone</w:t>
            </w:r>
          </w:p>
        </w:tc>
        <w:tc>
          <w:tcPr>
            <w:tcW w:w="4159" w:type="dxa"/>
            <w:tcBorders/>
            <w:vAlign w:val="center"/>
          </w:tcPr>
          <w:p>
            <w:pPr>
              <w:pStyle w:val="TableContents"/>
              <w:bidi w:val="0"/>
              <w:spacing w:before="0" w:after="0"/>
              <w:jc w:val="left"/>
              <w:rPr/>
            </w:pPr>
            <w:r>
              <w:rPr/>
              <w:t>888-729-1206</w:t>
            </w:r>
          </w:p>
        </w:tc>
      </w:tr>
      <w:tr>
        <w:trPr/>
        <w:tc>
          <w:tcPr>
            <w:tcW w:w="6046" w:type="dxa"/>
            <w:tcBorders/>
            <w:vAlign w:val="center"/>
          </w:tcPr>
          <w:p>
            <w:pPr>
              <w:pStyle w:val="TableContents"/>
              <w:bidi w:val="0"/>
              <w:spacing w:before="0" w:after="283"/>
              <w:jc w:val="left"/>
              <w:rPr/>
            </w:pPr>
            <w:r>
              <w:rPr/>
              <w:t>Name of Person for Whose Account the Securities are To Be Sold</w:t>
            </w:r>
          </w:p>
        </w:tc>
        <w:tc>
          <w:tcPr>
            <w:tcW w:w="4159" w:type="dxa"/>
            <w:tcBorders/>
            <w:vAlign w:val="center"/>
          </w:tcPr>
          <w:p>
            <w:pPr>
              <w:pStyle w:val="TableContents"/>
              <w:bidi w:val="0"/>
              <w:spacing w:before="0" w:after="0"/>
              <w:jc w:val="left"/>
              <w:rPr/>
            </w:pPr>
            <w:r>
              <w:rPr/>
              <w:t>RUCH JOSHUA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6" w:type="dxa"/>
            <w:tcBorders/>
            <w:vAlign w:val="center"/>
          </w:tcPr>
          <w:p>
            <w:pPr>
              <w:pStyle w:val="TableContents"/>
              <w:bidi w:val="0"/>
              <w:spacing w:before="0" w:after="283"/>
              <w:jc w:val="left"/>
              <w:rPr/>
            </w:pPr>
            <w:r>
              <w:rPr/>
              <w:t>Relationship to Issuer</w:t>
            </w:r>
          </w:p>
        </w:tc>
        <w:tc>
          <w:tcPr>
            <w:tcW w:w="41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71"/>
        <w:gridCol w:w="1143"/>
        <w:gridCol w:w="1436"/>
        <w:gridCol w:w="1529"/>
        <w:gridCol w:w="1553"/>
        <w:gridCol w:w="1353"/>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71"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71" w:type="dxa"/>
            <w:tcBorders/>
            <w:vAlign w:val="center"/>
          </w:tcPr>
          <w:p>
            <w:pPr>
              <w:pStyle w:val="TableContents"/>
              <w:bidi w:val="0"/>
              <w:spacing w:before="0" w:after="0"/>
              <w:jc w:val="left"/>
              <w:rPr/>
            </w:pPr>
            <w:r>
              <w:rPr/>
              <w:t>Stifel Nicolaus &amp; Company Inc</w:t>
              <w:br/>
              <w:t>501 N Broadway</w:t>
              <w:br/>
              <w:t>St. Louis   MO   63102</w:t>
            </w:r>
          </w:p>
        </w:tc>
        <w:tc>
          <w:tcPr>
            <w:tcW w:w="1143" w:type="dxa"/>
            <w:tcBorders/>
            <w:vAlign w:val="center"/>
          </w:tcPr>
          <w:p>
            <w:pPr>
              <w:pStyle w:val="TableContents"/>
              <w:bidi w:val="0"/>
              <w:spacing w:before="0" w:after="283"/>
              <w:jc w:val="left"/>
              <w:rPr/>
            </w:pPr>
            <w:r>
              <w:rPr/>
              <w:t>38000</w:t>
            </w:r>
          </w:p>
        </w:tc>
        <w:tc>
          <w:tcPr>
            <w:tcW w:w="1436" w:type="dxa"/>
            <w:tcBorders/>
            <w:vAlign w:val="center"/>
          </w:tcPr>
          <w:p>
            <w:pPr>
              <w:pStyle w:val="TableContents"/>
              <w:bidi w:val="0"/>
              <w:spacing w:before="0" w:after="283"/>
              <w:jc w:val="left"/>
              <w:rPr/>
            </w:pPr>
            <w:r>
              <w:rPr/>
              <w:t>6093969.00</w:t>
            </w:r>
          </w:p>
        </w:tc>
        <w:tc>
          <w:tcPr>
            <w:tcW w:w="1529" w:type="dxa"/>
            <w:tcBorders/>
            <w:vAlign w:val="center"/>
          </w:tcPr>
          <w:p>
            <w:pPr>
              <w:pStyle w:val="TableContents"/>
              <w:bidi w:val="0"/>
              <w:spacing w:before="0" w:after="283"/>
              <w:jc w:val="left"/>
              <w:rPr/>
            </w:pPr>
            <w:r>
              <w:rPr/>
              <w:t>28900000</w:t>
            </w:r>
          </w:p>
        </w:tc>
        <w:tc>
          <w:tcPr>
            <w:tcW w:w="1553" w:type="dxa"/>
            <w:tcBorders/>
            <w:vAlign w:val="center"/>
          </w:tcPr>
          <w:p>
            <w:pPr>
              <w:pStyle w:val="TableContents"/>
              <w:bidi w:val="0"/>
              <w:spacing w:before="0" w:after="283"/>
              <w:jc w:val="left"/>
              <w:rPr/>
            </w:pPr>
            <w:r>
              <w:rPr/>
              <w:t>11/24/2025</w:t>
            </w:r>
          </w:p>
        </w:tc>
        <w:tc>
          <w:tcPr>
            <w:tcW w:w="135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04/25/2022</w:t>
            </w:r>
          </w:p>
        </w:tc>
        <w:tc>
          <w:tcPr>
            <w:tcW w:w="1505" w:type="dxa"/>
            <w:tcBorders/>
            <w:vAlign w:val="center"/>
          </w:tcPr>
          <w:p>
            <w:pPr>
              <w:pStyle w:val="TableContents"/>
              <w:bidi w:val="0"/>
              <w:spacing w:before="0" w:after="283"/>
              <w:jc w:val="left"/>
              <w:rPr/>
            </w:pPr>
            <w:r>
              <w:rPr/>
              <w:t xml:space="preserve">Restricted Stock Units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38000</w:t>
            </w:r>
          </w:p>
        </w:tc>
        <w:tc>
          <w:tcPr>
            <w:tcW w:w="1078" w:type="dxa"/>
            <w:tcBorders/>
            <w:vAlign w:val="center"/>
          </w:tcPr>
          <w:p>
            <w:pPr>
              <w:pStyle w:val="TableContents"/>
              <w:bidi w:val="0"/>
              <w:spacing w:before="0" w:after="283"/>
              <w:jc w:val="left"/>
              <w:rPr/>
            </w:pPr>
            <w:r>
              <w:rPr/>
              <w:t>04/25/2022</w:t>
            </w:r>
          </w:p>
        </w:tc>
        <w:tc>
          <w:tcPr>
            <w:tcW w:w="1237" w:type="dxa"/>
            <w:tcBorders/>
            <w:vAlign w:val="center"/>
          </w:tcPr>
          <w:p>
            <w:pPr>
              <w:pStyle w:val="TableContents"/>
              <w:bidi w:val="0"/>
              <w:spacing w:before="0" w:after="283"/>
              <w:jc w:val="left"/>
              <w:rPr/>
            </w:pPr>
            <w:r>
              <w:rPr/>
              <w:t xml:space="preserve">Cash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81"/>
        <w:gridCol w:w="8224"/>
      </w:tblGrid>
      <w:tr>
        <w:trPr/>
        <w:tc>
          <w:tcPr>
            <w:tcW w:w="1981" w:type="dxa"/>
            <w:tcBorders/>
            <w:vAlign w:val="center"/>
          </w:tcPr>
          <w:p>
            <w:pPr>
              <w:pStyle w:val="TableContents"/>
              <w:bidi w:val="0"/>
              <w:spacing w:before="0" w:after="283"/>
              <w:jc w:val="left"/>
              <w:rPr/>
            </w:pPr>
            <w:r>
              <w:rPr/>
              <w:t>Remarks</w:t>
            </w:r>
          </w:p>
        </w:tc>
        <w:tc>
          <w:tcPr>
            <w:tcW w:w="8224"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pPr>
            <w:r>
              <w:rPr/>
              <w:t>Date of Notice</w:t>
            </w:r>
          </w:p>
        </w:tc>
        <w:tc>
          <w:tcPr>
            <w:tcW w:w="8224"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81" w:type="dxa"/>
            <w:tcBorders/>
            <w:vAlign w:val="center"/>
          </w:tcPr>
          <w:p>
            <w:pPr>
              <w:pStyle w:val="TableContents"/>
              <w:bidi w:val="0"/>
              <w:spacing w:before="0" w:after="283"/>
              <w:jc w:val="left"/>
              <w:rPr/>
            </w:pPr>
            <w:r>
              <w:rPr/>
              <w:t>Signature</w:t>
            </w:r>
          </w:p>
        </w:tc>
        <w:tc>
          <w:tcPr>
            <w:tcW w:w="8224" w:type="dxa"/>
            <w:tcBorders/>
            <w:vAlign w:val="center"/>
          </w:tcPr>
          <w:p>
            <w:pPr>
              <w:pStyle w:val="TableContents"/>
              <w:bidi w:val="0"/>
              <w:spacing w:before="0" w:after="0"/>
              <w:jc w:val="left"/>
              <w:rPr/>
            </w:pPr>
            <w:r>
              <w:rPr/>
              <w:t>/s/ Luca Lotito, as a duly authorized representative of STIFEL, as attorney-in-fact for Joshua Ruch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2966</Characters>
  <CharactersWithSpaces>3504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