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694690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720090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auto"/>
        </w:rPr>
        <w:t>Washington, D.C. 20549</w:t>
      </w:r>
    </w:p>
    <w:p>
      <w:pPr>
        <w:spacing w:after="0" w:line="145"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9" w:lineRule="exact"/>
        <w:rPr>
          <w:sz w:val="24"/>
          <w:szCs w:val="24"/>
          <w:color w:val="auto"/>
        </w:rPr>
      </w:pPr>
    </w:p>
    <w:p>
      <w:pPr>
        <w:ind w:left="480" w:right="480" w:hanging="456"/>
        <w:spacing w:after="0" w:line="192" w:lineRule="auto"/>
        <w:tabs>
          <w:tab w:leader="none" w:pos="480" w:val="left"/>
        </w:tabs>
        <w:numPr>
          <w:ilvl w:val="0"/>
          <w:numId w:val="1"/>
        </w:numPr>
        <w:rPr>
          <w:rFonts w:ascii="Arial" w:cs="Arial" w:eastAsia="Arial" w:hAnsi="Arial"/>
          <w:sz w:val="35"/>
          <w:szCs w:val="35"/>
          <w:color w:val="auto"/>
          <w:vertAlign w:val="superscript"/>
        </w:rPr>
      </w:pPr>
      <w:r>
        <w:rPr>
          <w:rFonts w:ascii="Arial" w:cs="Arial" w:eastAsia="Arial" w:hAnsi="Arial"/>
          <w:sz w:val="21"/>
          <w:szCs w:val="21"/>
          <w:b w:val="1"/>
          <w:bCs w:val="1"/>
          <w:color w:val="auto"/>
        </w:rPr>
        <w:t>QUARTERLY REPORT PURSUANT TO SECTION 13 OR 15(d) OF THE SECURITIES EXCHANGE ACT OF 1934</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60"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OR</w:t>
      </w:r>
    </w:p>
    <w:p>
      <w:pPr>
        <w:spacing w:after="0" w:line="218" w:lineRule="exact"/>
        <w:rPr>
          <w:sz w:val="24"/>
          <w:szCs w:val="24"/>
          <w:color w:val="auto"/>
        </w:rPr>
      </w:pPr>
    </w:p>
    <w:p>
      <w:pPr>
        <w:ind w:left="480" w:right="460" w:hanging="456"/>
        <w:spacing w:after="0" w:line="209" w:lineRule="auto"/>
        <w:tabs>
          <w:tab w:leader="none" w:pos="480" w:val="left"/>
        </w:tabs>
        <w:numPr>
          <w:ilvl w:val="0"/>
          <w:numId w:val="2"/>
        </w:numPr>
        <w:rPr>
          <w:rFonts w:ascii="MS PGothic" w:cs="MS PGothic" w:eastAsia="MS PGothic" w:hAnsi="MS PGothic"/>
          <w:sz w:val="35"/>
          <w:szCs w:val="35"/>
          <w:color w:val="auto"/>
          <w:vertAlign w:val="superscript"/>
        </w:rPr>
      </w:pPr>
      <w:r>
        <w:rPr>
          <w:rFonts w:ascii="Arial" w:cs="Arial" w:eastAsia="Arial" w:hAnsi="Arial"/>
          <w:sz w:val="21"/>
          <w:szCs w:val="21"/>
          <w:b w:val="1"/>
          <w:bCs w:val="1"/>
          <w:color w:val="auto"/>
        </w:rPr>
        <w:t>TRANSITION REPORT PURSUANT TO SECTION 13 OR 15(d) OF THE SECURITIES EXCHANGE ACT OF 1934</w:t>
      </w:r>
    </w:p>
    <w:p>
      <w:pPr>
        <w:spacing w:after="0" w:line="9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16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115570</wp:posOffset>
            </wp:positionV>
            <wp:extent cx="1892935" cy="572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2935" cy="572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1560" w:type="dxa"/>
        <w:tblCellMar>
          <w:top w:w="0" w:type="dxa"/>
          <w:left w:w="0" w:type="dxa"/>
          <w:bottom w:w="0" w:type="dxa"/>
          <w:right w:w="0" w:type="dxa"/>
        </w:tblCellMar>
      </w:tblPr>
      <w:tr>
        <w:trPr>
          <w:trHeight w:val="368"/>
        </w:trPr>
        <w:tc>
          <w:tcPr>
            <w:tcW w:w="6000" w:type="dxa"/>
            <w:vAlign w:val="bottom"/>
          </w:tcPr>
          <w:p>
            <w:pPr>
              <w:ind w:left="2700"/>
              <w:spacing w:after="0"/>
              <w:rPr>
                <w:sz w:val="20"/>
                <w:szCs w:val="20"/>
                <w:color w:val="auto"/>
              </w:rPr>
            </w:pPr>
            <w:r>
              <w:rPr>
                <w:rFonts w:ascii="Arial" w:cs="Arial" w:eastAsia="Arial" w:hAnsi="Arial"/>
                <w:sz w:val="28"/>
                <w:szCs w:val="28"/>
                <w:b w:val="1"/>
                <w:bCs w:val="1"/>
                <w:color w:val="auto"/>
              </w:rPr>
              <w:t>Sema4 Holdings Corp.</w:t>
            </w:r>
          </w:p>
        </w:tc>
        <w:tc>
          <w:tcPr>
            <w:tcW w:w="1880" w:type="dxa"/>
            <w:vAlign w:val="bottom"/>
          </w:tcPr>
          <w:p>
            <w:pPr>
              <w:spacing w:after="0"/>
              <w:rPr>
                <w:sz w:val="24"/>
                <w:szCs w:val="24"/>
                <w:color w:val="auto"/>
              </w:rPr>
            </w:pPr>
          </w:p>
        </w:tc>
      </w:tr>
      <w:tr>
        <w:trPr>
          <w:trHeight w:val="430"/>
        </w:trPr>
        <w:tc>
          <w:tcPr>
            <w:tcW w:w="7880" w:type="dxa"/>
            <w:vAlign w:val="bottom"/>
            <w:gridSpan w:val="2"/>
          </w:tcPr>
          <w:p>
            <w:pPr>
              <w:jc w:val="right"/>
              <w:ind w:right="1232"/>
              <w:spacing w:after="0"/>
              <w:rPr>
                <w:sz w:val="20"/>
                <w:szCs w:val="20"/>
                <w:color w:val="auto"/>
              </w:rPr>
            </w:pPr>
            <w:r>
              <w:rPr>
                <w:rFonts w:ascii="Arial" w:cs="Arial" w:eastAsia="Arial" w:hAnsi="Arial"/>
                <w:sz w:val="21"/>
                <w:szCs w:val="21"/>
                <w:b w:val="1"/>
                <w:bCs w:val="1"/>
                <w:color w:val="auto"/>
              </w:rPr>
              <w:t>(Exact name of registrant as specified in its charter)</w:t>
            </w:r>
          </w:p>
        </w:tc>
      </w:tr>
      <w:tr>
        <w:trPr>
          <w:trHeight w:val="399"/>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91"/>
              </w:rPr>
              <w:t>Delaware</w:t>
            </w:r>
          </w:p>
        </w:tc>
        <w:tc>
          <w:tcPr>
            <w:tcW w:w="1880" w:type="dxa"/>
            <w:vAlign w:val="bottom"/>
          </w:tcPr>
          <w:p>
            <w:pPr>
              <w:jc w:val="right"/>
              <w:ind w:right="172"/>
              <w:spacing w:after="0"/>
              <w:rPr>
                <w:sz w:val="20"/>
                <w:szCs w:val="20"/>
                <w:color w:val="auto"/>
              </w:rPr>
            </w:pPr>
            <w:r>
              <w:rPr>
                <w:rFonts w:ascii="Arial" w:cs="Arial" w:eastAsia="Arial" w:hAnsi="Arial"/>
                <w:sz w:val="18"/>
                <w:szCs w:val="18"/>
                <w:b w:val="1"/>
                <w:bCs w:val="1"/>
                <w:color w:val="auto"/>
              </w:rPr>
              <w:t>85-1966622</w:t>
            </w:r>
          </w:p>
        </w:tc>
      </w:tr>
      <w:tr>
        <w:trPr>
          <w:trHeight w:val="227"/>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0"/>
              </w:rPr>
              <w:t>(State or other jurisdiction of</w:t>
            </w:r>
          </w:p>
        </w:tc>
        <w:tc>
          <w:tcPr>
            <w:tcW w:w="1880" w:type="dxa"/>
            <w:vAlign w:val="bottom"/>
          </w:tcPr>
          <w:p>
            <w:pPr>
              <w:jc w:val="center"/>
              <w:ind w:left="472"/>
              <w:spacing w:after="0"/>
              <w:rPr>
                <w:sz w:val="20"/>
                <w:szCs w:val="20"/>
                <w:color w:val="auto"/>
              </w:rPr>
            </w:pPr>
            <w:r>
              <w:rPr>
                <w:rFonts w:ascii="Arial" w:cs="Arial" w:eastAsia="Arial" w:hAnsi="Arial"/>
                <w:sz w:val="18"/>
                <w:szCs w:val="18"/>
                <w:color w:val="auto"/>
                <w:w w:val="90"/>
              </w:rPr>
              <w:t>(I.R.S. Employer</w:t>
            </w:r>
          </w:p>
        </w:tc>
      </w:tr>
      <w:tr>
        <w:trPr>
          <w:trHeight w:val="223"/>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0"/>
              </w:rPr>
              <w:t>incorporation or organization)</w:t>
            </w:r>
          </w:p>
        </w:tc>
        <w:tc>
          <w:tcPr>
            <w:tcW w:w="1880" w:type="dxa"/>
            <w:vAlign w:val="bottom"/>
          </w:tcPr>
          <w:p>
            <w:pPr>
              <w:jc w:val="center"/>
              <w:ind w:left="472"/>
              <w:spacing w:after="0"/>
              <w:rPr>
                <w:sz w:val="20"/>
                <w:szCs w:val="20"/>
                <w:color w:val="auto"/>
              </w:rPr>
            </w:pPr>
            <w:r>
              <w:rPr>
                <w:rFonts w:ascii="Arial" w:cs="Arial" w:eastAsia="Arial" w:hAnsi="Arial"/>
                <w:sz w:val="18"/>
                <w:szCs w:val="18"/>
                <w:color w:val="auto"/>
                <w:w w:val="94"/>
              </w:rPr>
              <w:t>Identification No.)</w:t>
            </w:r>
          </w:p>
        </w:tc>
      </w:tr>
      <w:tr>
        <w:trPr>
          <w:trHeight w:val="274"/>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89"/>
              </w:rPr>
              <w:t>333 Ludlow Street, North Tower, 8th Floor</w:t>
            </w:r>
          </w:p>
        </w:tc>
        <w:tc>
          <w:tcPr>
            <w:tcW w:w="1880" w:type="dxa"/>
            <w:vAlign w:val="bottom"/>
          </w:tcPr>
          <w:p>
            <w:pPr>
              <w:spacing w:after="0"/>
              <w:rPr>
                <w:sz w:val="23"/>
                <w:szCs w:val="23"/>
                <w:color w:val="auto"/>
              </w:rPr>
            </w:pPr>
          </w:p>
        </w:tc>
      </w:tr>
      <w:tr>
        <w:trPr>
          <w:trHeight w:val="229"/>
        </w:trPr>
        <w:tc>
          <w:tcPr>
            <w:tcW w:w="6000" w:type="dxa"/>
            <w:vAlign w:val="bottom"/>
          </w:tcPr>
          <w:p>
            <w:pPr>
              <w:jc w:val="center"/>
              <w:ind w:right="2703"/>
              <w:spacing w:after="0"/>
              <w:rPr>
                <w:sz w:val="20"/>
                <w:szCs w:val="20"/>
                <w:color w:val="auto"/>
              </w:rPr>
            </w:pPr>
            <w:r>
              <w:rPr>
                <w:rFonts w:ascii="Arial" w:cs="Arial" w:eastAsia="Arial" w:hAnsi="Arial"/>
                <w:sz w:val="18"/>
                <w:szCs w:val="18"/>
                <w:b w:val="1"/>
                <w:bCs w:val="1"/>
                <w:color w:val="auto"/>
                <w:w w:val="89"/>
              </w:rPr>
              <w:t>Stamford, Connecticut</w:t>
            </w:r>
          </w:p>
        </w:tc>
        <w:tc>
          <w:tcPr>
            <w:tcW w:w="1880" w:type="dxa"/>
            <w:vAlign w:val="bottom"/>
          </w:tcPr>
          <w:p>
            <w:pPr>
              <w:jc w:val="center"/>
              <w:ind w:left="472"/>
              <w:spacing w:after="0"/>
              <w:rPr>
                <w:sz w:val="20"/>
                <w:szCs w:val="20"/>
                <w:color w:val="auto"/>
              </w:rPr>
            </w:pPr>
            <w:r>
              <w:rPr>
                <w:rFonts w:ascii="Arial" w:cs="Arial" w:eastAsia="Arial" w:hAnsi="Arial"/>
                <w:sz w:val="18"/>
                <w:szCs w:val="18"/>
                <w:b w:val="1"/>
                <w:bCs w:val="1"/>
                <w:color w:val="auto"/>
                <w:w w:val="87"/>
              </w:rPr>
              <w:t>06902</w:t>
            </w:r>
          </w:p>
        </w:tc>
      </w:tr>
      <w:tr>
        <w:trPr>
          <w:trHeight w:val="252"/>
        </w:trPr>
        <w:tc>
          <w:tcPr>
            <w:tcW w:w="6000" w:type="dxa"/>
            <w:vAlign w:val="bottom"/>
          </w:tcPr>
          <w:p>
            <w:pPr>
              <w:jc w:val="center"/>
              <w:ind w:right="2703"/>
              <w:spacing w:after="0"/>
              <w:rPr>
                <w:sz w:val="20"/>
                <w:szCs w:val="20"/>
                <w:color w:val="auto"/>
              </w:rPr>
            </w:pPr>
            <w:r>
              <w:rPr>
                <w:rFonts w:ascii="Arial" w:cs="Arial" w:eastAsia="Arial" w:hAnsi="Arial"/>
                <w:sz w:val="18"/>
                <w:szCs w:val="18"/>
                <w:color w:val="auto"/>
                <w:w w:val="91"/>
              </w:rPr>
              <w:t>(Address of Principal Executive Offices)</w:t>
            </w:r>
          </w:p>
        </w:tc>
        <w:tc>
          <w:tcPr>
            <w:tcW w:w="1880" w:type="dxa"/>
            <w:vAlign w:val="bottom"/>
          </w:tcPr>
          <w:p>
            <w:pPr>
              <w:jc w:val="center"/>
              <w:ind w:left="452"/>
              <w:spacing w:after="0"/>
              <w:rPr>
                <w:sz w:val="20"/>
                <w:szCs w:val="20"/>
                <w:color w:val="auto"/>
              </w:rPr>
            </w:pPr>
            <w:r>
              <w:rPr>
                <w:rFonts w:ascii="Arial" w:cs="Arial" w:eastAsia="Arial" w:hAnsi="Arial"/>
                <w:sz w:val="18"/>
                <w:szCs w:val="18"/>
                <w:color w:val="auto"/>
                <w:w w:val="91"/>
              </w:rPr>
              <w:t>(Zip Code)</w:t>
            </w:r>
          </w:p>
        </w:tc>
      </w:tr>
    </w:tbl>
    <w:p>
      <w:pPr>
        <w:spacing w:after="0" w:line="26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 298-6470</w:t>
      </w:r>
    </w:p>
    <w:p>
      <w:pPr>
        <w:spacing w:after="0" w:line="22"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206"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6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8"/>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r>
        <w:trPr>
          <w:trHeight w:val="250"/>
        </w:trPr>
        <w:tc>
          <w:tcPr>
            <w:tcW w:w="462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Class A common stock, par value $0.0001 per share</w:t>
            </w:r>
          </w:p>
        </w:tc>
        <w:tc>
          <w:tcPr>
            <w:tcW w:w="18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SMFR</w:t>
            </w:r>
          </w:p>
        </w:tc>
        <w:tc>
          <w:tcPr>
            <w:tcW w:w="4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The Nasdaq Global Select Market</w:t>
            </w:r>
          </w:p>
        </w:tc>
      </w:tr>
      <w:tr>
        <w:trPr>
          <w:trHeight w:val="187"/>
        </w:trPr>
        <w:tc>
          <w:tcPr>
            <w:tcW w:w="4620" w:type="dxa"/>
            <w:vAlign w:val="bottom"/>
            <w:tcBorders>
              <w:top w:val="single" w:sz="8" w:color="auto"/>
              <w:left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6"/>
              </w:rPr>
              <w:t>Warrants to purchase one share of Class A common stock,</w:t>
            </w:r>
          </w:p>
        </w:tc>
        <w:tc>
          <w:tcPr>
            <w:tcW w:w="188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9"/>
              </w:rPr>
              <w:t>SMFRW</w:t>
            </w:r>
          </w:p>
        </w:tc>
        <w:tc>
          <w:tcPr>
            <w:tcW w:w="4760" w:type="dxa"/>
            <w:vAlign w:val="bottom"/>
            <w:tcBorders>
              <w:top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0"/>
              </w:rPr>
              <w:t>The Nasdaq Global Select Market</w:t>
            </w:r>
          </w:p>
        </w:tc>
      </w:tr>
      <w:tr>
        <w:trPr>
          <w:trHeight w:val="229"/>
        </w:trPr>
        <w:tc>
          <w:tcPr>
            <w:tcW w:w="4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each at an exercise price of $11.50 per share</w:t>
            </w:r>
          </w:p>
        </w:tc>
        <w:tc>
          <w:tcPr>
            <w:tcW w:w="1880" w:type="dxa"/>
            <w:vAlign w:val="bottom"/>
            <w:tcBorders>
              <w:right w:val="single" w:sz="8" w:color="auto"/>
            </w:tcBorders>
          </w:tcPr>
          <w:p>
            <w:pPr>
              <w:spacing w:after="0"/>
              <w:rPr>
                <w:sz w:val="19"/>
                <w:szCs w:val="19"/>
                <w:color w:val="auto"/>
              </w:rPr>
            </w:pPr>
          </w:p>
        </w:tc>
        <w:tc>
          <w:tcPr>
            <w:tcW w:w="4760" w:type="dxa"/>
            <w:vAlign w:val="bottom"/>
            <w:tcBorders>
              <w:right w:val="single" w:sz="8" w:color="auto"/>
            </w:tcBorders>
          </w:tcPr>
          <w:p>
            <w:pPr>
              <w:spacing w:after="0"/>
              <w:rPr>
                <w:sz w:val="19"/>
                <w:szCs w:val="19"/>
                <w:color w:val="auto"/>
              </w:rPr>
            </w:pPr>
          </w:p>
        </w:tc>
      </w:tr>
      <w:tr>
        <w:trPr>
          <w:trHeight w:val="27"/>
        </w:trPr>
        <w:tc>
          <w:tcPr>
            <w:tcW w:w="4620" w:type="dxa"/>
            <w:vAlign w:val="bottom"/>
            <w:tcBorders>
              <w:left w:val="single" w:sz="8" w:color="auto"/>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4760" w:type="dxa"/>
            <w:vAlign w:val="bottom"/>
            <w:tcBorders>
              <w:bottom w:val="single" w:sz="8" w:color="auto"/>
              <w:right w:val="single" w:sz="8" w:color="auto"/>
            </w:tcBorders>
          </w:tcPr>
          <w:p>
            <w:pPr>
              <w:spacing w:after="0"/>
              <w:rPr>
                <w:sz w:val="2"/>
                <w:szCs w:val="2"/>
                <w:color w:val="auto"/>
              </w:rPr>
            </w:pPr>
          </w:p>
        </w:tc>
      </w:tr>
    </w:tbl>
    <w:p>
      <w:pPr>
        <w:spacing w:after="0" w:line="226"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5"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35" w:lineRule="exact"/>
        <w:rPr>
          <w:sz w:val="24"/>
          <w:szCs w:val="24"/>
          <w:color w:val="auto"/>
        </w:rPr>
      </w:pPr>
    </w:p>
    <w:p>
      <w:pPr>
        <w:jc w:val="both"/>
        <w:ind w:right="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5"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o</w:t>
            </w:r>
          </w:p>
        </w:tc>
        <w:tc>
          <w:tcPr>
            <w:tcW w:w="472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120"/>
              <w:spacing w:after="0"/>
              <w:rPr>
                <w:sz w:val="20"/>
                <w:szCs w:val="20"/>
                <w:color w:val="auto"/>
              </w:rPr>
            </w:pPr>
            <w:r>
              <w:rPr>
                <w:rFonts w:ascii="Arial" w:cs="Arial" w:eastAsia="Arial" w:hAnsi="Arial"/>
                <w:sz w:val="18"/>
                <w:szCs w:val="18"/>
                <w:color w:val="auto"/>
                <w:w w:val="79"/>
              </w:rPr>
              <w:t>o</w:t>
            </w:r>
          </w:p>
        </w:tc>
      </w:tr>
      <w:tr>
        <w:trPr>
          <w:trHeight w:val="252"/>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20" w:type="dxa"/>
            <w:vAlign w:val="bottom"/>
          </w:tcPr>
          <w:p>
            <w:pPr>
              <w:ind w:left="740"/>
              <w:spacing w:after="0"/>
              <w:rPr>
                <w:sz w:val="20"/>
                <w:szCs w:val="20"/>
                <w:color w:val="auto"/>
              </w:rPr>
            </w:pPr>
            <w:r>
              <w:rPr>
                <w:rFonts w:ascii="Arial" w:cs="Arial" w:eastAsia="Arial" w:hAnsi="Arial"/>
                <w:sz w:val="18"/>
                <w:szCs w:val="18"/>
                <w:color w:val="auto"/>
              </w:rPr>
              <w:t>x</w:t>
            </w:r>
          </w:p>
        </w:tc>
        <w:tc>
          <w:tcPr>
            <w:tcW w:w="472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r>
        <w:trPr>
          <w:trHeight w:val="252"/>
        </w:trPr>
        <w:tc>
          <w:tcPr>
            <w:tcW w:w="23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72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120"/>
              <w:spacing w:after="0"/>
              <w:rPr>
                <w:sz w:val="20"/>
                <w:szCs w:val="20"/>
                <w:color w:val="auto"/>
              </w:rPr>
            </w:pPr>
            <w:r>
              <w:rPr>
                <w:rFonts w:ascii="Arial" w:cs="Arial" w:eastAsia="Arial" w:hAnsi="Arial"/>
                <w:sz w:val="18"/>
                <w:szCs w:val="18"/>
                <w:color w:val="auto"/>
                <w:w w:val="88"/>
              </w:rPr>
              <w:t>x</w:t>
            </w:r>
          </w:p>
        </w:tc>
      </w:tr>
    </w:tbl>
    <w:p>
      <w:pPr>
        <w:spacing w:after="0" w:line="26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ectPr>
          <w:pgSz w:w="11900" w:h="16838" w:orient="portrait"/>
          <w:cols w:equalWidth="0" w:num="1">
            <w:col w:w="11260"/>
          </w:cols>
          <w:pgMar w:left="320" w:top="1370" w:right="319" w:bottom="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The registrant had outstanding 380,641,510 shares of Class A common stock as of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819785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193040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36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20" w:type="dxa"/>
            <w:vAlign w:val="bottom"/>
            <w:gridSpan w:val="7"/>
          </w:tcPr>
          <w:p>
            <w:pPr>
              <w:ind w:left="6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Explanatory Note</w:t>
            </w:r>
          </w:p>
        </w:tc>
        <w:tc>
          <w:tcPr>
            <w:tcW w:w="8740" w:type="dxa"/>
            <w:vAlign w:val="bottom"/>
            <w:gridSpan w:val="16"/>
          </w:tcPr>
          <w:p>
            <w:pPr>
              <w:spacing w:after="0"/>
              <w:rPr>
                <w:sz w:val="18"/>
                <w:szCs w:val="18"/>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Cautionary Note Regarding Forward Looking Statements</w:t>
            </w:r>
          </w:p>
        </w:tc>
        <w:tc>
          <w:tcPr>
            <w:tcW w:w="5940" w:type="dxa"/>
            <w:vAlign w:val="bottom"/>
            <w:gridSpan w:val="9"/>
          </w:tcPr>
          <w:p>
            <w:pPr>
              <w:spacing w:after="0"/>
              <w:rPr>
                <w:sz w:val="20"/>
                <w:szCs w:val="20"/>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0000FF"/>
              </w:rPr>
              <w:t>Part I. Financial Information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Unaudited Condensed Consolidated Financial Statements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8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5"/>
              </w:rPr>
              <w:t>Condensed Consolidated Balance Sheets</w:t>
            </w:r>
          </w:p>
        </w:tc>
        <w:tc>
          <w:tcPr>
            <w:tcW w:w="1020" w:type="dxa"/>
            <w:vAlign w:val="bottom"/>
            <w:tcBorders>
              <w:top w:val="single" w:sz="8" w:color="0000FF"/>
            </w:tcBorders>
            <w:gridSpan w:val="2"/>
          </w:tcPr>
          <w:p>
            <w:pPr>
              <w:spacing w:after="0"/>
              <w:rPr>
                <w:sz w:val="20"/>
                <w:szCs w:val="20"/>
                <w:color w:val="auto"/>
              </w:rPr>
            </w:pPr>
          </w:p>
        </w:tc>
        <w:tc>
          <w:tcPr>
            <w:tcW w:w="4860" w:type="dxa"/>
            <w:vAlign w:val="bottom"/>
            <w:gridSpan w:val="6"/>
          </w:tcPr>
          <w:p>
            <w:pPr>
              <w:spacing w:after="0"/>
              <w:rPr>
                <w:sz w:val="20"/>
                <w:szCs w:val="20"/>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6"/>
              </w:rPr>
              <w:t>Condensed Consolidated Statements of Operations and Comprehensive Loss</w:t>
            </w:r>
          </w:p>
        </w:tc>
        <w:tc>
          <w:tcPr>
            <w:tcW w:w="3340" w:type="dxa"/>
            <w:vAlign w:val="bottom"/>
            <w:gridSpan w:val="3"/>
          </w:tcPr>
          <w:p>
            <w:pPr>
              <w:spacing w:after="0"/>
              <w:rPr>
                <w:sz w:val="20"/>
                <w:szCs w:val="20"/>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740" w:type="dxa"/>
            <w:vAlign w:val="bottom"/>
            <w:gridSpan w:val="16"/>
          </w:tcPr>
          <w:p>
            <w:pPr>
              <w:spacing w:after="0"/>
              <w:rPr>
                <w:sz w:val="20"/>
                <w:szCs w:val="20"/>
                <w:color w:val="auto"/>
              </w:rPr>
            </w:pPr>
            <w:r>
              <w:rPr>
                <w:rFonts w:ascii="Arial" w:cs="Arial" w:eastAsia="Arial" w:hAnsi="Arial"/>
                <w:sz w:val="18"/>
                <w:szCs w:val="18"/>
                <w:color w:val="0000FF"/>
                <w:w w:val="95"/>
              </w:rPr>
              <w:t>Condensed Consolidated Statement of Redeemable Convertible Preferred Stock and Stockholders' Equity (Deficit)</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8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660" w:type="dxa"/>
            <w:vAlign w:val="bottom"/>
          </w:tcPr>
          <w:p>
            <w:pPr>
              <w:spacing w:after="0"/>
              <w:rPr>
                <w:sz w:val="20"/>
                <w:szCs w:val="20"/>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vMerge w:val="restart"/>
          </w:tcPr>
          <w:p>
            <w:pPr>
              <w:jc w:val="center"/>
              <w:ind w:left="31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2"/>
            <w:vMerge w:val="restart"/>
          </w:tcPr>
          <w:p>
            <w:pPr>
              <w:spacing w:after="0"/>
              <w:rPr>
                <w:sz w:val="20"/>
                <w:szCs w:val="20"/>
                <w:color w:val="auto"/>
              </w:rPr>
            </w:pPr>
            <w:r>
              <w:rPr>
                <w:rFonts w:ascii="Arial" w:cs="Arial" w:eastAsia="Arial" w:hAnsi="Arial"/>
                <w:sz w:val="18"/>
                <w:szCs w:val="18"/>
                <w:color w:val="0000FF"/>
                <w:w w:val="87"/>
              </w:rPr>
              <w:t>Notes to Unaudited Condensed Consolidated Financial Statements</w:t>
            </w:r>
          </w:p>
        </w:tc>
        <w:tc>
          <w:tcPr>
            <w:tcW w:w="4060" w:type="dxa"/>
            <w:vAlign w:val="bottom"/>
            <w:gridSpan w:val="4"/>
            <w:vMerge w:val="restart"/>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80" w:type="dxa"/>
            <w:vAlign w:val="bottom"/>
            <w:tcBorders>
              <w:bottom w:val="single" w:sz="8" w:color="0000FF"/>
            </w:tcBorders>
            <w:gridSpan w:val="12"/>
            <w:vMerge w:val="continue"/>
          </w:tcPr>
          <w:p>
            <w:pPr>
              <w:spacing w:after="0"/>
              <w:rPr>
                <w:sz w:val="4"/>
                <w:szCs w:val="4"/>
                <w:color w:val="auto"/>
              </w:rPr>
            </w:pPr>
          </w:p>
        </w:tc>
        <w:tc>
          <w:tcPr>
            <w:tcW w:w="406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tcBorders>
              <w:left w:val="single" w:sz="8" w:color="0000FF"/>
            </w:tcBorders>
            <w:gridSpan w:val="3"/>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Quantitative and Qualitative Disclosures About Market Risk</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660" w:type="dxa"/>
            <w:vAlign w:val="bottom"/>
            <w:tcBorders>
              <w:left w:val="single" w:sz="8" w:color="0000FF"/>
            </w:tcBorders>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Controls and Procedures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20" w:type="dxa"/>
            <w:vAlign w:val="bottom"/>
          </w:tcPr>
          <w:p>
            <w:pPr>
              <w:spacing w:after="0"/>
              <w:rPr>
                <w:sz w:val="24"/>
                <w:szCs w:val="24"/>
                <w:color w:val="auto"/>
              </w:rPr>
            </w:pPr>
          </w:p>
        </w:tc>
        <w:tc>
          <w:tcPr>
            <w:tcW w:w="10000" w:type="dxa"/>
            <w:vAlign w:val="bottom"/>
            <w:gridSpan w:val="23"/>
          </w:tcPr>
          <w:p>
            <w:pPr>
              <w:spacing w:after="0"/>
              <w:rPr>
                <w:sz w:val="20"/>
                <w:szCs w:val="20"/>
                <w:color w:val="auto"/>
              </w:rPr>
            </w:pPr>
            <w:r>
              <w:rPr>
                <w:rFonts w:ascii="Arial" w:cs="Arial" w:eastAsia="Arial" w:hAnsi="Arial"/>
                <w:sz w:val="18"/>
                <w:szCs w:val="18"/>
                <w:color w:val="0000FF"/>
              </w:rPr>
              <w:t>Part II. Other Information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1.</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Legal Proceedings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2"/>
              </w:rPr>
              <w:t>Item 1A.</w:t>
            </w:r>
          </w:p>
        </w:tc>
        <w:tc>
          <w:tcPr>
            <w:tcW w:w="280" w:type="dxa"/>
            <w:vAlign w:val="bottom"/>
            <w:gridSpan w:val="2"/>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Risk Factors</w:t>
            </w:r>
          </w:p>
        </w:tc>
        <w:tc>
          <w:tcPr>
            <w:tcW w:w="1220" w:type="dxa"/>
            <w:vAlign w:val="bottom"/>
          </w:tcPr>
          <w:p>
            <w:pPr>
              <w:jc w:val="center"/>
              <w:ind w:left="312"/>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rPr>
              <w:t>Item 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Unregistered Sales of Equity Securities and Use of Proceeds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3.</w:t>
            </w:r>
          </w:p>
        </w:tc>
        <w:tc>
          <w:tcPr>
            <w:tcW w:w="2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Defaults Upon Senior Securities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640" w:type="dxa"/>
            <w:vAlign w:val="bottom"/>
            <w:gridSpan w:val="1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Mine Safety Disclosures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180" w:type="dxa"/>
            <w:vAlign w:val="bottom"/>
            <w:gridSpan w:val="1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5.</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Other Information</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6.</w:t>
            </w:r>
          </w:p>
        </w:tc>
        <w:tc>
          <w:tcPr>
            <w:tcW w:w="400" w:type="dxa"/>
            <w:vAlign w:val="bottom"/>
            <w:gridSpan w:val="3"/>
          </w:tcPr>
          <w:p>
            <w:pPr>
              <w:spacing w:after="0"/>
              <w:rPr>
                <w:sz w:val="20"/>
                <w:szCs w:val="20"/>
                <w:color w:val="auto"/>
              </w:rPr>
            </w:pPr>
          </w:p>
        </w:tc>
        <w:tc>
          <w:tcPr>
            <w:tcW w:w="9080" w:type="dxa"/>
            <w:vAlign w:val="bottom"/>
            <w:gridSpan w:val="18"/>
          </w:tcPr>
          <w:p>
            <w:pPr>
              <w:ind w:left="160"/>
              <w:spacing w:after="0"/>
              <w:rPr>
                <w:sz w:val="20"/>
                <w:szCs w:val="20"/>
                <w:color w:val="auto"/>
              </w:rPr>
            </w:pPr>
            <w:r>
              <w:rPr>
                <w:rFonts w:ascii="Arial" w:cs="Arial" w:eastAsia="Arial" w:hAnsi="Arial"/>
                <w:sz w:val="18"/>
                <w:szCs w:val="18"/>
                <w:color w:val="0000FF"/>
              </w:rPr>
              <w:t>Exhibits</w:t>
            </w: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93"/>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jc w:val="center"/>
              <w:ind w:left="332"/>
              <w:spacing w:after="0"/>
              <w:rPr>
                <w:sz w:val="20"/>
                <w:szCs w:val="20"/>
                <w:color w:val="auto"/>
              </w:rPr>
            </w:pPr>
            <w:r>
              <w:rPr>
                <w:rFonts w:ascii="Arial" w:cs="Arial" w:eastAsia="Arial" w:hAnsi="Arial"/>
                <w:sz w:val="18"/>
                <w:szCs w:val="18"/>
                <w:color w:val="auto"/>
                <w:w w:val="79"/>
              </w:rPr>
              <w:t>111</w:t>
            </w:r>
          </w:p>
        </w:tc>
        <w:tc>
          <w:tcPr>
            <w:tcW w:w="0" w:type="dxa"/>
            <w:vAlign w:val="bottom"/>
          </w:tcPr>
          <w:p>
            <w:pPr>
              <w:spacing w:after="0"/>
              <w:rPr>
                <w:sz w:val="1"/>
                <w:szCs w:val="1"/>
                <w:color w:val="auto"/>
              </w:rPr>
            </w:pPr>
          </w:p>
        </w:tc>
      </w:tr>
      <w:tr>
        <w:trPr>
          <w:trHeight w:val="1033"/>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ind w:left="5000"/>
        <w:spacing w:after="0"/>
        <w:rPr>
          <w:sz w:val="20"/>
          <w:szCs w:val="20"/>
          <w:color w:val="auto"/>
        </w:rPr>
      </w:pPr>
      <w:r>
        <w:rPr>
          <w:rFonts w:ascii="Arial" w:cs="Arial" w:eastAsia="Arial" w:hAnsi="Arial"/>
          <w:sz w:val="18"/>
          <w:szCs w:val="18"/>
          <w:b w:val="1"/>
          <w:bCs w:val="1"/>
          <w:color w:val="auto"/>
        </w:rPr>
        <w:t>EXPLANATORY NOTE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stated in this report or the context otherwise requires, references to:</w:t>
      </w:r>
    </w:p>
    <w:p>
      <w:pPr>
        <w:spacing w:after="0" w:line="45" w:lineRule="exact"/>
        <w:rPr>
          <w:sz w:val="20"/>
          <w:szCs w:val="20"/>
          <w:color w:val="auto"/>
        </w:rPr>
      </w:pPr>
    </w:p>
    <w:p>
      <w:pPr>
        <w:jc w:val="both"/>
        <w:ind w:left="640" w:hanging="316"/>
        <w:spacing w:after="0" w:line="242"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spacing w:after="0" w:line="28" w:lineRule="exact"/>
        <w:rPr>
          <w:rFonts w:ascii="Arial" w:cs="Arial" w:eastAsia="Arial" w:hAnsi="Arial"/>
          <w:sz w:val="21"/>
          <w:szCs w:val="21"/>
          <w:color w:val="auto"/>
        </w:rPr>
      </w:pPr>
    </w:p>
    <w:p>
      <w:pPr>
        <w:ind w:left="640" w:hanging="316"/>
        <w:spacing w:after="0" w:line="232"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“GeneDx” refer to GeneDx, LLC, a Delaware limited liability company (formerly, GeneDx, Inc., a New Jersey corporation), which we acquired on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29" w:lineRule="exact"/>
        <w:rPr>
          <w:sz w:val="20"/>
          <w:szCs w:val="20"/>
          <w:color w:val="auto"/>
        </w:rPr>
      </w:pPr>
    </w:p>
    <w:p>
      <w:pPr>
        <w:ind w:left="1280" w:right="540" w:hanging="638"/>
        <w:spacing w:after="0" w:line="232" w:lineRule="auto"/>
        <w:tabs>
          <w:tab w:leader="none" w:pos="1275"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3" w:lineRule="exact"/>
        <w:rPr>
          <w:rFonts w:ascii="Arial" w:cs="Arial" w:eastAsia="Arial" w:hAnsi="Arial"/>
          <w:sz w:val="21"/>
          <w:szCs w:val="21"/>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w:t>
      </w:r>
    </w:p>
    <w:p>
      <w:pPr>
        <w:spacing w:after="0" w:line="18" w:lineRule="exact"/>
        <w:rPr>
          <w:rFonts w:ascii="Arial" w:cs="Arial" w:eastAsia="Arial" w:hAnsi="Arial"/>
          <w:sz w:val="18"/>
          <w:szCs w:val="18"/>
          <w:color w:val="auto"/>
        </w:rPr>
      </w:pPr>
    </w:p>
    <w:p>
      <w:pPr>
        <w:ind w:left="1280" w:right="560" w:hanging="638"/>
        <w:spacing w:after="0" w:line="252"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the ongoing COVID-19 pandemic;</w:t>
      </w:r>
    </w:p>
    <w:p>
      <w:pPr>
        <w:ind w:left="1280" w:hanging="638"/>
        <w:spacing w:after="0" w:line="237" w:lineRule="auto"/>
        <w:tabs>
          <w:tab w:leader="none" w:pos="128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ability to realize the benefits expected from our April 2022 acquisition of GeneDx;</w:t>
      </w:r>
    </w:p>
    <w:p>
      <w:pPr>
        <w:spacing w:after="0" w:line="41" w:lineRule="exact"/>
        <w:rPr>
          <w:rFonts w:ascii="Arial" w:cs="Arial" w:eastAsia="Arial" w:hAnsi="Arial"/>
          <w:sz w:val="21"/>
          <w:szCs w:val="21"/>
          <w:color w:val="auto"/>
        </w:rPr>
      </w:pPr>
    </w:p>
    <w:p>
      <w:pPr>
        <w:ind w:left="1280" w:right="420" w:hanging="638"/>
        <w:spacing w:after="0"/>
        <w:tabs>
          <w:tab w:leader="none" w:pos="1275"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expectations regarding our plans to exit our somatic tumor testing business and the associated cost savings and impact on our gross margins;</w:t>
      </w:r>
    </w:p>
    <w:p>
      <w:pPr>
        <w:spacing w:after="0" w:line="2" w:lineRule="exact"/>
        <w:rPr>
          <w:rFonts w:ascii="Arial" w:cs="Arial" w:eastAsia="Arial" w:hAnsi="Arial"/>
          <w:sz w:val="21"/>
          <w:szCs w:val="21"/>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or the FDA, or other regulatory authorities;</w:t>
      </w:r>
    </w:p>
    <w:p>
      <w:pPr>
        <w:spacing w:after="0" w:line="18" w:lineRule="exact"/>
        <w:rPr>
          <w:rFonts w:ascii="Arial" w:cs="Arial" w:eastAsia="Arial" w:hAnsi="Arial"/>
          <w:sz w:val="18"/>
          <w:szCs w:val="18"/>
          <w:color w:val="auto"/>
        </w:rPr>
      </w:pPr>
    </w:p>
    <w:p>
      <w:pPr>
        <w:ind w:left="1280" w:right="480" w:hanging="638"/>
        <w:spacing w:after="0" w:line="253"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1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 negotiations and settlements;</w:t>
      </w:r>
    </w:p>
    <w:p>
      <w:pPr>
        <w:spacing w:after="0" w:line="18" w:lineRule="exact"/>
        <w:rPr>
          <w:rFonts w:ascii="Arial" w:cs="Arial" w:eastAsia="Arial" w:hAnsi="Arial"/>
          <w:sz w:val="18"/>
          <w:szCs w:val="18"/>
          <w:color w:val="auto"/>
        </w:rPr>
      </w:pPr>
    </w:p>
    <w:p>
      <w:pPr>
        <w:ind w:left="1280" w:right="560" w:hanging="638"/>
        <w:spacing w:after="0" w:line="253"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laboratories and service providers for our test volume in connection with our diagnostic solutions and data programs;</w:t>
      </w: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Nasdaq listing rules;</w:t>
      </w:r>
    </w:p>
    <w:p>
      <w:pPr>
        <w:spacing w:after="0" w:line="3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future capital requirements;</w:t>
      </w:r>
    </w:p>
    <w:p>
      <w:pPr>
        <w:spacing w:after="0" w:line="5" w:lineRule="exact"/>
        <w:rPr>
          <w:rFonts w:ascii="Arial" w:cs="Arial" w:eastAsia="Arial" w:hAnsi="Arial"/>
          <w:sz w:val="18"/>
          <w:szCs w:val="18"/>
          <w:color w:val="auto"/>
        </w:rPr>
      </w:pPr>
    </w:p>
    <w:p>
      <w:pPr>
        <w:ind w:left="1280" w:right="500" w:hanging="638"/>
        <w:spacing w:after="0" w:line="236"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accounting estimates, including the adequacy of our reserves for third party payor claims and our estimates of the fair value of the milestone payments related to the GeneDx acquisition; and</w:t>
      </w:r>
    </w:p>
    <w:p>
      <w:pPr>
        <w:spacing w:after="0" w:line="2"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5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30, 2022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(unaudited)</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284,647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45,803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26,509</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41,601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33,456</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7,993</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402,701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483,544</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193,663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181,184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9"/>
        </w:trPr>
        <w:tc>
          <w:tcPr>
            <w:tcW w:w="81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933,280</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554,093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64,801</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Short-term lease liabilities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81,619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33,387</w:t>
            </w:r>
          </w:p>
        </w:tc>
        <w:tc>
          <w:tcPr>
            <w:tcW w:w="0" w:type="dxa"/>
            <w:vAlign w:val="bottom"/>
          </w:tcPr>
          <w:p>
            <w:pPr>
              <w:spacing w:after="0"/>
              <w:rPr>
                <w:sz w:val="1"/>
                <w:szCs w:val="1"/>
                <w:color w:val="auto"/>
              </w:rPr>
            </w:pPr>
          </w:p>
        </w:tc>
      </w:tr>
      <w:tr>
        <w:trPr>
          <w:trHeight w:val="218"/>
        </w:trPr>
        <w:tc>
          <w:tcPr>
            <w:tcW w:w="8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204,606</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101,284</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62,806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21,907</w:t>
            </w:r>
          </w:p>
        </w:tc>
        <w:tc>
          <w:tcPr>
            <w:tcW w:w="0" w:type="dxa"/>
            <w:vAlign w:val="bottom"/>
          </w:tcPr>
          <w:p>
            <w:pPr>
              <w:spacing w:after="0"/>
              <w:rPr>
                <w:sz w:val="1"/>
                <w:szCs w:val="1"/>
                <w:color w:val="auto"/>
              </w:rPr>
            </w:pP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Deferred taxes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2,668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21,555</w:t>
            </w:r>
          </w:p>
        </w:tc>
        <w:tc>
          <w:tcPr>
            <w:tcW w:w="0" w:type="dxa"/>
            <w:vAlign w:val="bottom"/>
          </w:tcPr>
          <w:p>
            <w:pPr>
              <w:spacing w:after="0"/>
              <w:rPr>
                <w:sz w:val="1"/>
                <w:szCs w:val="1"/>
                <w:color w:val="auto"/>
              </w:rPr>
            </w:pP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Earn-out contingent liabilities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10,244</w:t>
            </w: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296,006</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line="173" w:lineRule="exact"/>
              <w:rPr>
                <w:sz w:val="20"/>
                <w:szCs w:val="20"/>
                <w:color w:val="auto"/>
              </w:rPr>
            </w:pPr>
            <w:r>
              <w:rPr>
                <w:rFonts w:ascii="Arial" w:cs="Arial" w:eastAsia="Arial" w:hAnsi="Arial"/>
                <w:sz w:val="18"/>
                <w:szCs w:val="18"/>
                <w:color w:val="auto"/>
                <w:w w:val="87"/>
              </w:rPr>
              <w:t>Preferred Stock, $0.0001 par value: 1,000,000 and 0 shares authorized at June 30, 2022 and December 31, 2021,</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340"/>
              <w:spacing w:after="0"/>
              <w:rPr>
                <w:sz w:val="20"/>
                <w:szCs w:val="20"/>
                <w:color w:val="auto"/>
              </w:rPr>
            </w:pPr>
            <w:r>
              <w:rPr>
                <w:rFonts w:ascii="Arial" w:cs="Arial" w:eastAsia="Arial" w:hAnsi="Arial"/>
                <w:sz w:val="18"/>
                <w:szCs w:val="18"/>
                <w:color w:val="auto"/>
                <w:w w:val="96"/>
              </w:rPr>
              <w:t>respectively; 0 shares issued and outstanding at June 30, 2022 and December 31, 2021, respectively</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18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1"/>
              </w:rPr>
              <w:t>Class A common stock, $0.0001 par value, 1,000,000,000 shares authorized, 379,896,799 shares issued and</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18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w w:val="92"/>
              </w:rPr>
              <w:t>outstanding at June 30, 2022 and $0.0001 par value: 380,000,000 shares authorized, 242,647,604 shares</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December 31, 2021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1,375,315</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963,520</w:t>
            </w:r>
          </w:p>
        </w:tc>
        <w:tc>
          <w:tcPr>
            <w:tcW w:w="0" w:type="dxa"/>
            <w:vAlign w:val="bottom"/>
          </w:tcPr>
          <w:p>
            <w:pPr>
              <w:spacing w:after="0"/>
              <w:rPr>
                <w:sz w:val="1"/>
                <w:szCs w:val="1"/>
                <w:color w:val="auto"/>
              </w:rPr>
            </w:pP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(738,079)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(575,441)</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637,274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388,103</w:t>
            </w: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933,280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554,093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4"/>
          </w:tcPr>
          <w:p>
            <w:pPr>
              <w:jc w:val="right"/>
              <w:ind w:right="43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5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 (1)</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 (1)</w:t>
            </w:r>
          </w:p>
        </w:tc>
      </w:tr>
      <w:tr>
        <w:trPr>
          <w:trHeight w:val="212"/>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73"/>
        </w:trPr>
        <w:tc>
          <w:tcPr>
            <w:tcW w:w="5860" w:type="dxa"/>
            <w:vAlign w:val="bottom"/>
          </w:tcPr>
          <w:p>
            <w:pPr>
              <w:ind w:left="180"/>
              <w:spacing w:after="0" w:line="173" w:lineRule="exact"/>
              <w:rPr>
                <w:sz w:val="20"/>
                <w:szCs w:val="20"/>
                <w:color w:val="auto"/>
              </w:rPr>
            </w:pPr>
            <w:r>
              <w:rPr>
                <w:rFonts w:ascii="Arial" w:cs="Arial" w:eastAsia="Arial" w:hAnsi="Arial"/>
                <w:sz w:val="18"/>
                <w:szCs w:val="18"/>
                <w:color w:val="auto"/>
                <w:w w:val="93"/>
              </w:rPr>
              <w:t>Diagnostic test revenue (including related party revenue of $413 and $37 for</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5860" w:type="dxa"/>
            <w:vAlign w:val="bottom"/>
          </w:tcPr>
          <w:p>
            <w:pPr>
              <w:ind w:left="340"/>
              <w:spacing w:after="0" w:line="186" w:lineRule="exact"/>
              <w:rPr>
                <w:sz w:val="20"/>
                <w:szCs w:val="20"/>
                <w:color w:val="auto"/>
              </w:rPr>
            </w:pPr>
            <w:r>
              <w:rPr>
                <w:rFonts w:ascii="Arial" w:cs="Arial" w:eastAsia="Arial" w:hAnsi="Arial"/>
                <w:sz w:val="18"/>
                <w:szCs w:val="18"/>
                <w:color w:val="auto"/>
                <w:w w:val="89"/>
              </w:rPr>
              <w:t>the three months ended and $583 and $70 for the six months ended June 30,</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4"/>
        </w:trPr>
        <w:tc>
          <w:tcPr>
            <w:tcW w:w="5860" w:type="dxa"/>
            <w:vAlign w:val="bottom"/>
          </w:tcPr>
          <w:p>
            <w:pPr>
              <w:ind w:left="340"/>
              <w:spacing w:after="0"/>
              <w:rPr>
                <w:sz w:val="20"/>
                <w:szCs w:val="20"/>
                <w:color w:val="auto"/>
              </w:rPr>
            </w:pPr>
            <w:r>
              <w:rPr>
                <w:rFonts w:ascii="Arial" w:cs="Arial" w:eastAsia="Arial" w:hAnsi="Arial"/>
                <w:sz w:val="18"/>
                <w:szCs w:val="18"/>
                <w:color w:val="auto"/>
              </w:rPr>
              <w:t>2022 and 2021, respectively)</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34,004</w:t>
            </w:r>
          </w:p>
        </w:tc>
        <w:tc>
          <w:tcPr>
            <w:tcW w:w="8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44,803</w:t>
            </w:r>
          </w:p>
        </w:tc>
        <w:tc>
          <w:tcPr>
            <w:tcW w:w="8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86,499</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107,563</w:t>
            </w:r>
          </w:p>
        </w:tc>
      </w:tr>
      <w:tr>
        <w:trPr>
          <w:trHeight w:val="174"/>
        </w:trPr>
        <w:tc>
          <w:tcPr>
            <w:tcW w:w="58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4"/>
              </w:rPr>
              <w:t>Other revenue (including related party revenue of $73 and $62 for the three</w:t>
            </w: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6"/>
        </w:trPr>
        <w:tc>
          <w:tcPr>
            <w:tcW w:w="5860" w:type="dxa"/>
            <w:vAlign w:val="bottom"/>
            <w:shd w:val="clear" w:color="auto" w:fill="CCEEFF"/>
          </w:tcPr>
          <w:p>
            <w:pPr>
              <w:ind w:left="340"/>
              <w:spacing w:after="0" w:line="186" w:lineRule="exact"/>
              <w:rPr>
                <w:sz w:val="20"/>
                <w:szCs w:val="20"/>
                <w:color w:val="auto"/>
              </w:rPr>
            </w:pPr>
            <w:r>
              <w:rPr>
                <w:rFonts w:ascii="Arial" w:cs="Arial" w:eastAsia="Arial" w:hAnsi="Arial"/>
                <w:sz w:val="18"/>
                <w:szCs w:val="18"/>
                <w:color w:val="auto"/>
                <w:w w:val="89"/>
              </w:rPr>
              <w:t>months and $147 and $89 for the six months ended June 30, 2022 and 2021,</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4"/>
        </w:trPr>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18"/>
        </w:trPr>
        <w:tc>
          <w:tcPr>
            <w:tcW w:w="58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111,216</w:t>
            </w:r>
          </w:p>
        </w:tc>
      </w:tr>
      <w:tr>
        <w:trPr>
          <w:trHeight w:val="154"/>
        </w:trPr>
        <w:tc>
          <w:tcPr>
            <w:tcW w:w="58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8"/>
              </w:rPr>
              <w:t>Cost of services (including related party expenses of $1,348 and $1,008 for the</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5"/>
        </w:trPr>
        <w:tc>
          <w:tcPr>
            <w:tcW w:w="5860" w:type="dxa"/>
            <w:vAlign w:val="bottom"/>
            <w:shd w:val="clear" w:color="auto" w:fill="CCEEFF"/>
          </w:tcPr>
          <w:p>
            <w:pPr>
              <w:ind w:left="180"/>
              <w:spacing w:after="0" w:line="186" w:lineRule="exact"/>
              <w:rPr>
                <w:sz w:val="20"/>
                <w:szCs w:val="20"/>
                <w:color w:val="auto"/>
              </w:rPr>
            </w:pPr>
            <w:r>
              <w:rPr>
                <w:rFonts w:ascii="Arial" w:cs="Arial" w:eastAsia="Arial" w:hAnsi="Arial"/>
                <w:sz w:val="18"/>
                <w:szCs w:val="18"/>
                <w:color w:val="auto"/>
                <w:w w:val="90"/>
              </w:rPr>
              <w:t>three months ended and $2,404 and $1,286 for the six months ended June 30,</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4"/>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and 2021,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116,703</w:t>
            </w:r>
          </w:p>
        </w:tc>
      </w:tr>
      <w:tr>
        <w:trPr>
          <w:trHeight w:val="218"/>
        </w:trPr>
        <w:tc>
          <w:tcPr>
            <w:tcW w:w="58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Gross profit (loss)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w:t>
            </w:r>
          </w:p>
        </w:tc>
      </w:tr>
      <w:tr>
        <w:trPr>
          <w:trHeight w:val="225"/>
        </w:trPr>
        <w:tc>
          <w:tcPr>
            <w:tcW w:w="58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53,940</w:t>
            </w: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114,908</w:t>
            </w:r>
          </w:p>
        </w:tc>
      </w:tr>
      <w:tr>
        <w:trPr>
          <w:trHeight w:val="225"/>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r>
      <w:tr>
        <w:trPr>
          <w:trHeight w:val="218"/>
        </w:trPr>
        <w:tc>
          <w:tcPr>
            <w:tcW w:w="5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(162,649)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(251,954)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(242,105)</w:t>
            </w:r>
          </w:p>
        </w:tc>
      </w:tr>
      <w:tr>
        <w:trPr>
          <w:trHeight w:val="193"/>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5860" w:type="dxa"/>
            <w:vAlign w:val="bottom"/>
          </w:tcPr>
          <w:p>
            <w:pPr>
              <w:ind w:left="180"/>
              <w:spacing w:after="0"/>
              <w:rPr>
                <w:sz w:val="20"/>
                <w:szCs w:val="20"/>
                <w:color w:val="auto"/>
              </w:rPr>
            </w:pPr>
            <w:r>
              <w:rPr>
                <w:rFonts w:ascii="Arial" w:cs="Arial" w:eastAsia="Arial" w:hAnsi="Arial"/>
                <w:sz w:val="18"/>
                <w:szCs w:val="18"/>
                <w:color w:val="auto"/>
                <w:w w:val="98"/>
              </w:rPr>
              <w:t>Change in fair market value of warrant and earn-out contingent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58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2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18"/>
        </w:trPr>
        <w:tc>
          <w:tcPr>
            <w:tcW w:w="5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27,830</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40,239</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w:t>
            </w:r>
          </w:p>
        </w:tc>
      </w:tr>
      <w:tr>
        <w:trPr>
          <w:trHeight w:val="21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(237,936)</w:t>
            </w:r>
          </w:p>
        </w:tc>
      </w:tr>
      <w:tr>
        <w:trPr>
          <w:trHeight w:val="225"/>
        </w:trPr>
        <w:tc>
          <w:tcPr>
            <w:tcW w:w="58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(162,638)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(237,936)</w:t>
            </w:r>
          </w:p>
        </w:tc>
      </w:tr>
      <w:tr>
        <w:trPr>
          <w:trHeight w:val="218"/>
        </w:trPr>
        <w:tc>
          <w:tcPr>
            <w:tcW w:w="5860" w:type="dxa"/>
            <w:vAlign w:val="bottom"/>
          </w:tcPr>
          <w:p>
            <w:pPr>
              <w:ind w:left="20"/>
              <w:spacing w:after="0"/>
              <w:rPr>
                <w:sz w:val="20"/>
                <w:szCs w:val="20"/>
                <w:color w:val="auto"/>
              </w:rPr>
            </w:pPr>
            <w:r>
              <w:rPr>
                <w:rFonts w:ascii="Arial" w:cs="Arial" w:eastAsia="Arial" w:hAnsi="Arial"/>
                <w:sz w:val="18"/>
                <w:szCs w:val="18"/>
                <w:color w:val="auto"/>
              </w:rPr>
              <w:t>Weighted average shares outstanding of Class A common stock</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337,752,029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1,100,734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291,318,351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826,778</w:t>
            </w:r>
          </w:p>
        </w:tc>
      </w:tr>
      <w:tr>
        <w:trPr>
          <w:trHeight w:val="22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w:t>
            </w:r>
          </w:p>
        </w:tc>
      </w:tr>
    </w:tbl>
    <w:p>
      <w:pPr>
        <w:spacing w:after="0" w:line="229" w:lineRule="exact"/>
        <w:rPr>
          <w:sz w:val="20"/>
          <w:szCs w:val="20"/>
          <w:color w:val="auto"/>
        </w:rPr>
      </w:pPr>
    </w:p>
    <w:p>
      <w:pPr>
        <w:ind w:firstLine="6"/>
        <w:spacing w:after="0" w:line="246" w:lineRule="auto"/>
        <w:tabs>
          <w:tab w:leader="none" w:pos="225"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22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Consolidated Statement of Redeemable Convertible Preferred Stock and Stockholders' Equity (Deficit)</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350"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Three months ended June 30, 2022</w:t>
      </w:r>
    </w:p>
    <w:p>
      <w:pPr>
        <w:spacing w:after="0" w:line="44"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2540" w:type="dxa"/>
            <w:vAlign w:val="bottom"/>
          </w:tcPr>
          <w:p>
            <w:pPr>
              <w:spacing w:after="0"/>
              <w:rPr>
                <w:sz w:val="18"/>
                <w:szCs w:val="18"/>
                <w:color w:val="auto"/>
              </w:rPr>
            </w:pPr>
          </w:p>
        </w:tc>
        <w:tc>
          <w:tcPr>
            <w:tcW w:w="236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Preferred Stock</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20" w:type="dxa"/>
            <w:vAlign w:val="bottom"/>
            <w:gridSpan w:val="8"/>
          </w:tcPr>
          <w:p>
            <w:pPr>
              <w:ind w:left="380"/>
              <w:spacing w:after="0"/>
              <w:rPr>
                <w:sz w:val="20"/>
                <w:szCs w:val="20"/>
                <w:color w:val="auto"/>
              </w:rPr>
            </w:pPr>
            <w:r>
              <w:rPr>
                <w:rFonts w:ascii="Arial" w:cs="Arial" w:eastAsia="Arial" w:hAnsi="Arial"/>
                <w:sz w:val="14"/>
                <w:szCs w:val="14"/>
                <w:b w:val="1"/>
                <w:bCs w:val="1"/>
                <w:color w:val="auto"/>
              </w:rPr>
              <w:t>Class A Common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36"/>
        </w:trPr>
        <w:tc>
          <w:tcPr>
            <w:tcW w:w="25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180" w:type="dxa"/>
            <w:vAlign w:val="bottom"/>
            <w:gridSpan w:val="3"/>
            <w:vMerge w:val="restart"/>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Additional paid-</w:t>
            </w:r>
          </w:p>
        </w:tc>
        <w:tc>
          <w:tcPr>
            <w:tcW w:w="120" w:type="dxa"/>
            <w:vAlign w:val="bottom"/>
          </w:tcPr>
          <w:p>
            <w:pPr>
              <w:spacing w:after="0"/>
              <w:rPr>
                <w:sz w:val="3"/>
                <w:szCs w:val="3"/>
                <w:color w:val="auto"/>
              </w:rPr>
            </w:pPr>
          </w:p>
        </w:tc>
        <w:tc>
          <w:tcPr>
            <w:tcW w:w="10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3"/>
                <w:szCs w:val="3"/>
                <w:color w:val="auto"/>
              </w:rPr>
            </w:pPr>
          </w:p>
        </w:tc>
        <w:tc>
          <w:tcPr>
            <w:tcW w:w="1000" w:type="dxa"/>
            <w:vAlign w:val="bottom"/>
            <w:vMerge w:val="restart"/>
          </w:tcPr>
          <w:p>
            <w:pPr>
              <w:jc w:val="center"/>
              <w:ind w:right="57"/>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6"/>
        </w:trPr>
        <w:tc>
          <w:tcPr>
            <w:tcW w:w="254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 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deficit</w:t>
            </w: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4"/>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245,154,475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981,757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(652,337)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329,444</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(85,742)</w:t>
            </w:r>
          </w:p>
        </w:tc>
        <w:tc>
          <w:tcPr>
            <w:tcW w:w="0" w:type="dxa"/>
            <w:vAlign w:val="bottom"/>
          </w:tcPr>
          <w:p>
            <w:pPr>
              <w:spacing w:after="0"/>
              <w:rPr>
                <w:sz w:val="1"/>
                <w:szCs w:val="1"/>
                <w:color w:val="auto"/>
              </w:rPr>
            </w:pPr>
          </w:p>
        </w:tc>
      </w:tr>
      <w:tr>
        <w:trPr>
          <w:trHeight w:val="22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4,216,674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1,192</w:t>
            </w:r>
          </w:p>
        </w:tc>
        <w:tc>
          <w:tcPr>
            <w:tcW w:w="0" w:type="dxa"/>
            <w:vAlign w:val="bottom"/>
          </w:tcPr>
          <w:p>
            <w:pPr>
              <w:spacing w:after="0"/>
              <w:rPr>
                <w:sz w:val="1"/>
                <w:szCs w:val="1"/>
                <w:color w:val="auto"/>
              </w:rPr>
            </w:pPr>
          </w:p>
        </w:tc>
      </w:tr>
      <w:tr>
        <w:trPr>
          <w:trHeight w:val="173"/>
        </w:trPr>
        <w:tc>
          <w:tcPr>
            <w:tcW w:w="3320" w:type="dxa"/>
            <w:vAlign w:val="bottom"/>
            <w:gridSpan w:val="2"/>
          </w:tcPr>
          <w:p>
            <w:pPr>
              <w:ind w:left="180"/>
              <w:spacing w:after="0" w:line="173" w:lineRule="exact"/>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22,721</w:t>
            </w:r>
          </w:p>
        </w:tc>
        <w:tc>
          <w:tcPr>
            <w:tcW w:w="0" w:type="dxa"/>
            <w:vAlign w:val="bottom"/>
          </w:tcPr>
          <w:p>
            <w:pPr>
              <w:spacing w:after="0"/>
              <w:rPr>
                <w:sz w:val="1"/>
                <w:szCs w:val="1"/>
                <w:color w:val="auto"/>
              </w:rPr>
            </w:pPr>
          </w:p>
        </w:tc>
      </w:tr>
      <w:tr>
        <w:trPr>
          <w:trHeight w:val="174"/>
        </w:trPr>
        <w:tc>
          <w:tcPr>
            <w:tcW w:w="332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Shares issued for PIPE, net of</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197,659</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Shares issued for acquisition (1)</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80,000,000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172,000</w:t>
            </w:r>
          </w:p>
        </w:tc>
        <w:tc>
          <w:tcPr>
            <w:tcW w:w="0" w:type="dxa"/>
            <w:vAlign w:val="bottom"/>
          </w:tcPr>
          <w:p>
            <w:pPr>
              <w:spacing w:after="0"/>
              <w:rPr>
                <w:sz w:val="1"/>
                <w:szCs w:val="1"/>
                <w:color w:val="auto"/>
              </w:rPr>
            </w:pPr>
          </w:p>
        </w:tc>
      </w:tr>
      <w:tr>
        <w:trPr>
          <w:trHeight w:val="173"/>
        </w:trPr>
        <w:tc>
          <w:tcPr>
            <w:tcW w:w="3320" w:type="dxa"/>
            <w:vAlign w:val="bottom"/>
            <w:gridSpan w:val="2"/>
            <w:shd w:val="clear" w:color="auto" w:fill="CCEEFF"/>
          </w:tcPr>
          <w:p>
            <w:pPr>
              <w:ind w:left="180"/>
              <w:spacing w:after="0" w:line="173" w:lineRule="exact"/>
              <w:rPr>
                <w:sz w:val="20"/>
                <w:szCs w:val="20"/>
                <w:color w:val="auto"/>
              </w:rPr>
            </w:pPr>
            <w:r>
              <w:rPr>
                <w:rFonts w:ascii="Arial" w:cs="Arial" w:eastAsia="Arial" w:hAnsi="Arial"/>
                <w:sz w:val="18"/>
                <w:szCs w:val="18"/>
                <w:color w:val="auto"/>
              </w:rPr>
              <w:t>Vested restricted stock units</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converted to common stock</w:t>
            </w: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525,650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379,896,799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1,375,315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(738,079)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637,274</w:t>
            </w:r>
          </w:p>
        </w:tc>
        <w:tc>
          <w:tcPr>
            <w:tcW w:w="0" w:type="dxa"/>
            <w:vAlign w:val="bottom"/>
          </w:tcPr>
          <w:p>
            <w:pPr>
              <w:spacing w:after="0"/>
              <w:rPr>
                <w:sz w:val="1"/>
                <w:szCs w:val="1"/>
                <w:color w:val="auto"/>
              </w:rPr>
            </w:pPr>
          </w:p>
        </w:tc>
      </w:tr>
      <w:tr>
        <w:trPr>
          <w:trHeight w:val="878"/>
        </w:trPr>
        <w:tc>
          <w:tcPr>
            <w:tcW w:w="2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9"/>
          </w:tcPr>
          <w:p>
            <w:pPr>
              <w:ind w:left="120"/>
              <w:spacing w:after="0"/>
              <w:rPr>
                <w:sz w:val="20"/>
                <w:szCs w:val="20"/>
                <w:color w:val="auto"/>
              </w:rPr>
            </w:pPr>
            <w:r>
              <w:rPr>
                <w:rFonts w:ascii="Arial" w:cs="Arial" w:eastAsia="Arial" w:hAnsi="Arial"/>
                <w:sz w:val="16"/>
                <w:szCs w:val="16"/>
                <w:b w:val="1"/>
                <w:bCs w:val="1"/>
                <w:color w:val="auto"/>
                <w:w w:val="92"/>
              </w:rPr>
              <w:t>Six months ended June 30, 2022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18"/>
                <w:szCs w:val="18"/>
                <w:color w:val="auto"/>
              </w:rPr>
            </w:pPr>
          </w:p>
        </w:tc>
        <w:tc>
          <w:tcPr>
            <w:tcW w:w="2360" w:type="dxa"/>
            <w:vAlign w:val="bottom"/>
            <w:tcBorders>
              <w:right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2"/>
              </w:rPr>
              <w:t>Redeemable Convertible Preferred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gridSpan w:val="3"/>
            <w:vMerge w:val="restart"/>
          </w:tcPr>
          <w:p>
            <w:pPr>
              <w:jc w:val="center"/>
              <w:ind w:left="53"/>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gridSpan w:val="7"/>
            <w:vMerge w:val="restart"/>
          </w:tcPr>
          <w:p>
            <w:pPr>
              <w:ind w:left="400"/>
              <w:spacing w:after="0"/>
              <w:rPr>
                <w:sz w:val="20"/>
                <w:szCs w:val="20"/>
                <w:color w:val="auto"/>
              </w:rPr>
            </w:pPr>
            <w:r>
              <w:rPr>
                <w:rFonts w:ascii="Arial" w:cs="Arial" w:eastAsia="Arial" w:hAnsi="Arial"/>
                <w:sz w:val="14"/>
                <w:szCs w:val="14"/>
                <w:b w:val="1"/>
                <w:bCs w:val="1"/>
                <w:color w:val="auto"/>
              </w:rPr>
              <w:t>Class A Common Stock</w:t>
            </w:r>
          </w:p>
        </w:tc>
        <w:tc>
          <w:tcPr>
            <w:tcW w:w="6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gridSpan w:val="3"/>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bottom w:val="single" w:sz="8" w:color="auto"/>
            </w:tcBorders>
            <w:gridSpan w:val="7"/>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4"/>
              </w:rPr>
              <w:t>Additional paid-</w:t>
            </w: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0"/>
                <w:szCs w:val="10"/>
                <w:color w:val="auto"/>
              </w:rPr>
            </w:pPr>
          </w:p>
        </w:tc>
        <w:tc>
          <w:tcPr>
            <w:tcW w:w="1000" w:type="dxa"/>
            <w:vAlign w:val="bottom"/>
          </w:tcPr>
          <w:p>
            <w:pPr>
              <w:jc w:val="center"/>
              <w:ind w:right="57"/>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right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Par value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 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deficit</w:t>
            </w:r>
          </w:p>
        </w:tc>
        <w:tc>
          <w:tcPr>
            <w:tcW w:w="120" w:type="dxa"/>
            <w:vAlign w:val="bottom"/>
          </w:tcPr>
          <w:p>
            <w:pPr>
              <w:spacing w:after="0"/>
              <w:rPr>
                <w:sz w:val="16"/>
                <w:szCs w:val="16"/>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25"/>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3"/>
              </w:rPr>
              <w:t>Balances at December 31, 2021</w:t>
            </w: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242,647,604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(575,441)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(162,638)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(162,638)</w:t>
            </w:r>
          </w:p>
        </w:tc>
        <w:tc>
          <w:tcPr>
            <w:tcW w:w="0" w:type="dxa"/>
            <w:vAlign w:val="bottom"/>
          </w:tcPr>
          <w:p>
            <w:pPr>
              <w:spacing w:after="0"/>
              <w:rPr>
                <w:sz w:val="1"/>
                <w:szCs w:val="1"/>
                <w:color w:val="auto"/>
              </w:rPr>
            </w:pPr>
          </w:p>
        </w:tc>
      </w:tr>
      <w:tr>
        <w:trPr>
          <w:trHeight w:val="225"/>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 exercises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6,325,176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1,870</w:t>
            </w:r>
          </w:p>
        </w:tc>
        <w:tc>
          <w:tcPr>
            <w:tcW w:w="0" w:type="dxa"/>
            <w:vAlign w:val="bottom"/>
          </w:tcPr>
          <w:p>
            <w:pPr>
              <w:spacing w:after="0"/>
              <w:rPr>
                <w:sz w:val="1"/>
                <w:szCs w:val="1"/>
                <w:color w:val="auto"/>
              </w:rPr>
            </w:pPr>
          </w:p>
        </w:tc>
      </w:tr>
      <w:tr>
        <w:trPr>
          <w:trHeight w:val="173"/>
        </w:trPr>
        <w:tc>
          <w:tcPr>
            <w:tcW w:w="3320" w:type="dxa"/>
            <w:vAlign w:val="bottom"/>
            <w:gridSpan w:val="2"/>
          </w:tcPr>
          <w:p>
            <w:pPr>
              <w:ind w:left="180"/>
              <w:spacing w:after="0" w:line="173" w:lineRule="exact"/>
              <w:rPr>
                <w:sz w:val="20"/>
                <w:szCs w:val="20"/>
                <w:color w:val="auto"/>
              </w:rPr>
            </w:pPr>
            <w:r>
              <w:rPr>
                <w:rFonts w:ascii="Arial" w:cs="Arial" w:eastAsia="Arial" w:hAnsi="Arial"/>
                <w:sz w:val="18"/>
                <w:szCs w:val="18"/>
                <w:color w:val="auto"/>
              </w:rPr>
              <w:t>Stock based compensation</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expense</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2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40,280</w:t>
            </w:r>
          </w:p>
        </w:tc>
        <w:tc>
          <w:tcPr>
            <w:tcW w:w="0" w:type="dxa"/>
            <w:vAlign w:val="bottom"/>
          </w:tcPr>
          <w:p>
            <w:pPr>
              <w:spacing w:after="0"/>
              <w:rPr>
                <w:sz w:val="1"/>
                <w:szCs w:val="1"/>
                <w:color w:val="auto"/>
              </w:rPr>
            </w:pPr>
          </w:p>
        </w:tc>
      </w:tr>
      <w:tr>
        <w:trPr>
          <w:trHeight w:val="174"/>
        </w:trPr>
        <w:tc>
          <w:tcPr>
            <w:tcW w:w="332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Shares issued for PIPE, net of</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197,654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197,659</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80"/>
              <w:spacing w:after="0"/>
              <w:rPr>
                <w:sz w:val="20"/>
                <w:szCs w:val="20"/>
                <w:color w:val="auto"/>
              </w:rPr>
            </w:pPr>
            <w:r>
              <w:rPr>
                <w:rFonts w:ascii="Arial" w:cs="Arial" w:eastAsia="Arial" w:hAnsi="Arial"/>
                <w:sz w:val="18"/>
                <w:szCs w:val="18"/>
                <w:color w:val="auto"/>
              </w:rPr>
              <w:t>Shares issued for acquisition (1)</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Borders>
              <w:right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80,000,000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172,000</w:t>
            </w:r>
          </w:p>
        </w:tc>
        <w:tc>
          <w:tcPr>
            <w:tcW w:w="0" w:type="dxa"/>
            <w:vAlign w:val="bottom"/>
          </w:tcPr>
          <w:p>
            <w:pPr>
              <w:spacing w:after="0"/>
              <w:rPr>
                <w:sz w:val="1"/>
                <w:szCs w:val="1"/>
                <w:color w:val="auto"/>
              </w:rPr>
            </w:pPr>
          </w:p>
        </w:tc>
      </w:tr>
      <w:tr>
        <w:trPr>
          <w:trHeight w:val="173"/>
        </w:trPr>
        <w:tc>
          <w:tcPr>
            <w:tcW w:w="3320" w:type="dxa"/>
            <w:vAlign w:val="bottom"/>
            <w:gridSpan w:val="2"/>
            <w:shd w:val="clear" w:color="auto" w:fill="CCEEFF"/>
          </w:tcPr>
          <w:p>
            <w:pPr>
              <w:ind w:left="180"/>
              <w:spacing w:after="0" w:line="173" w:lineRule="exact"/>
              <w:rPr>
                <w:sz w:val="20"/>
                <w:szCs w:val="20"/>
                <w:color w:val="auto"/>
              </w:rPr>
            </w:pPr>
            <w:r>
              <w:rPr>
                <w:rFonts w:ascii="Arial" w:cs="Arial" w:eastAsia="Arial" w:hAnsi="Arial"/>
                <w:sz w:val="18"/>
                <w:szCs w:val="18"/>
                <w:color w:val="auto"/>
              </w:rPr>
              <w:t>Vested restricted stock units</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converted to common stock</w:t>
            </w:r>
          </w:p>
        </w:tc>
        <w:tc>
          <w:tcPr>
            <w:tcW w:w="7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right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924,019</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8"/>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right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379,896,799</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1,375,315</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(738,079)</w:t>
            </w: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637,274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0" w:firstLine="6"/>
        <w:spacing w:after="0" w:line="265" w:lineRule="auto"/>
        <w:tabs>
          <w:tab w:leader="none" w:pos="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Of the 80 million shares issued for acquisition, 8.3 million shares are held by an escrow agent for a one year escrow period During this period, the seller retains all rights with respect to the escrow shares, including voting rights and rights to receive dividends and other distributions on such escrow shares.</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Redeemable Convertible Preferred Stock and Stockholders' Equity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Three months ended June 30, 2021 (1)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0"/>
              </w:rPr>
              <w:t>Redeemable Convertible</w:t>
            </w:r>
          </w:p>
        </w:tc>
        <w:tc>
          <w:tcPr>
            <w:tcW w:w="20" w:type="dxa"/>
            <w:vAlign w:val="bottom"/>
          </w:tcPr>
          <w:p>
            <w:pPr>
              <w:spacing w:after="0"/>
              <w:rPr>
                <w:sz w:val="14"/>
                <w:szCs w:val="14"/>
                <w:color w:val="auto"/>
              </w:rPr>
            </w:pPr>
          </w:p>
        </w:tc>
        <w:tc>
          <w:tcPr>
            <w:tcW w:w="190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Class A Common Stock</w:t>
            </w:r>
          </w:p>
        </w:tc>
        <w:tc>
          <w:tcPr>
            <w:tcW w:w="19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9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23"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1"/>
              </w:rPr>
              <w:t>paid-in</w:t>
            </w: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deficit (1)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66"/>
        </w:trPr>
        <w:tc>
          <w:tcPr>
            <w:tcW w:w="198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rPr>
              <w:t>Balances at March 31,</w:t>
            </w:r>
          </w:p>
        </w:tc>
        <w:tc>
          <w:tcPr>
            <w:tcW w:w="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171,535,213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334,439</w:t>
            </w: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748,761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(521,826)</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(521,826)</w:t>
            </w:r>
          </w:p>
        </w:tc>
        <w:tc>
          <w:tcPr>
            <w:tcW w:w="0" w:type="dxa"/>
            <w:vAlign w:val="bottom"/>
          </w:tcPr>
          <w:p>
            <w:pPr>
              <w:spacing w:after="0"/>
              <w:rPr>
                <w:sz w:val="1"/>
                <w:szCs w:val="1"/>
                <w:color w:val="auto"/>
              </w:rPr>
            </w:pPr>
          </w:p>
        </w:tc>
      </w:tr>
      <w:tr>
        <w:trPr>
          <w:trHeight w:val="225"/>
        </w:trPr>
        <w:tc>
          <w:tcPr>
            <w:tcW w:w="19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(46,161)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(46,161)</w:t>
            </w:r>
          </w:p>
        </w:tc>
        <w:tc>
          <w:tcPr>
            <w:tcW w:w="0" w:type="dxa"/>
            <w:vAlign w:val="bottom"/>
          </w:tcPr>
          <w:p>
            <w:pPr>
              <w:spacing w:after="0"/>
              <w:rPr>
                <w:sz w:val="1"/>
                <w:szCs w:val="1"/>
                <w:color w:val="auto"/>
              </w:rPr>
            </w:pPr>
          </w:p>
        </w:tc>
      </w:tr>
      <w:tr>
        <w:trPr>
          <w:trHeight w:val="225"/>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Stock option exercises</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59"/>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June 30, 2021</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171,535,213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rPr>
              <w:t>4,458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1,383,736</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(567,987)</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(566,504)</w:t>
            </w:r>
          </w:p>
        </w:tc>
        <w:tc>
          <w:tcPr>
            <w:tcW w:w="0" w:type="dxa"/>
            <w:vAlign w:val="bottom"/>
          </w:tcPr>
          <w:p>
            <w:pPr>
              <w:spacing w:after="0"/>
              <w:rPr>
                <w:sz w:val="1"/>
                <w:szCs w:val="1"/>
                <w:color w:val="auto"/>
              </w:rPr>
            </w:pPr>
          </w:p>
        </w:tc>
      </w:tr>
      <w:tr>
        <w:trPr>
          <w:trHeight w:val="836"/>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7"/>
          </w:tcPr>
          <w:p>
            <w:pPr>
              <w:ind w:left="320"/>
              <w:spacing w:after="0"/>
              <w:rPr>
                <w:sz w:val="20"/>
                <w:szCs w:val="20"/>
                <w:color w:val="auto"/>
              </w:rPr>
            </w:pPr>
            <w:r>
              <w:rPr>
                <w:rFonts w:ascii="Arial" w:cs="Arial" w:eastAsia="Arial" w:hAnsi="Arial"/>
                <w:sz w:val="16"/>
                <w:szCs w:val="16"/>
                <w:b w:val="1"/>
                <w:bCs w:val="1"/>
                <w:color w:val="auto"/>
                <w:w w:val="93"/>
              </w:rPr>
              <w:t>Six months ended June 30, 2021 (1)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1"/>
              </w:rPr>
              <w:t>Redeemable Convertible</w:t>
            </w:r>
          </w:p>
        </w:tc>
        <w:tc>
          <w:tcPr>
            <w:tcW w:w="20" w:type="dxa"/>
            <w:vAlign w:val="bottom"/>
          </w:tcPr>
          <w:p>
            <w:pPr>
              <w:spacing w:after="0"/>
              <w:rPr>
                <w:sz w:val="24"/>
                <w:szCs w:val="24"/>
                <w:color w:val="auto"/>
              </w:rPr>
            </w:pPr>
          </w:p>
        </w:tc>
        <w:tc>
          <w:tcPr>
            <w:tcW w:w="190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Class A Common Stock</w:t>
            </w:r>
          </w:p>
        </w:tc>
        <w:tc>
          <w:tcPr>
            <w:tcW w:w="194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Preferred Stock</w:t>
            </w:r>
          </w:p>
        </w:tc>
        <w:tc>
          <w:tcPr>
            <w:tcW w:w="20" w:type="dxa"/>
            <w:vAlign w:val="bottom"/>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194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180"/>
              <w:spacing w:after="0" w:line="123"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6"/>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1"/>
              </w:rPr>
              <w:t>paid-in</w:t>
            </w: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89"/>
        </w:trPr>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deficit (1)</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66"/>
        </w:trPr>
        <w:tc>
          <w:tcPr>
            <w:tcW w:w="198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8"/>
                <w:szCs w:val="18"/>
                <w:b w:val="1"/>
                <w:bCs w:val="1"/>
                <w:color w:val="auto"/>
                <w:w w:val="87"/>
              </w:rPr>
              <w:t>Balances at December 31,</w:t>
            </w: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right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171,535,213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334,439</w:t>
            </w:r>
          </w:p>
        </w:tc>
        <w:tc>
          <w:tcPr>
            <w:tcW w:w="120" w:type="dxa"/>
            <w:vAlign w:val="bottom"/>
            <w:tcBorders>
              <w:right w:val="single" w:sz="8" w:color="auto"/>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130,557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(330,051)</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(330,051)</w:t>
            </w: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(237,936)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(237,936)</w:t>
            </w: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exercises</w:t>
            </w:r>
          </w:p>
        </w:tc>
        <w:tc>
          <w:tcPr>
            <w:tcW w:w="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4,334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58"/>
        </w:trPr>
        <w:tc>
          <w:tcPr>
            <w:tcW w:w="1980" w:type="dxa"/>
            <w:vAlign w:val="bottom"/>
          </w:tcPr>
          <w:p>
            <w:pPr>
              <w:ind w:left="20"/>
              <w:spacing w:after="0"/>
              <w:rPr>
                <w:sz w:val="20"/>
                <w:szCs w:val="20"/>
                <w:color w:val="auto"/>
              </w:rPr>
            </w:pPr>
            <w:r>
              <w:rPr>
                <w:rFonts w:ascii="Arial" w:cs="Arial" w:eastAsia="Arial" w:hAnsi="Arial"/>
                <w:sz w:val="18"/>
                <w:szCs w:val="18"/>
                <w:b w:val="1"/>
                <w:bCs w:val="1"/>
                <w:color w:val="auto"/>
                <w:w w:val="91"/>
              </w:rPr>
              <w:t>Balance at June 30, 2021</w:t>
            </w:r>
          </w:p>
        </w:tc>
        <w:tc>
          <w:tcPr>
            <w:tcW w:w="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171,535,213</w:t>
            </w:r>
          </w:p>
        </w:tc>
        <w:tc>
          <w:tcPr>
            <w:tcW w:w="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334,439</w:t>
            </w:r>
          </w:p>
        </w:tc>
        <w:tc>
          <w:tcPr>
            <w:tcW w:w="120" w:type="dxa"/>
            <w:vAlign w:val="bottom"/>
            <w:tcBorders>
              <w:top w:val="single" w:sz="8" w:color="auto"/>
              <w:bottom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4,458</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1,383,736</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1,483</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 (567,987)</w:t>
            </w:r>
          </w:p>
        </w:tc>
        <w:tc>
          <w:tcPr>
            <w:tcW w:w="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(566,504)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
        <w:spacing w:after="0" w:line="246" w:lineRule="auto"/>
        <w:tabs>
          <w:tab w:leader="none" w:pos="200" w:val="left"/>
        </w:tabs>
        <w:numPr>
          <w:ilvl w:val="0"/>
          <w:numId w:val="7"/>
        </w:numPr>
        <w:rPr>
          <w:rFonts w:ascii="Arial" w:cs="Arial" w:eastAsia="Arial" w:hAnsi="Arial"/>
          <w:sz w:val="14"/>
          <w:szCs w:val="14"/>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which impacted previously reported net loss for the second quarter of 2021 and the adjusted net loss is reflected as disclosed.</w:t>
      </w:r>
    </w:p>
    <w:p>
      <w:pPr>
        <w:spacing w:after="0" w:line="200" w:lineRule="exact"/>
        <w:rPr>
          <w:sz w:val="20"/>
          <w:szCs w:val="20"/>
          <w:color w:val="auto"/>
        </w:rPr>
      </w:pPr>
    </w:p>
    <w:p>
      <w:pPr>
        <w:spacing w:after="0" w:line="34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7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79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 (1)</w:t>
            </w: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(162,638)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(237,936)</w:t>
            </w:r>
          </w:p>
        </w:tc>
      </w:tr>
      <w:tr>
        <w:trPr>
          <w:trHeight w:val="239"/>
        </w:trPr>
        <w:tc>
          <w:tcPr>
            <w:tcW w:w="7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w:t>
            </w:r>
          </w:p>
        </w:tc>
      </w:tr>
      <w:tr>
        <w:trPr>
          <w:trHeight w:val="225"/>
        </w:trPr>
        <w:tc>
          <w:tcPr>
            <w:tcW w:w="79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164,443</w:t>
            </w:r>
          </w:p>
        </w:tc>
      </w:tr>
      <w:tr>
        <w:trPr>
          <w:trHeight w:val="252"/>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Change in fair value of warrant and earn-out contingent liabilities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7920" w:type="dxa"/>
            <w:vAlign w:val="bottom"/>
          </w:tcPr>
          <w:p>
            <w:pPr>
              <w:ind w:left="180"/>
              <w:spacing w:after="0"/>
              <w:rPr>
                <w:sz w:val="20"/>
                <w:szCs w:val="20"/>
                <w:color w:val="auto"/>
              </w:rPr>
            </w:pPr>
            <w:r>
              <w:rPr>
                <w:rFonts w:ascii="Arial" w:cs="Arial" w:eastAsia="Arial" w:hAnsi="Arial"/>
                <w:sz w:val="18"/>
                <w:szCs w:val="18"/>
                <w:color w:val="2B2A29"/>
              </w:rPr>
              <w:t>Income tax benefit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2B2A29"/>
              </w:rPr>
              <w:t>Provision for excess and obsolete inventory</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r>
      <w:tr>
        <w:trPr>
          <w:trHeight w:val="225"/>
        </w:trPr>
        <w:tc>
          <w:tcPr>
            <w:tcW w:w="792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2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3"/>
        </w:trPr>
        <w:tc>
          <w:tcPr>
            <w:tcW w:w="7920" w:type="dxa"/>
            <w:vAlign w:val="bottom"/>
          </w:tcPr>
          <w:p>
            <w:pPr>
              <w:ind w:left="180"/>
              <w:spacing w:after="0" w:line="173" w:lineRule="exact"/>
              <w:rPr>
                <w:sz w:val="20"/>
                <w:szCs w:val="20"/>
                <w:color w:val="auto"/>
              </w:rPr>
            </w:pPr>
            <w:r>
              <w:rPr>
                <w:rFonts w:ascii="Arial" w:cs="Arial" w:eastAsia="Arial" w:hAnsi="Arial"/>
                <w:sz w:val="18"/>
                <w:szCs w:val="18"/>
                <w:color w:val="auto"/>
              </w:rPr>
              <w:t>Change in operating assets and liabilities, net of effects from purchase of</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0"/>
        </w:trPr>
        <w:tc>
          <w:tcPr>
            <w:tcW w:w="7920" w:type="dxa"/>
            <w:vAlign w:val="bottom"/>
          </w:tcPr>
          <w:p>
            <w:pPr>
              <w:ind w:left="180"/>
              <w:spacing w:after="0"/>
              <w:rPr>
                <w:sz w:val="20"/>
                <w:szCs w:val="20"/>
                <w:color w:val="auto"/>
              </w:rPr>
            </w:pPr>
            <w:r>
              <w:rPr>
                <w:rFonts w:ascii="Arial" w:cs="Arial" w:eastAsia="Arial" w:hAnsi="Arial"/>
                <w:sz w:val="18"/>
                <w:szCs w:val="18"/>
                <w:color w:val="auto"/>
              </w:rPr>
              <w:t>business: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2"/>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(6,632)</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Due to/from related parties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92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10,028</w:t>
            </w:r>
          </w:p>
        </w:tc>
      </w:tr>
      <w:tr>
        <w:trPr>
          <w:trHeight w:val="22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liabilities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5"/>
        </w:trPr>
        <w:tc>
          <w:tcPr>
            <w:tcW w:w="7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(7,824)</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(67,509)</w:t>
            </w:r>
          </w:p>
        </w:tc>
      </w:tr>
      <w:tr>
        <w:trPr>
          <w:trHeight w:val="219"/>
        </w:trPr>
        <w:tc>
          <w:tcPr>
            <w:tcW w:w="7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Purchase of business, net of cash acquired</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(127,004)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Development of internal-use software assets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r>
      <w:tr>
        <w:trPr>
          <w:trHeight w:val="218"/>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w:t>
            </w:r>
          </w:p>
        </w:tc>
      </w:tr>
      <w:tr>
        <w:trPr>
          <w:trHeight w:val="219"/>
        </w:trPr>
        <w:tc>
          <w:tcPr>
            <w:tcW w:w="7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Proceeds from PIPE issuance, net of issuance costs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deferred transaction costs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25"/>
        </w:trPr>
        <w:tc>
          <w:tcPr>
            <w:tcW w:w="7920" w:type="dxa"/>
            <w:vAlign w:val="bottom"/>
          </w:tcPr>
          <w:p>
            <w:pPr>
              <w:ind w:left="20"/>
              <w:spacing w:after="0"/>
              <w:rPr>
                <w:sz w:val="20"/>
                <w:szCs w:val="20"/>
                <w:color w:val="auto"/>
              </w:rPr>
            </w:pPr>
            <w:r>
              <w:rPr>
                <w:rFonts w:ascii="Arial" w:cs="Arial" w:eastAsia="Arial" w:hAnsi="Arial"/>
                <w:sz w:val="18"/>
                <w:szCs w:val="18"/>
                <w:color w:val="auto"/>
              </w:rPr>
              <w:t>Finance lease principal payments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2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principal payments</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5"/>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Exercise of stock options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r>
      <w:tr>
        <w:trPr>
          <w:trHeight w:val="232"/>
        </w:trPr>
        <w:tc>
          <w:tcPr>
            <w:tcW w:w="79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7117715" cy="160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7715" cy="16002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decrease in cash, cash equivalents and restricted cash</w:t>
      </w:r>
    </w:p>
    <w:p>
      <w:pPr>
        <w:spacing w:after="0" w:line="56" w:lineRule="exact"/>
        <w:rPr>
          <w:sz w:val="20"/>
          <w:szCs w:val="20"/>
          <w:color w:val="auto"/>
        </w:rPr>
      </w:pPr>
    </w:p>
    <w:p>
      <w:pPr>
        <w:ind w:left="20" w:right="2560"/>
        <w:spacing w:after="0" w:line="439" w:lineRule="auto"/>
        <w:rPr>
          <w:sz w:val="20"/>
          <w:szCs w:val="20"/>
          <w:color w:val="auto"/>
        </w:rPr>
      </w:pPr>
      <w:r>
        <w:rPr>
          <w:rFonts w:ascii="Arial" w:cs="Arial" w:eastAsia="Arial" w:hAnsi="Arial"/>
          <w:sz w:val="15"/>
          <w:szCs w:val="15"/>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-257810</wp:posOffset>
            </wp:positionV>
            <wp:extent cx="7117715"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1100" w:type="dxa"/>
            <w:vAlign w:val="bottom"/>
          </w:tcPr>
          <w:p>
            <w:pPr>
              <w:jc w:val="center"/>
              <w:ind w:left="272"/>
              <w:spacing w:after="0"/>
              <w:rPr>
                <w:sz w:val="20"/>
                <w:szCs w:val="20"/>
                <w:color w:val="auto"/>
              </w:rPr>
            </w:pPr>
            <w:r>
              <w:rPr>
                <w:rFonts w:ascii="Arial" w:cs="Arial" w:eastAsia="Arial" w:hAnsi="Arial"/>
                <w:sz w:val="18"/>
                <w:szCs w:val="18"/>
                <w:color w:val="auto"/>
                <w:w w:val="90"/>
              </w:rPr>
              <w:t>(102,452)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(81,631)</w:t>
            </w:r>
          </w:p>
        </w:tc>
      </w:tr>
      <w:tr>
        <w:trPr>
          <w:trHeight w:val="226"/>
        </w:trPr>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6"/>
              </w:rPr>
              <w:t>401,469</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118,960</w:t>
            </w:r>
          </w:p>
        </w:tc>
      </w:tr>
      <w:tr>
        <w:trPr>
          <w:trHeight w:val="219"/>
        </w:trPr>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6"/>
              </w:rPr>
              <w:t>299,017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ectPr>
          <w:pgSz w:w="11900" w:h="16838" w:orient="portrait"/>
          <w:cols w:equalWidth="0" w:num="2">
            <w:col w:w="7200" w:space="720"/>
            <w:col w:w="3300"/>
          </w:cols>
          <w:pgMar w:left="320" w:top="140" w:right="35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1"/>
        </w:trPr>
        <w:tc>
          <w:tcPr>
            <w:tcW w:w="680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1,193</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5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taxes</w:t>
            </w:r>
          </w:p>
        </w:tc>
        <w:tc>
          <w:tcPr>
            <w:tcW w:w="1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6800" w:type="dxa"/>
            <w:vAlign w:val="bottom"/>
          </w:tcPr>
          <w:p>
            <w:pPr>
              <w:ind w:left="20"/>
              <w:spacing w:after="0"/>
              <w:rPr>
                <w:sz w:val="20"/>
                <w:szCs w:val="20"/>
                <w:color w:val="auto"/>
              </w:rPr>
            </w:pPr>
            <w:r>
              <w:rPr>
                <w:rFonts w:ascii="Arial" w:cs="Arial" w:eastAsia="Arial" w:hAnsi="Arial"/>
                <w:sz w:val="18"/>
                <w:szCs w:val="18"/>
                <w:color w:val="auto"/>
              </w:rPr>
              <w:t>Stock consideration paid for purchase of business</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172,000</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 in accounts payable and accrued expenses</w:t>
            </w:r>
          </w:p>
        </w:tc>
        <w:tc>
          <w:tcPr>
            <w:tcW w:w="16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3,243</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51"/>
        </w:trPr>
        <w:tc>
          <w:tcPr>
            <w:tcW w:w="6800" w:type="dxa"/>
            <w:vAlign w:val="bottom"/>
          </w:tcPr>
          <w:p>
            <w:pPr>
              <w:ind w:left="20"/>
              <w:spacing w:after="0"/>
              <w:rPr>
                <w:sz w:val="20"/>
                <w:szCs w:val="20"/>
                <w:color w:val="auto"/>
              </w:rPr>
            </w:pPr>
            <w:r>
              <w:rPr>
                <w:rFonts w:ascii="Arial" w:cs="Arial" w:eastAsia="Arial" w:hAnsi="Arial"/>
                <w:sz w:val="18"/>
                <w:szCs w:val="18"/>
                <w:color w:val="auto"/>
              </w:rPr>
              <w:t>Software development costs in accounts payable and accrued expenses</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1,118</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1,225</w:t>
            </w:r>
          </w:p>
        </w:tc>
      </w:tr>
    </w:tbl>
    <w:p>
      <w:pPr>
        <w:spacing w:after="0" w:line="200" w:lineRule="exact"/>
        <w:rPr>
          <w:sz w:val="20"/>
          <w:szCs w:val="20"/>
          <w:color w:val="auto"/>
        </w:rPr>
      </w:pPr>
    </w:p>
    <w:p>
      <w:pPr>
        <w:sectPr>
          <w:pgSz w:w="11900" w:h="16838" w:orient="portrait"/>
          <w:cols w:equalWidth="0" w:num="1">
            <w:col w:w="11220"/>
          </w:cols>
          <w:pgMar w:left="320" w:top="140" w:right="35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195580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deferred transaction costs included in accounts payable and accrued expenses</w:t>
            </w:r>
          </w:p>
        </w:tc>
        <w:tc>
          <w:tcPr>
            <w:tcW w:w="16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r>
      <w:tr>
        <w:trPr>
          <w:trHeight w:val="224"/>
        </w:trPr>
        <w:tc>
          <w:tcPr>
            <w:tcW w:w="7000" w:type="dxa"/>
            <w:vAlign w:val="bottom"/>
          </w:tcPr>
          <w:p>
            <w:pPr>
              <w:ind w:left="20"/>
              <w:spacing w:after="0"/>
              <w:rPr>
                <w:sz w:val="20"/>
                <w:szCs w:val="20"/>
                <w:color w:val="auto"/>
              </w:rPr>
            </w:pPr>
            <w:r>
              <w:rPr>
                <w:rFonts w:ascii="Arial" w:cs="Arial" w:eastAsia="Arial" w:hAnsi="Arial"/>
                <w:sz w:val="18"/>
                <w:szCs w:val="18"/>
                <w:color w:val="auto"/>
              </w:rPr>
              <w:t>Non-cash impact of shares reclass into APIC</w:t>
            </w:r>
          </w:p>
        </w:tc>
        <w:tc>
          <w:tcPr>
            <w:tcW w:w="16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1,483</w:t>
            </w:r>
          </w:p>
        </w:tc>
      </w:tr>
    </w:tbl>
    <w:p>
      <w:pPr>
        <w:spacing w:after="0" w:line="243" w:lineRule="exact"/>
        <w:rPr>
          <w:sz w:val="20"/>
          <w:szCs w:val="20"/>
          <w:color w:val="auto"/>
        </w:rPr>
      </w:pPr>
    </w:p>
    <w:p>
      <w:pPr>
        <w:jc w:val="both"/>
        <w:ind w:firstLine="6"/>
        <w:spacing w:after="0" w:line="263" w:lineRule="auto"/>
        <w:tabs>
          <w:tab w:leader="none" w:pos="200" w:val="left"/>
        </w:tabs>
        <w:numPr>
          <w:ilvl w:val="0"/>
          <w:numId w:val="8"/>
        </w:numPr>
        <w:rPr>
          <w:rFonts w:ascii="Arial" w:cs="Arial" w:eastAsia="Arial" w:hAnsi="Arial"/>
          <w:sz w:val="14"/>
          <w:szCs w:val="14"/>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certain liability accounts previously reported in the condensed balance sheets as of June 30, 2021. The adjustments are reflected accordingly as disclosed.</w:t>
      </w:r>
    </w:p>
    <w:p>
      <w:pPr>
        <w:spacing w:after="0" w:line="12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8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Sema4 Holdings Corp. (“Sema4 Holdings”) through its subsidiaries Sema4 OpCo, Inc., formerly Mount Sinai Genomics Inc., a Delaware corporation (“Legacy Sema4”), and GeneDx Holding 2, LLC,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4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July 22, 2021 (the “Closing Date”), CM Life Sciences, Inc. (“CMLS”) completed the acquisition of Legacy Sema4, pursuant to that certain Agreement and Plan of Merger (as amended, the “Business Combination Merger Agreement”), dated February 9, 2021. On the Closing Date, S-IV Sub, Inc. merged with and into the Legacy Sema4, with Legacy Sema4 surviving the merger as a wholly-owned subsidiary of CMLS (the “Business Combination Merger” and, together with the other transactions contemplated by the Business Combination Merger Agreement, the “Business Combination”). In connection with the consummation of the Business Combination, CMLS changed its name to “Sema4 Holdings Corp.” and Legacy Sema4 changed its name to “Sema4 OpCo, Inc.” All equity securities of Legacy Sema4 were converted into the right to receive the applicable portion of the merger consideration.</w:t>
      </w:r>
    </w:p>
    <w:p>
      <w:pPr>
        <w:spacing w:after="0" w:line="112" w:lineRule="exact"/>
        <w:rPr>
          <w:sz w:val="20"/>
          <w:szCs w:val="20"/>
          <w:color w:val="auto"/>
        </w:rPr>
      </w:pPr>
    </w:p>
    <w:p>
      <w:pPr>
        <w:ind w:right="320" w:firstLine="318"/>
        <w:spacing w:after="0" w:line="294" w:lineRule="auto"/>
        <w:rPr>
          <w:sz w:val="20"/>
          <w:szCs w:val="20"/>
          <w:color w:val="auto"/>
        </w:rPr>
      </w:pPr>
      <w:r>
        <w:rPr>
          <w:rFonts w:ascii="Arial" w:cs="Arial" w:eastAsia="Arial" w:hAnsi="Arial"/>
          <w:sz w:val="15"/>
          <w:szCs w:val="15"/>
          <w:color w:val="auto"/>
        </w:rPr>
        <w:t>The Business Combination Merger was accounted for as a reverse recapitalization with Legacy Sema4 as the accounting acquirer and CMLS as the acquired company for accounting purposes. The shares and net loss per common share, prior to the Business Combination Merger, have been retroactively restated as shares reflecting the exchange ratio established in the Business Combination Merger (1 share of Legacy Sema4 Class A common stock for 123.8339 shares of Sema4 Holdings Class A common stock (the “Class A common stock”) (the “Conversion Ratio”).</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Business Combination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w:t>
      </w:r>
    </w:p>
    <w:p>
      <w:pPr>
        <w:spacing w:after="0" w:line="1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on April 29, 2022, the Company consummated the transactions contemplated by that certain Agreement and Plan of Merger, dated as of January 14, 2022 (as amended, the “ Acquisition Merger Agreement”), by and among the Company and GeneDx, Inc. (“GeneDx”), a New Jersey corporation and wholly-owned subsidiary of OPKO Health, Inc. (“OPKO”), GeneDx Holding 2, Inc., which held 100% of GeneDx (“Holdco2”), at the Effective Time (as defined in the Acquisition Merger Agreement) and OPKO, which provided for, among other things, the acquisition of GeneDx from OPKO. After giving effect to the mergers and the other transactions contemplated by the Acquisition Merger Agreement (the “Acquisition”), GeneDx was converted into a Delaware limited liability company and became the Company’s wholly-owned indirect subsidiary.</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3, “Business Combination,” for additional details regarding the Business Combination and Acquisition.</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subsidiaries following the consummation of the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(“U.S. GAAP”) for interim financial information and pursuant to the accounting disclosure rules and regulations of the Securities and Exchange Commission (the “SEC”) regarding interim financial reporting. Accordingly, they do not include all of the information and footnotes required by U.S. GAAP for complete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such, the accompanying unaudited condensed consolidated financial statements should be read in conjunction with the Company’s audited financial statements and notes thereto as of and for the years ended December 31, 2021, 2020 and 2019 included in the Company’s Annual Report on Form 10-K for the year ended December 21, 2021 filed on March 14, 2022 (the “Annual Report”).</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that are necessary to state fairly the results for the interim periods presented. Interim results are not necessarily indicative of the results of operations or cash flows for a full year or any subsequent interim period.</w:t>
      </w:r>
    </w:p>
    <w:p>
      <w:pPr>
        <w:spacing w:after="0" w:line="21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Company’s historical financial information includes costs of certain services historically provided by Icahn School of Medicine at Mount Sinai (“ISMMS”) pursuant to a Transition Services Agreement ("TSA") and service agreements. See Note 7, “Related Party Transactions”.</w:t>
      </w:r>
    </w:p>
    <w:p>
      <w:pPr>
        <w:spacing w:after="0" w:line="11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discussed in the Company’s Annual Report, the Company identified the misclassification of certain expenses and out of period adjustments generally related to the recognition of cost of services. The impact of these adjustments were disclosed in the Company’s Annual Report and are reflected in the condensed consolidated statements of operations and comprehensive loss, condensed consolidated statement of redeemable convertible preferred stock and stockholders’ equity (deficit) and condensed consolidated statements of cash flows for the period ended June 30, 2021.</w:t>
      </w:r>
    </w:p>
    <w:p>
      <w:pPr>
        <w:spacing w:after="0" w:line="1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the Company has incurred recurring losses in each year since inception, the Company expects its cash and cash equivalents will be sufficient to fund operations for at least the next twelve months from the date of filing of this Form 10-Q.</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7" w:lineRule="exact"/>
        <w:rPr>
          <w:sz w:val="20"/>
          <w:szCs w:val="20"/>
          <w:color w:val="auto"/>
        </w:rPr>
      </w:pPr>
    </w:p>
    <w:p>
      <w:pPr>
        <w:ind w:right="20" w:firstLine="318"/>
        <w:spacing w:after="0" w:line="306" w:lineRule="auto"/>
        <w:rPr>
          <w:sz w:val="20"/>
          <w:szCs w:val="20"/>
          <w:color w:val="auto"/>
        </w:rPr>
      </w:pPr>
      <w:r>
        <w:rPr>
          <w:rFonts w:ascii="Arial" w:cs="Arial" w:eastAsia="Arial" w:hAnsi="Arial"/>
          <w:sz w:val="15"/>
          <w:szCs w:val="15"/>
          <w:color w:val="auto"/>
        </w:rPr>
        <w:t>The preparation of unaudited condensed consolidated financial statements in conformity with U.S. GAAP requires management to make certain estimates, judgments and assumptions that affect the reported amounts of assets and liabilities and the related disclosures at the date of the unaudited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capitalization of software costs and the valuation of stock-based awards, inventory, earn-out contingent liabilities and earn-out Restricted Stock Units (“RSUs”). Actual results could differ materially from those estimates, judgments and assumptions.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assesses both the self-pay patient and, if applicable, the third-party payor that reimburses the Company on the patient’s behalf when evaluating the concentration of credit risk. Significant customers and payors are those that represent more than 10% of the Company’s total revenues for the period or accounts receivable balance at each respective balance sheet date. The significant concentrations of accounts receivable as of June 30, 2022 and December 31, 2021 were primarily from large managed care insurance companies and a reference laboratory. There was no individual patient that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accounted for 10% or more of the Company’s revenue or accounts receivable for any of the periods presented. The Company does not require collateral as a means to mitigate customer credit risk.</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gridSpan w:val="4"/>
          </w:tcPr>
          <w:p>
            <w:pPr>
              <w:ind w:left="160"/>
              <w:spacing w:after="0"/>
              <w:rPr>
                <w:sz w:val="20"/>
                <w:szCs w:val="20"/>
                <w:color w:val="auto"/>
              </w:rPr>
            </w:pPr>
            <w:r>
              <w:rPr>
                <w:rFonts w:ascii="Arial" w:cs="Arial" w:eastAsia="Arial" w:hAnsi="Arial"/>
                <w:sz w:val="14"/>
                <w:szCs w:val="14"/>
                <w:b w:val="1"/>
                <w:bCs w:val="1"/>
                <w:color w:val="auto"/>
              </w:rPr>
              <w:t>Revenue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3"/>
          </w:tcPr>
          <w:p>
            <w:pPr>
              <w:ind w:left="840"/>
              <w:spacing w:after="0"/>
              <w:rPr>
                <w:sz w:val="20"/>
                <w:szCs w:val="20"/>
                <w:color w:val="auto"/>
              </w:rPr>
            </w:pPr>
            <w:r>
              <w:rPr>
                <w:rFonts w:ascii="Arial" w:cs="Arial" w:eastAsia="Arial" w:hAnsi="Arial"/>
                <w:sz w:val="14"/>
                <w:szCs w:val="14"/>
                <w:b w:val="1"/>
                <w:bCs w:val="1"/>
                <w:color w:val="auto"/>
              </w:rPr>
              <w:t>Accounts Receivable</w:t>
            </w:r>
          </w:p>
        </w:tc>
        <w:tc>
          <w:tcPr>
            <w:tcW w:w="0" w:type="dxa"/>
            <w:vAlign w:val="bottom"/>
          </w:tcPr>
          <w:p>
            <w:pPr>
              <w:spacing w:after="0"/>
              <w:rPr>
                <w:sz w:val="1"/>
                <w:szCs w:val="1"/>
                <w:color w:val="auto"/>
              </w:rPr>
            </w:pPr>
          </w:p>
        </w:tc>
      </w:tr>
      <w:tr>
        <w:trPr>
          <w:trHeight w:val="24"/>
        </w:trPr>
        <w:tc>
          <w:tcPr>
            <w:tcW w:w="22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254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9"/>
              </w:rPr>
              <w:t>Three months ended June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1520" w:type="dxa"/>
            <w:vAlign w:val="bottom"/>
            <w:gridSpan w:val="2"/>
          </w:tcPr>
          <w:p>
            <w:pPr>
              <w:jc w:val="center"/>
              <w:ind w:right="100"/>
              <w:spacing w:after="0" w:line="126" w:lineRule="exact"/>
              <w:rPr>
                <w:sz w:val="20"/>
                <w:szCs w:val="20"/>
                <w:color w:val="auto"/>
              </w:rPr>
            </w:pPr>
            <w:r>
              <w:rPr>
                <w:rFonts w:ascii="Arial" w:cs="Arial" w:eastAsia="Arial" w:hAnsi="Arial"/>
                <w:sz w:val="14"/>
                <w:szCs w:val="14"/>
                <w:b w:val="1"/>
                <w:bCs w:val="1"/>
                <w:color w:val="auto"/>
                <w:w w:val="85"/>
              </w:rPr>
              <w:t>As of</w:t>
            </w:r>
          </w:p>
        </w:tc>
        <w:tc>
          <w:tcPr>
            <w:tcW w:w="14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54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4"/>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June 30,</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CCEEFF"/>
            </w:tcBorders>
          </w:tcPr>
          <w:p>
            <w:pPr>
              <w:spacing w:after="0"/>
              <w:rPr>
                <w:sz w:val="16"/>
                <w:szCs w:val="16"/>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center"/>
              <w:ind w:left="295"/>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top w:val="single" w:sz="8" w:color="auto"/>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5"/>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 (**)</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8"/>
              </w:rPr>
              <w:t>21%</w:t>
            </w:r>
          </w:p>
        </w:tc>
        <w:tc>
          <w:tcPr>
            <w:tcW w:w="188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color w:val="auto"/>
              </w:rPr>
              <w:t>Payor B</w:t>
            </w: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tcPr>
          <w:p>
            <w:pPr>
              <w:jc w:val="center"/>
              <w:ind w:left="295"/>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center"/>
              <w:ind w:left="37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2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88"/>
              </w:rPr>
              <w:t>13%</w:t>
            </w:r>
          </w:p>
        </w:tc>
        <w:tc>
          <w:tcPr>
            <w:tcW w:w="188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w w:val="94"/>
              </w:rPr>
              <w:t>10%</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80" w:type="dxa"/>
            <w:vAlign w:val="bottom"/>
          </w:tcPr>
          <w:p>
            <w:pPr>
              <w:ind w:left="20"/>
              <w:spacing w:after="0"/>
              <w:rPr>
                <w:sz w:val="20"/>
                <w:szCs w:val="20"/>
                <w:color w:val="auto"/>
              </w:rPr>
            </w:pPr>
            <w:r>
              <w:rPr>
                <w:rFonts w:ascii="Arial" w:cs="Arial" w:eastAsia="Arial" w:hAnsi="Arial"/>
                <w:sz w:val="18"/>
                <w:szCs w:val="18"/>
                <w:color w:val="auto"/>
              </w:rPr>
              <w:t>Payor D</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80" w:type="dxa"/>
            <w:vAlign w:val="bottom"/>
          </w:tcPr>
          <w:p>
            <w:pPr>
              <w:spacing w:after="0"/>
              <w:rPr>
                <w:sz w:val="19"/>
                <w:szCs w:val="19"/>
                <w:color w:val="auto"/>
              </w:rPr>
            </w:pPr>
          </w:p>
        </w:tc>
        <w:tc>
          <w:tcPr>
            <w:tcW w:w="1060" w:type="dxa"/>
            <w:vAlign w:val="bottom"/>
          </w:tcPr>
          <w:p>
            <w:pPr>
              <w:jc w:val="center"/>
              <w:ind w:left="295"/>
              <w:spacing w:after="0"/>
              <w:rPr>
                <w:sz w:val="20"/>
                <w:szCs w:val="20"/>
                <w:color w:val="auto"/>
              </w:rPr>
            </w:pPr>
            <w:r>
              <w:rPr>
                <w:rFonts w:ascii="Arial" w:cs="Arial" w:eastAsia="Arial" w:hAnsi="Arial"/>
                <w:sz w:val="18"/>
                <w:szCs w:val="18"/>
                <w:color w:val="auto"/>
              </w:rPr>
              <w:t>*</w:t>
            </w:r>
          </w:p>
        </w:tc>
        <w:tc>
          <w:tcPr>
            <w:tcW w:w="1880" w:type="dxa"/>
            <w:vAlign w:val="bottom"/>
            <w:gridSpan w:val="3"/>
          </w:tcPr>
          <w:p>
            <w:pPr>
              <w:jc w:val="center"/>
              <w:ind w:left="375"/>
              <w:spacing w:after="0"/>
              <w:rPr>
                <w:sz w:val="20"/>
                <w:szCs w:val="20"/>
                <w:color w:val="auto"/>
              </w:rPr>
            </w:pPr>
            <w:r>
              <w:rPr>
                <w:rFonts w:ascii="Arial" w:cs="Arial" w:eastAsia="Arial" w:hAnsi="Arial"/>
                <w:sz w:val="18"/>
                <w:szCs w:val="18"/>
                <w:color w:val="auto"/>
                <w:w w:val="94"/>
              </w:rPr>
              <w:t>10%</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center"/>
              <w:ind w:left="37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*less than 10%</w:t>
      </w:r>
    </w:p>
    <w:p>
      <w:pPr>
        <w:spacing w:after="0" w:line="170" w:lineRule="exact"/>
        <w:rPr>
          <w:sz w:val="20"/>
          <w:szCs w:val="20"/>
          <w:color w:val="auto"/>
        </w:rPr>
      </w:pPr>
    </w:p>
    <w:p>
      <w:pPr>
        <w:ind w:right="80" w:firstLine="6"/>
        <w:spacing w:after="0" w:line="251" w:lineRule="auto"/>
        <w:tabs>
          <w:tab w:leader="none" w:pos="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payor represented less than 10% of the Company’s total revenues during the second quarter of 2022 due to a reversal of revenue recorded for this payor in the quarter due to this payor’s allegation regarding certain overpayments the Company allegedly received from this payor for services alleged to be uncovered by, or were not otherwise properly billed to, this payor. Refer to Note 4, “Revenue Recognition.”</w:t>
      </w:r>
    </w:p>
    <w:p>
      <w:pPr>
        <w:spacing w:after="0" w:line="1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is subject to a concentration of risk from a limited number of suppliers for certain reagents and laboratory supplies. One supplier accounted for approximately 13% and 10% for the three months ended June 30, 2022 and 2021, respectively and 13% and 11% for the six months ended June 30, 2022 and 2021, respectively. This risk is managed by maintaining a target quantity of surplus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Beginning in April 2020, the Company’s diagnostic test volumes decreased significantly as compared to the prior year as a result of the initial outbreak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June 30, 2022 and December 31, 2021.</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three months ended March 31, 2021, the Company received an additional $5.6 million under the PRF distribution, which was recognized in other income in the condensed consolidated statements of operations and comprehensive loss.</w:t>
      </w:r>
    </w:p>
    <w:p>
      <w:pPr>
        <w:spacing w:after="0" w:line="11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Additionally, under the CARES Act, the Company deferred payment of U.S. social security taxes in 2020. As a result, $3.8 million of employer payroll tax payments were initially deferred as of December 31, 2020 with $1.9 million paid in December 2021 and the remaining $1.9 million payment will be made in December 2022. As of June 30, 2022, the remaining payable is recorded in other current liabilities.</w:t>
      </w:r>
    </w:p>
    <w:p>
      <w:pPr>
        <w:spacing w:after="0" w:line="15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Following the Company’s announcement that it would discontinue COVID-19 testing services by March 31, 2022, the Company no longer provides COVID-19 testing services. During the six months ended June 30, 2022, the Company wrote off an accounts receivable balance of $0.5 million related to COVID-19 testing services.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consolidated balance sheets that sum to the total of the same amounts shown on the condensed consolidated statements of cash flows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580" w:type="dxa"/>
            <w:vAlign w:val="bottom"/>
          </w:tcPr>
          <w:p>
            <w:pPr>
              <w:jc w:val="right"/>
              <w:ind w:right="659"/>
              <w:spacing w:after="0"/>
              <w:rPr>
                <w:sz w:val="20"/>
                <w:szCs w:val="20"/>
                <w:color w:val="auto"/>
              </w:rPr>
            </w:pPr>
            <w:r>
              <w:rPr>
                <w:rFonts w:ascii="Arial" w:cs="Arial" w:eastAsia="Arial" w:hAnsi="Arial"/>
                <w:sz w:val="14"/>
                <w:szCs w:val="14"/>
                <w:b w:val="1"/>
                <w:bCs w:val="1"/>
                <w:color w:val="auto"/>
              </w:rPr>
              <w:t>As of</w:t>
            </w:r>
          </w:p>
        </w:tc>
      </w:tr>
      <w:tr>
        <w:trPr>
          <w:trHeight w:val="192"/>
        </w:trPr>
        <w:tc>
          <w:tcPr>
            <w:tcW w:w="7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June 30, 2022</w:t>
            </w:r>
          </w:p>
        </w:tc>
        <w:tc>
          <w:tcPr>
            <w:tcW w:w="200" w:type="dxa"/>
            <w:vAlign w:val="bottom"/>
          </w:tcPr>
          <w:p>
            <w:pPr>
              <w:spacing w:after="0"/>
              <w:rPr>
                <w:sz w:val="16"/>
                <w:szCs w:val="16"/>
                <w:color w:val="auto"/>
              </w:rPr>
            </w:pPr>
          </w:p>
        </w:tc>
        <w:tc>
          <w:tcPr>
            <w:tcW w:w="1580" w:type="dxa"/>
            <w:vAlign w:val="bottom"/>
          </w:tcPr>
          <w:p>
            <w:pPr>
              <w:jc w:val="right"/>
              <w:ind w:right="239"/>
              <w:spacing w:after="0"/>
              <w:rPr>
                <w:sz w:val="20"/>
                <w:szCs w:val="20"/>
                <w:color w:val="auto"/>
              </w:rPr>
            </w:pPr>
            <w:r>
              <w:rPr>
                <w:rFonts w:ascii="Arial" w:cs="Arial" w:eastAsia="Arial" w:hAnsi="Arial"/>
                <w:sz w:val="14"/>
                <w:szCs w:val="14"/>
                <w:b w:val="1"/>
                <w:bCs w:val="1"/>
                <w:color w:val="auto"/>
                <w:w w:val="98"/>
              </w:rPr>
              <w:t>December 31, 2021</w:t>
            </w:r>
          </w:p>
        </w:tc>
      </w:tr>
      <w:tr>
        <w:trPr>
          <w:trHeight w:val="225"/>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400,569</w:t>
            </w:r>
          </w:p>
        </w:tc>
      </w:tr>
      <w:tr>
        <w:trPr>
          <w:trHeight w:val="225"/>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Restricted cash as of June 30, 2022 includes $13.5 million escrow fund as restricted cash related to the closing of the GeneDx Acquisition. The escrow amount is to be held for a period of 12 months following the closing date of the Acquisition as a fund for OPKO’s indemnification obligations pursuant to the Acquisition Merger Agreement. In addition, restricted cash as of June 30, 2022 consists of money market deposit accounts that secure an irrevocable standby letter of credit that serves as collateral for security deposit operating leases (see Note 9,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accounts for acquisitions of entities that include inputs and processes and have the ability to create outputs as business combinations. The tangible and identifiable intangible assets acquired and liabilities assumed in a business combination are recorded based on their estimated fair values as of the business combination date, including identifiable intangible assets which either arise from a contractual or legal right or are separable from goodwill. The Company bases the estimated fair value of identifiable intangible assets acquired in a business combination on third-party valuations that use information and assumptions provided by the Company’s management, which consider estimates of inputs and assumptions that a market participant would use. Any excess purchase price over the estimated fair value assigned to the net tangible and identifiable intangible assets acquired and liabilities assumed is recorded to goodwill. The use of alternative valuation assumptions, including estimated revenue projections, growth rates, estimated cost savings, cash flows, discount rates, estimated useful lives and probabilities surrounding the achievement of contingent milestones could result in different purchase price allocations and amortization expense in current and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Amortizable intangible assets include trade names and trademarks, developed technology and customer relationships acquired as part of business combinations. Intangible assets acquired through our business combinations in the second quarter of 2022 are amortized on a straight line basis. All intangible assets subject to amortization are reviewed for impairment in accordance with ASC 360, Property, Plant and Equipment.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accordance with ASC 350, Intangibles-Goodwill and Other, the Company’s goodwill is not amortized but is tested for impairment on an annual basis or whenever events or changes in circumstances indicate that the carrying amount of these assets may not be recoverable. Under ASC 350, the Company will perform annual impairment reviews of goodwill during the fourth fiscal quarter or more frequently if business factors indicate. The Company did not incur any goodwill impairment losses during the second quarter ended June 30,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the consummation of the Business Combination Merger in July 2021, there were 21,995,000 warrants to purchase shares of Class A common stock outstanding, including 14,758,333 public warrants and 7,236,667 private placement warrants. As of December 31, 2021, there were 21,994,972 warrants to purchase shares of Class A common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220"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may redeem the outstanding public warrants if the price per share of the common stock equals or exceeds $10.00 as described below:</w:t>
      </w:r>
    </w:p>
    <w:p>
      <w:pPr>
        <w:spacing w:after="0" w:line="278"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58"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(GeneDx)</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right="80" w:firstLine="318"/>
        <w:spacing w:after="0" w:line="252" w:lineRule="auto"/>
        <w:rPr>
          <w:sz w:val="20"/>
          <w:szCs w:val="20"/>
          <w:color w:val="auto"/>
        </w:rPr>
      </w:pPr>
      <w:r>
        <w:rPr>
          <w:rFonts w:ascii="Arial" w:cs="Arial" w:eastAsia="Arial" w:hAnsi="Arial"/>
          <w:sz w:val="18"/>
          <w:szCs w:val="18"/>
          <w:color w:val="auto"/>
        </w:rPr>
        <w:t>In connection with the Acquisition of GeneDx, up to $150 million of contingent payments will be payable to OPKO in cash and/or shares of Company’s Class A common stock with such mix to be determined in the Company’s sole discretion,based upon achievement of 2022 and 2023 revenue milestones, pursuant to the Acquisition Merger Agreement (the “Milestone Payments”). If the Company elects to pay in shares of Class A common stock, the Acquisition Merger Agreement provides that the shares issues are to be valued at $4.86 per share.</w:t>
      </w:r>
    </w:p>
    <w:p>
      <w:pPr>
        <w:spacing w:after="0" w:line="15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Subject to the terms and conditions of the Acquisition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(each of clauses (a) and (b), a “Milestone Event”); provided that 80% of the Milestone Payment for the first milestone period or the second milestone period, as applicable, will become payable in respect of such period if the GeneDx group achieves 90% of the applicable Milestone Event revenue target for such period, which amount will scale on a</w:t>
      </w:r>
    </w:p>
    <w:p>
      <w:pPr>
        <w:jc w:val="both"/>
        <w:ind w:right="20"/>
        <w:spacing w:after="0" w:line="264" w:lineRule="auto"/>
        <w:rPr>
          <w:sz w:val="20"/>
          <w:szCs w:val="20"/>
          <w:color w:val="auto"/>
        </w:rPr>
      </w:pPr>
      <w:r>
        <w:rPr>
          <w:rFonts w:ascii="Arial" w:cs="Arial" w:eastAsia="Arial" w:hAnsi="Arial"/>
          <w:sz w:val="18"/>
          <w:szCs w:val="18"/>
          <w:color w:val="auto"/>
        </w:rPr>
        <w:t>linear basis up to 100% of the applicable Milestone Payment at 100% of the applicable revenue target. The fair value of the Milestone Payment which was determined to be $35 million as of June 30, 2022 is estimated using a Monte Carlo simulation valuation model.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Business Combination Merger, all Legacy Sema4 stockholders and option holders at that time became entitled to a pro rata share of 19,021,576 earn-out shares and earn-out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condensed consolidated statements of operations and comprehensive loss.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determined the fair value of the earn-out shares issued to the Legacy Sema4 stockholders as of June 30, 2022 was $0.2 million. The estimated fair value of the earn-out is determined using a Monte Carlo valuation analysis.</w:t>
      </w:r>
    </w:p>
    <w:p>
      <w:pPr>
        <w:spacing w:after="0" w:line="14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stock-based compensation expense is recognized over the longer of the expected achievement period for the market-based requirement and the service requirement. The Company recorded $0.9 million of stock-based compensation expense in relation to the earn-out RSUs for the six months ended June 30, 2022.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capitalizes certain costs incurred related to the development of its software applications for internal use during the application development state. If a project constitutes an enhancement to existing software, the Company assesses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the Company estimates the useful life of the asset and begins amortization.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right="920"/>
        <w:spacing w:after="0" w:line="445" w:lineRule="auto"/>
        <w:rPr>
          <w:sz w:val="20"/>
          <w:szCs w:val="20"/>
          <w:color w:val="auto"/>
        </w:rPr>
      </w:pPr>
      <w:r>
        <w:rPr>
          <w:rFonts w:ascii="Arial" w:cs="Arial" w:eastAsia="Arial" w:hAnsi="Arial"/>
          <w:sz w:val="18"/>
          <w:szCs w:val="18"/>
          <w:color w:val="auto"/>
        </w:rPr>
        <w:t xml:space="preserve">therefore, will not be subject to the same new or revised accounting standards as other public companies that are not emerging growth companies. </w:t>
      </w:r>
      <w:r>
        <w:rPr>
          <w:rFonts w:ascii="Arial" w:cs="Arial" w:eastAsia="Arial" w:hAnsi="Arial"/>
          <w:sz w:val="18"/>
          <w:szCs w:val="18"/>
          <w:b w:val="1"/>
          <w:bCs w:val="1"/>
          <w:i w:val="1"/>
          <w:iCs w:val="1"/>
          <w:color w:val="auto"/>
        </w:rPr>
        <w:t>Recently Adopted Accounting Pronouncements</w:t>
      </w:r>
    </w:p>
    <w:p>
      <w:pPr>
        <w:spacing w:after="0" w:line="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In February 2016, the FASB issued ASU 2016-02, Leases (“Topic 842”), which requires lessees to recognize right-of-use assets and lease liabilities for most leases on their balance sheets. Expense recognition for lessees under ASC 842 is similar to current lease accounting. ASC 842 requires enhanced disclosures to help the financial statement users better understand the amount, timing, and uncertainty of cash flows arising from leases. The Company adopted ASC 842 as of January 1, 2022, utilizing the modified retrospective adoption approach. In transition to the ASC 842, the Company elected to use the package of practical expedients permitted under the transition guidance that allowed us to not reassess: (i) whether any expired or existing contracts are or contain leases, (ii) the lease classification for any expired or existing leases, or (iii) initial direct costs for any existing leases. Additionally, the Company did not elect the hindsight practical expedient which would have permitted the use of hindsight in determining the lease term and assessing impairment. The Company elected to combine lease and non-lease components that are fixed and also elected not to recognize right-of-use assets and lease liabilities for leases with terms of 12 months or less (“short-term leases”). The adoption of the ASC 842 as of January 1, 2022, resulted in the recognition of operating lease right-of-use assets and operating lease liabilities of $39.2 million and $42.2 million, respectively. The adoption did not have material impact on finance leases. The adoption did not have material impact on the condensed consolidated statements of operations and comprehensive loss. Refer to </w:t>
      </w:r>
      <w:r>
        <w:rPr>
          <w:rFonts w:ascii="Arial" w:cs="Arial" w:eastAsia="Arial" w:hAnsi="Arial"/>
          <w:sz w:val="15"/>
          <w:szCs w:val="15"/>
          <w:i w:val="1"/>
          <w:iCs w:val="1"/>
          <w:color w:val="auto"/>
        </w:rPr>
        <w:t>“Note 9 Leases”</w:t>
      </w:r>
      <w:r>
        <w:rPr>
          <w:rFonts w:ascii="Arial" w:cs="Arial" w:eastAsia="Arial" w:hAnsi="Arial"/>
          <w:sz w:val="15"/>
          <w:szCs w:val="15"/>
          <w:color w:val="auto"/>
        </w:rPr>
        <w:t xml:space="preserve"> for a discussion of the Company’s lease accounting following the adoption of ASC 842.</w:t>
      </w:r>
    </w:p>
    <w:p>
      <w:pPr>
        <w:spacing w:after="0" w:line="350"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Company adopted ASU 2021-10 effective January 1, 2022. The Company did not receive any such grants during the six months ended June 30,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9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The new credit losses standard changes the impairment model for most financial assets and certain other instruments. For trade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consolidated financial statements and related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CMLS Business Combination</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July 22, 2021, the Company consummated the Business Combination and received net cash proceeds of $510.0 million.</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6" w:lineRule="exact"/>
        <w:rPr>
          <w:sz w:val="20"/>
          <w:szCs w:val="20"/>
          <w:color w:val="auto"/>
        </w:rPr>
      </w:pPr>
    </w:p>
    <w:p>
      <w:pPr>
        <w:jc w:val="both"/>
        <w:ind w:left="640" w:hanging="316"/>
        <w:spacing w:after="0" w:line="248"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141"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jc w:val="both"/>
        <w:ind w:left="640" w:hanging="316"/>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$230,665,220 of cash and the Legacy Sema4 stockholders receiving an aggregate of 178,336,298 shares of common stock of the Company.</w:t>
      </w:r>
    </w:p>
    <w:p>
      <w:pPr>
        <w:spacing w:after="0" w:line="175"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“Business Combination PIPE Investment”). Concurrently with the closing of the Business Combination, the Company consummated the Business Combination PIPE Investment.</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After giving effect to the Business Combination Merger, the redemption of public shares and the conversion of the CMLS Class B common stock as described above, and the consummation of the Business Combination PIPE Investment, there were 240,190,402 shares of the Company’s common stock issued and outstanding.</w:t>
      </w:r>
    </w:p>
    <w:p>
      <w:pPr>
        <w:spacing w:after="0" w:line="1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2021, the Company recorded $51.8 million of transaction costs which consisted of direct, incremental legal, professional, accounting, and other third-party fees that were directly related to the execution of the Business Combination Merger in additional paid-in capital. Upon consummation of the Business Combination Merger, $9.0 million of the transaction costs relates to costs incurred by Legacy Sema4 and reclassed to offset against equity from prepaid expense and other current assets.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GeneDx Acquisition</w:t>
      </w:r>
    </w:p>
    <w:p>
      <w:pPr>
        <w:spacing w:after="0" w:line="17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discussed in Note 1, on April 29, 2022, the Company completed the Acquisition of GeneDx. At the closing of the Acquisition, the Company paid OPKO gross cash consideration of $150 million (before deduction of transaction expenses and other customary purchase price adjustments) and issued to OPKO 80 million shares of the Company’s Class A common stock ($172 million based on the closing date share price of $2.15 per share). A portion of this cash ($13.4 million) and share consideration (8.3 million shares) will be held in escrow for 12 months following the closing date of the Acquisition. In addition, up to $150 million is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the Company’s Class A common stock (valued at $4.86 per share, subject to adjustment for stock splits and similar changes), with such mix to be determined in the Company’s sole discretion. Concurrently with the closing of the Acquisition, the Company also issued and sold in private placement 50,000,000 shares of the Company’s Class A common stock to certain institutional investors for aggregate gross proceeds of $200 million (the “Acquisition PIPE Investment”).</w:t>
      </w:r>
    </w:p>
    <w:p>
      <w:pPr>
        <w:spacing w:after="0" w:line="1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following table summarizes the net book values of the assets acquired and liabilities assumed as of the Acquisition closing date. The initial accounting for the Acquisition is incomplete. All amounts below could change, potentially materially, as there is significant additional information that the Company has to obtain to finalize the valuations of the assets acquired and liabilities assumed, and to establish the value of the potential intangible assets, primarily because of the proximity of the Acquisition closing date to the balance sheet date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9760" w:type="dxa"/>
            <w:vAlign w:val="bottom"/>
          </w:tcPr>
          <w:p>
            <w:pPr>
              <w:ind w:left="4460"/>
              <w:spacing w:after="0"/>
              <w:rPr>
                <w:sz w:val="20"/>
                <w:szCs w:val="20"/>
                <w:color w:val="auto"/>
              </w:rPr>
            </w:pPr>
            <w:r>
              <w:rPr>
                <w:rFonts w:ascii="Arial" w:cs="Arial" w:eastAsia="Arial" w:hAnsi="Arial"/>
                <w:sz w:val="18"/>
                <w:szCs w:val="18"/>
                <w:b w:val="1"/>
                <w:bCs w:val="1"/>
                <w:color w:val="auto"/>
              </w:rPr>
              <w:t>Sema4 Holdings Corp.</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98"/>
        </w:trPr>
        <w:tc>
          <w:tcPr>
            <w:tcW w:w="9760" w:type="dxa"/>
            <w:vAlign w:val="bottom"/>
          </w:tcPr>
          <w:p>
            <w:pPr>
              <w:ind w:left="280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31"/>
        </w:trPr>
        <w:tc>
          <w:tcPr>
            <w:tcW w:w="9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5"/>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9"/>
                <w:szCs w:val="19"/>
                <w:color w:val="auto"/>
              </w:rPr>
            </w:pP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Accounts receivables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lease liabilities</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9"/>
        </w:trPr>
        <w:tc>
          <w:tcPr>
            <w:tcW w:w="9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net assets acquired</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w:t>
            </w:r>
          </w:p>
        </w:tc>
      </w:tr>
      <w:tr>
        <w:trPr>
          <w:trHeight w:val="244"/>
        </w:trPr>
        <w:tc>
          <w:tcPr>
            <w:tcW w:w="9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Aggregate purchase price</w:t>
            </w: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right="100" w:firstLine="324"/>
        <w:spacing w:after="0" w:line="271" w:lineRule="auto"/>
        <w:tabs>
          <w:tab w:leader="none" w:pos="571" w:val="left"/>
        </w:tabs>
        <w:numPr>
          <w:ilvl w:val="0"/>
          <w:numId w:val="14"/>
        </w:numPr>
        <w:rPr>
          <w:rFonts w:ascii="Arial" w:cs="Arial" w:eastAsia="Arial" w:hAnsi="Arial"/>
          <w:sz w:val="17"/>
          <w:szCs w:val="17"/>
          <w:color w:val="auto"/>
        </w:rPr>
      </w:pPr>
      <w:r>
        <w:rPr>
          <w:rFonts w:ascii="Arial" w:cs="Arial" w:eastAsia="Arial" w:hAnsi="Arial"/>
          <w:sz w:val="17"/>
          <w:szCs w:val="17"/>
          <w:color w:val="auto"/>
        </w:rPr>
        <w:t>Goodwill represents the excess of the purchase price over the fair value of the net tangible and intangible assets acquired. The Acquisition of GeneDx resulted in the recognition of $181.2 million in goodwill as of June 30, 2022, which represents the excess of consideration transferred over the net assets recognized and represents future economic benefits arising from other assets acquired that could not be individually identified and separately recognized, such as assembled workforce. $0.2 million of the acquired goodwill is expected to be deductible for tax purposes.</w:t>
      </w:r>
    </w:p>
    <w:p>
      <w:pPr>
        <w:spacing w:after="0" w:line="137"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For six months ended June 30, 2022, $12.1 million of GeneDx acquisition-related costs are reflected within General and administrative expenses in the Company’s condensed consolidated statements of operations and comprehensive loss. These costs include third-party professional firms’ services related to due diligence, advisory and legal services. The Company’s results for the three and six months ended June 30, 2022 include $26.1 million of revenue and $9.0 million of pretax loss from GeneDx.</w:t>
      </w:r>
    </w:p>
    <w:p>
      <w:pPr>
        <w:spacing w:after="0" w:line="13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reflects the fair values and useful lives of the acquired intangible assets identified based on the Company’s preliminary purchase accounting assessments:</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29, 2022</w:t>
            </w:r>
          </w:p>
        </w:tc>
        <w:tc>
          <w:tcPr>
            <w:tcW w:w="240" w:type="dxa"/>
            <w:vAlign w:val="bottom"/>
          </w:tcPr>
          <w:p>
            <w:pPr>
              <w:spacing w:after="0"/>
              <w:rPr>
                <w:sz w:val="15"/>
                <w:szCs w:val="15"/>
                <w:color w:val="auto"/>
              </w:rPr>
            </w:pPr>
          </w:p>
        </w:tc>
        <w:tc>
          <w:tcPr>
            <w:tcW w:w="1200" w:type="dxa"/>
            <w:vAlign w:val="bottom"/>
          </w:tcPr>
          <w:p>
            <w:pPr>
              <w:jc w:val="right"/>
              <w:ind w:right="175"/>
              <w:spacing w:after="0"/>
              <w:rPr>
                <w:sz w:val="20"/>
                <w:szCs w:val="20"/>
                <w:color w:val="auto"/>
              </w:rPr>
            </w:pPr>
            <w:r>
              <w:rPr>
                <w:rFonts w:ascii="Arial" w:cs="Arial" w:eastAsia="Arial" w:hAnsi="Arial"/>
                <w:sz w:val="14"/>
                <w:szCs w:val="14"/>
                <w:b w:val="1"/>
                <w:bCs w:val="1"/>
                <w:color w:val="auto"/>
              </w:rPr>
              <w:t>June 30, 2022</w:t>
            </w:r>
          </w:p>
        </w:tc>
        <w:tc>
          <w:tcPr>
            <w:tcW w:w="1760" w:type="dxa"/>
            <w:vAlign w:val="bottom"/>
          </w:tcPr>
          <w:p>
            <w:pPr>
              <w:ind w:left="600"/>
              <w:spacing w:after="0"/>
              <w:rPr>
                <w:sz w:val="20"/>
                <w:szCs w:val="20"/>
                <w:color w:val="auto"/>
              </w:rPr>
            </w:pPr>
            <w:r>
              <w:rPr>
                <w:rFonts w:ascii="Arial" w:cs="Arial" w:eastAsia="Arial" w:hAnsi="Arial"/>
                <w:sz w:val="14"/>
                <w:szCs w:val="14"/>
                <w:b w:val="1"/>
                <w:bCs w:val="1"/>
                <w:color w:val="auto"/>
              </w:rPr>
              <w:t>Life (in Years)</w:t>
            </w:r>
          </w:p>
        </w:tc>
      </w:tr>
      <w:tr>
        <w:trPr>
          <w:trHeight w:val="24"/>
        </w:trPr>
        <w:tc>
          <w:tcPr>
            <w:tcW w:w="5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49,479</w:t>
            </w:r>
          </w:p>
        </w:tc>
        <w:tc>
          <w:tcPr>
            <w:tcW w:w="1760" w:type="dxa"/>
            <w:vAlign w:val="bottom"/>
            <w:shd w:val="clear" w:color="auto" w:fill="CCEEFF"/>
          </w:tcPr>
          <w:p>
            <w:pPr>
              <w:jc w:val="center"/>
              <w:ind w:left="216"/>
              <w:spacing w:after="0"/>
              <w:rPr>
                <w:sz w:val="20"/>
                <w:szCs w:val="20"/>
                <w:color w:val="auto"/>
              </w:rPr>
            </w:pPr>
            <w:r>
              <w:rPr>
                <w:rFonts w:ascii="Arial" w:cs="Arial" w:eastAsia="Arial" w:hAnsi="Arial"/>
                <w:sz w:val="18"/>
                <w:szCs w:val="18"/>
                <w:color w:val="auto"/>
                <w:w w:val="89"/>
              </w:rPr>
              <w:t>16</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47,000</w:t>
            </w:r>
          </w:p>
        </w:tc>
        <w:tc>
          <w:tcPr>
            <w:tcW w:w="1760" w:type="dxa"/>
            <w:vAlign w:val="bottom"/>
          </w:tcPr>
          <w:p>
            <w:pPr>
              <w:jc w:val="center"/>
              <w:ind w:left="216"/>
              <w:spacing w:after="0"/>
              <w:rPr>
                <w:sz w:val="20"/>
                <w:szCs w:val="20"/>
                <w:color w:val="auto"/>
              </w:rPr>
            </w:pPr>
            <w:r>
              <w:rPr>
                <w:rFonts w:ascii="Arial" w:cs="Arial" w:eastAsia="Arial" w:hAnsi="Arial"/>
                <w:sz w:val="18"/>
                <w:szCs w:val="18"/>
                <w:color w:val="auto"/>
                <w:w w:val="99"/>
              </w:rPr>
              <w:t>8</w:t>
            </w: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97,184</w:t>
            </w:r>
          </w:p>
        </w:tc>
        <w:tc>
          <w:tcPr>
            <w:tcW w:w="1760" w:type="dxa"/>
            <w:vAlign w:val="bottom"/>
            <w:shd w:val="clear" w:color="auto" w:fill="CCEEFF"/>
          </w:tcPr>
          <w:p>
            <w:pPr>
              <w:jc w:val="center"/>
              <w:ind w:left="216"/>
              <w:spacing w:after="0"/>
              <w:rPr>
                <w:sz w:val="20"/>
                <w:szCs w:val="20"/>
                <w:color w:val="auto"/>
              </w:rPr>
            </w:pPr>
            <w:r>
              <w:rPr>
                <w:rFonts w:ascii="Arial" w:cs="Arial" w:eastAsia="Arial" w:hAnsi="Arial"/>
                <w:sz w:val="18"/>
                <w:szCs w:val="18"/>
                <w:color w:val="auto"/>
                <w:w w:val="89"/>
              </w:rPr>
              <w:t>20</w:t>
            </w:r>
          </w:p>
        </w:tc>
      </w:tr>
      <w:tr>
        <w:trPr>
          <w:trHeight w:val="218"/>
        </w:trPr>
        <w:tc>
          <w:tcPr>
            <w:tcW w:w="594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193,663</w:t>
            </w:r>
          </w:p>
        </w:tc>
        <w:tc>
          <w:tcPr>
            <w:tcW w:w="176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Amortization expense for trade names and trademarks and developed technology of $1.5 million was recorded in general and administrative for the three months ended June 30, 2022 within the condensed consolidated statements of operations and comprehensive loss. Amortization expense for customer relationships of $0.8 million was recorded in selling and marketing for the three months ended June 30, 2022 within the condensed consolidated statements of operations and comprehensive loss.</w:t>
      </w:r>
    </w:p>
    <w:p>
      <w:pPr>
        <w:spacing w:after="0" w:line="151"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 summarizes the Company’s estimated future amortization expense of intangible assets with finite lives as of June 30, 2022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29"/>
        </w:trPr>
        <w:tc>
          <w:tcPr>
            <w:tcW w:w="8980" w:type="dxa"/>
            <w:vAlign w:val="bottom"/>
          </w:tcPr>
          <w:p>
            <w:pPr>
              <w:ind w:left="4700"/>
              <w:spacing w:after="0"/>
              <w:rPr>
                <w:sz w:val="20"/>
                <w:szCs w:val="20"/>
                <w:color w:val="auto"/>
              </w:rPr>
            </w:pPr>
            <w:r>
              <w:rPr>
                <w:rFonts w:ascii="Arial" w:cs="Arial" w:eastAsia="Arial" w:hAnsi="Arial"/>
                <w:sz w:val="18"/>
                <w:szCs w:val="18"/>
                <w:b w:val="1"/>
                <w:bCs w:val="1"/>
                <w:color w:val="auto"/>
              </w:rPr>
              <w:t>Sema4 Holdings Corp.</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97"/>
        </w:trPr>
        <w:tc>
          <w:tcPr>
            <w:tcW w:w="8980" w:type="dxa"/>
            <w:vAlign w:val="bottom"/>
          </w:tcPr>
          <w:p>
            <w:pPr>
              <w:ind w:left="304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31"/>
        </w:trPr>
        <w:tc>
          <w:tcPr>
            <w:tcW w:w="8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the year)</w:t>
            </w:r>
          </w:p>
        </w:tc>
        <w:tc>
          <w:tcPr>
            <w:tcW w:w="86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2025</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14,025</w:t>
            </w:r>
          </w:p>
        </w:tc>
      </w:tr>
      <w:tr>
        <w:trPr>
          <w:trHeight w:val="226"/>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r>
      <w:tr>
        <w:trPr>
          <w:trHeight w:val="225"/>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130,551</w:t>
            </w:r>
          </w:p>
        </w:tc>
      </w:tr>
      <w:tr>
        <w:trPr>
          <w:trHeight w:val="244"/>
        </w:trPr>
        <w:tc>
          <w:tcPr>
            <w:tcW w:w="8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estimated future amortization expense</w:t>
            </w: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193,663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164" w:lineRule="exact"/>
        <w:rPr>
          <w:sz w:val="20"/>
          <w:szCs w:val="20"/>
          <w:color w:val="auto"/>
        </w:rPr>
      </w:pPr>
    </w:p>
    <w:p>
      <w:pPr>
        <w:jc w:val="both"/>
        <w:ind w:right="80" w:firstLine="318"/>
        <w:spacing w:after="0" w:line="304" w:lineRule="auto"/>
        <w:rPr>
          <w:sz w:val="20"/>
          <w:szCs w:val="20"/>
          <w:color w:val="auto"/>
        </w:rPr>
      </w:pPr>
      <w:r>
        <w:rPr>
          <w:rFonts w:ascii="Arial" w:cs="Arial" w:eastAsia="Arial" w:hAnsi="Arial"/>
          <w:sz w:val="15"/>
          <w:szCs w:val="15"/>
          <w:color w:val="auto"/>
        </w:rPr>
        <w:t>The pro forma information below gives effect to the GeneDx Acquisition as if it had been completed on January 1, 2021 (“the pro forma acquisition date”). The pro forma information is not necessarily indicative of the Company’s revenue results had the Acquisition been completed on the pro forma acquisition date, nor is it necessarily indicative of the Company’s future results. The pro forma revenue information reflects GeneDx’s historic revenue and does not include any additional revenue opportunities following the Acquisition. The purchase price allocations for the assets acquired and liabilities assumed are based on preliminary valuations and are subject to change as the Company obtains additional information during the acquisition measurement period. Increases or decreases in the estimated fair values of the net assets acquired may impact the Company’s consolidated statements of operations and comprehensive loss in future periods. The Company expects that the values assigned to the assets acquired and liabilities assumed will be finalized during the one-year measurement period following the Acquisition closing date. The pro forma revenues and net loss include the following adjustments based on the Company’s preliminary analysis and are subject to change as additional analysis is performed:</w:t>
      </w:r>
    </w:p>
    <w:p>
      <w:pPr>
        <w:spacing w:after="0" w:line="319"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revised amortization expense resulting from the acquired intangible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historical intercompany revenue recognized by GeneDx with OPKO or other related parties,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 benefits resulting from the deferred tax liabilities acquired,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revised stock based compensation reflecting the inducement awards issued to the GeneDx employees.</w:t>
      </w:r>
    </w:p>
    <w:p>
      <w:pPr>
        <w:spacing w:after="0" w:line="19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5"/>
                <w:szCs w:val="15"/>
                <w:color w:val="auto"/>
              </w:rPr>
            </w:pPr>
          </w:p>
        </w:tc>
        <w:tc>
          <w:tcPr>
            <w:tcW w:w="2700" w:type="dxa"/>
            <w:vAlign w:val="bottom"/>
            <w:gridSpan w:val="4"/>
          </w:tcPr>
          <w:p>
            <w:pPr>
              <w:jc w:val="right"/>
              <w:ind w:right="638"/>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4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48,293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163,665</w:t>
            </w:r>
          </w:p>
        </w:tc>
      </w:tr>
      <w:tr>
        <w:trPr>
          <w:trHeight w:val="106"/>
        </w:trPr>
        <w:tc>
          <w:tcPr>
            <w:tcW w:w="4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(308,703)</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 Revenue</w:t>
      </w:r>
    </w:p>
    <w:p>
      <w:pPr>
        <w:spacing w:after="0" w:line="177" w:lineRule="exact"/>
        <w:rPr>
          <w:sz w:val="20"/>
          <w:szCs w:val="20"/>
          <w:color w:val="auto"/>
        </w:rPr>
      </w:pPr>
    </w:p>
    <w:p>
      <w:pPr>
        <w:jc w:val="both"/>
        <w:ind w:right="80" w:firstLine="318"/>
        <w:spacing w:after="0" w:line="318" w:lineRule="auto"/>
        <w:rPr>
          <w:sz w:val="20"/>
          <w:szCs w:val="20"/>
          <w:color w:val="auto"/>
        </w:rPr>
      </w:pPr>
      <w:r>
        <w:rPr>
          <w:rFonts w:ascii="Arial" w:cs="Arial" w:eastAsia="Arial" w:hAnsi="Arial"/>
          <w:sz w:val="15"/>
          <w:szCs w:val="15"/>
          <w:color w:val="auto"/>
        </w:rPr>
        <w:t>The Company’s diagnostic test revenue contracts typically consist of a single performance obligation to deliver diagnostic testing services to the ordering facility or patient and therefore allocation of the contract transaction price is generally not applicable. Revenue from diagnostic testing services is recorded at the estimated transaction price, subject to the constraint for variable consideration, upon transfer of control of the service. Control over diagnostic testing services is generally transferred at a point in time when the customer obtains control of the promised service which is upon delivery of the test.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91"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The Company enters into both short-term and long-term project-based collaboration and service agreements with third parties, whereby the Company provides diagnostic testing, research and related data aggregation reporting services.</w:t>
      </w:r>
    </w:p>
    <w:p>
      <w:pPr>
        <w:spacing w:after="0" w:line="141"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The consideration to which the Company is entitled pursuant to its collaboration and service agreements includes non-refundable upfront payments, fixed and variable payments based upon the achievement of certain milestones during the</w:t>
      </w:r>
    </w:p>
    <w:p>
      <w:pPr>
        <w:spacing w:after="0" w:line="3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20"/>
          </w:cols>
          <w:pgMar w:left="320" w:top="313"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contract term. Non-refundable upfront payments are generally received in advance of performing the services and, therefore, are recorded as a contract liability upon receipt. Fixed and variable milestone payments are included in the transaction price only when it is probable that doing so will not result in a significant reversal of cumulative revenue recognized when the uncertainty associated with the milestone is subsequently resolved. Revenue for such collaboration and service agreements is recognized over time using an input measure based on costs incurred to satisfy the performance obligation.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disaggregated revenue by payor category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5"/>
          </w:tcPr>
          <w:p>
            <w:pPr>
              <w:jc w:val="right"/>
              <w:ind w:right="554"/>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900" w:type="dxa"/>
            <w:vAlign w:val="bottom"/>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21,398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40,210</w:t>
            </w: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36,169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51"/>
        </w:trPr>
        <w:tc>
          <w:tcPr>
            <w:tcW w:w="8180" w:type="dxa"/>
            <w:vAlign w:val="bottom"/>
          </w:tcPr>
          <w:p>
            <w:pPr>
              <w:spacing w:after="0"/>
              <w:rPr>
                <w:sz w:val="24"/>
                <w:szCs w:val="24"/>
                <w:color w:val="auto"/>
              </w:rPr>
            </w:pPr>
          </w:p>
        </w:tc>
        <w:tc>
          <w:tcPr>
            <w:tcW w:w="3060" w:type="dxa"/>
            <w:vAlign w:val="bottom"/>
            <w:gridSpan w:val="5"/>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180" w:type="dxa"/>
            <w:vAlign w:val="bottom"/>
          </w:tcPr>
          <w:p>
            <w:pPr>
              <w:ind w:left="180"/>
              <w:spacing w:after="0"/>
              <w:rPr>
                <w:sz w:val="20"/>
                <w:szCs w:val="20"/>
                <w:color w:val="auto"/>
              </w:rPr>
            </w:pPr>
            <w:r>
              <w:rPr>
                <w:rFonts w:ascii="Arial" w:cs="Arial" w:eastAsia="Arial" w:hAnsi="Arial"/>
                <w:sz w:val="18"/>
                <w:szCs w:val="18"/>
                <w:color w:val="auto"/>
              </w:rPr>
              <w:t>Patients with third-party insurance</w:t>
            </w:r>
          </w:p>
        </w:tc>
        <w:tc>
          <w:tcPr>
            <w:tcW w:w="900" w:type="dxa"/>
            <w:vAlign w:val="bottom"/>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68,860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86,409</w:t>
            </w:r>
          </w:p>
        </w:tc>
      </w:tr>
      <w:tr>
        <w:trPr>
          <w:trHeight w:val="226"/>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Institutional customers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w:t>
            </w:r>
          </w:p>
        </w:tc>
      </w:tr>
      <w:tr>
        <w:trPr>
          <w:trHeight w:val="225"/>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Self-pay patients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86,499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90,110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Reassessment of variable consideration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41" w:lineRule="exact"/>
        <w:rPr>
          <w:sz w:val="20"/>
          <w:szCs w:val="20"/>
          <w:color w:val="auto"/>
        </w:rPr>
      </w:pPr>
    </w:p>
    <w:p>
      <w:pPr>
        <w:ind w:right="40" w:firstLine="318"/>
        <w:spacing w:after="0" w:line="303" w:lineRule="auto"/>
        <w:rPr>
          <w:sz w:val="20"/>
          <w:szCs w:val="20"/>
          <w:color w:val="auto"/>
        </w:rPr>
      </w:pPr>
      <w:r>
        <w:rPr>
          <w:rFonts w:ascii="Arial" w:cs="Arial" w:eastAsia="Arial" w:hAnsi="Arial"/>
          <w:sz w:val="15"/>
          <w:szCs w:val="15"/>
          <w:color w:val="auto"/>
        </w:rPr>
        <w:t>For the three months ended June 30, 2022, the quarterly change in estimate resulted in a net $30.1 million decrease to revenue for tests in which the performance obligation of delivering the test results was met in prior periods. $24.2 million of this decrease is related to the years December 31, 2021 and prior. The change in estimate is a result of changes in the estimated transaction price due to contractual adjustments, obtaining updated information from payors and patients that was unknown at the time the performance obligation was met and potential and actual settlements with third party payors. As described in more detail below, third-party payors may decide to deny payment or seek to recoup payments for tests performed by the Company for a number of reasons and, as a result, the Company may be required to refund payments already received, and the Company’s revenues may be subject to retroactive adjustment as a result. The Company processes requests for recoupment from third-party payors in the ordinary course of its business and reflects in the Company’s transaction price estimations. See “—Certain payor matters” below for further details regarding an ongoing matter related to certain overpayments the Company allegedly received from a third-party payor; the Company has established certain liabilities and reversed certain of its previously recorded revenue as a result of this matter and other potential settlements with payors.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payor matters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39"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As an integral part of the Company’s billing compliance program, the Company has and will periodically assess its billing and coding practices, respond to payor audits and overpayment claims, and investigate reported failures or suspected failures to comply with federal and state healthcare reimbursement</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requirements, which may arise without fault on the part of the Company. From time to time, the Company may have an obligation to reimburse Medicare, Medicaid, and third-party payors for overpayments regardless of fault. Settlements with third-party payors for retroactive adjustments due to audits, reviews, or 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30" w:lineRule="exact"/>
        <w:rPr>
          <w:sz w:val="20"/>
          <w:szCs w:val="20"/>
          <w:color w:val="auto"/>
        </w:rPr>
      </w:pPr>
    </w:p>
    <w:p>
      <w:pPr>
        <w:jc w:val="both"/>
        <w:ind w:firstLine="318"/>
        <w:spacing w:after="0" w:line="322" w:lineRule="auto"/>
        <w:rPr>
          <w:sz w:val="20"/>
          <w:szCs w:val="20"/>
          <w:color w:val="auto"/>
        </w:rPr>
      </w:pPr>
      <w:r>
        <w:rPr>
          <w:rFonts w:ascii="Arial" w:cs="Arial" w:eastAsia="Arial" w:hAnsi="Arial"/>
          <w:sz w:val="15"/>
          <w:szCs w:val="15"/>
          <w:color w:val="auto"/>
        </w:rPr>
        <w:t>The Company is currently engaged in discussions with one of the Company’s third-party payors regarding certain overpayments the Company allegedly received from the payor for services that the payor alleges are not covered by, or were not otherwise properly billed to, the payor. This payor has asserted in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informal discussions that it will seek recovery or recoupment in relation to the alleged overpayments if the matter cannot be settled. While the Company believes it has defenses to the payor’s allegations, it is currently engaged in discussions seeking to resolve the matter and any claim that may arise in connection therewith in a mutually satisfactory manner.</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a result of this matter, and in connection with a review of certain billing policies and procedures undertaken by management following the acquisition</w:t>
      </w:r>
    </w:p>
    <w:p>
      <w:pPr>
        <w:spacing w:after="0" w:line="7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of GeneDx, the Company considered the need to establish reserves for potential recoupments of payments previously made by third-party payors. As of June 30, 2022, the Company has established liabilities of $39.2 million as a result of this matter and other potential settlements with payors based on the current facts and an evaluation of anticipated results that the Company believes reasonable for all potential recoupments for all third-party payors combined. This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amount is included in Accounts payable and accrued expenses. See Note 15, “Supplemental Financial Information”.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certain long-term collaboration service agreements with original expected durations of more than one year, the Company’s obligations pursuant to such agreement represents partially unsatisfied performance obligations as of June 30, 2022. The revenues under the agreements are estimated to be approximately $9.0 million. The Company expects to recognize the majority of this revenue over the next 3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and service agreements for which revenue is recognized over time but the Company’s right to bill the customer is contingent upon the achievement of contractually-defined milestones.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Contract liabilities consist of customer payments in excess of revenues recognized. For collaboration and service agreements, the Company assesses the performance obligations and recognizes contract liabilities as current or non-current based upon forecasted performance.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Contract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7"/>
              <w:spacing w:after="0"/>
              <w:rPr>
                <w:sz w:val="20"/>
                <w:szCs w:val="20"/>
                <w:color w:val="auto"/>
              </w:rPr>
            </w:pPr>
            <w:r>
              <w:rPr>
                <w:rFonts w:ascii="Arial" w:cs="Arial" w:eastAsia="Arial" w:hAnsi="Arial"/>
                <w:sz w:val="14"/>
                <w:szCs w:val="14"/>
                <w:b w:val="1"/>
                <w:bCs w:val="1"/>
                <w:color w:val="auto"/>
              </w:rPr>
              <w:t>Contract</w:t>
            </w:r>
          </w:p>
        </w:tc>
      </w:tr>
      <w:tr>
        <w:trPr>
          <w:trHeight w:val="189"/>
        </w:trPr>
        <w:tc>
          <w:tcPr>
            <w:tcW w:w="8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Assets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Liabilities</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1,067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Revenue recognized</w:t>
            </w:r>
          </w:p>
        </w:tc>
        <w:tc>
          <w:tcPr>
            <w:tcW w:w="10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44"/>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020" w:type="dxa"/>
            <w:vAlign w:val="bottom"/>
            <w:tcBorders>
              <w:top w:val="single" w:sz="8" w:color="auto"/>
              <w:bottom w:val="single" w:sz="8" w:color="auto"/>
            </w:tcBorders>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 presents contract assets and contract liabilities with respect to customer contracts on a net basis on its condensed consolidated balance sheets. As of June 30, 2022, there were no current contract liabilities recorded and $0.5 million recorded as of December 31, 2021.</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Revenues recognized that were included in the contract liability balance at the beginning of each period were $0.2 million and $1.5 million for the three months ended June 30, 2022 and June 30, 2021, respectively and $0.7 million and $2.2 million for the six months ended June 30, 2022 and June 30, 2021,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fulfill contracts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prepaid are expensed in line with the pattern of revenue recognition. Prepayment of amounts prior to the costs being incurred are recognized on the condensed consolidated balance sheets as current or non-current based upon forecasted performance.</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2022 and December 31, 2021, the Company had outstanding deferred costs to fulfill contracts of $0.8 million and $1.8 million, respectively. As of June 30, 2022 and December 31, 2021, all outstanding deferred costs were recorded as other current assets.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Amortization of deferred costs was $0.7 million and $0.3 million for the three months ended June 30, 2022 and 2021, respectively and $1.0 million and $0.5 million for the six months ended June 30, 2022 and 2021, respectively. The amortization of these costs is recorded in the cost of services on the condensed consolidated statements of operations and comprehensive loss.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The following hierarchy lists three levels of fair value based on the extent to which inputs used in measuring fair value are observable in the market:</w:t>
      </w:r>
    </w:p>
    <w:p>
      <w:pPr>
        <w:spacing w:after="0" w:line="217" w:lineRule="exact"/>
        <w:rPr>
          <w:sz w:val="20"/>
          <w:szCs w:val="20"/>
          <w:color w:val="auto"/>
        </w:rPr>
      </w:pPr>
    </w:p>
    <w:p>
      <w:pPr>
        <w:ind w:left="400"/>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207" w:lineRule="exact"/>
        <w:rPr>
          <w:sz w:val="20"/>
          <w:szCs w:val="20"/>
          <w:color w:val="auto"/>
        </w:rPr>
      </w:pPr>
    </w:p>
    <w:p>
      <w:pPr>
        <w:ind w:left="400" w:right="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significant to the measurement of fair value but are supported by little to no market data.</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financial assets and liabilities consist of cash and cash equivalents, restricted cash, accounts receivable, accounts payable, accrued liabilities, finance leases, warrant liability, earn-out contingent liability and long-term debt. The Company’s cash and cash equivalents, restricted cash, accounts receivable, accounts payable and accrued liabilities approximate their fair value due to the relatively short-term nature of these accounts.</w:t>
      </w:r>
    </w:p>
    <w:p>
      <w:pPr>
        <w:spacing w:after="0" w:line="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finance leases are classified within Level 1 of the fair value hierarchy because such finance lease agreements bear interest at rates for instruments with similar characteristics; accordingly, the carrying value of these liabilities approximate their fair values.</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loan from the Connecticut Department of Economic and Community Development is classified within Level 2 of the fair value hierarchy. As of June 30, 2022, the long-term debt was recorded at its carrying value of $11.0 million in the condensed consolidated balance sheet. The fair value was $8.9 million, which is estimated based on discounted cash flows using the yields of similar debt instruments of other companies with similar credit profiles.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As of June 30, 2022</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based on milestone achievement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19"/>
        </w:trPr>
        <w:tc>
          <w:tcPr>
            <w:tcW w:w="550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42,426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35,168</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9"/>
        </w:trPr>
        <w:tc>
          <w:tcPr>
            <w:tcW w:w="5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As of December 31, 2021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3</w:t>
            </w:r>
          </w:p>
        </w:tc>
      </w:tr>
      <w:tr>
        <w:trPr>
          <w:trHeight w:val="212"/>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4"/>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Of the $284.6 million cash and cash equivalents presented on the condensed consolidated balance sheets as of June 30, 2022, $54.4 million was in money market funds and was classified within Level 1 of the fair value hierarchy as the fair value was based on quoted prices in active markets.</w:t>
      </w:r>
    </w:p>
    <w:p>
      <w:pPr>
        <w:spacing w:after="0" w:line="7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right="100"/>
        <w:spacing w:after="0" w:line="312" w:lineRule="auto"/>
        <w:rPr>
          <w:sz w:val="20"/>
          <w:szCs w:val="20"/>
          <w:color w:val="auto"/>
        </w:rPr>
      </w:pPr>
      <w:r>
        <w:rPr>
          <w:rFonts w:ascii="Arial" w:cs="Arial" w:eastAsia="Arial" w:hAnsi="Arial"/>
          <w:sz w:val="15"/>
          <w:szCs w:val="15"/>
          <w:color w:val="auto"/>
        </w:rPr>
        <w:t>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condensed consolidated statements of operations and comprehensive loss at each reporting date. As of June 30, 2022,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1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earn-out contingent liabilities include the Company’s contingent obligation to issue earn-out shares for Legacy Sema4 stockholders (“Earn-out Shares”) as well as the Company’s contingent obligation to make additional Milestone Payments of up to $150 million to OPKO if certain revenue-based milestones are achieved for each of the fiscal years ended December 31, 2022 and December 31, 2023.</w:t>
      </w:r>
    </w:p>
    <w:p>
      <w:pPr>
        <w:spacing w:after="0" w:line="148" w:lineRule="exact"/>
        <w:rPr>
          <w:sz w:val="20"/>
          <w:szCs w:val="20"/>
          <w:color w:val="auto"/>
        </w:rPr>
      </w:pPr>
    </w:p>
    <w:p>
      <w:pPr>
        <w:jc w:val="both"/>
        <w:ind w:right="100" w:firstLine="318"/>
        <w:spacing w:after="0" w:line="268" w:lineRule="auto"/>
        <w:rPr>
          <w:sz w:val="20"/>
          <w:szCs w:val="20"/>
          <w:color w:val="auto"/>
        </w:rPr>
      </w:pPr>
      <w:r>
        <w:rPr>
          <w:rFonts w:ascii="Arial" w:cs="Arial" w:eastAsia="Arial" w:hAnsi="Arial"/>
          <w:sz w:val="17"/>
          <w:szCs w:val="17"/>
          <w:color w:val="auto"/>
        </w:rPr>
        <w:t>The Earn-out Shares are accounted for as a liability and required remeasurement at each reporting date. The estimated fair value of the total Earn-out Shares as of June 30, 2022 is determined based on a Monte Carlo simulation valuation model. The fair value of the earn-out contingent liability is sensitive to expected volatility estimated based on selected guideline public companies’ stock prices, the Company’s implied volatility and Company’s Class A common stock price which is sensitive to changes in the forecasts of earnings and/or the relevant operating metrics. The key assumptions utilized in determining the Earn-out Shares valuation as of June 30, 2022 and March 31, 2022 were as follows:</w:t>
      </w:r>
    </w:p>
    <w:p>
      <w:pPr>
        <w:spacing w:after="0" w:line="23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500" w:type="dxa"/>
            <w:vAlign w:val="bottom"/>
          </w:tcPr>
          <w:p>
            <w:pPr>
              <w:spacing w:after="0"/>
              <w:rPr>
                <w:sz w:val="15"/>
                <w:szCs w:val="15"/>
                <w:color w:val="auto"/>
              </w:rPr>
            </w:pPr>
          </w:p>
        </w:tc>
        <w:tc>
          <w:tcPr>
            <w:tcW w:w="2560" w:type="dxa"/>
            <w:vAlign w:val="bottom"/>
            <w:gridSpan w:val="2"/>
          </w:tcPr>
          <w:p>
            <w:pPr>
              <w:ind w:left="820"/>
              <w:spacing w:after="0"/>
              <w:rPr>
                <w:sz w:val="20"/>
                <w:szCs w:val="20"/>
                <w:color w:val="auto"/>
              </w:rPr>
            </w:pPr>
            <w:r>
              <w:rPr>
                <w:rFonts w:ascii="Arial" w:cs="Arial" w:eastAsia="Arial" w:hAnsi="Arial"/>
                <w:sz w:val="14"/>
                <w:szCs w:val="14"/>
                <w:b w:val="1"/>
                <w:bCs w:val="1"/>
                <w:color w:val="auto"/>
              </w:rPr>
              <w:t>June 30, 2022</w:t>
            </w:r>
          </w:p>
        </w:tc>
        <w:tc>
          <w:tcPr>
            <w:tcW w:w="1960" w:type="dxa"/>
            <w:vAlign w:val="bottom"/>
          </w:tcPr>
          <w:p>
            <w:pPr>
              <w:ind w:left="620"/>
              <w:spacing w:after="0"/>
              <w:rPr>
                <w:sz w:val="20"/>
                <w:szCs w:val="20"/>
                <w:color w:val="auto"/>
              </w:rPr>
            </w:pPr>
            <w:r>
              <w:rPr>
                <w:rFonts w:ascii="Arial" w:cs="Arial" w:eastAsia="Arial" w:hAnsi="Arial"/>
                <w:sz w:val="14"/>
                <w:szCs w:val="14"/>
                <w:b w:val="1"/>
                <w:bCs w:val="1"/>
                <w:color w:val="auto"/>
              </w:rPr>
              <w:t>March 31, 2022</w:t>
            </w:r>
          </w:p>
        </w:tc>
      </w:tr>
      <w:tr>
        <w:trPr>
          <w:trHeight w:val="24"/>
        </w:trPr>
        <w:tc>
          <w:tcPr>
            <w:tcW w:w="65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$1.26</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8"/>
              </w:rPr>
              <w:t>$3.07</w:t>
            </w:r>
          </w:p>
        </w:tc>
      </w:tr>
      <w:tr>
        <w:trPr>
          <w:trHeight w:val="225"/>
        </w:trPr>
        <w:tc>
          <w:tcPr>
            <w:tcW w:w="65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87.5%</w:t>
            </w:r>
          </w:p>
        </w:tc>
        <w:tc>
          <w:tcPr>
            <w:tcW w:w="100" w:type="dxa"/>
            <w:vAlign w:val="bottom"/>
          </w:tcPr>
          <w:p>
            <w:pPr>
              <w:spacing w:after="0"/>
              <w:rPr>
                <w:sz w:val="19"/>
                <w:szCs w:val="19"/>
                <w:color w:val="auto"/>
              </w:rPr>
            </w:pPr>
          </w:p>
        </w:tc>
        <w:tc>
          <w:tcPr>
            <w:tcW w:w="1960" w:type="dxa"/>
            <w:vAlign w:val="bottom"/>
          </w:tcPr>
          <w:p>
            <w:pPr>
              <w:jc w:val="center"/>
              <w:ind w:left="135"/>
              <w:spacing w:after="0"/>
              <w:rPr>
                <w:sz w:val="20"/>
                <w:szCs w:val="20"/>
                <w:color w:val="auto"/>
              </w:rPr>
            </w:pPr>
            <w:r>
              <w:rPr>
                <w:rFonts w:ascii="Arial" w:cs="Arial" w:eastAsia="Arial" w:hAnsi="Arial"/>
                <w:sz w:val="18"/>
                <w:szCs w:val="18"/>
                <w:color w:val="auto"/>
                <w:w w:val="90"/>
              </w:rPr>
              <w:t>72.5%</w:t>
            </w:r>
          </w:p>
        </w:tc>
      </w:tr>
      <w:tr>
        <w:trPr>
          <w:trHeight w:val="22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w w:val="87"/>
              </w:rPr>
              <w:t>1.3</w:t>
            </w:r>
          </w:p>
        </w:tc>
      </w:tr>
      <w:tr>
        <w:trPr>
          <w:trHeight w:val="224"/>
        </w:trPr>
        <w:tc>
          <w:tcPr>
            <w:tcW w:w="65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2.81%</w:t>
            </w:r>
          </w:p>
        </w:tc>
        <w:tc>
          <w:tcPr>
            <w:tcW w:w="100" w:type="dxa"/>
            <w:vAlign w:val="bottom"/>
          </w:tcPr>
          <w:p>
            <w:pPr>
              <w:spacing w:after="0"/>
              <w:rPr>
                <w:sz w:val="19"/>
                <w:szCs w:val="19"/>
                <w:color w:val="auto"/>
              </w:rPr>
            </w:pPr>
          </w:p>
        </w:tc>
        <w:tc>
          <w:tcPr>
            <w:tcW w:w="1960" w:type="dxa"/>
            <w:vAlign w:val="bottom"/>
          </w:tcPr>
          <w:p>
            <w:pPr>
              <w:jc w:val="center"/>
              <w:ind w:left="135"/>
              <w:spacing w:after="0"/>
              <w:rPr>
                <w:sz w:val="20"/>
                <w:szCs w:val="20"/>
                <w:color w:val="auto"/>
              </w:rPr>
            </w:pPr>
            <w:r>
              <w:rPr>
                <w:rFonts w:ascii="Arial" w:cs="Arial" w:eastAsia="Arial" w:hAnsi="Arial"/>
                <w:sz w:val="18"/>
                <w:szCs w:val="18"/>
                <w:color w:val="auto"/>
                <w:w w:val="90"/>
              </w:rPr>
              <w:t>1.83%</w:t>
            </w:r>
          </w:p>
        </w:tc>
      </w:tr>
    </w:tbl>
    <w:p>
      <w:pPr>
        <w:spacing w:after="0" w:line="254"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The fair value determined and recorded as of March 31, 2022 and December 31, 2021 was $3.4 million and $10.2 million, respectively. During the three and six months ended June 30, 2022 a gain of $3.3 million and $10.1 million was recorded, respectively, in the change in fair market value of warrant and earn-out contingent liability in the condensed consolidated statements of operations and comprehensive loss based on re-measurement performed as of the period end date.</w:t>
      </w:r>
    </w:p>
    <w:p>
      <w:pPr>
        <w:spacing w:after="0" w:line="16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7"/>
          <w:szCs w:val="17"/>
          <w:color w:val="auto"/>
        </w:rPr>
        <w:t>The Milestone Payments contingent liability represents additional acquisition consideration to pay up to $150 million based on the achievement of GeneDx revenue-based milestones in fiscal years 2022 and 2023. Subject to the terms and conditions of the Acquisition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provided that 80% of the Milestone Payment for the first milestone period or the second milestone period, as applicable, will become payable in respect of such period if the GeneDx group achieves 90% of the applicable Milestone Event revenue target for such period, which amount will scale on a linear basis up to 100% of the applicable Milestone Payment at 100% of the applicable revenue target. Each Milestone Payment will be satisfied through the payment and/or issuance of a combination of cash and shares of the Company’s Class A common stock (valued at $4.86 per share), with such mix to be determined at the Company’s sole discretion.</w:t>
      </w:r>
    </w:p>
    <w:p>
      <w:pPr>
        <w:spacing w:after="0" w:line="145"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The Company recorded the fair value of the Milestone Payments for $35 million as of June 30, 2022, of which $28 million is presented as current liabilities in the condensed consolidated balance sheets. A gain of $17 million was recorded in the change in fair market value of warrant and earn-out contingent liabilities in the condensed consolidated statements of operations and comprehensive loss based on re-measurement performed as of the period end date. The fair value was determined based on a Monte Carlo simulation valuation model and the key assumptions include revenue projections, revenue volatility of 17.5%, and share price of $1.26 per share.</w:t>
      </w:r>
    </w:p>
    <w:p>
      <w:pPr>
        <w:spacing w:after="0" w:line="15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earn-out contingent liabilities are categorized as Level 3 of the fair value hierarchy as the Company utilizes unobservable inputs in estimating the fair value. There were no transfers between Level 1, Level 2 and Level 3 during the periods presented.</w:t>
      </w:r>
    </w:p>
    <w:p>
      <w:pPr>
        <w:spacing w:after="0" w:line="39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As of</w:t>
            </w:r>
          </w:p>
        </w:tc>
      </w:tr>
      <w:tr>
        <w:trPr>
          <w:trHeight w:val="146"/>
        </w:trPr>
        <w:tc>
          <w:tcPr>
            <w:tcW w:w="8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260" w:type="dxa"/>
            <w:vAlign w:val="bottom"/>
          </w:tcPr>
          <w:p>
            <w:pPr>
              <w:jc w:val="center"/>
              <w:ind w:right="135"/>
              <w:spacing w:after="0" w:line="146" w:lineRule="exact"/>
              <w:rPr>
                <w:sz w:val="20"/>
                <w:szCs w:val="20"/>
                <w:color w:val="auto"/>
              </w:rPr>
            </w:pPr>
            <w:r>
              <w:rPr>
                <w:rFonts w:ascii="Arial" w:cs="Arial" w:eastAsia="Arial" w:hAnsi="Arial"/>
                <w:sz w:val="14"/>
                <w:szCs w:val="14"/>
                <w:b w:val="1"/>
                <w:bCs w:val="1"/>
                <w:color w:val="auto"/>
                <w:w w:val="92"/>
              </w:rPr>
              <w:t>December 31,</w:t>
            </w:r>
          </w:p>
        </w:tc>
      </w:tr>
      <w:tr>
        <w:trPr>
          <w:trHeight w:val="189"/>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Equipment under finance leases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21,384</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25,693</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finance lease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114,625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(51,906)</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three months ended June 30, 2022 and 2021, depreciation and amortization expense was $6.6 million and $5.6 million. For the six months ended June 30, 2022 and 2021, depreciation and amortization expense was $12.4 million and $10.5 million, respectively. This included software amortization expense of $1.7 million and $1.4 million for the three months ended June 30, 2022 and 2021, respectively and $3.3 million and $2.6 million for the six months ended June 30, 2022 and 2021, respectively. Depreciation and amortization expense is included within the condensed consolidated statements of operations and comprehensive loss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1,446</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678"/>
        </w:trPr>
        <w:tc>
          <w:tcPr>
            <w:tcW w:w="8180" w:type="dxa"/>
            <w:vAlign w:val="bottom"/>
          </w:tcPr>
          <w:p>
            <w:pPr>
              <w:spacing w:after="0"/>
              <w:rPr>
                <w:sz w:val="24"/>
                <w:szCs w:val="24"/>
                <w:color w:val="auto"/>
              </w:rPr>
            </w:pPr>
          </w:p>
        </w:tc>
        <w:tc>
          <w:tcPr>
            <w:tcW w:w="248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24"/>
                <w:szCs w:val="24"/>
                <w:color w:val="auto"/>
              </w:rPr>
            </w:pP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 expenses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12,430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For three months ended June 30, 2022 and 2021, the Company incurred certain related party costs. There were no expenses recognized under the Transition Services Agreement with ISMMS (the “ISMMS TSA”) for the three months ended June 30, 2022 and 2021. There were no expenses recognized under the ISMMS TSA for the six months ended June 30, 2022 and $1.4 million for the six months ended June 30, 2021 which is presented within related party expenses in the condensed consolidated statements of operations and comprehensive loss. The Company had no ISMMS TSA payables due to ISMMS as of June 30, 2022 and December 31, 2021. The ISMMS TSA expired on March 28, 2021.</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Expenses recognized pursuant to other service arrangements with ISMMS, including certain sub-lease arrangements the Company has through ISMMS, totaled $2.3 million and $1.9 million for the three months ended June 30, 2022 and 2021, respectively and $4.2 million and $2.6 million for the six months ended June 30, 2022 and 2021, respectively. These amounts include certain lease expenses the Company incurs and pay to ISMMS for certain sub-lease arrangements. They are included in either cost of services or related party expenses on the condensed consolidated statements of operations and comprehensive loss depending on the particular activity to which the costs relate. Payables due to ISMMS for the other service arrangements were $1.9 million $2.6 million as of June 30, 2022 and December 31, 2021, respectively. These amounts include unpaid lease payments the Company accrued for the payments to be made to ISMMS and are included within due to related parties on the Company’s condensed consolidated balance sheets.</w:t>
      </w:r>
    </w:p>
    <w:p>
      <w:pPr>
        <w:spacing w:after="0" w:line="11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Additionally, in the six months ended June 30, 2022, the Company has purchased $1.0 million of diagnostic testing kits and materials and $0.9 million was recorded in cost of services from an affiliate of a member of the Board of Directors who has served in the role since July 2021. The prices paid represent market rates. Payables due were $0.1 million and $0.1 million as of June 30, 2022 and December 31, 2021, respectively.</w:t>
      </w:r>
    </w:p>
    <w:p>
      <w:pPr>
        <w:spacing w:after="0" w:line="1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GeneDx and OPKO entered into a Transition Services Agreement dated as of April 29, 2022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including human resources, information technology support, and finance and accounting. The Company recognized $0.3 million in costs for the three months ended June 30, 2022. This amount was unpaid and presented in due to related parties in condensed consolidated balance sheets as of June 30, 2022.</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also recorded $4.5 million of receivables from OPKO related to the Acquisition closing working capital adjustment. This amount is presented as other current assets in condensed consolidated balance sheets as of June 30, 2022.</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condensed consolidated statements of operations and comprehensive loss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2520" w:type="dxa"/>
            <w:vAlign w:val="bottom"/>
            <w:gridSpan w:val="4"/>
          </w:tcPr>
          <w:p>
            <w:pPr>
              <w:jc w:val="right"/>
              <w:ind w:right="1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1,731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3,079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67"/>
        </w:trPr>
        <w:tc>
          <w:tcPr>
            <w:tcW w:w="8180" w:type="dxa"/>
            <w:vAlign w:val="bottom"/>
          </w:tcPr>
          <w:p>
            <w:pPr>
              <w:spacing w:after="0"/>
              <w:rPr>
                <w:sz w:val="23"/>
                <w:szCs w:val="23"/>
                <w:color w:val="auto"/>
              </w:rPr>
            </w:pPr>
          </w:p>
        </w:tc>
        <w:tc>
          <w:tcPr>
            <w:tcW w:w="25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3,015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related party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5,419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November 15, 2021, the Company and Sema4 OpCo, Inc. (together, the “Borrower”) entered into a Loan and Security Agreement (the “SVB Agreement”) with Silicon Valley Bank (“SVB”). The SVB Agreement provides for a revolving credit facility (the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 In connection with entering into the SVB agreement, the Company paid $0.5 million in debt issuance costs during 2021. The Company will pay an additional $0.5 million in fees to SVB at each anniversary of the SVB Agreement date for a total of $1.0 million and these fees are recorded in other current liabilities and other liabilities in the condensed consolidated balance sheets as of June 30, 2022. These costs are capitalized and amortized on a straight-line basis over the contractual term. Any unused fees charged on the Revolver is expensed as incurred.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obligations under the SVB Agreement are secured by a first priority perfected security interest in substantially all of the Borrower’s assets except for</w:t>
      </w:r>
    </w:p>
    <w:p>
      <w:pPr>
        <w:spacing w:after="0" w:line="51" w:lineRule="exact"/>
        <w:rPr>
          <w:sz w:val="20"/>
          <w:szCs w:val="20"/>
          <w:color w:val="auto"/>
        </w:rPr>
      </w:pPr>
    </w:p>
    <w:p>
      <w:pPr>
        <w:jc w:val="both"/>
        <w:ind w:firstLine="6"/>
        <w:spacing w:after="0" w:line="248" w:lineRule="auto"/>
        <w:tabs>
          <w:tab w:leader="none" w:pos="2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5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6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was in compliance with all covenants as of June 30, 2022.</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amounts have been drawn under the SVB Agreement as of June 30,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9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June 2017, ISMMS assigned a loan funding commitment from the Connecticut Department of Economic and Community Development (“DECD”) to the Company (as amended, the “DECD Loan Agreement”). The DECD Loan Agreement, provides for a total loan commitment of $15.5 million at a fixed annual interest rate of 2.0% for a term of 10 years. The Company is required to make interest-only payments through July 2023 and principal and interest payments commencing in August 2023. The final payment of principal and interest is due in July 2028. However, under the terms of the DECD Loan Agreement, the DECD may grant partial principal loan forgiveness of up to $12.3 million in the aggregate. Such forgiveness is contingent upon the Company achieving job creation and retention milestones and $4.5 million has been forgiven as of June 30, 2022. This commitment is collateralized by providing a security interest in certain machinery and equipment the Company acquired from ISMMS, as defined in a separate security agreement.</w:t>
      </w:r>
    </w:p>
    <w:p>
      <w:pPr>
        <w:spacing w:after="0" w:line="117" w:lineRule="exact"/>
        <w:rPr>
          <w:sz w:val="20"/>
          <w:szCs w:val="20"/>
          <w:color w:val="auto"/>
        </w:rPr>
      </w:pPr>
    </w:p>
    <w:p>
      <w:pPr>
        <w:ind w:right="1940" w:firstLine="318"/>
        <w:spacing w:after="0" w:line="453" w:lineRule="auto"/>
        <w:rPr>
          <w:sz w:val="20"/>
          <w:szCs w:val="20"/>
          <w:color w:val="auto"/>
        </w:rPr>
      </w:pPr>
      <w:r>
        <w:rPr>
          <w:rFonts w:ascii="Arial" w:cs="Arial" w:eastAsia="Arial" w:hAnsi="Arial"/>
          <w:sz w:val="18"/>
          <w:szCs w:val="18"/>
          <w:color w:val="auto"/>
        </w:rPr>
        <w:t xml:space="preserve">The outstanding loan balance from the DECD Loan Agreement was $11.0 million as of June 30, 2022 and December 31, 2021. </w:t>
      </w:r>
      <w:r>
        <w:rPr>
          <w:rFonts w:ascii="Arial" w:cs="Arial" w:eastAsia="Arial" w:hAnsi="Arial"/>
          <w:sz w:val="18"/>
          <w:szCs w:val="18"/>
          <w:b w:val="1"/>
          <w:bCs w:val="1"/>
          <w:i w:val="1"/>
          <w:iCs w:val="1"/>
          <w:color w:val="auto"/>
        </w:rPr>
        <w:t>Maturities of Long-Term Debt</w:t>
      </w:r>
    </w:p>
    <w:p>
      <w:pPr>
        <w:ind w:left="320"/>
        <w:spacing w:after="0"/>
        <w:rPr>
          <w:sz w:val="20"/>
          <w:szCs w:val="20"/>
          <w:color w:val="auto"/>
        </w:rPr>
      </w:pPr>
      <w:r>
        <w:rPr>
          <w:rFonts w:ascii="Arial" w:cs="Arial" w:eastAsia="Arial" w:hAnsi="Arial"/>
          <w:sz w:val="18"/>
          <w:szCs w:val="18"/>
          <w:color w:val="auto"/>
        </w:rPr>
        <w:t>As of June 30, 2022, long-term debt matures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 of year)</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1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5"/>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 of current maturities</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the Company terminated the Master Loan Agreement by paying off the full amount, including $5.4 million principal and interest and $0.1 million in early payment penalties assessed pursuant to the terms of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3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the Company terminated the Master Lease Agreement by paying off the full amount, including $3.3 million principal and interest and early payment penalties of $0.2 million assessed pursuant to the terms of the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enters into contracts in the normal course of business and assesses whether any such contracts contain a lease. The Company determines if an arrangement is a lease at inception if it conveys the right to control the identified asset for a period of time in exchange for consideration. The Company classifies leases as operating or financing in nature. All lease liabilities are measured at the present value of the associated payments, discounted using the Company’s incremental borrowing rate determined based on the rate of interest that the Company would pay to borrow on a collateralized basis an amount equal to the lease payments for similar term and in a similar economic environment on a collateralized basis, unless there is a rate implicit in the lease that is readily determinable.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Pursuant to the terms of the lease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both"/>
        <w:ind w:right="80"/>
        <w:spacing w:after="0" w:line="294" w:lineRule="auto"/>
        <w:rPr>
          <w:sz w:val="20"/>
          <w:szCs w:val="20"/>
          <w:color w:val="auto"/>
        </w:rPr>
      </w:pPr>
      <w:r>
        <w:rPr>
          <w:rFonts w:ascii="Arial" w:cs="Arial" w:eastAsia="Arial" w:hAnsi="Arial"/>
          <w:sz w:val="17"/>
          <w:szCs w:val="17"/>
          <w:color w:val="auto"/>
        </w:rPr>
        <w:t>the Company was required to have issued an irrevocable standby letter of credit to the lessor for $0.9 million, which was included in restricted cash on the condensed consolidated balance sheets as of June 30, 2022 and consolidated balance sheets as of December 31, 2021.</w:t>
      </w:r>
    </w:p>
    <w:p>
      <w:pPr>
        <w:spacing w:after="0" w:line="117"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finance lease and the land as an operating lease.</w:t>
      </w:r>
    </w:p>
    <w:p>
      <w:pPr>
        <w:spacing w:after="0" w:line="141"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In January 2020, the Company entered into a lease agreement which expanded the Company’s existing laboratory facility in Branford, Connecticut. The lease commenced in February 2020 with a 10 year term. The lease includes escalating rent fees over the lease term.</w:t>
      </w:r>
    </w:p>
    <w:p>
      <w:pPr>
        <w:spacing w:after="0" w:line="154" w:lineRule="exact"/>
        <w:rPr>
          <w:sz w:val="20"/>
          <w:szCs w:val="20"/>
          <w:color w:val="auto"/>
        </w:rPr>
      </w:pPr>
    </w:p>
    <w:p>
      <w:pPr>
        <w:jc w:val="both"/>
        <w:ind w:right="80" w:firstLine="318"/>
        <w:spacing w:after="0" w:line="264" w:lineRule="auto"/>
        <w:rPr>
          <w:sz w:val="20"/>
          <w:szCs w:val="20"/>
          <w:color w:val="auto"/>
        </w:rPr>
      </w:pPr>
      <w:r>
        <w:rPr>
          <w:rFonts w:ascii="Arial" w:cs="Arial" w:eastAsia="Arial" w:hAnsi="Arial"/>
          <w:sz w:val="18"/>
          <w:szCs w:val="18"/>
          <w:color w:val="auto"/>
        </w:rPr>
        <w:t>In April 2022, the Company acquired an operating lease for office space and laboratory operations in connection with the GeneDx acquisition. The lease includes a base term of 9 years remaining from the date of acquisition and an escalating rent provision.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177"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color w:val="auto"/>
        </w:rPr>
        <w:t>The Company enters into various finance lease agreements to obtain laboratory equipment that contain bargain purchase commitments at the end of the lease term. The leases are secured by the underlying equipment. As discussed above, the Company also leases a building used for office and laboratory space in which the building is accounted for as a finance lease and the land is as an operating lease. The interest rate used for the Stamford Lease is 13.1%, which is used to measure the operating and finance lease liability. As of December 31, 2021, the finance lease obligations of $3.4 million and $18.4 million were included in other current liabilities and other liabilities, respectively, on the consolidated balance sheets.</w:t>
      </w:r>
    </w:p>
    <w:p>
      <w:pPr>
        <w:spacing w:after="0" w:line="154" w:lineRule="exact"/>
        <w:rPr>
          <w:sz w:val="20"/>
          <w:szCs w:val="20"/>
          <w:color w:val="auto"/>
        </w:rPr>
      </w:pPr>
    </w:p>
    <w:p>
      <w:pPr>
        <w:jc w:val="both"/>
        <w:ind w:right="80" w:firstLine="318"/>
        <w:spacing w:after="0" w:line="255" w:lineRule="auto"/>
        <w:rPr>
          <w:sz w:val="20"/>
          <w:szCs w:val="20"/>
          <w:color w:val="auto"/>
        </w:rPr>
      </w:pPr>
      <w:r>
        <w:rPr>
          <w:rFonts w:ascii="Arial" w:cs="Arial" w:eastAsia="Arial" w:hAnsi="Arial"/>
          <w:sz w:val="18"/>
          <w:szCs w:val="18"/>
          <w:color w:val="auto"/>
        </w:rPr>
        <w:t>The tables below present financial information associated with the Company’s leases. This information is only presented as of, and for the three and six months ended, June 30, 2022 because, the Company adopted the ASC 842 using a transition method that does not require application to periods prior to adoption (in thousands).</w:t>
      </w:r>
    </w:p>
    <w:p>
      <w:pPr>
        <w:sectPr>
          <w:pgSz w:w="11900" w:h="16838" w:orient="portrait"/>
          <w:cols w:equalWidth="0" w:num="1">
            <w:col w:w="11320"/>
          </w:cols>
          <w:pgMar w:left="320" w:top="313" w:right="259" w:bottom="1440" w:gutter="0" w:footer="0" w:header="0"/>
        </w:sectPr>
      </w:pPr>
    </w:p>
    <w:p>
      <w:pPr>
        <w:spacing w:after="0" w:line="178"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080" w:type="dxa"/>
            <w:vAlign w:val="bottom"/>
          </w:tcPr>
          <w:p>
            <w:pPr>
              <w:ind w:left="16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7"/>
              </w:rPr>
              <w:t>Assets</w:t>
            </w:r>
          </w:p>
        </w:tc>
        <w:tc>
          <w:tcPr>
            <w:tcW w:w="2800" w:type="dxa"/>
            <w:vAlign w:val="bottom"/>
            <w:gridSpan w:val="2"/>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Operating lease assets</w:t>
            </w:r>
          </w:p>
        </w:tc>
        <w:tc>
          <w:tcPr>
            <w:tcW w:w="4080" w:type="dxa"/>
            <w:vAlign w:val="bottom"/>
          </w:tcPr>
          <w:p>
            <w:pPr>
              <w:ind w:left="1660"/>
              <w:spacing w:after="0"/>
              <w:rPr>
                <w:sz w:val="20"/>
                <w:szCs w:val="20"/>
                <w:color w:val="auto"/>
              </w:rPr>
            </w:pPr>
            <w:r>
              <w:rPr>
                <w:rFonts w:ascii="Arial" w:cs="Arial" w:eastAsia="Arial" w:hAnsi="Arial"/>
                <w:sz w:val="18"/>
                <w:szCs w:val="18"/>
                <w:color w:val="auto"/>
                <w:w w:val="85"/>
              </w:rPr>
              <w:t>Operating lease right-of-use assets</w:t>
            </w: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Finance lease assets</w:t>
            </w:r>
          </w:p>
        </w:tc>
        <w:tc>
          <w:tcPr>
            <w:tcW w:w="4080" w:type="dxa"/>
            <w:vAlign w:val="bottom"/>
          </w:tcPr>
          <w:p>
            <w:pPr>
              <w:ind w:left="1660"/>
              <w:spacing w:after="0"/>
              <w:rPr>
                <w:sz w:val="20"/>
                <w:szCs w:val="20"/>
                <w:color w:val="auto"/>
              </w:rPr>
            </w:pPr>
            <w:r>
              <w:rPr>
                <w:rFonts w:ascii="Arial" w:cs="Arial" w:eastAsia="Arial" w:hAnsi="Arial"/>
                <w:sz w:val="18"/>
                <w:szCs w:val="18"/>
                <w:color w:val="auto"/>
              </w:rPr>
              <w:t>Property and Equipment, net</w:t>
            </w:r>
          </w:p>
        </w:tc>
        <w:tc>
          <w:tcPr>
            <w:tcW w:w="0" w:type="dxa"/>
            <w:vAlign w:val="bottom"/>
          </w:tcPr>
          <w:p>
            <w:pPr>
              <w:spacing w:after="0"/>
              <w:rPr>
                <w:sz w:val="1"/>
                <w:szCs w:val="1"/>
                <w:color w:val="auto"/>
              </w:rPr>
            </w:pPr>
          </w:p>
        </w:tc>
      </w:tr>
      <w:tr>
        <w:trPr>
          <w:trHeight w:val="238"/>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Total lease assets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Liabilities</w:t>
            </w:r>
          </w:p>
        </w:tc>
        <w:tc>
          <w:tcPr>
            <w:tcW w:w="25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Current</w:t>
            </w:r>
          </w:p>
        </w:tc>
        <w:tc>
          <w:tcPr>
            <w:tcW w:w="4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Operating</w:t>
            </w:r>
          </w:p>
        </w:tc>
        <w:tc>
          <w:tcPr>
            <w:tcW w:w="4080" w:type="dxa"/>
            <w:vAlign w:val="bottom"/>
          </w:tcPr>
          <w:p>
            <w:pPr>
              <w:ind w:left="1660"/>
              <w:spacing w:after="0"/>
              <w:rPr>
                <w:sz w:val="20"/>
                <w:szCs w:val="20"/>
                <w:color w:val="auto"/>
              </w:rPr>
            </w:pPr>
            <w:r>
              <w:rPr>
                <w:rFonts w:ascii="Arial" w:cs="Arial" w:eastAsia="Arial" w:hAnsi="Arial"/>
                <w:sz w:val="18"/>
                <w:szCs w:val="18"/>
                <w:color w:val="auto"/>
              </w:rPr>
              <w:t>Due to related parties</w:t>
            </w: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080" w:type="dxa"/>
            <w:vAlign w:val="bottom"/>
          </w:tcPr>
          <w:p>
            <w:pPr>
              <w:ind w:left="1660"/>
              <w:spacing w:after="0"/>
              <w:rPr>
                <w:sz w:val="20"/>
                <w:szCs w:val="20"/>
                <w:color w:val="auto"/>
              </w:rPr>
            </w:pPr>
            <w:r>
              <w:rPr>
                <w:rFonts w:ascii="Arial" w:cs="Arial" w:eastAsia="Arial" w:hAnsi="Arial"/>
                <w:sz w:val="18"/>
                <w:szCs w:val="18"/>
                <w:color w:val="auto"/>
              </w:rPr>
              <w:t>Short-term lease liabilities</w:t>
            </w: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4080" w:type="dxa"/>
            <w:vAlign w:val="bottom"/>
          </w:tcPr>
          <w:p>
            <w:pPr>
              <w:ind w:left="1660"/>
              <w:spacing w:after="0"/>
              <w:rPr>
                <w:sz w:val="20"/>
                <w:szCs w:val="20"/>
                <w:color w:val="auto"/>
              </w:rPr>
            </w:pPr>
            <w:r>
              <w:rPr>
                <w:rFonts w:ascii="Arial" w:cs="Arial" w:eastAsia="Arial" w:hAnsi="Arial"/>
                <w:sz w:val="18"/>
                <w:szCs w:val="18"/>
                <w:color w:val="auto"/>
              </w:rPr>
              <w:t>Due to related parties</w:t>
            </w:r>
          </w:p>
        </w:tc>
        <w:tc>
          <w:tcPr>
            <w:tcW w:w="0" w:type="dxa"/>
            <w:vAlign w:val="bottom"/>
          </w:tcPr>
          <w:p>
            <w:pPr>
              <w:spacing w:after="0"/>
              <w:rPr>
                <w:sz w:val="1"/>
                <w:szCs w:val="1"/>
                <w:color w:val="auto"/>
              </w:rPr>
            </w:pPr>
          </w:p>
        </w:tc>
      </w:tr>
      <w:tr>
        <w:trPr>
          <w:trHeight w:val="225"/>
        </w:trPr>
        <w:tc>
          <w:tcPr>
            <w:tcW w:w="3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Non-current</w:t>
            </w:r>
          </w:p>
        </w:tc>
        <w:tc>
          <w:tcPr>
            <w:tcW w:w="4080" w:type="dxa"/>
            <w:vAlign w:val="bottom"/>
          </w:tcPr>
          <w:p>
            <w:pPr>
              <w:ind w:left="1660"/>
              <w:spacing w:after="0"/>
              <w:rPr>
                <w:sz w:val="20"/>
                <w:szCs w:val="20"/>
                <w:color w:val="auto"/>
              </w:rPr>
            </w:pPr>
            <w:r>
              <w:rPr>
                <w:rFonts w:ascii="Arial" w:cs="Arial" w:eastAsia="Arial" w:hAnsi="Arial"/>
                <w:sz w:val="18"/>
                <w:szCs w:val="18"/>
                <w:color w:val="auto"/>
              </w:rPr>
              <w:t>Short-term lease liabilities</w:t>
            </w:r>
          </w:p>
        </w:tc>
        <w:tc>
          <w:tcPr>
            <w:tcW w:w="0" w:type="dxa"/>
            <w:vAlign w:val="bottom"/>
          </w:tcPr>
          <w:p>
            <w:pPr>
              <w:spacing w:after="0"/>
              <w:rPr>
                <w:sz w:val="1"/>
                <w:szCs w:val="1"/>
                <w:color w:val="auto"/>
              </w:rPr>
            </w:pPr>
          </w:p>
        </w:tc>
      </w:tr>
      <w:tr>
        <w:trPr>
          <w:trHeight w:val="225"/>
        </w:trPr>
        <w:tc>
          <w:tcPr>
            <w:tcW w:w="3280" w:type="dxa"/>
            <w:vAlign w:val="bottom"/>
            <w:gridSpan w:val="3"/>
            <w:vMerge w:val="continue"/>
          </w:tcPr>
          <w:p>
            <w:pPr>
              <w:spacing w:after="0"/>
              <w:rPr>
                <w:sz w:val="19"/>
                <w:szCs w:val="19"/>
                <w:color w:val="auto"/>
              </w:rPr>
            </w:pPr>
          </w:p>
        </w:tc>
        <w:tc>
          <w:tcPr>
            <w:tcW w:w="4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Operating</w:t>
            </w:r>
          </w:p>
        </w:tc>
        <w:tc>
          <w:tcPr>
            <w:tcW w:w="4080" w:type="dxa"/>
            <w:vAlign w:val="bottom"/>
          </w:tcPr>
          <w:p>
            <w:pPr>
              <w:ind w:left="1660"/>
              <w:spacing w:after="0"/>
              <w:rPr>
                <w:sz w:val="20"/>
                <w:szCs w:val="20"/>
                <w:color w:val="auto"/>
              </w:rPr>
            </w:pPr>
            <w:r>
              <w:rPr>
                <w:rFonts w:ascii="Arial" w:cs="Arial" w:eastAsia="Arial" w:hAnsi="Arial"/>
                <w:sz w:val="18"/>
                <w:szCs w:val="18"/>
                <w:color w:val="auto"/>
              </w:rPr>
              <w:t>Long-term lease liabilities</w:t>
            </w:r>
          </w:p>
        </w:tc>
        <w:tc>
          <w:tcPr>
            <w:tcW w:w="0" w:type="dxa"/>
            <w:vAlign w:val="bottom"/>
          </w:tcPr>
          <w:p>
            <w:pPr>
              <w:spacing w:after="0"/>
              <w:rPr>
                <w:sz w:val="1"/>
                <w:szCs w:val="1"/>
                <w:color w:val="auto"/>
              </w:rPr>
            </w:pPr>
          </w:p>
        </w:tc>
      </w:tr>
      <w:tr>
        <w:trPr>
          <w:trHeight w:val="225"/>
        </w:trPr>
        <w:tc>
          <w:tcPr>
            <w:tcW w:w="3280" w:type="dxa"/>
            <w:vAlign w:val="bottom"/>
            <w:gridSpan w:val="3"/>
          </w:tcPr>
          <w:p>
            <w:pPr>
              <w:ind w:left="80"/>
              <w:spacing w:after="0"/>
              <w:rPr>
                <w:sz w:val="20"/>
                <w:szCs w:val="20"/>
                <w:color w:val="auto"/>
              </w:rPr>
            </w:pPr>
            <w:r>
              <w:rPr>
                <w:rFonts w:ascii="Arial" w:cs="Arial" w:eastAsia="Arial" w:hAnsi="Arial"/>
                <w:sz w:val="18"/>
                <w:szCs w:val="18"/>
                <w:color w:val="auto"/>
              </w:rPr>
              <w:t>Finance</w:t>
            </w:r>
          </w:p>
        </w:tc>
        <w:tc>
          <w:tcPr>
            <w:tcW w:w="4080" w:type="dxa"/>
            <w:vAlign w:val="bottom"/>
          </w:tcPr>
          <w:p>
            <w:pPr>
              <w:ind w:left="1660"/>
              <w:spacing w:after="0"/>
              <w:rPr>
                <w:sz w:val="20"/>
                <w:szCs w:val="20"/>
                <w:color w:val="auto"/>
              </w:rPr>
            </w:pPr>
            <w:r>
              <w:rPr>
                <w:rFonts w:ascii="Arial" w:cs="Arial" w:eastAsia="Arial" w:hAnsi="Arial"/>
                <w:sz w:val="18"/>
                <w:szCs w:val="18"/>
                <w:color w:val="auto"/>
              </w:rPr>
              <w:t>Long-term lease liabilities</w:t>
            </w:r>
          </w:p>
        </w:tc>
        <w:tc>
          <w:tcPr>
            <w:tcW w:w="0" w:type="dxa"/>
            <w:vAlign w:val="bottom"/>
          </w:tcPr>
          <w:p>
            <w:pPr>
              <w:spacing w:after="0"/>
              <w:rPr>
                <w:sz w:val="1"/>
                <w:szCs w:val="1"/>
                <w:color w:val="auto"/>
              </w:rPr>
            </w:pPr>
          </w:p>
        </w:tc>
      </w:tr>
      <w:tr>
        <w:trPr>
          <w:trHeight w:val="238"/>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Total lease liabilities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-1899920</wp:posOffset>
            </wp:positionV>
            <wp:extent cx="6995160" cy="142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-1294130</wp:posOffset>
            </wp:positionV>
            <wp:extent cx="6995160"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-1008380</wp:posOffset>
            </wp:positionV>
            <wp:extent cx="6995160"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-721995</wp:posOffset>
            </wp:positionV>
            <wp:extent cx="6995160"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-436245</wp:posOffset>
            </wp:positionV>
            <wp:extent cx="699516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428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-150495</wp:posOffset>
            </wp:positionV>
            <wp:extent cx="6995160" cy="151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517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-1605915</wp:posOffset>
            </wp:positionV>
            <wp:extent cx="6995160"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6827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-2186305</wp:posOffset>
            </wp:positionV>
            <wp:extent cx="6995160"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306"/>
        <w:spacing w:after="0"/>
        <w:rPr>
          <w:sz w:val="20"/>
          <w:szCs w:val="20"/>
          <w:color w:val="auto"/>
        </w:rPr>
      </w:pPr>
      <w:r>
        <w:rPr>
          <w:rFonts w:ascii="Arial" w:cs="Arial" w:eastAsia="Arial" w:hAnsi="Arial"/>
          <w:sz w:val="14"/>
          <w:szCs w:val="14"/>
          <w:b w:val="1"/>
          <w:bCs w:val="1"/>
          <w:color w:val="auto"/>
        </w:rPr>
        <w:t>June 30, 2022</w:t>
      </w:r>
    </w:p>
    <w:p>
      <w:pPr>
        <w:spacing w:after="0" w:line="273" w:lineRule="exact"/>
        <w:rPr>
          <w:sz w:val="20"/>
          <w:szCs w:val="20"/>
          <w:color w:val="auto"/>
        </w:rPr>
      </w:pPr>
    </w:p>
    <w:p>
      <w:pPr>
        <w:ind w:left="906" w:hanging="906"/>
        <w:spacing w:after="0"/>
        <w:tabs>
          <w:tab w:leader="none" w:pos="906" w:val="left"/>
        </w:tabs>
        <w:numPr>
          <w:ilvl w:val="0"/>
          <w:numId w:val="17"/>
        </w:numPr>
        <w:rPr>
          <w:rFonts w:ascii="Arial" w:cs="Arial" w:eastAsia="Arial" w:hAnsi="Arial"/>
          <w:sz w:val="15"/>
          <w:szCs w:val="15"/>
          <w:color w:val="auto"/>
        </w:rPr>
      </w:pPr>
      <w:r>
        <w:rPr>
          <w:rFonts w:ascii="Arial" w:cs="Arial" w:eastAsia="Arial" w:hAnsi="Arial"/>
          <w:sz w:val="15"/>
          <w:szCs w:val="15"/>
          <w:color w:val="auto"/>
        </w:rPr>
        <w:t>44,0</w:t>
      </w:r>
    </w:p>
    <w:p>
      <w:pPr>
        <w:spacing w:after="0" w:line="52" w:lineRule="exact"/>
        <w:rPr>
          <w:rFonts w:ascii="Arial" w:cs="Arial" w:eastAsia="Arial" w:hAnsi="Arial"/>
          <w:sz w:val="15"/>
          <w:szCs w:val="15"/>
          <w:color w:val="auto"/>
        </w:rPr>
      </w:pPr>
    </w:p>
    <w:p>
      <w:pPr>
        <w:ind w:left="906"/>
        <w:spacing w:after="0"/>
        <w:rPr>
          <w:rFonts w:ascii="Arial" w:cs="Arial" w:eastAsia="Arial" w:hAnsi="Arial"/>
          <w:sz w:val="15"/>
          <w:szCs w:val="15"/>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8026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46" w:lineRule="exact"/>
        <w:rPr>
          <w:sz w:val="20"/>
          <w:szCs w:val="20"/>
          <w:color w:val="auto"/>
        </w:rPr>
      </w:pPr>
    </w:p>
    <w:p>
      <w:pPr>
        <w:ind w:left="906" w:hanging="906"/>
        <w:spacing w:after="0"/>
        <w:tabs>
          <w:tab w:leader="none" w:pos="906" w:val="left"/>
        </w:tabs>
        <w:numPr>
          <w:ilvl w:val="0"/>
          <w:numId w:val="18"/>
        </w:numPr>
        <w:rPr>
          <w:rFonts w:ascii="Arial" w:cs="Arial" w:eastAsia="Arial" w:hAnsi="Arial"/>
          <w:sz w:val="15"/>
          <w:szCs w:val="15"/>
          <w:color w:val="auto"/>
        </w:rPr>
      </w:pPr>
      <w:r>
        <w:rPr>
          <w:rFonts w:ascii="Arial" w:cs="Arial" w:eastAsia="Arial" w:hAnsi="Arial"/>
          <w:sz w:val="15"/>
          <w:szCs w:val="15"/>
          <w:color w:val="auto"/>
        </w:rPr>
        <w:t>56,1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26" w:hanging="1126"/>
        <w:spacing w:after="0"/>
        <w:tabs>
          <w:tab w:leader="none" w:pos="1126" w:val="left"/>
        </w:tabs>
        <w:numPr>
          <w:ilvl w:val="0"/>
          <w:numId w:val="19"/>
        </w:numPr>
        <w:rPr>
          <w:rFonts w:ascii="Arial" w:cs="Arial" w:eastAsia="Arial" w:hAnsi="Arial"/>
          <w:sz w:val="17"/>
          <w:szCs w:val="17"/>
          <w:color w:val="auto"/>
        </w:rPr>
      </w:pPr>
      <w:r>
        <w:rPr>
          <w:rFonts w:ascii="Arial" w:cs="Arial" w:eastAsia="Arial" w:hAnsi="Arial"/>
          <w:sz w:val="17"/>
          <w:szCs w:val="17"/>
          <w:color w:val="auto"/>
        </w:rPr>
        <w:t>5</w:t>
      </w:r>
    </w:p>
    <w:p>
      <w:pPr>
        <w:spacing w:after="0" w:line="29"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5"/>
          <w:szCs w:val="15"/>
          <w:color w:val="auto"/>
        </w:rPr>
        <w:t>1,8</w:t>
      </w:r>
    </w:p>
    <w:p>
      <w:pPr>
        <w:spacing w:after="0" w:line="52" w:lineRule="exact"/>
        <w:rPr>
          <w:rFonts w:ascii="Arial" w:cs="Arial" w:eastAsia="Arial" w:hAnsi="Arial"/>
          <w:sz w:val="17"/>
          <w:szCs w:val="17"/>
          <w:color w:val="auto"/>
        </w:rPr>
      </w:pPr>
    </w:p>
    <w:p>
      <w:pPr>
        <w:ind w:left="1126"/>
        <w:spacing w:after="0"/>
        <w:rPr>
          <w:rFonts w:ascii="Arial" w:cs="Arial" w:eastAsia="Arial" w:hAnsi="Arial"/>
          <w:sz w:val="17"/>
          <w:szCs w:val="17"/>
          <w:color w:val="auto"/>
        </w:rPr>
      </w:pPr>
      <w:r>
        <w:rPr>
          <w:rFonts w:ascii="Arial" w:cs="Arial" w:eastAsia="Arial" w:hAnsi="Arial"/>
          <w:sz w:val="17"/>
          <w:szCs w:val="17"/>
          <w:color w:val="auto"/>
        </w:rPr>
        <w:t>3</w:t>
      </w:r>
    </w:p>
    <w:p>
      <w:pPr>
        <w:spacing w:after="0" w:line="29" w:lineRule="exact"/>
        <w:rPr>
          <w:rFonts w:ascii="Arial" w:cs="Arial" w:eastAsia="Arial" w:hAnsi="Arial"/>
          <w:sz w:val="17"/>
          <w:szCs w:val="17"/>
          <w:color w:val="auto"/>
        </w:rPr>
      </w:pPr>
    </w:p>
    <w:p>
      <w:pPr>
        <w:ind w:left="1006"/>
        <w:spacing w:after="0"/>
        <w:rPr>
          <w:rFonts w:ascii="Arial" w:cs="Arial" w:eastAsia="Arial" w:hAnsi="Arial"/>
          <w:sz w:val="17"/>
          <w:szCs w:val="17"/>
          <w:color w:val="auto"/>
        </w:rPr>
      </w:pPr>
      <w:r>
        <w:rPr>
          <w:rFonts w:ascii="Arial" w:cs="Arial" w:eastAsia="Arial" w:hAnsi="Arial"/>
          <w:sz w:val="15"/>
          <w:szCs w:val="15"/>
          <w:color w:val="auto"/>
        </w:rPr>
        <w:t>2,9</w:t>
      </w:r>
    </w:p>
    <w:p>
      <w:pPr>
        <w:spacing w:after="0" w:line="278" w:lineRule="exact"/>
        <w:rPr>
          <w:sz w:val="20"/>
          <w:szCs w:val="20"/>
          <w:color w:val="auto"/>
        </w:rPr>
      </w:pPr>
    </w:p>
    <w:p>
      <w:pPr>
        <w:ind w:left="906"/>
        <w:spacing w:after="0"/>
        <w:rPr>
          <w:sz w:val="20"/>
          <w:szCs w:val="20"/>
          <w:color w:val="auto"/>
        </w:rPr>
      </w:pPr>
      <w:r>
        <w:rPr>
          <w:rFonts w:ascii="Arial" w:cs="Arial" w:eastAsia="Arial" w:hAnsi="Arial"/>
          <w:sz w:val="15"/>
          <w:szCs w:val="15"/>
          <w:color w:val="auto"/>
        </w:rPr>
        <w:t>45,4</w:t>
      </w:r>
    </w:p>
    <w:p>
      <w:pPr>
        <w:spacing w:after="0" w:line="53" w:lineRule="exact"/>
        <w:rPr>
          <w:sz w:val="20"/>
          <w:szCs w:val="20"/>
          <w:color w:val="auto"/>
        </w:rPr>
      </w:pPr>
    </w:p>
    <w:p>
      <w:pPr>
        <w:ind w:left="906"/>
        <w:spacing w:after="0"/>
        <w:rPr>
          <w:sz w:val="20"/>
          <w:szCs w:val="20"/>
          <w:color w:val="auto"/>
        </w:rPr>
      </w:pPr>
      <w:r>
        <w:rPr>
          <w:rFonts w:ascii="Arial" w:cs="Arial" w:eastAsia="Arial" w:hAnsi="Arial"/>
          <w:sz w:val="15"/>
          <w:szCs w:val="15"/>
          <w:color w:val="auto"/>
        </w:rPr>
        <w:t>17,3</w:t>
      </w:r>
    </w:p>
    <w:p>
      <w:pPr>
        <w:spacing w:after="0" w:line="66" w:lineRule="exact"/>
        <w:rPr>
          <w:sz w:val="20"/>
          <w:szCs w:val="20"/>
          <w:color w:val="auto"/>
        </w:rPr>
      </w:pPr>
    </w:p>
    <w:p>
      <w:pPr>
        <w:ind w:left="906" w:hanging="906"/>
        <w:spacing w:after="0"/>
        <w:tabs>
          <w:tab w:leader="none" w:pos="906" w:val="left"/>
        </w:tabs>
        <w:numPr>
          <w:ilvl w:val="0"/>
          <w:numId w:val="20"/>
        </w:numPr>
        <w:rPr>
          <w:rFonts w:ascii="Arial" w:cs="Arial" w:eastAsia="Arial" w:hAnsi="Arial"/>
          <w:sz w:val="15"/>
          <w:szCs w:val="15"/>
          <w:color w:val="auto"/>
        </w:rPr>
      </w:pPr>
      <w:r>
        <w:rPr>
          <w:rFonts w:ascii="Arial" w:cs="Arial" w:eastAsia="Arial" w:hAnsi="Arial"/>
          <w:sz w:val="15"/>
          <w:szCs w:val="15"/>
          <w:color w:val="auto"/>
        </w:rPr>
        <w:t>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8026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9374" w:space="720"/>
            <w:col w:w="1226"/>
          </w:cols>
          <w:pgMar w:left="320" w:top="31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320" w:top="313" w:right="2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Lease cost</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Three months ended</w:t>
            </w: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Six months ended Ju</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6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June 30, 2022</w:t>
            </w:r>
          </w:p>
        </w:tc>
        <w:tc>
          <w:tcPr>
            <w:tcW w:w="220" w:type="dxa"/>
            <w:vAlign w:val="bottom"/>
          </w:tcPr>
          <w:p>
            <w:pPr>
              <w:spacing w:after="0"/>
              <w:rPr>
                <w:sz w:val="16"/>
                <w:szCs w:val="16"/>
                <w:color w:val="auto"/>
              </w:rPr>
            </w:pPr>
          </w:p>
        </w:tc>
        <w:tc>
          <w:tcPr>
            <w:tcW w:w="940" w:type="dxa"/>
            <w:vAlign w:val="bottom"/>
          </w:tcPr>
          <w:p>
            <w:pPr>
              <w:jc w:val="center"/>
              <w:ind w:left="14"/>
              <w:spacing w:after="0"/>
              <w:rPr>
                <w:sz w:val="20"/>
                <w:szCs w:val="20"/>
                <w:color w:val="auto"/>
              </w:rPr>
            </w:pPr>
            <w:r>
              <w:rPr>
                <w:rFonts w:ascii="Arial" w:cs="Arial" w:eastAsia="Arial" w:hAnsi="Arial"/>
                <w:sz w:val="14"/>
                <w:szCs w:val="14"/>
                <w:b w:val="1"/>
                <w:bCs w:val="1"/>
                <w:color w:val="auto"/>
                <w:w w:val="88"/>
              </w:rPr>
              <w:t>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0" w:type="dxa"/>
            <w:vAlign w:val="bottom"/>
            <w:tcBorders>
              <w:right w:val="single" w:sz="8" w:color="CCEEFF"/>
            </w:tcBorders>
          </w:tcPr>
          <w:p>
            <w:pPr>
              <w:spacing w:after="0"/>
              <w:rPr>
                <w:sz w:val="18"/>
                <w:szCs w:val="18"/>
                <w:color w:val="auto"/>
              </w:rPr>
            </w:pPr>
          </w:p>
        </w:tc>
        <w:tc>
          <w:tcPr>
            <w:tcW w:w="65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Operating lease cost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Short-term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580" w:type="dxa"/>
            <w:vAlign w:val="bottom"/>
            <w:tcBorders>
              <w:bottom w:val="single" w:sz="8" w:color="CCEEFF"/>
            </w:tcBorders>
            <w:gridSpan w:val="4"/>
          </w:tcPr>
          <w:p>
            <w:pPr>
              <w:ind w:left="80"/>
              <w:spacing w:after="0"/>
              <w:rPr>
                <w:sz w:val="20"/>
                <w:szCs w:val="20"/>
                <w:color w:val="auto"/>
              </w:rPr>
            </w:pPr>
            <w:r>
              <w:rPr>
                <w:rFonts w:ascii="Arial" w:cs="Arial" w:eastAsia="Arial" w:hAnsi="Arial"/>
                <w:sz w:val="18"/>
                <w:szCs w:val="18"/>
                <w:color w:val="auto"/>
              </w:rPr>
              <w:t>Variable lease cost</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operating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Finance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Depreciation and amortization of leased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Interest on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65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Total finance lease cost</w:t>
            </w:r>
          </w:p>
        </w:tc>
        <w:tc>
          <w:tcPr>
            <w:tcW w:w="2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b w:val="1"/>
                <w:bCs w:val="1"/>
                <w:color w:val="auto"/>
              </w:rPr>
              <w:t>Total lease cost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69"/>
        </w:trPr>
        <w:tc>
          <w:tcPr>
            <w:tcW w:w="340" w:type="dxa"/>
            <w:vAlign w:val="bottom"/>
          </w:tcPr>
          <w:p>
            <w:pPr>
              <w:spacing w:after="0"/>
              <w:rPr>
                <w:sz w:val="24"/>
                <w:szCs w:val="24"/>
                <w:color w:val="auto"/>
              </w:rPr>
            </w:pPr>
          </w:p>
        </w:tc>
        <w:tc>
          <w:tcPr>
            <w:tcW w:w="8160" w:type="dxa"/>
            <w:vAlign w:val="bottom"/>
            <w:gridSpan w:val="7"/>
          </w:tcPr>
          <w:p>
            <w:pPr>
              <w:spacing w:after="0"/>
              <w:rPr>
                <w:sz w:val="20"/>
                <w:szCs w:val="20"/>
                <w:color w:val="auto"/>
              </w:rPr>
            </w:pPr>
            <w:r>
              <w:rPr>
                <w:rFonts w:ascii="Arial" w:cs="Arial" w:eastAsia="Arial" w:hAnsi="Arial"/>
                <w:sz w:val="18"/>
                <w:szCs w:val="18"/>
                <w:color w:val="auto"/>
              </w:rPr>
              <w:t>Future minimum lease payments under non-cancellable leases as of June 30, 2022 are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40" w:type="dxa"/>
            <w:vAlign w:val="bottom"/>
          </w:tcPr>
          <w:p>
            <w:pPr>
              <w:spacing w:after="0"/>
              <w:rPr>
                <w:sz w:val="24"/>
                <w:szCs w:val="24"/>
                <w:color w:val="auto"/>
              </w:rPr>
            </w:pPr>
          </w:p>
        </w:tc>
        <w:tc>
          <w:tcPr>
            <w:tcW w:w="6580" w:type="dxa"/>
            <w:vAlign w:val="bottom"/>
            <w:gridSpan w:val="4"/>
          </w:tcPr>
          <w:p>
            <w:pPr>
              <w:spacing w:after="0"/>
              <w:rPr>
                <w:sz w:val="20"/>
                <w:szCs w:val="20"/>
                <w:color w:val="auto"/>
              </w:rPr>
            </w:pPr>
            <w:r>
              <w:rPr>
                <w:rFonts w:ascii="Arial" w:cs="Arial" w:eastAsia="Arial" w:hAnsi="Arial"/>
                <w:sz w:val="14"/>
                <w:szCs w:val="14"/>
                <w:b w:val="1"/>
                <w:bCs w:val="1"/>
                <w:color w:val="auto"/>
              </w:rPr>
              <w:t>Maturity of lease liabilities</w:t>
            </w:r>
          </w:p>
        </w:tc>
        <w:tc>
          <w:tcPr>
            <w:tcW w:w="200" w:type="dxa"/>
            <w:vAlign w:val="bottom"/>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Finance leases</w:t>
            </w:r>
          </w:p>
        </w:tc>
        <w:tc>
          <w:tcPr>
            <w:tcW w:w="22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2022 (remainder of the year)</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6"/>
        </w:trPr>
        <w:tc>
          <w:tcPr>
            <w:tcW w:w="340" w:type="dxa"/>
            <w:vAlign w:val="bottom"/>
            <w:tcBorders>
              <w:right w:val="single" w:sz="8" w:color="CCEEFF"/>
            </w:tcBorders>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2025</w:t>
            </w: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6"/>
        </w:trPr>
        <w:tc>
          <w:tcPr>
            <w:tcW w:w="340" w:type="dxa"/>
            <w:vAlign w:val="bottom"/>
            <w:tcBorders>
              <w:right w:val="single" w:sz="8" w:color="CCEEFF"/>
            </w:tcBorders>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5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9"/>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5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8"/>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6780" w:type="dxa"/>
            <w:vAlign w:val="bottom"/>
            <w:gridSpan w:val="5"/>
          </w:tcPr>
          <w:p>
            <w:pPr>
              <w:spacing w:after="0"/>
              <w:rPr>
                <w:sz w:val="20"/>
                <w:szCs w:val="20"/>
                <w:color w:val="auto"/>
              </w:rPr>
            </w:pPr>
            <w:r>
              <w:rPr>
                <w:rFonts w:ascii="Arial" w:cs="Arial" w:eastAsia="Arial" w:hAnsi="Arial"/>
                <w:sz w:val="18"/>
                <w:szCs w:val="18"/>
                <w:color w:val="auto"/>
                <w:w w:val="88"/>
              </w:rPr>
              <w:t>Other information related to leases as of and for six months ended June 30, 2022 are as follows: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8"/>
              </w:rPr>
              <w:t>June 30, 2022</w:t>
            </w:r>
          </w:p>
        </w:tc>
        <w:tc>
          <w:tcPr>
            <w:tcW w:w="0" w:type="dxa"/>
            <w:vAlign w:val="bottom"/>
          </w:tcPr>
          <w:p>
            <w:pPr>
              <w:spacing w:after="0"/>
              <w:rPr>
                <w:sz w:val="1"/>
                <w:szCs w:val="1"/>
                <w:color w:val="auto"/>
              </w:rPr>
            </w:pPr>
          </w:p>
        </w:tc>
      </w:tr>
      <w:tr>
        <w:trPr>
          <w:trHeight w:val="24"/>
        </w:trPr>
        <w:tc>
          <w:tcPr>
            <w:tcW w:w="34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40" w:type="dxa"/>
            <w:vAlign w:val="bottom"/>
            <w:tcBorders>
              <w:right w:val="single" w:sz="8" w:color="CCEEFF"/>
            </w:tcBorders>
          </w:tcPr>
          <w:p>
            <w:pPr>
              <w:spacing w:after="0"/>
              <w:rPr>
                <w:sz w:val="16"/>
                <w:szCs w:val="16"/>
                <w:color w:val="auto"/>
              </w:rPr>
            </w:pPr>
          </w:p>
        </w:tc>
        <w:tc>
          <w:tcPr>
            <w:tcW w:w="3560" w:type="dxa"/>
            <w:vAlign w:val="bottom"/>
            <w:tcBorders>
              <w:bottom w:val="single" w:sz="8" w:color="auto"/>
            </w:tcBorders>
            <w:gridSpan w:val="2"/>
            <w:shd w:val="clear" w:color="auto" w:fill="CCEEFF"/>
          </w:tcPr>
          <w:p>
            <w:pPr>
              <w:spacing w:after="0" w:line="165" w:lineRule="exact"/>
              <w:rPr>
                <w:sz w:val="20"/>
                <w:szCs w:val="20"/>
                <w:color w:val="auto"/>
              </w:rPr>
            </w:pPr>
            <w:r>
              <w:rPr>
                <w:rFonts w:ascii="Arial" w:cs="Arial" w:eastAsia="Arial" w:hAnsi="Arial"/>
                <w:sz w:val="18"/>
                <w:szCs w:val="18"/>
                <w:b w:val="1"/>
                <w:bCs w:val="1"/>
                <w:color w:val="auto"/>
                <w:w w:val="87"/>
              </w:rPr>
              <w:t>Weighted-average remaining lease term (years)</w:t>
            </w:r>
          </w:p>
        </w:tc>
        <w:tc>
          <w:tcPr>
            <w:tcW w:w="3020" w:type="dxa"/>
            <w:vAlign w:val="bottom"/>
            <w:tcBorders>
              <w:bottom w:val="single" w:sz="8" w:color="CCEEFF"/>
            </w:tcBorders>
            <w:gridSpan w:val="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91"/>
              </w:rPr>
              <w:t>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1"/>
              </w:rPr>
              <w:t>18.2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2400" w:type="dxa"/>
            <w:vAlign w:val="bottom"/>
            <w:tcBorders>
              <w:bottom w:val="single" w:sz="8" w:color="auto"/>
            </w:tcBorders>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7"/>
              </w:rPr>
              <w:t>Weighted-average discount rate</w:t>
            </w:r>
          </w:p>
        </w:tc>
        <w:tc>
          <w:tcPr>
            <w:tcW w:w="4180" w:type="dxa"/>
            <w:vAlign w:val="bottom"/>
            <w:tcBorders>
              <w:bottom w:val="single" w:sz="8" w:color="CCEEFF"/>
            </w:tcBorders>
            <w:gridSpan w:val="3"/>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87"/>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34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40" w:type="dxa"/>
            <w:vAlign w:val="bottom"/>
            <w:tcBorders>
              <w:right w:val="single" w:sz="8" w:color="CCEEFF"/>
            </w:tcBorders>
          </w:tcPr>
          <w:p>
            <w:pPr>
              <w:spacing w:after="0"/>
              <w:rPr>
                <w:sz w:val="17"/>
                <w:szCs w:val="17"/>
                <w:color w:val="auto"/>
              </w:rPr>
            </w:pPr>
          </w:p>
        </w:tc>
        <w:tc>
          <w:tcPr>
            <w:tcW w:w="5280" w:type="dxa"/>
            <w:vAlign w:val="bottom"/>
            <w:tcBorders>
              <w:bottom w:val="single" w:sz="8" w:color="auto"/>
            </w:tcBorders>
            <w:gridSpan w:val="3"/>
            <w:shd w:val="clear" w:color="auto" w:fill="CCEEFF"/>
          </w:tcPr>
          <w:p>
            <w:pPr>
              <w:spacing w:after="0" w:line="186" w:lineRule="exact"/>
              <w:rPr>
                <w:sz w:val="20"/>
                <w:szCs w:val="20"/>
                <w:color w:val="auto"/>
              </w:rPr>
            </w:pPr>
            <w:r>
              <w:rPr>
                <w:rFonts w:ascii="Arial" w:cs="Arial" w:eastAsia="Arial" w:hAnsi="Arial"/>
                <w:sz w:val="18"/>
                <w:szCs w:val="18"/>
                <w:b w:val="1"/>
                <w:bCs w:val="1"/>
                <w:color w:val="auto"/>
                <w:w w:val="87"/>
              </w:rPr>
              <w:t>Cash paid for amounts included in the measurement of lease liabilities</w:t>
            </w:r>
          </w:p>
        </w:tc>
        <w:tc>
          <w:tcPr>
            <w:tcW w:w="1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87"/>
              </w:rPr>
              <w:t>$2,644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0" w:type="dxa"/>
            <w:vAlign w:val="bottom"/>
            <w:tcBorders>
              <w:right w:val="single" w:sz="8" w:color="CCEEFF"/>
            </w:tcBorders>
          </w:tcPr>
          <w:p>
            <w:pPr>
              <w:spacing w:after="0"/>
              <w:rPr>
                <w:sz w:val="19"/>
                <w:szCs w:val="19"/>
                <w:color w:val="auto"/>
              </w:rPr>
            </w:pPr>
          </w:p>
        </w:tc>
        <w:tc>
          <w:tcPr>
            <w:tcW w:w="6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7"/>
              </w:rPr>
              <w:t>$1,083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6580" w:type="dxa"/>
            <w:vAlign w:val="bottom"/>
            <w:gridSpan w:val="4"/>
          </w:tcPr>
          <w:p>
            <w:pPr>
              <w:ind w:left="80"/>
              <w:spacing w:after="0"/>
              <w:rPr>
                <w:sz w:val="20"/>
                <w:szCs w:val="20"/>
                <w:color w:val="auto"/>
              </w:rPr>
            </w:pPr>
            <w:r>
              <w:rPr>
                <w:rFonts w:ascii="Arial" w:cs="Arial" w:eastAsia="Arial" w:hAnsi="Arial"/>
                <w:sz w:val="18"/>
                <w:szCs w:val="18"/>
                <w:color w:val="auto"/>
              </w:rPr>
              <w:t>Financing cash flows from finance lease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87"/>
              </w:rPr>
              <w:t>$1,634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8"/>
        </w:trPr>
        <w:tc>
          <w:tcPr>
            <w:tcW w:w="6920" w:type="dxa"/>
            <w:vAlign w:val="bottom"/>
            <w:gridSpan w:val="5"/>
          </w:tcPr>
          <w:p>
            <w:pPr>
              <w:jc w:val="right"/>
              <w:ind w:right="1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40" w:type="dxa"/>
            <w:vAlign w:val="bottom"/>
            <w:tcBorders>
              <w:bottom w:val="single" w:sz="8" w:color="9A9A9A"/>
            </w:tcBorders>
          </w:tcPr>
          <w:p>
            <w:pPr>
              <w:spacing w:after="0"/>
              <w:rPr>
                <w:sz w:val="23"/>
                <w:szCs w:val="23"/>
                <w:color w:val="auto"/>
              </w:rPr>
            </w:pPr>
          </w:p>
        </w:tc>
        <w:tc>
          <w:tcPr>
            <w:tcW w:w="240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c>
          <w:tcPr>
            <w:tcW w:w="13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3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normal course of business, the Company enters into various purchase commitments primarily related to material and service agreements, laboratory supplies and software. At June 30, 2022, the Company’s total future payments under noncancellable unconditional purchase commitments having a remaining term of over one year were $28.4 million.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is a party to various actions and claims arising in the normal course of business. The Company does not believe that the outcome of these matters will have a material effect on the Company’s condensed consolidated financial position, results of operations or cash flows. However, no assurance can be given that the final outcome of such proceedings will not materially impact the Company’s condensed consolidated financial condition or results of operations.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was not a party to any material legal proceedings as of June 30, 2022, nor is it a party to any material legal proceedings as of the date of issuance of these unaudited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July 22, 2021, in connection with the Business Combination, the 2021 Plan became effective and 32,734,983 authorized shares of Class A common stock were reserved for issuance thereunder. The 2021 Plan will be administered by the Compensation Committee of the Company’s Board of Directors, including determination of the vesting, exercisability and payment of the awards to be granted under the 2021 Plan. No awards granted under the 2021 Plan are exercisable after</w:t>
      </w:r>
    </w:p>
    <w:p>
      <w:pPr>
        <w:spacing w:after="0"/>
        <w:rPr>
          <w:sz w:val="20"/>
          <w:szCs w:val="20"/>
          <w:color w:val="auto"/>
        </w:rPr>
      </w:pPr>
      <w:r>
        <w:rPr>
          <w:rFonts w:ascii="Arial" w:cs="Arial" w:eastAsia="Arial" w:hAnsi="Arial"/>
          <w:sz w:val="17"/>
          <w:szCs w:val="17"/>
          <w:color w:val="auto"/>
        </w:rPr>
        <w:t>10 years from the date of grant, and the awards granted under the 2021 Plan generally vest over a four-year period on a graded vesting basis.</w:t>
      </w:r>
    </w:p>
    <w:p>
      <w:pPr>
        <w:spacing w:after="0" w:line="17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Additionally, on May 2, 2022, the compensation committee of the Company’s board of directors granted newly-hired employees inducement stock options to purchase an aggregate of 4,932,132 shares of the Company’s Class A common stock and 4,285,208 RSUs as inducements material to each employee entering into employment with the Company. The stock options have an exercise price of $2.20 per share, which was equal to the closing price of the Company’s Class A common stock on the grant date. The stock options and RSUs granted to the newly-hired employees other than the Company’s CEO, Chief Commercial Officer, and SVP Operations will vest with respect to 25% of the underlying shares on April 29, 2023, and will vest with respect to the remaining underlying shares in equal quarterly installments thereafter through April 29, 2026, in each case subject to the new employee’s continued service with the company. The stock options and RSUs granted to the Company’s CEO, Chief Commercial Officer, and SVP Operations will vest with respect to 25% of the underlying shares on April 29, 2023 and 25% of the underlying shares on April 29, 2024, and will vest with respect to the remaining underlying shares in equal quarterly installments thereafter through April 29, 2026, in each case subject to his or her continued service with the company. Each stock option has a 10-year term. The stock options and RSUs are subject to the terms and conditions identical to those of the 2021 Plan and a stock option agreement or restricted stock unit agreement, as applicable, covering the grant.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Class A common stock pursuant to purchase rights granted to employees. On each January 1 of each of 2022 through 2031, the aggregate number of shares of Class A common stock reserved for issuance under the 2021 Plan may be increased automatically by the number of shares equal to one percent (1%) of the total number of shares of all classes of common stock issued and outstanding immediately preceding December 31. The Company did not make any grants of purchase rights under the 2021 ESPP during the quarter ended June 30, 2022. A total of 7,229,799 shares of Class A common stock have been reserved for future issuance under the 2021 ESPP.</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condensed consolidated financial statements as of July 22, 2021.</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19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Stock Options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 Average</w:t>
            </w:r>
          </w:p>
        </w:tc>
      </w:tr>
      <w:tr>
        <w:trPr>
          <w:trHeight w:val="189"/>
        </w:trPr>
        <w:tc>
          <w:tcPr>
            <w:tcW w:w="8680" w:type="dxa"/>
            <w:vAlign w:val="bottom"/>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080" w:type="dxa"/>
            <w:vAlign w:val="bottom"/>
          </w:tcPr>
          <w:p>
            <w:pPr>
              <w:jc w:val="right"/>
              <w:ind w:right="94"/>
              <w:spacing w:after="0"/>
              <w:rPr>
                <w:sz w:val="20"/>
                <w:szCs w:val="20"/>
                <w:color w:val="auto"/>
              </w:rPr>
            </w:pPr>
            <w:r>
              <w:rPr>
                <w:rFonts w:ascii="Arial" w:cs="Arial" w:eastAsia="Arial" w:hAnsi="Arial"/>
                <w:sz w:val="14"/>
                <w:szCs w:val="14"/>
                <w:b w:val="1"/>
                <w:bCs w:val="1"/>
                <w:color w:val="auto"/>
                <w:w w:val="91"/>
              </w:rPr>
              <w:t>Exercise Price</w:t>
            </w:r>
          </w:p>
        </w:tc>
      </w:tr>
      <w:tr>
        <w:trPr>
          <w:trHeight w:val="224"/>
        </w:trPr>
        <w:tc>
          <w:tcPr>
            <w:tcW w:w="8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5"/>
        </w:trPr>
        <w:tc>
          <w:tcPr>
            <w:tcW w:w="86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10,362,635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25"/>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forfeited or canceled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(1,495,899)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33,447,103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4"/>
        </w:trPr>
        <w:tc>
          <w:tcPr>
            <w:tcW w:w="8680" w:type="dxa"/>
            <w:vAlign w:val="bottom"/>
          </w:tcPr>
          <w:p>
            <w:pPr>
              <w:ind w:left="180"/>
              <w:spacing w:after="0"/>
              <w:rPr>
                <w:sz w:val="20"/>
                <w:szCs w:val="20"/>
                <w:color w:val="auto"/>
              </w:rPr>
            </w:pPr>
            <w:r>
              <w:rPr>
                <w:rFonts w:ascii="Arial" w:cs="Arial" w:eastAsia="Arial" w:hAnsi="Arial"/>
                <w:sz w:val="18"/>
                <w:szCs w:val="18"/>
                <w:color w:val="auto"/>
              </w:rPr>
              <w:t>Options exercisable at June 30, 2022</w:t>
            </w:r>
          </w:p>
        </w:tc>
        <w:tc>
          <w:tcPr>
            <w:tcW w:w="1240" w:type="dxa"/>
            <w:vAlign w:val="bottom"/>
          </w:tcPr>
          <w:p>
            <w:pPr>
              <w:jc w:val="right"/>
              <w:spacing w:after="0"/>
              <w:rPr>
                <w:sz w:val="20"/>
                <w:szCs w:val="20"/>
                <w:color w:val="auto"/>
              </w:rPr>
            </w:pPr>
            <w:r>
              <w:rPr>
                <w:rFonts w:ascii="Arial" w:cs="Arial" w:eastAsia="Arial" w:hAnsi="Arial"/>
                <w:sz w:val="18"/>
                <w:szCs w:val="18"/>
                <w:color w:val="auto"/>
              </w:rPr>
              <w:t>18,327,732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0.74</w:t>
            </w:r>
          </w:p>
        </w:tc>
      </w:tr>
    </w:tbl>
    <w:p>
      <w:pPr>
        <w:spacing w:after="0" w:line="2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2022, unrecognized stock-based compensation cost related to the unvested portion of the Company’s stock options was $28.2 million, which is expected to be recognized on a graded-vesting basis over a weighted-average period of 1.74 years.</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fair value of the stock option awards for the period ended June 30, 2022 and June 30, 2021 were estimated using the Black-Scholes option pricing model with the following assumptions: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5"/>
                <w:szCs w:val="15"/>
                <w:color w:val="auto"/>
              </w:rPr>
            </w:pPr>
          </w:p>
        </w:tc>
        <w:tc>
          <w:tcPr>
            <w:tcW w:w="4600" w:type="dxa"/>
            <w:vAlign w:val="bottom"/>
            <w:gridSpan w:val="3"/>
          </w:tcPr>
          <w:p>
            <w:pPr>
              <w:ind w:left="1480"/>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66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185"/>
        </w:trPr>
        <w:tc>
          <w:tcPr>
            <w:tcW w:w="662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65.20% - 75.00%</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46.60%- 71.60%</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5.48-6.07</w:t>
            </w:r>
          </w:p>
        </w:tc>
        <w:tc>
          <w:tcPr>
            <w:tcW w:w="8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0.17- 1.50</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1.65%-3.03%</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0.05%- 0.25%</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3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Class A common stock</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$2.20-$3.45</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 $12.06</w:t>
            </w:r>
          </w:p>
        </w:tc>
      </w:tr>
    </w:tbl>
    <w:p>
      <w:pPr>
        <w:spacing w:after="0" w:line="25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estimated a volatility factor for the Company’s options based on analysis of historical share prices of a peer group of public companies. The Company did not rely on the volatility of the Company’s Class A common stock because its limited trading history. The Company estimated the expected term of options granted using the “simplified method,” which is the mid-point between the vesting date and the ending date of the contractual term. The Company did not rely on the historical holding periods of the Company’s options due to the limited availability of exercise data. The Company used a risk-free interest rate based on the U.S. Treasury yield curve in effect for bonds with maturities consistent with the expected term of the option.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issued time-based RSUs to employees under the 2021 Plan. The RSUs automatically convert to shares of Class A common stock on a one-for-one basis as the awards vest. The Company measures the value of RSUs at fair value based on the closing price of the underlying Class A common stock on the grant date. The RSUs granted generally vest over a four year vesting period from the grant date, however, certain grants include vesting term that begins vesting 12 months from the grant date. The following table summarizes the activity related to the Company's time-based RSUs:</w:t>
      </w:r>
    </w:p>
    <w:p>
      <w:pPr>
        <w:spacing w:after="0" w:line="10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Restricted Stock Units</w:t>
            </w:r>
          </w:p>
        </w:tc>
        <w:tc>
          <w:tcPr>
            <w:tcW w:w="140" w:type="dxa"/>
            <w:vAlign w:val="bottom"/>
          </w:tcPr>
          <w:p>
            <w:pPr>
              <w:spacing w:after="0"/>
              <w:rPr>
                <w:sz w:val="14"/>
                <w:szCs w:val="14"/>
                <w:color w:val="auto"/>
              </w:rPr>
            </w:pPr>
          </w:p>
        </w:tc>
        <w:tc>
          <w:tcPr>
            <w:tcW w:w="170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Weighted Average Grant</w:t>
            </w:r>
          </w:p>
        </w:tc>
      </w:tr>
      <w:tr>
        <w:trPr>
          <w:trHeight w:val="189"/>
        </w:trPr>
        <w:tc>
          <w:tcPr>
            <w:tcW w:w="6640" w:type="dxa"/>
            <w:vAlign w:val="bottom"/>
          </w:tcPr>
          <w:p>
            <w:pPr>
              <w:spacing w:after="0"/>
              <w:rPr>
                <w:sz w:val="16"/>
                <w:szCs w:val="16"/>
                <w:color w:val="auto"/>
              </w:rPr>
            </w:pPr>
          </w:p>
        </w:tc>
        <w:tc>
          <w:tcPr>
            <w:tcW w:w="2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700" w:type="dxa"/>
            <w:vAlign w:val="bottom"/>
          </w:tcPr>
          <w:p>
            <w:pPr>
              <w:jc w:val="right"/>
              <w:ind w:right="77"/>
              <w:spacing w:after="0"/>
              <w:rPr>
                <w:sz w:val="20"/>
                <w:szCs w:val="20"/>
                <w:color w:val="auto"/>
              </w:rPr>
            </w:pPr>
            <w:r>
              <w:rPr>
                <w:rFonts w:ascii="Arial" w:cs="Arial" w:eastAsia="Arial" w:hAnsi="Arial"/>
                <w:sz w:val="14"/>
                <w:szCs w:val="14"/>
                <w:b w:val="1"/>
                <w:bCs w:val="1"/>
                <w:color w:val="auto"/>
                <w:w w:val="95"/>
              </w:rPr>
              <w:t>Date Fair Value Per Unit</w:t>
            </w:r>
          </w:p>
        </w:tc>
      </w:tr>
      <w:tr>
        <w:trPr>
          <w:trHeight w:val="224"/>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25"/>
        </w:trPr>
        <w:tc>
          <w:tcPr>
            <w:tcW w:w="664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14,455,696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Units vested</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5"/>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Stock Units forfeited</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(2,723,870)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23,397,365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Company issued 126,980 RSUs subject to both service and performance based vesting conditions to the Executive Chairman of the Company. The grant date was established during the second quarter period and vesting of the RSUs will be based on the achievement of performance goals established for calendar year 2022.</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2022, unrecognized stock-based compensation cost related to the unvested portion of the Company’s RSUs was $70.6 million, which is expected to be recognized on a graded-vesting basis over a weighted-average period of 1.80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grant date fair value determined for Triggering Event I, II and III was $1.82, $1.39 and $0.94 per unit, respectively. Any re-allocated RSUs due to the Sema4 Legacy option holders’ forfeiture activities during the three months ended June 30, 2022 were accounted for as new grants and the fair value determined for Triggering Event I, II and III was $0.01, $0.01 and $0.01 per unit, respectively. Based on the grant date fair value, the Company expects to record total expense related to the earn-out RSU awards of $2.1 million without considering the impact of the Sema4 Legacy option holders’ forfeiture activities. The Company expects to recognize the stock-compensation cost over the longer of the derived service period or service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and to cancel the outstanding unvested SARs was agreed upon and an expense of $3.8 million related to the vested SAR was recognized by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SARs as of June 30, 2022.</w:t>
      </w:r>
    </w:p>
    <w:p>
      <w:pPr>
        <w:spacing w:after="0" w:line="16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the three and six months ended June 30, 2022, the Company recorded a reversal of stock-based compensation of $4.5 million and $9.7 million, respectively due to forfeiture activities upon employee terminations. Stock-based compensation expense for all awards granted and outstanding is included within the condensed consolidated statements of operations and comprehensive loss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5"/>
          </w:tcPr>
          <w:p>
            <w:pPr>
              <w:jc w:val="right"/>
              <w:ind w:right="555"/>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12,911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22,721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78"/>
        </w:trPr>
        <w:tc>
          <w:tcPr>
            <w:tcW w:w="8180" w:type="dxa"/>
            <w:vAlign w:val="bottom"/>
          </w:tcPr>
          <w:p>
            <w:pPr>
              <w:spacing w:after="0"/>
              <w:rPr>
                <w:sz w:val="24"/>
                <w:szCs w:val="24"/>
                <w:color w:val="auto"/>
              </w:rPr>
            </w:pPr>
          </w:p>
        </w:tc>
        <w:tc>
          <w:tcPr>
            <w:tcW w:w="3060" w:type="dxa"/>
            <w:vAlign w:val="bottom"/>
            <w:gridSpan w:val="5"/>
          </w:tcPr>
          <w:p>
            <w:pPr>
              <w:jc w:val="right"/>
              <w:ind w:right="635"/>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37,817</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19,753</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21,923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88,704</w:t>
            </w:r>
          </w:p>
        </w:tc>
      </w:tr>
      <w:tr>
        <w:trPr>
          <w:trHeight w:val="244"/>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40,280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164,443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Income tax benefit for the six months ended June 30, 2021 and 2022 was zero and $49.1 million, respectively. Income taxes for these periods are recorded at the Company’s estimated annual effective income tax rate, subject to adjustments for discrete events should they occur. The Company’s estimated annual effective tax rate was —% and 0.27% for the three and six months ended June 30, 2022, respectively.</w:t>
      </w:r>
    </w:p>
    <w:p>
      <w:pPr>
        <w:spacing w:after="0" w:line="13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difference between the Company’s effective tax rates in 2022 and 2021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primary related to its net operating loss carryforwards and tax credit carryforwards.</w:t>
      </w:r>
    </w:p>
    <w:p>
      <w:pPr>
        <w:spacing w:after="0" w:line="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Company’s acquisition of GeneDx, the Company recorded a deferred tax liability of $51.8 million in purchase accounting. This deferred tax liability serves as a source of future taxable income to support a release of valuation allowance of $48.6 million, which resulted in a deferred tax benefit recorded discretely in the three months ended June 30,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Basic and diluted loss per share attributable to common stockholders was calculated as follows (amounts in thousands, except for share and per share amounts):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4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(85,742)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(46,161)</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Denominator for basic and diluted earnings per share-weighted-average common shares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337,752,029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1,100,734</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r>
      <w:tr>
        <w:trPr>
          <w:trHeight w:val="466"/>
        </w:trPr>
        <w:tc>
          <w:tcPr>
            <w:tcW w:w="8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8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(162,638)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(237,936)</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8"/>
                <w:szCs w:val="18"/>
                <w:color w:val="auto"/>
              </w:rPr>
              <w:t>Denominator for basic and diluted earnings per share-weighted-average common shares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291,318,351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826,778</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w:t>
            </w: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a result of the Business Combination Merger, the Company has retroactively adjusted the weighted-average number of shares of common stock outstanding prior to the Business Combination Merger by multiplying them by the conversion ratio of 123.8339 used to determine the number of shares of common stock into which they converted. The common stock issued as a result of the redeemable convertible preferred stock conversion upon closing of the Business Combination Merger was included in the basic and diluted earnings/(loss) per share calculation on a prospective basis.</w:t>
      </w:r>
    </w:p>
    <w:p>
      <w:pPr>
        <w:spacing w:after="0" w:line="13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Prior to the consummation of the Business Combination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Business Combination Merger, all outstanding Legacy Sema4 Class B common stock has been retroactively converted to the Sema4 Holdings Class A common stock.</w:t>
      </w:r>
    </w:p>
    <w:p>
      <w:pPr>
        <w:spacing w:after="0" w:line="11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06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5"/>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options and RSUs to purchase Class A common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56,844,468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28,903,180</w:t>
            </w:r>
          </w:p>
        </w:tc>
      </w:tr>
      <w:tr>
        <w:trPr>
          <w:trHeight w:val="251"/>
        </w:trPr>
        <w:tc>
          <w:tcPr>
            <w:tcW w:w="8180" w:type="dxa"/>
            <w:vAlign w:val="bottom"/>
          </w:tcPr>
          <w:p>
            <w:pPr>
              <w:ind w:left="20"/>
              <w:spacing w:after="0"/>
              <w:rPr>
                <w:sz w:val="20"/>
                <w:szCs w:val="20"/>
                <w:color w:val="auto"/>
              </w:rPr>
            </w:pPr>
            <w:r>
              <w:rPr>
                <w:rFonts w:ascii="Arial" w:cs="Arial" w:eastAsia="Arial" w:hAnsi="Arial"/>
                <w:sz w:val="18"/>
                <w:szCs w:val="18"/>
                <w:color w:val="auto"/>
              </w:rPr>
              <w:t>Outstanding warrants</w:t>
            </w:r>
          </w:p>
        </w:tc>
        <w:tc>
          <w:tcPr>
            <w:tcW w:w="148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earn-out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2,239,220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Outstanding earn-out RSUs</w:t>
            </w:r>
          </w:p>
        </w:tc>
        <w:tc>
          <w:tcPr>
            <w:tcW w:w="1480" w:type="dxa"/>
            <w:vAlign w:val="bottom"/>
          </w:tcPr>
          <w:p>
            <w:pPr>
              <w:jc w:val="right"/>
              <w:spacing w:after="0"/>
              <w:rPr>
                <w:sz w:val="20"/>
                <w:szCs w:val="20"/>
                <w:color w:val="auto"/>
              </w:rPr>
            </w:pPr>
            <w:r>
              <w:rPr>
                <w:rFonts w:ascii="Arial" w:cs="Arial" w:eastAsia="Arial" w:hAnsi="Arial"/>
                <w:sz w:val="18"/>
                <w:szCs w:val="18"/>
                <w:color w:val="auto"/>
              </w:rPr>
              <w:t>16,782,356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171,535,213</w:t>
            </w:r>
          </w:p>
        </w:tc>
      </w:tr>
      <w:tr>
        <w:trPr>
          <w:trHeight w:val="219"/>
        </w:trPr>
        <w:tc>
          <w:tcPr>
            <w:tcW w:w="8180" w:type="dxa"/>
            <w:vAlign w:val="bottom"/>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97,861,016</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200,438,393</w:t>
            </w: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Costs</w:t>
      </w:r>
    </w:p>
    <w:p>
      <w:pPr>
        <w:spacing w:after="0" w:line="18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During the six months ended June 30, 2022, the Compensation Committee of the Company’s Board of Directors approved by written consents, dated February 17, 2022 and May 2, 2022 a restructuring plan that was executed by management and restructuring charges were incurred and recorded in connection therewith. These costs include severance packages offered to the employees impacted by the plan and third party consulting costs. Additionally, the Board of Directors approved additional headcount reductions in an effort to streamline operations, and the Company recognized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1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Sema4 Holdings Corp.</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additional expenses during the second quarter of 2022. The table below provides certain information concerning restructuring activity during the six months: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Reserve Balance at December 31,</w:t>
            </w:r>
          </w:p>
        </w:tc>
        <w:tc>
          <w:tcPr>
            <w:tcW w:w="140" w:type="dxa"/>
            <w:vAlign w:val="bottom"/>
          </w:tcPr>
          <w:p>
            <w:pPr>
              <w:spacing w:after="0"/>
              <w:rPr>
                <w:sz w:val="14"/>
                <w:szCs w:val="14"/>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Charged to Costs and Expenses</w:t>
            </w:r>
          </w:p>
        </w:tc>
        <w:tc>
          <w:tcPr>
            <w:tcW w:w="300" w:type="dxa"/>
            <w:vAlign w:val="bottom"/>
          </w:tcPr>
          <w:p>
            <w:pPr>
              <w:spacing w:after="0"/>
              <w:rPr>
                <w:sz w:val="14"/>
                <w:szCs w:val="14"/>
                <w:color w:val="auto"/>
              </w:rPr>
            </w:pPr>
          </w:p>
        </w:tc>
        <w:tc>
          <w:tcPr>
            <w:tcW w:w="2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Payments and Other</w:t>
            </w:r>
          </w:p>
        </w:tc>
        <w:tc>
          <w:tcPr>
            <w:tcW w:w="12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Reserve Balance at June 30, 202</w:t>
            </w: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20" w:type="dxa"/>
            <w:vAlign w:val="bottom"/>
            <w:vMerge w:val="restart"/>
          </w:tcPr>
          <w:p>
            <w:pPr>
              <w:jc w:val="right"/>
              <w:ind w:right="8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The Company may incur additional expenses not currently contemplated due to events associated with the reduction in force. The charges that the Company expects to incur in connection with the reduction in force are estimates and subject to a number of assumptions, and actual results may differ materially. In addition, see Note 16, “Subsequent Events” for a discussion of additional exit activities subsequent to June 30,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Supplemental Financial Information</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payable and accrued expenses consisted of the following (in thousands):</w:t>
      </w:r>
    </w:p>
    <w:p>
      <w:pPr>
        <w:spacing w:after="0" w:line="108" w:lineRule="exact"/>
        <w:rPr>
          <w:sz w:val="20"/>
          <w:szCs w:val="20"/>
          <w:color w:val="auto"/>
        </w:rPr>
      </w:pPr>
    </w:p>
    <w:tbl>
      <w:tblPr>
        <w:tblLayout w:type="fixed"/>
        <w:tblInd w:w="866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As of June 30, 2022</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84"/>
        </w:trPr>
        <w:tc>
          <w:tcPr>
            <w:tcW w:w="1360" w:type="dxa"/>
            <w:vAlign w:val="bottom"/>
            <w:vMerge w:val="continue"/>
          </w:tcPr>
          <w:p>
            <w:pPr>
              <w:spacing w:after="0"/>
              <w:rPr>
                <w:sz w:val="15"/>
                <w:szCs w:val="15"/>
                <w:color w:val="auto"/>
              </w:rPr>
            </w:pPr>
          </w:p>
        </w:tc>
        <w:tc>
          <w:tcPr>
            <w:tcW w:w="1320" w:type="dxa"/>
            <w:vAlign w:val="bottom"/>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9525</wp:posOffset>
            </wp:positionV>
            <wp:extent cx="6995160" cy="151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5113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sectPr>
      </w:pPr>
    </w:p>
    <w:p>
      <w:pPr>
        <w:spacing w:after="0" w:line="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995160" cy="160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Reserves for refunds to insurance carriers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995160" cy="168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68275"/>
                    </a:xfrm>
                    <a:prstGeom prst="rect">
                      <a:avLst/>
                    </a:prstGeom>
                    <a:noFill/>
                  </pic:spPr>
                </pic:pic>
              </a:graphicData>
            </a:graphic>
          </wp:anchor>
        </w:drawing>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318770</wp:posOffset>
            </wp:positionV>
            <wp:extent cx="6995160" cy="151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53,302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115,878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140" w:type="dxa"/>
            <w:vAlign w:val="bottom"/>
          </w:tcPr>
          <w:p>
            <w:pPr>
              <w:spacing w:after="0"/>
              <w:rPr>
                <w:sz w:val="24"/>
                <w:szCs w:val="24"/>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June 30, 2022</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As of December 31</w:t>
            </w:r>
          </w:p>
        </w:tc>
        <w:tc>
          <w:tcPr>
            <w:tcW w:w="0" w:type="dxa"/>
            <w:vAlign w:val="bottom"/>
          </w:tcPr>
          <w:p>
            <w:pPr>
              <w:spacing w:after="0"/>
              <w:rPr>
                <w:sz w:val="1"/>
                <w:szCs w:val="1"/>
                <w:color w:val="auto"/>
              </w:rPr>
            </w:pPr>
          </w:p>
        </w:tc>
      </w:tr>
      <w:tr>
        <w:trPr>
          <w:trHeight w:val="184"/>
        </w:trPr>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80" w:space="720"/>
            <w:col w:w="2840"/>
          </w:cols>
          <w:pgMar w:left="320" w:top="313" w:right="239" w:bottom="1440" w:gutter="0" w:footer="0" w:header="0"/>
          <w:type w:val="continuous"/>
        </w:sectPr>
      </w:pPr>
    </w:p>
    <w:p>
      <w:pPr>
        <w:spacing w:after="0" w:line="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bonus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27940</wp:posOffset>
            </wp:positionV>
            <wp:extent cx="6995160" cy="160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60020"/>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benefits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6995160" cy="142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Indemnification liabilities</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Current portion of the contingent consideration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33020</wp:posOffset>
            </wp:positionV>
            <wp:extent cx="6995160"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42875"/>
                    </a:xfrm>
                    <a:prstGeom prst="rect">
                      <a:avLst/>
                    </a:prstGeom>
                    <a:noFill/>
                  </pic:spPr>
                </pic:pic>
              </a:graphicData>
            </a:graphic>
          </wp:anchor>
        </w:drawing>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52"/>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2"/>
        </w:trPr>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6"/>
        </w:trPr>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18"/>
        </w:trPr>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6" w:lineRule="exact"/>
        <w:rPr>
          <w:sz w:val="20"/>
          <w:szCs w:val="20"/>
          <w:color w:val="auto"/>
        </w:rPr>
      </w:pPr>
    </w:p>
    <w:p>
      <w:pPr>
        <w:sectPr>
          <w:pgSz w:w="11900" w:h="16838" w:orient="portrait"/>
          <w:cols w:equalWidth="0" w:num="2">
            <w:col w:w="7780" w:space="720"/>
            <w:col w:w="2840"/>
          </w:cols>
          <w:pgMar w:left="320" w:top="313" w:right="239" w:bottom="1440" w:gutter="0" w:footer="0" w:header="0"/>
          <w:type w:val="continuous"/>
        </w:sectPr>
      </w:pPr>
    </w:p>
    <w:p>
      <w:pPr>
        <w:jc w:val="both"/>
        <w:ind w:right="100" w:firstLine="318"/>
        <w:spacing w:after="0" w:line="306" w:lineRule="auto"/>
        <w:rPr>
          <w:sz w:val="20"/>
          <w:szCs w:val="20"/>
          <w:color w:val="auto"/>
        </w:rPr>
      </w:pPr>
      <w:r>
        <w:rPr>
          <w:rFonts w:ascii="Arial" w:cs="Arial" w:eastAsia="Arial" w:hAnsi="Arial"/>
          <w:sz w:val="15"/>
          <w:szCs w:val="15"/>
          <w:color w:val="auto"/>
        </w:rPr>
        <w:t>During the third quarter of 2022, the Board of Directors approved a restructuring plan that contemplates exiting the Company’s somatic tumor testing business and closing the Company’s laboratory in Branford, CT, by December 31, 2022. In connection with the plan, the Company is also eliminating approximately 250 positions, representing about 13% of its workforce, which, combined with the Company’s prior reductions in force during 2022, will result in the elimination of approximately 30% of the roles from the Legacy Sema4 business. As a result of this decision, the Company currently estimates the impact of these actions to result in between $8.5 million and $11.5 million of cash charges primarily related to severance packages offered to the employees impacted by the plan to be incurred primarily during the second half of the year. The amount of this expected charge is an estimate, and the amount and timing of actual charges may vary due to a variety of factors. The Company also expects to incur non-cash charges, which are currently not able to be estimated.</w:t>
      </w: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313"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financial statements for the year ended December 31, 2021 and the related notes in our Annual Report on Form 10-K for the year ended December 31, 2021.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leading health intelligence company—one that can unlock insights from data, leading to healthier lives and a healthier society. We are focused on delivering a portfolio of genomic and data solutions to guide patients through their family health journey. That includes family planning, delivery, pediatrics, hereditary cancer screening, and rare disorders for children and adults.</w:t>
      </w:r>
    </w:p>
    <w:p>
      <w:pPr>
        <w:spacing w:after="0" w:line="14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June 1, 2017, we signed a contribution and funding agreement and other agreements with Icahn School of Medicine at Mount Sinai, or ISMMS, whereby ISMMS contributed certain assets and liabilities related to our operations, provided certain services to us, and also committed to funding us up to $55.0 million in future capital contributions in exchange for equity in Legacy Sema4, of which $55.0 million was drawn as of December 31, 2019. Following the transaction, we commenced operations as a commercial entity that could effectively engage diverse patient populations and health care institutions at scale.</w:t>
      </w:r>
    </w:p>
    <w:p>
      <w:pPr>
        <w:spacing w:after="0" w:line="1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have since established a market leading health intelligence platform, accelerating the use of genomics and leveraging large-scale clinical data to enhance the standard of care through extensive precision medicine solutions. Our business was further strengthened in April 2022 by the acquisition of GeneDx, a leader in genomic testing and analysis for rare disorders. We believe the transaction positions Sema4 as one of the largest and most advanced providers of genomic testing in the U.S. and further strengthens our health information database to transform patient care and improve therapeutic development. We now maintain a database that includes patient data available for research on approximately 12 million patients from a number of public and proprietary sources. More than five million patients are available with clinical data through our partnership health systems and genomic testing solutions that may include structured and unstructured data available for deeper curation to construct more comprehensive natural histories of patients.</w:t>
      </w:r>
    </w:p>
    <w:p>
      <w:pPr>
        <w:spacing w:after="0" w:line="11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Currently, we derive the majority of our revenue from our diagnostic test solutions. Our diagnostic business generates revenue and engages with healthcare professionals working with patients primarily through our Reproductive Health/Women’s Health and Pediatrics/NICU solutions.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Reproductive Health/Women’s Health solutions sequence and analyze an industry-leading number of genes and use interpretive information tools to translate raw sequencing and clinical data efficiently and accurately into digestible clinical reports that guide decision-making by patients and physicians. These solutions also include Sema4 Signal Hereditary Cancer, which determines if a patient carries an inherited genetic change that increases the risk of cancer or informs on cancer treatment.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Pediatrics/NICU offerings include testing solutions for children, both inpatient in the neonatal intensive care unit (NICU) and pediatric intensive care unit (PICU) and outpatient for developmental delay and neurodevelopmental delay as well as rare disease for children and adults. We have the industry-leading exome, which includes comprehensive CNV (copy number variation) analysis and have an extensive database of over 375,000 clinically sequenced exomes and more than two million structured phenotypes.</w:t>
      </w:r>
    </w:p>
    <w:p>
      <w:pPr>
        <w:spacing w:after="0" w:line="151"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color w:val="auto"/>
        </w:rPr>
        <w:t>We will be discontinuing our somatic tumor profiling business by December 31, 2022. This business represents less than 1% of our revenue and approximately $35 million of our annual expenses. We expect that exiting this business will result in significant cost savings during the second half of 2022 and 2023, and will positively impact our gross margins. Additionally, beginning in May of 2020 through March 31, 2022, we provided diagnostic testing services to identify the presence of COVID-19.</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lifecycle, from next-generation drug discovery and development, to post-market efficacy surveillance, to informing on bioavailability, toxicity, tolerability, and other features critical to drug development.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for more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 In particular, we are currently engaged in discussions with one of our third-party payors regarding certain overpayments we allegedly received from the payor for services that the payor alleges are not covered by, or were not otherwise properly billed to, the payor. As a result of this matter and other potential settlements with payors, we have established certain liabilities and reversed certain of our previously recorded revenue. We intend to seek to resolve this matter and any other recovery or recoupment claims in a mutually satisfactory manner, although it is possible that any such settlement may also result in lowered contracted reimbursement</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rates for our tests. For more information regarding this matter, see Note 4, “Revenue Recognition” to our unaudited condensed consolidated financial statements included within this Quarterly Report.</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9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7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spacing w:after="0" w:line="15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6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six months ended June 30, 2022, we resulted 276,171 tests in our laboratories, 73,408 tests of which were for COVID-19, compared to the six months ended June 30, 2021, in which we resulted 357,785 tests in our laboratories, 218,757 of which were for COVID-19. This 46% increase in resulted volumes, excluding COVID-19 tests volumes, was as a result of the inclusion of volumes from GeneDx’s laboratories following the closing of the GeneDx acquisition.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COVID-19 has had, and continues to have, an extensive impact on the global health and economic environments since the initial outbreak in March 2020.</w:t>
      </w:r>
    </w:p>
    <w:p>
      <w:pPr>
        <w:spacing w:after="0" w:line="2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While test volumes have since improved, we continue to experience changes in the mix of tests due to the impact of COVID-19.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the actions taken to contain it or treat it and the economic impact on local, regional, national and international markets and supply chains. Therefore, COVID-19 could continue to have a material impact on our results of operations, cash flows, and financial condition for the foreseeable future.</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(the “PRF”), and $2.8 million received under the Employee Retention Credit (the “ERC”). In 2021, we received an additional $5.6 million under the PRF.</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Funds provided under the PRF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funds received under the PRF distribution have been met. As a result, we recorded the funds received under the PRF in other income in the statements of operations and comprehensive loss during the periods in which we received the funds.</w:t>
      </w:r>
    </w:p>
    <w:p>
      <w:pPr>
        <w:spacing w:after="0" w:line="15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Funds provided under the ERC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funds received under the ERC and recorded the proceeds in other liabilities on the condensed consolidated balance sheets.</w:t>
      </w:r>
    </w:p>
    <w:p>
      <w:pPr>
        <w:spacing w:after="0" w:line="156" w:lineRule="exact"/>
        <w:rPr>
          <w:sz w:val="20"/>
          <w:szCs w:val="20"/>
          <w:color w:val="auto"/>
        </w:rPr>
      </w:pPr>
    </w:p>
    <w:p>
      <w:pPr>
        <w:ind w:right="540" w:firstLine="318"/>
        <w:spacing w:after="0" w:line="453"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Acquisition of GeneDx</w:t>
      </w:r>
    </w:p>
    <w:p>
      <w:pPr>
        <w:jc w:val="both"/>
        <w:ind w:firstLine="318"/>
        <w:spacing w:after="0" w:line="264" w:lineRule="auto"/>
        <w:rPr>
          <w:sz w:val="20"/>
          <w:szCs w:val="20"/>
          <w:color w:val="auto"/>
        </w:rPr>
      </w:pPr>
      <w:r>
        <w:rPr>
          <w:rFonts w:ascii="Arial" w:cs="Arial" w:eastAsia="Arial" w:hAnsi="Arial"/>
          <w:sz w:val="17"/>
          <w:szCs w:val="17"/>
          <w:color w:val="auto"/>
        </w:rPr>
        <w:t>In January 2022, we and our wholly-owned subsidiaries, Orion Merger Sub I, Inc., or Merger Sub I, and Orion Merger Sub II, LLC, or Merger Sub II, entered into an Agreement and Plan of Merger and Reorganization (which we refer to, as amended, as the “Acquisition Merger Agreement”), with GeneDx, Inc., a New Jersey corporation, or GeneDx, and a wholly-owned subsidiary of OPKO Health, Inc., or OPKO, GeneDx Holding 2, Inc., or Holdco, and OPKO to acquire 100% of GeneDx (which we refer to as the “Acquisition”). Subject to the terms and conditions of the Acquisition Merger Agreement, we agreed to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were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our Class A common stock (valued at $4.86 per share, subject to adjustment for stock splits and similar changes), with such mix to be determined in our sole discretion.</w:t>
      </w:r>
    </w:p>
    <w:p>
      <w:pPr>
        <w:spacing w:after="0" w:line="14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Acquisition closed on April 29, 2022. Our net loss for the three and six months ended June 30, 2022 includes the results of operations of GeneDx from the date of acquisition.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Concurrently with the execution of the Acquisition Merger Agreement, we entered into subscription agreements with certain institutional investors, pursuant to, and on the terms and subject to the conditions of which, these investors collectively subscribed for 50 million shares of our Class A common stock for an aggregate purchase price equal to $200 million (which we refer to as the “Acquisition PIPE Investment”). The Acquisition PIPE Investment was consummated substantially concurrently with the closing of the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7" w:lineRule="exact"/>
        <w:rPr>
          <w:sz w:val="20"/>
          <w:szCs w:val="20"/>
          <w:color w:val="auto"/>
        </w:rPr>
      </w:pPr>
    </w:p>
    <w:p>
      <w:pPr>
        <w:ind w:right="100" w:firstLine="318"/>
        <w:spacing w:after="0" w:line="318" w:lineRule="auto"/>
        <w:rPr>
          <w:sz w:val="20"/>
          <w:szCs w:val="20"/>
          <w:color w:val="auto"/>
        </w:rPr>
      </w:pPr>
      <w:r>
        <w:rPr>
          <w:rFonts w:ascii="Arial" w:cs="Arial" w:eastAsia="Arial" w:hAnsi="Arial"/>
          <w:sz w:val="15"/>
          <w:szCs w:val="15"/>
          <w:color w:val="auto"/>
        </w:rPr>
        <w:t>We derive the majority of our revenue from diagnostic testing services, which primarily relate to Reproductive Health/Women’s Health, Pediatrics/NICU and COVID-19. We also recognize revenue from collaboration service agreements with Biopharma companies and other third parties pursuant to which we provide diagnostic testing and related data aggregation reporting services. As discussed above, we discontinued COVID-19 testing services as of March 31, 2022 and no longer provide such testing services. We also intend to discontinue our somatic tumor profiling business by December 31, 2022.</w:t>
      </w:r>
    </w:p>
    <w:p>
      <w:pPr>
        <w:spacing w:after="0" w:line="106" w:lineRule="exact"/>
        <w:rPr>
          <w:sz w:val="20"/>
          <w:szCs w:val="20"/>
          <w:color w:val="auto"/>
        </w:rPr>
      </w:pPr>
    </w:p>
    <w:p>
      <w:pPr>
        <w:ind w:right="40" w:firstLine="318"/>
        <w:spacing w:after="0" w:line="249"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9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1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payors, enter into contracts with institutions, and increase our reimbursement rate for tests performed.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and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9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Related party expenses consist of amounts due to ISMMS for expenses under our Transition Services Agreement with ISMMS, or the ISMMS TSA, which expired at the end of the first quarter of 2021, and other service agreements. In addition, GeneDx and OPKO entered into a Transition Services Agreement dated as of April 29, 2022, or the OPKO TSA, pursuant to which OPKO has agreed to provide, at cost, certain services in support of the Acquisition of the GeneDx business through December 31, 2022, subject to certain limited exceptions, in order to facilitate the transactions contemplated by the Acquisition Merger Agreement. Additional information can be found in the audited financial statements in Note 7, </w:t>
      </w:r>
      <w:r>
        <w:rPr>
          <w:rFonts w:ascii="Arial" w:cs="Arial" w:eastAsia="Arial" w:hAnsi="Arial"/>
          <w:sz w:val="17"/>
          <w:szCs w:val="17"/>
          <w:i w:val="1"/>
          <w:iCs w:val="1"/>
          <w:color w:val="auto"/>
        </w:rPr>
        <w:t>“Related Party Transactions”</w:t>
      </w:r>
      <w:r>
        <w:rPr>
          <w:rFonts w:ascii="Arial" w:cs="Arial" w:eastAsia="Arial" w:hAnsi="Arial"/>
          <w:sz w:val="17"/>
          <w:szCs w:val="17"/>
          <w:color w:val="auto"/>
        </w:rPr>
        <w:t xml:space="preserve"> included within our Annual Report on Form 10-K for the year ended December 31, 2021, and our unaudited condensed consolidated financial statements in Note 7, </w:t>
      </w: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included within this Quarterly Report.</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 and following the expiration of the OPKO TSA.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consists of interest earned on money market funds.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7" w:lineRule="exact"/>
        <w:rPr>
          <w:sz w:val="20"/>
          <w:szCs w:val="20"/>
          <w:color w:val="auto"/>
        </w:rPr>
      </w:pPr>
    </w:p>
    <w:p>
      <w:pPr>
        <w:ind w:right="40" w:firstLine="318"/>
        <w:spacing w:after="0" w:line="277" w:lineRule="auto"/>
        <w:rPr>
          <w:sz w:val="20"/>
          <w:szCs w:val="20"/>
          <w:color w:val="auto"/>
        </w:rPr>
      </w:pPr>
      <w:r>
        <w:rPr>
          <w:rFonts w:ascii="Arial" w:cs="Arial" w:eastAsia="Arial" w:hAnsi="Arial"/>
          <w:sz w:val="17"/>
          <w:szCs w:val="17"/>
          <w:color w:val="auto"/>
        </w:rPr>
        <w:t>Interest expense consists of interest costs related to our finance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report. No amounts have been drawn under the revolving credit facility as of June 30,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Other income consists of funding received under the CARES Act. We recognized $5.6 million of additional funding received under the CARES Act during the first quarter of 2021 and the amount is included in other income for the six months ended June 30, 2021.</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2022 and 2021</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w w:val="99"/>
              </w:rPr>
              <w:t>2021 (1)</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34,004</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44,803</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48,179</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Gross profit (loss)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11,952</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18,574</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(45,448)</w:t>
            </w:r>
          </w:p>
        </w:tc>
      </w:tr>
      <w:tr>
        <w:trPr>
          <w:trHeight w:val="106"/>
        </w:trPr>
        <w:tc>
          <w:tcPr>
            <w:tcW w:w="8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52"/>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1"/>
        </w:trPr>
        <w:tc>
          <w:tcPr>
            <w:tcW w:w="81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(46,161)</w:t>
            </w:r>
          </w:p>
        </w:tc>
      </w:tr>
    </w:tbl>
    <w:p>
      <w:pPr>
        <w:spacing w:after="0" w:line="83" w:lineRule="exact"/>
        <w:rPr>
          <w:sz w:val="20"/>
          <w:szCs w:val="20"/>
          <w:color w:val="auto"/>
        </w:rPr>
      </w:pPr>
    </w:p>
    <w:p>
      <w:pPr>
        <w:ind w:firstLine="6"/>
        <w:spacing w:after="0" w:line="254" w:lineRule="auto"/>
        <w:tabs>
          <w:tab w:leader="none" w:pos="2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2380" w:type="dxa"/>
            <w:vAlign w:val="bottom"/>
            <w:gridSpan w:val="4"/>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gridSpan w:val="3"/>
          </w:tcPr>
          <w:p>
            <w:pPr>
              <w:jc w:val="right"/>
              <w:ind w:right="18"/>
              <w:spacing w:after="0"/>
              <w:rPr>
                <w:sz w:val="20"/>
                <w:szCs w:val="20"/>
                <w:color w:val="auto"/>
              </w:rPr>
            </w:pPr>
            <w:r>
              <w:rPr>
                <w:rFonts w:ascii="Arial" w:cs="Arial" w:eastAsia="Arial" w:hAnsi="Arial"/>
                <w:sz w:val="14"/>
                <w:szCs w:val="14"/>
                <w:b w:val="1"/>
                <w:bCs w:val="1"/>
                <w:color w:val="auto"/>
                <w:w w:val="88"/>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34,004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44,803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36,169</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47,015</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(10,846)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decreased by $10.8 million, or 23%, to $36.2 million for the three months ended June 30, 2022, from $47.0 million for the three months ended June 30, 2021.</w:t>
      </w:r>
    </w:p>
    <w:p>
      <w:pPr>
        <w:spacing w:after="0" w:line="15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Diagnostic test revenue period over period overall decreased by $10.8 million, or 24%, to $34.0 million for the three months ended June 30, 2022, from $44.8 million for the three months ended June 30, 2021. The decrease was primarily attributable to a reversal of revenue recorded in the second quarter of 2022 related to a third party-payor’s allegation regarding certain overpayments we allegedly received from the payor for services alleged to be uncovered by, or were not otherwise properly billed to, the payor. This revenue reversal relates both to this matter and other potential settlements with payors, and the vast majority of this revenue reversal was related to periods prior to the second quarter of 2022. For more information regarding this matter, see Note 4, “Revenue Recognition” to our unaudited condensed consolidated financial statements included within this Quarterly Report. This decrease was offset by an increase of $26.1 million in revenue due to the GeneDx acquisition and its revenue generated for May and June 2022.</w:t>
      </w:r>
    </w:p>
    <w:p>
      <w:pPr>
        <w:sectPr>
          <w:pgSz w:w="11900" w:h="16838" w:orient="portrait"/>
          <w:cols w:equalWidth="0" w:num="1">
            <w:col w:w="11240"/>
          </w:cols>
          <w:pgMar w:left="320" w:top="140" w:right="339" w:bottom="1440" w:gutter="0" w:footer="0" w:header="0"/>
        </w:sect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80" w:firstLine="318"/>
        <w:spacing w:after="0" w:line="464" w:lineRule="auto"/>
        <w:rPr>
          <w:sz w:val="20"/>
          <w:szCs w:val="20"/>
          <w:color w:val="auto"/>
        </w:rPr>
      </w:pPr>
      <w:r>
        <w:rPr>
          <w:rFonts w:ascii="Arial" w:cs="Arial" w:eastAsia="Arial" w:hAnsi="Arial"/>
          <w:sz w:val="18"/>
          <w:szCs w:val="18"/>
          <w:color w:val="auto"/>
        </w:rPr>
        <w:t xml:space="preserve">Other revenue decreased by a nominal amount for the three months ended June 30, 2022, from the three months ended June 30, 2021. </w:t>
      </w:r>
      <w:r>
        <w:rPr>
          <w:rFonts w:ascii="Arial" w:cs="Arial" w:eastAsia="Arial" w:hAnsi="Arial"/>
          <w:sz w:val="18"/>
          <w:szCs w:val="18"/>
          <w:b w:val="1"/>
          <w:bCs w:val="1"/>
          <w:i w:val="1"/>
          <w:iCs w:val="1"/>
          <w:color w:val="auto"/>
        </w:rPr>
        <w:t>Cost of Services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65,767</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48,179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17,588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bl>
    <w:p>
      <w:pPr>
        <w:spacing w:after="0" w:line="25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Cost of services increased by $17.6 million, or 37%, to $65.8 million for the three months ended June 30, 2022, from $48.2 million for the three months ended June 30, 2021. The increase was primarily driven by the following components: a $5.4 million increase in overall personnel-related expenses driven by increase in headcount; and a $13.8 million increase in lab reagents, supplies and kits driven by increased sales volume. This increase was offset by a $1.6 million decrease in outside labor costs as the need for temporary hires contracted to perform COVID-19 testing activities was no longer required.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27,168</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11,952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15,216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bl>
    <w:p>
      <w:pPr>
        <w:spacing w:after="0" w:line="25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Research and development expense increased by $15.2 million, or 127%, to $27.2 million for the three months ended June 30, 2022, from $12.0 million for the three months ended June 30, 2021. The increase was primarily attributable to a $6.9 million increase in stock-based compensation expense; a $6.1 million increase in other personnel-related expenses driven by increase in headcount; an increase of $1.7 million in consultant services for product development related activities; and an increase of $0.4 million in depreciation and amortization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36,118</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18,574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17,544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bl>
    <w:p>
      <w:pPr>
        <w:spacing w:after="0" w:line="25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Selling and marketing expense increased by $17.5 million, or 94%, to $36.1 million for the three months ended June 30, 2022, from $18.6 million for the three months ended June 30, 2021. The increase was primarily attributable to a $12.8 million increase in personnel-related costs driven by increase in headcount; a $1.0 million increase in other lab services for genetic counseling related to medical education; a $1.0 million increase in information technology-related expenses; a $1.3 million increase in business travel and business expenses due to the lifting of COVID-19 travel restrictions. Additionally, there was an increase of $0.8 million in amortization expense related to acquisition intangible assets.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7"/>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ind w:left="560"/>
              <w:spacing w:after="0"/>
              <w:rPr>
                <w:sz w:val="20"/>
                <w:szCs w:val="20"/>
                <w:color w:val="auto"/>
              </w:rPr>
            </w:pPr>
            <w:r>
              <w:rPr>
                <w:rFonts w:ascii="Arial" w:cs="Arial" w:eastAsia="Arial" w:hAnsi="Arial"/>
                <w:sz w:val="14"/>
                <w:szCs w:val="14"/>
                <w:b w:val="1"/>
                <w:bCs w:val="1"/>
                <w:color w:val="auto"/>
                <w:w w:val="89"/>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68,034</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12,870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55,164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r>
      <w:tr>
        <w:trPr>
          <w:trHeight w:val="715"/>
        </w:trPr>
        <w:tc>
          <w:tcPr>
            <w:tcW w:w="5160" w:type="dxa"/>
            <w:vAlign w:val="bottom"/>
          </w:tcPr>
          <w:p>
            <w:pPr>
              <w:spacing w:after="0"/>
              <w:rPr>
                <w:sz w:val="24"/>
                <w:szCs w:val="24"/>
                <w:color w:val="auto"/>
              </w:rPr>
            </w:pPr>
          </w:p>
        </w:tc>
        <w:tc>
          <w:tcPr>
            <w:tcW w:w="860" w:type="dxa"/>
            <w:vAlign w:val="bottom"/>
          </w:tcPr>
          <w:p>
            <w:pPr>
              <w:jc w:val="right"/>
              <w:ind w:right="61"/>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2"/>
        </w:trPr>
        <w:tc>
          <w:tcPr>
            <w:tcW w:w="516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5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56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0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General and administrative expense increased by $55.2 million, or 429%, to $68.0 million for the three months ended June 30, 2022, from $12.9 million for the three months ended June 30, 2021. The decrease was primarily attributable to $13.9 million and $11.9 million increases in stock-based compensation expense and other personnel-related costs driven by increase in headcount; a $18.2 million increase in professional services incurred in connection with the Acquisition related to due diligence, advisory, legal and business integration services; a $3.9 million increase in information technology related expenses due to increased cloud storage requirements; a $2.0 million increase in insurance expenses driven by the commencement of director’s insurance policy; a $3.1 million increase in depreciation and amortization expense driven by computer equipment and acquisition intangibles; a $1.0 million increase in tax expenses; and a $1.0 million increase due to reallocation of certain costs between departments during the fourth quarter of 2021 as a result of a change in estimate.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60"/>
              <w:spacing w:after="0"/>
              <w:rPr>
                <w:sz w:val="20"/>
                <w:szCs w:val="20"/>
                <w:color w:val="auto"/>
              </w:rPr>
            </w:pPr>
            <w:r>
              <w:rPr>
                <w:rFonts w:ascii="Arial" w:cs="Arial" w:eastAsia="Arial" w:hAnsi="Arial"/>
                <w:sz w:val="14"/>
                <w:szCs w:val="14"/>
                <w:b w:val="1"/>
                <w:bCs w:val="1"/>
                <w:color w:val="auto"/>
                <w:w w:val="90"/>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00" w:type="dxa"/>
            <w:vAlign w:val="bottom"/>
          </w:tcPr>
          <w:p>
            <w:pPr>
              <w:ind w:left="560"/>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1"/>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88"/>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1,731</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843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expenses increased by $0.8 million, or 95%, to $1.7 million for the three months ended June 30, 2022, from $0.9 million for the three months ended June 30, 2021. The increase was primarily attributable to fees related to support certain services pursuant to the OPKO TSA as a result of the acquisition of GeneDx and an increase in information technology related services provided by ISMMS.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60" w:type="dxa"/>
            <w:vAlign w:val="bottom"/>
          </w:tcPr>
          <w:p>
            <w:pPr>
              <w:ind w:left="56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88"/>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373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4144 %</w:t>
            </w:r>
          </w:p>
        </w:tc>
      </w:tr>
    </w:tbl>
    <w:p>
      <w:pPr>
        <w:spacing w:after="0" w:line="2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Interest income increased by $0.4 million, or 4144%, to $0.4 million for the three months ended June 30, 2022, from a nominal amount for the three months ended June 30, 2021. The increase was due to increases in the average cash balances held in interest-bearing and money market deposit accounts.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1"/>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88"/>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92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expense increased by a nominal amount for the three months ended June 30, 2022, from the three months ended June 30,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Pr>
          <w:p>
            <w:pPr>
              <w:ind w:left="36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Three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ind w:left="220"/>
              <w:spacing w:after="0"/>
              <w:rPr>
                <w:sz w:val="20"/>
                <w:szCs w:val="20"/>
                <w:color w:val="auto"/>
              </w:rPr>
            </w:pPr>
            <w:r>
              <w:rPr>
                <w:rFonts w:ascii="Arial" w:cs="Arial" w:eastAsia="Arial" w:hAnsi="Arial"/>
                <w:sz w:val="14"/>
                <w:szCs w:val="14"/>
                <w:b w:val="1"/>
                <w:bCs w:val="1"/>
                <w:color w:val="auto"/>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1000" w:type="dxa"/>
            <w:vAlign w:val="bottom"/>
          </w:tcPr>
          <w:p>
            <w:pPr>
              <w:ind w:left="56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8"/>
              </w:rPr>
              <w:t>(dollars in thousands)</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jc w:val="right"/>
              <w:ind w:right="803"/>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income increased by a nominal amount for the three months ended June 30, 2022, from the three months ended June 30, 2021.</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2022 and 2021</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w w:val="99"/>
              </w:rPr>
              <w:t>2021 (1)</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4"/>
        </w:trPr>
        <w:tc>
          <w:tcPr>
            <w:tcW w:w="8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3"/>
                <w:szCs w:val="23"/>
                <w:color w:val="auto"/>
              </w:rPr>
            </w:pPr>
          </w:p>
        </w:tc>
      </w:tr>
      <w:tr>
        <w:trPr>
          <w:trHeight w:val="24"/>
        </w:trPr>
        <w:tc>
          <w:tcPr>
            <w:tcW w:w="8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Diagnostic test revenue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86,499</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107,563</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111,216</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116,703</w:t>
            </w:r>
          </w:p>
        </w:tc>
      </w:tr>
      <w:tr>
        <w:trPr>
          <w:trHeight w:val="218"/>
        </w:trPr>
        <w:tc>
          <w:tcPr>
            <w:tcW w:w="81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Gross profit (loss)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53,940</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114,908</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r>
      <w:tr>
        <w:trPr>
          <w:trHeight w:val="219"/>
        </w:trPr>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(242,105)</w:t>
            </w:r>
          </w:p>
        </w:tc>
      </w:tr>
      <w:tr>
        <w:trPr>
          <w:trHeight w:val="87"/>
        </w:trPr>
        <w:tc>
          <w:tcPr>
            <w:tcW w:w="8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8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52"/>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31"/>
        </w:trPr>
        <w:tc>
          <w:tcPr>
            <w:tcW w:w="8180" w:type="dxa"/>
            <w:vAlign w:val="bottom"/>
            <w:tcBorders>
              <w:bottom w:val="single" w:sz="8" w:color="CCEEFF"/>
            </w:tcBorders>
          </w:tcPr>
          <w:p>
            <w:pPr>
              <w:ind w:left="340"/>
              <w:spacing w:after="0" w:line="204" w:lineRule="exact"/>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(237,936)</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(237,936)</w:t>
            </w:r>
          </w:p>
        </w:tc>
      </w:tr>
    </w:tbl>
    <w:p>
      <w:pPr>
        <w:spacing w:after="0" w:line="83" w:lineRule="exact"/>
        <w:rPr>
          <w:sz w:val="20"/>
          <w:szCs w:val="20"/>
          <w:color w:val="auto"/>
        </w:rPr>
      </w:pPr>
    </w:p>
    <w:p>
      <w:pPr>
        <w:ind w:firstLine="6"/>
        <w:spacing w:after="0" w:line="254" w:lineRule="auto"/>
        <w:tabs>
          <w:tab w:leader="none" w:pos="2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previously disclosed in Note 2, “Summary of Significant Accounting Policies” to our consolidated financial statements included in our Annual Report on Form 10-K for the year ended December 31, 2021, certain adjustments were made to reclassify certain expenses between cost of services and operating expenses. The adjustments are reflected as disclosed.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3"/>
              </w:rPr>
              <w:t>Change</w:t>
            </w: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3020" w:type="dxa"/>
            <w:vAlign w:val="bottom"/>
            <w:gridSpan w:val="6"/>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00" w:type="dxa"/>
            <w:vAlign w:val="bottom"/>
          </w:tcPr>
          <w:p>
            <w:pPr>
              <w:spacing w:after="0"/>
              <w:rPr>
                <w:sz w:val="16"/>
                <w:szCs w:val="16"/>
                <w:color w:val="auto"/>
              </w:rPr>
            </w:pPr>
          </w:p>
        </w:tc>
        <w:tc>
          <w:tcPr>
            <w:tcW w:w="3020" w:type="dxa"/>
            <w:vAlign w:val="bottom"/>
            <w:gridSpan w:val="6"/>
          </w:tcPr>
          <w:p>
            <w:pPr>
              <w:ind w:left="660"/>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Pr>
          <w:p>
            <w:pPr>
              <w:spacing w:after="0"/>
              <w:rPr>
                <w:sz w:val="16"/>
                <w:szCs w:val="16"/>
                <w:color w:val="auto"/>
              </w:rPr>
            </w:pPr>
          </w:p>
        </w:tc>
        <w:tc>
          <w:tcPr>
            <w:tcW w:w="1280" w:type="dxa"/>
            <w:vAlign w:val="bottom"/>
            <w:gridSpan w:val="3"/>
          </w:tcPr>
          <w:p>
            <w:pPr>
              <w:jc w:val="center"/>
              <w:ind w:left="159"/>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4"/>
        </w:trPr>
        <w:tc>
          <w:tcPr>
            <w:tcW w:w="5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3"/>
          </w:tcPr>
          <w:p>
            <w:pPr>
              <w:jc w:val="right"/>
              <w:ind w:right="18"/>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86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86,499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(21,064)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111,216</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(21,106)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decreased by $21.1 million, or 19%, to $90.1 million for the six months ended June 30, 2022, from $111.2 million for the six months ended June 30, 2021.</w:t>
      </w:r>
    </w:p>
    <w:p>
      <w:pPr>
        <w:spacing w:after="0" w:line="15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Diagnostic test revenue period over period overall decreased by $21.1 million, or 20%, to $86.5 million for the six months ended June 30, 2022, from $107.6 million for the six months ended June 30, 2021. The decrease was primarily attributable to a reversal of revenue recorded in the second quarter of 2022 related a third party-payor’s allegation regarding certain overpayments we allegedly received from the payor for services alleged to be uncovered by, or were not otherwise properly billed to, the payor. This revenue reversal relates both to this matter and other potential settlements with payors, and the vast majority of this revenue reversal was related to periods prior to the second quarter of 2022. For more information regarding this matter, see Note 4, “Revenue Recognition” to our unaudited condensed consolidated financial statements included within this Quarterly Report. This decrease was offset by an increase of $26.1 million in revenue due to the GeneDx acquisition and its revenue generated for May and June 2022.</w:t>
      </w:r>
    </w:p>
    <w:p>
      <w:pPr>
        <w:sectPr>
          <w:pgSz w:w="11900" w:h="16838" w:orient="portrait"/>
          <w:cols w:equalWidth="0" w:num="1">
            <w:col w:w="11240"/>
          </w:cols>
          <w:pgMar w:left="320" w:top="140" w:right="339" w:bottom="1440" w:gutter="0" w:footer="0" w:header="0"/>
        </w:sectPr>
      </w:pP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revenue decreased by a nominal amount for the six months ended June 30, 2022, from the six months ended June 30,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8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114,083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(2,620)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Cost of services decreased by $2.6 million, or 2%, to $114.1 million for the six months ended June 30, 2022, from $116.7 million for the six months ended June 30, 2021. The decrease was primarily driven by the following components: a $15.0 million decrease in stock-based compensation expense is due to the higher expense recorded in the first quarter of 2021 as a result of the increased fair value of the awards and related expenses recorded under liability accounting; a $4.1 million decrease in outside labor costs as the need for temporary hires contracted to perform COVID-19 testing activities was no longer required; and a $2.1 million decrease in inventory obsolescence write-off as a result of discontinuing COVID-19 testing. These decreases were offset by a $13.8 million increase in lab reagents, supplies and kits driven by increased sales activities and an increase of $4.6 million in other personnel-related expenses driven by increase in headcount.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jc w:val="center"/>
              <w:ind w:left="16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(dollars in thousands)</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48,483</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65,085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2"/>
              </w:rPr>
              <w:t>(16,602)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25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Research and development expense decreased by $16.6 million, or 26%, to $48.5 million for the six months ended June 30, 2022, from $65.1 million for the six months ended June 30, 2021. The decrease was primarily attributable to a $26.9 million decrease in stock-based compensation expense due to the higher expense recorded in the first quarter of 2021 as a result of the increased fair value of the awards and related expenses recorded under liability accounting and a decrease in cost incurred for reagents and laboratory supplies and laboratory software of $1.0 million for research and development activities, which was partially offset by an increase of $8.7 million in other personnel-related expenses driven by increase in headcount; an increase of $1.7 million in consultant services for product development related activities; and an increase of $1.0 million in depreciation and amortization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jc w:val="center"/>
              <w:ind w:left="1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(dollars in thousands)</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3"/>
              </w:rPr>
              <w:t>65,665</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53,940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4"/>
              </w:rPr>
              <w:t>11,725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bl>
    <w:p>
      <w:pPr>
        <w:spacing w:after="0" w:line="2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Selling and marketing expense increased by $11.7 million, or 22%, to $65.7 million for the six months ended June 30, 2022, from $53.9 million for the six months ended June 30, 2021. The increase was primarily attributable to a $18.2 million increase in personnel-related costs driven by increase in headcount, which was offset by a $15.5 million decrease in stock-based compensation expense due to the higher expense recorded in the first quarter of 2021 as a result of the increased fair value of the awards and related expenses recorded under liability accounting. Additionally, a $2.5 million increase in business travel and business expenses due to the lifting of COVID-19 travel restrictions; a $2.0 million increase in consulting service expenses to support revenue cycle transformation initiatives; an increase of $1.6 million in other lab services for genetic counseling related to medical education; an increase of $1.0 million in information technology-related expenses; an increase of $1.0 million in amortization expense for acquisition intangible assets; and an increase of $0.9 million in sponsored research.</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80" w:type="dxa"/>
            <w:vAlign w:val="bottom"/>
            <w:gridSpan w:val="4"/>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110,818</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114,908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(4,090)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General and administrative expense decreased by $4.1 million, or 4%, to $110.8 million for the six months ended June 30, 2022, from $114.9 million for the six months ended June 30, 2021. The decrease was primarily attributable to a $66.8 million decrease in stock-based compensation expense due to the higher expense recorded in the first quarter of 2021 as a result of the increased fair value of the awards and related expenses recorded under liability accounting. This decrease was partially offset by an increase in expenses of $24.7 million for professional services incurred in connection with the Acquisition related to due diligence, advisory, legal and business integration services; an increase of $21.9 million in other personnel-related costs driven by increase in headcount; a $6.3 million increase in information technology related expenses due to increased cloud storage requirements; a $3.7 million increase in insurance expenses driven by the commencement of director’s insurance policy; a $2.8 million increase in depreciation and amortization expense driven by intangibles and computer equipment; a $2.0 million increase due to reallocation of certain costs between departments during the fourth quarter of 2021 as a result of a change in estimate; a $1.0 million increase in state income taxes; and a $0.4 million increase in travel and business expenses due to the lifting of COVID-19 travel restrictions.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jc w:val="center"/>
              <w:ind w:left="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center"/>
              <w:ind w:left="23"/>
              <w:spacing w:after="0"/>
              <w:rPr>
                <w:sz w:val="20"/>
                <w:szCs w:val="20"/>
                <w:color w:val="auto"/>
              </w:rPr>
            </w:pPr>
            <w:r>
              <w:rPr>
                <w:rFonts w:ascii="Arial" w:cs="Arial" w:eastAsia="Arial" w:hAnsi="Arial"/>
                <w:sz w:val="14"/>
                <w:szCs w:val="14"/>
                <w:b w:val="1"/>
                <w:bCs w:val="1"/>
                <w:color w:val="auto"/>
                <w:w w:val="91"/>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88"/>
              </w:rPr>
              <w:t>(dollars in thousands)</w:t>
            </w: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3,015</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Related party expenses increased by $0.3 million, or 12%, to $3.0 million for the six months ended June 30, 2022, from $2.7 million for the six months ended June 30, 2021. The increase was primarily attributable to fees related to support certain services pursuant to the OPKO TSA as a result of the acquisition of GeneDx.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tcPr>
          <w:p>
            <w:pPr>
              <w:jc w:val="center"/>
              <w:ind w:left="2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960" w:type="dxa"/>
            <w:vAlign w:val="bottom"/>
          </w:tcPr>
          <w:p>
            <w:pPr>
              <w:jc w:val="right"/>
              <w:ind w:right="23"/>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4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w w:val="88"/>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7"/>
        </w:trPr>
        <w:tc>
          <w:tcPr>
            <w:tcW w:w="5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409</w:t>
            </w:r>
          </w:p>
        </w:tc>
        <w:tc>
          <w:tcPr>
            <w:tcW w:w="92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rPr>
              <w:t>379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1263 %</w:t>
            </w:r>
          </w:p>
        </w:tc>
      </w:tr>
    </w:tbl>
    <w:p>
      <w:pPr>
        <w:spacing w:after="0" w:line="2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Interest income increased by $0.4 million, or 1263%, to $0.4 million for the six months ended June 30, 2022, from a nominal amount for the six months ended June 30, 2021. The increase was due to increases in the average cash balances held in interest-bearing and money market deposit accounts.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238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60" w:type="dxa"/>
            <w:vAlign w:val="bottom"/>
          </w:tcPr>
          <w:p>
            <w:pPr>
              <w:spacing w:after="0"/>
              <w:rPr>
                <w:sz w:val="16"/>
                <w:szCs w:val="16"/>
                <w:color w:val="auto"/>
              </w:rPr>
            </w:pPr>
          </w:p>
        </w:tc>
        <w:tc>
          <w:tcPr>
            <w:tcW w:w="238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jc w:val="center"/>
              <w:ind w:left="4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5"/>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(1,598)</w:t>
            </w:r>
          </w:p>
        </w:tc>
        <w:tc>
          <w:tcPr>
            <w:tcW w:w="92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w w:val="91"/>
              </w:rPr>
              <w:t>(1,445)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rPr>
              <w:t>(153)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expense increased by $0.2 million, or 11%, to $1.6 million for the six months ended June 30, 2022, from $1.4 million for the six months ended June 30, 2021. The increase was driven by the unused line fee and amortization of deferred transaction costs related to the loan and security agreement entered into with Silicon Valley Bank at the end of 2021.</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9"/>
              </w:rPr>
              <w:t>Change</w:t>
            </w: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2360" w:type="dxa"/>
            <w:vAlign w:val="bottom"/>
            <w:gridSpan w:val="3"/>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4"/>
        </w:trPr>
        <w:tc>
          <w:tcPr>
            <w:tcW w:w="5180" w:type="dxa"/>
            <w:vAlign w:val="bottom"/>
          </w:tcPr>
          <w:p>
            <w:pPr>
              <w:spacing w:after="0"/>
              <w:rPr>
                <w:sz w:val="16"/>
                <w:szCs w:val="16"/>
                <w:color w:val="auto"/>
              </w:rPr>
            </w:pPr>
          </w:p>
        </w:tc>
        <w:tc>
          <w:tcPr>
            <w:tcW w:w="23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tcPr>
          <w:p>
            <w:pPr>
              <w:jc w:val="center"/>
              <w:ind w:left="103"/>
              <w:spacing w:after="0"/>
              <w:rPr>
                <w:sz w:val="20"/>
                <w:szCs w:val="20"/>
                <w:color w:val="auto"/>
              </w:rPr>
            </w:pPr>
            <w:r>
              <w:rPr>
                <w:rFonts w:ascii="Arial" w:cs="Arial" w:eastAsia="Arial" w:hAnsi="Arial"/>
                <w:sz w:val="14"/>
                <w:szCs w:val="14"/>
                <w:b w:val="1"/>
                <w:bCs w:val="1"/>
                <w:color w:val="auto"/>
                <w:w w:val="88"/>
              </w:rPr>
              <w:t>2021 to 2022</w:t>
            </w:r>
          </w:p>
        </w:tc>
        <w:tc>
          <w:tcPr>
            <w:tcW w:w="100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4"/>
        </w:trPr>
        <w:tc>
          <w:tcPr>
            <w:tcW w:w="5180" w:type="dxa"/>
            <w:vAlign w:val="bottom"/>
          </w:tcPr>
          <w:p>
            <w:pPr>
              <w:spacing w:after="0"/>
              <w:rPr>
                <w:sz w:val="16"/>
                <w:szCs w:val="16"/>
                <w:color w:val="auto"/>
              </w:rPr>
            </w:pPr>
          </w:p>
        </w:tc>
        <w:tc>
          <w:tcPr>
            <w:tcW w:w="1000" w:type="dxa"/>
            <w:vAlign w:val="bottom"/>
          </w:tcPr>
          <w:p>
            <w:pPr>
              <w:jc w:val="right"/>
              <w:ind w:right="83"/>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spacing w:after="0"/>
              <w:rPr>
                <w:sz w:val="16"/>
                <w:szCs w:val="16"/>
                <w:color w:val="auto"/>
              </w:rPr>
            </w:pPr>
          </w:p>
        </w:tc>
        <w:tc>
          <w:tcPr>
            <w:tcW w:w="1000" w:type="dxa"/>
            <w:vAlign w:val="bottom"/>
          </w:tcPr>
          <w:p>
            <w:pPr>
              <w:jc w:val="right"/>
              <w:ind w:right="621"/>
              <w:spacing w:after="0"/>
              <w:rPr>
                <w:sz w:val="20"/>
                <w:szCs w:val="20"/>
                <w:color w:val="auto"/>
              </w:rPr>
            </w:pPr>
            <w:r>
              <w:rPr>
                <w:rFonts w:ascii="Arial" w:cs="Arial" w:eastAsia="Arial" w:hAnsi="Arial"/>
                <w:sz w:val="14"/>
                <w:szCs w:val="14"/>
                <w:b w:val="1"/>
                <w:bCs w:val="1"/>
                <w:color w:val="auto"/>
              </w:rPr>
              <w:t>%</w:t>
            </w:r>
          </w:p>
        </w:tc>
      </w:tr>
      <w:tr>
        <w:trPr>
          <w:trHeight w:val="24"/>
        </w:trPr>
        <w:tc>
          <w:tcPr>
            <w:tcW w:w="5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5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w w:val="88"/>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8"/>
        </w:trPr>
        <w:tc>
          <w:tcPr>
            <w:tcW w:w="5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94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83"/>
              <w:spacing w:after="0"/>
              <w:rPr>
                <w:sz w:val="20"/>
                <w:szCs w:val="20"/>
                <w:color w:val="auto"/>
              </w:rPr>
            </w:pPr>
            <w:r>
              <w:rPr>
                <w:rFonts w:ascii="Arial" w:cs="Arial" w:eastAsia="Arial" w:hAnsi="Arial"/>
                <w:sz w:val="18"/>
                <w:szCs w:val="18"/>
                <w:color w:val="auto"/>
                <w:w w:val="98"/>
              </w:rPr>
              <w:t>(5,528)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Other income decreased by $5.5 million, to $0.1 million for the six months ended June 30, 2022, from $5.6 million for the six months ended June 30, 2021. This was attributable to the $5.6 million in funding that was received and recognized as other income under the CARES Act in the first quarter of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4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48"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9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Adjusted Gross Profit is a non-GAAP financial measure that we define as revenue less cost of services, excluding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is a reconciliation of revenue to our Adjusted Gross Profit and Adjusted Gross Margin for the three months ended June 30, 2022 and 2021:</w:t>
      </w: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18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191"/>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36,169</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47,015</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65,767</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48,179</w:t>
            </w:r>
          </w:p>
        </w:tc>
      </w:tr>
      <w:tr>
        <w:trPr>
          <w:trHeight w:val="325"/>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(29,598)</w:t>
            </w:r>
          </w:p>
        </w:tc>
        <w:tc>
          <w:tcPr>
            <w:tcW w:w="100" w:type="dxa"/>
            <w:vAlign w:val="bottom"/>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w:t>
            </w:r>
          </w:p>
        </w:tc>
      </w:tr>
      <w:tr>
        <w:trPr>
          <w:trHeight w:val="218"/>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36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54"/>
              <w:spacing w:after="0"/>
              <w:rPr>
                <w:sz w:val="20"/>
                <w:szCs w:val="20"/>
                <w:color w:val="auto"/>
              </w:rPr>
            </w:pPr>
            <w:r>
              <w:rPr>
                <w:rFonts w:ascii="Arial" w:cs="Arial" w:eastAsia="Arial" w:hAnsi="Arial"/>
                <w:sz w:val="18"/>
                <w:szCs w:val="18"/>
                <w:b w:val="1"/>
                <w:bCs w:val="1"/>
                <w:color w:val="auto"/>
              </w:rPr>
              <w:t>(2)%</w:t>
            </w: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(306)</w:t>
            </w:r>
          </w:p>
        </w:tc>
      </w:tr>
      <w:tr>
        <w:trPr>
          <w:trHeight w:val="226"/>
        </w:trPr>
        <w:tc>
          <w:tcPr>
            <w:tcW w:w="81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324"/>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Gross Profit (Loss)</w:t>
            </w:r>
          </w:p>
        </w:tc>
        <w:tc>
          <w:tcPr>
            <w:tcW w:w="36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(27,583)</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(1,470)</w:t>
            </w:r>
          </w:p>
        </w:tc>
      </w:tr>
      <w:tr>
        <w:trPr>
          <w:trHeight w:val="305"/>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8"/>
                <w:shd w:val="clear" w:color="auto" w:fill="CCEEFF"/>
              </w:rPr>
              <w:t>Adjusted Gross Margin</w:t>
            </w:r>
          </w:p>
        </w:tc>
        <w:tc>
          <w:tcPr>
            <w:tcW w:w="63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b w:val="1"/>
                <w:bCs w:val="1"/>
                <w:color w:val="auto"/>
              </w:rPr>
              <w:t>(3)%</w:t>
            </w:r>
          </w:p>
        </w:tc>
      </w:tr>
      <w:tr>
        <w:trPr>
          <w:trHeight w:val="254"/>
        </w:trPr>
        <w:tc>
          <w:tcPr>
            <w:tcW w:w="1800" w:type="dxa"/>
            <w:vAlign w:val="bottom"/>
          </w:tcPr>
          <w:p>
            <w:pPr>
              <w:spacing w:after="0"/>
              <w:rPr>
                <w:sz w:val="20"/>
                <w:szCs w:val="20"/>
                <w:color w:val="auto"/>
              </w:rPr>
            </w:pPr>
            <w:r>
              <w:rPr>
                <w:rFonts w:ascii="Arial" w:cs="Arial" w:eastAsia="Arial" w:hAnsi="Arial"/>
                <w:sz w:val="14"/>
                <w:szCs w:val="14"/>
                <w:color w:val="auto"/>
              </w:rPr>
              <w:t>__________________</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ind w:left="320" w:hanging="314"/>
        <w:spacing w:after="0"/>
        <w:tabs>
          <w:tab w:leader="none" w:pos="3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costs incurred for restructuring activities, which include severance packages offered to impacted employees and third party consulting costs incurred in the second quarter of 2022.</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is a reconciliation of revenue to our Adjusted Gross Profit and Adjusted Gross Margin for the six months ended June 30, 2022, and 2021: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0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18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191"/>
        </w:trPr>
        <w:tc>
          <w:tcPr>
            <w:tcW w:w="180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90,110</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111,216</w:t>
            </w:r>
          </w:p>
        </w:tc>
      </w:tr>
      <w:tr>
        <w:trPr>
          <w:trHeight w:val="225"/>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services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114,083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116,703</w:t>
            </w:r>
          </w:p>
        </w:tc>
      </w:tr>
      <w:tr>
        <w:trPr>
          <w:trHeight w:val="325"/>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(23,973)</w:t>
            </w:r>
          </w:p>
        </w:tc>
        <w:tc>
          <w:tcPr>
            <w:tcW w:w="100" w:type="dxa"/>
            <w:vAlign w:val="bottom"/>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(5,487)</w:t>
            </w:r>
          </w:p>
        </w:tc>
      </w:tr>
      <w:tr>
        <w:trPr>
          <w:trHeight w:val="219"/>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Margin</w:t>
            </w:r>
          </w:p>
        </w:tc>
        <w:tc>
          <w:tcPr>
            <w:tcW w:w="36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(5)%</w:t>
            </w:r>
          </w:p>
        </w:tc>
      </w:tr>
      <w:tr>
        <w:trPr>
          <w:trHeight w:val="24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5"/>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18,169</w:t>
            </w:r>
          </w:p>
        </w:tc>
      </w:tr>
      <w:tr>
        <w:trPr>
          <w:trHeight w:val="226"/>
        </w:trPr>
        <w:tc>
          <w:tcPr>
            <w:tcW w:w="81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36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(20,471)</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12,682</w:t>
            </w:r>
          </w:p>
        </w:tc>
      </w:tr>
      <w:tr>
        <w:trPr>
          <w:trHeight w:val="305"/>
        </w:trPr>
        <w:tc>
          <w:tcPr>
            <w:tcW w:w="1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8"/>
                <w:shd w:val="clear" w:color="auto" w:fill="CCEEFF"/>
              </w:rPr>
              <w:t>Adjusted Gross Margin</w:t>
            </w:r>
          </w:p>
        </w:tc>
        <w:tc>
          <w:tcPr>
            <w:tcW w:w="63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11%</w:t>
            </w:r>
          </w:p>
        </w:tc>
      </w:tr>
      <w:tr>
        <w:trPr>
          <w:trHeight w:val="254"/>
        </w:trPr>
        <w:tc>
          <w:tcPr>
            <w:tcW w:w="1800" w:type="dxa"/>
            <w:vAlign w:val="bottom"/>
          </w:tcPr>
          <w:p>
            <w:pPr>
              <w:spacing w:after="0"/>
              <w:rPr>
                <w:sz w:val="20"/>
                <w:szCs w:val="20"/>
                <w:color w:val="auto"/>
              </w:rPr>
            </w:pPr>
            <w:r>
              <w:rPr>
                <w:rFonts w:ascii="Arial" w:cs="Arial" w:eastAsia="Arial" w:hAnsi="Arial"/>
                <w:sz w:val="14"/>
                <w:szCs w:val="14"/>
                <w:color w:val="auto"/>
              </w:rPr>
              <w:t>_________________</w:t>
            </w:r>
          </w:p>
        </w:tc>
        <w:tc>
          <w:tcPr>
            <w:tcW w:w="6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151" w:lineRule="exact"/>
        <w:rPr>
          <w:sz w:val="20"/>
          <w:szCs w:val="20"/>
          <w:color w:val="auto"/>
        </w:rPr>
      </w:pPr>
    </w:p>
    <w:p>
      <w:pPr>
        <w:ind w:left="320" w:hanging="314"/>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costs incurred for restructuring activities, which include severance packages offered to impacted employees and third party consulting costs incurred in the first half of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net, depreciation and amortization, stock-based compensation expenses, transaction, acquisition and business integration costs, restructuring costs, change in fair market value of warrant and earn-out contingent liabilities and other income. We believe Adjusted EBITDA is useful in evaluating our operating performance compared to that of other companies in our industry,</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this metric generally eliminates the effects of certain factors that may vary from company to company for reasons unrelated to overall operating performance.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three months ended June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(85,742)</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(46,161)</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5,619</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22,721</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Transaction, acquisition and business integration costs </w:t>
            </w:r>
            <w:r>
              <w:rPr>
                <w:rFonts w:ascii="Arial" w:cs="Arial" w:eastAsia="Arial" w:hAnsi="Arial"/>
                <w:sz w:val="22"/>
                <w:szCs w:val="22"/>
                <w:color w:val="auto"/>
                <w:vertAlign w:val="superscript"/>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3,151</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2"/>
                <w:szCs w:val="22"/>
                <w:color w:val="auto"/>
                <w:vertAlign w:val="superscript"/>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180" w:type="dxa"/>
            <w:vAlign w:val="bottom"/>
          </w:tcPr>
          <w:p>
            <w:pPr>
              <w:ind w:left="56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(115,033)</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(37,197)</w:t>
            </w:r>
          </w:p>
        </w:tc>
      </w:tr>
      <w:tr>
        <w:trPr>
          <w:trHeight w:val="20"/>
        </w:trPr>
        <w:tc>
          <w:tcPr>
            <w:tcW w:w="8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680" w:hanging="314"/>
        <w:spacing w:after="0" w:line="253" w:lineRule="auto"/>
        <w:tabs>
          <w:tab w:leader="none" w:pos="31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ind w:left="320" w:right="320" w:hanging="314"/>
        <w:spacing w:after="0" w:line="299" w:lineRule="auto"/>
        <w:tabs>
          <w:tab w:leader="none" w:pos="312"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professional service costs incurred in connection with pursuing the business combination transaction that did not meet the requirement for capitalization in 2021. For the second quarter of 2022, this represents professional service costs incurred in connection with the Acquisition transaction, which include due diligence, legal and business integration costs.</w:t>
      </w:r>
    </w:p>
    <w:p>
      <w:pPr>
        <w:ind w:left="320" w:hanging="314"/>
        <w:spacing w:after="0"/>
        <w:tabs>
          <w:tab w:leader="none" w:pos="3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Represents costs incurred for restructuring activities, which include severance packages offered to impacted employees and third party consulting costs incurred in the second quarter of 2022.</w:t>
      </w:r>
    </w:p>
    <w:p>
      <w:pPr>
        <w:spacing w:after="0" w:line="25" w:lineRule="exact"/>
        <w:rPr>
          <w:rFonts w:ascii="Arial" w:cs="Arial" w:eastAsia="Arial" w:hAnsi="Arial"/>
          <w:sz w:val="12"/>
          <w:szCs w:val="12"/>
          <w:color w:val="auto"/>
        </w:rPr>
      </w:pPr>
    </w:p>
    <w:p>
      <w:pPr>
        <w:ind w:left="320" w:right="220" w:hanging="314"/>
        <w:spacing w:after="0" w:line="266" w:lineRule="auto"/>
        <w:tabs>
          <w:tab w:leader="none" w:pos="31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change in fair market value of the liabilities associated with our public warrants and private placement warrants and the earn-out shares issuable under the terms of the merger agreement related to our business combination with CMLS.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reconciliation of our net loss to Adjusted EBITDA for the six months ended June 30,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(162,638)</w:t>
            </w:r>
          </w:p>
        </w:tc>
        <w:tc>
          <w:tcPr>
            <w:tcW w:w="100" w:type="dxa"/>
            <w:vAlign w:val="bottom"/>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(237,936)</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2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(49,077)</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10,521</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40,280</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164,443</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Transaction, acquisition and business integration costs </w:t>
            </w:r>
            <w:r>
              <w:rPr>
                <w:rFonts w:ascii="Arial" w:cs="Arial" w:eastAsia="Arial" w:hAnsi="Arial"/>
                <w:sz w:val="22"/>
                <w:szCs w:val="22"/>
                <w:color w:val="auto"/>
                <w:vertAlign w:val="superscript"/>
              </w:rPr>
              <w:t>(2)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5,105</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2"/>
                <w:szCs w:val="22"/>
                <w:color w:val="auto"/>
                <w:vertAlign w:val="superscript"/>
              </w:rPr>
              <w:t>(4)</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2"/>
                <w:szCs w:val="22"/>
                <w:color w:val="auto"/>
                <w:vertAlign w:val="superscript"/>
              </w:rPr>
              <w:t>(5)</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19"/>
        </w:trPr>
        <w:tc>
          <w:tcPr>
            <w:tcW w:w="8180" w:type="dxa"/>
            <w:vAlign w:val="bottom"/>
          </w:tcPr>
          <w:p>
            <w:pPr>
              <w:ind w:left="56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(173,910)</w:t>
            </w:r>
          </w:p>
        </w:tc>
        <w:tc>
          <w:tcPr>
            <w:tcW w:w="60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(62,036)</w:t>
            </w:r>
          </w:p>
        </w:tc>
      </w:tr>
      <w:tr>
        <w:trPr>
          <w:trHeight w:val="20"/>
        </w:trPr>
        <w:tc>
          <w:tcPr>
            <w:tcW w:w="8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70" w:lineRule="exact"/>
        <w:rPr>
          <w:sz w:val="20"/>
          <w:szCs w:val="20"/>
          <w:color w:val="auto"/>
        </w:rPr>
      </w:pPr>
    </w:p>
    <w:p>
      <w:pPr>
        <w:ind w:left="320" w:right="680" w:hanging="314"/>
        <w:spacing w:after="0" w:line="262" w:lineRule="auto"/>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finance leases and interest-bearing loans and interest income on money market funds. This also includes the unused line fee and amortization of deferred transaction costs related to the loan and security agreement entered into with Silicon Valley Bank.</w:t>
      </w:r>
    </w:p>
    <w:p>
      <w:pPr>
        <w:ind w:left="320" w:right="60" w:hanging="314"/>
        <w:spacing w:after="0" w:line="269" w:lineRule="auto"/>
        <w:tabs>
          <w:tab w:leader="none" w:pos="312"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professional service costs incurred in connection with pursuing the business combination transaction that did not meet the requirement for capitalization in 2021. For the first half of 2022, this represents professional service costs incurred in connection with the Acquisition transaction, which include due diligence, legal and business integration costs.</w:t>
      </w:r>
    </w:p>
    <w:p>
      <w:pPr>
        <w:ind w:left="320" w:hanging="314"/>
        <w:spacing w:after="0"/>
        <w:tabs>
          <w:tab w:leader="none" w:pos="3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costs incurred for restructuring activities, which include severance packages offered to impacted employees and third party consulting costs incurred in the first half of 2022.</w:t>
      </w:r>
    </w:p>
    <w:p>
      <w:pPr>
        <w:spacing w:after="0" w:line="18" w:lineRule="exact"/>
        <w:rPr>
          <w:rFonts w:ascii="Arial" w:cs="Arial" w:eastAsia="Arial" w:hAnsi="Arial"/>
          <w:sz w:val="13"/>
          <w:szCs w:val="13"/>
          <w:color w:val="auto"/>
        </w:rPr>
      </w:pPr>
    </w:p>
    <w:p>
      <w:pPr>
        <w:ind w:left="320" w:right="220" w:hanging="314"/>
        <w:spacing w:after="0" w:line="273" w:lineRule="auto"/>
        <w:tabs>
          <w:tab w:leader="none" w:pos="312"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change in fair market value of the liabilities associated with our public warrants and private placement warrants and the earn-out shares issuable under the terms of the merger agreement related to our business combination with CMLS.</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0" w:hanging="314"/>
        <w:spacing w:after="0"/>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the six months ended June 30, 2021, the amount represents funding received under the CARES Act Provider Relief Fund in the first quarter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July 22, 2021, we completed the business combination with CMLS, consummated the related private placement financing, and received net cash proceeds of $510 million.</w:t>
      </w:r>
    </w:p>
    <w:p>
      <w:pPr>
        <w:spacing w:after="0" w:line="15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spacing w:after="0" w:line="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April 29, 2022, upon the closing of the Acquisition of GeneDx, we received gross proceeds of $200 million from the issuance of 50 million shares of our Class A common stock pursuant to the Acquisition PIPE Investment. The gross proceeds were partially used to pay for the cash consideration of the Acquisition and transaction costs incurred in connection with the Acquisition.</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believes that our cash and cash equivalents, and funds available under the SVB Agreement provides us with sufficient liquidity for at least twelve months from the filing date of this Quarterly Report.</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Accordingly, the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For example, we may file with the SEC a shelf registration statement, which if declared effective by the SEC, may permit us to sell from time to time additional shares of our Class A common stock or other securities in one or more offerings in amounts, at prices and on the terms that we will determine at the time of offering, although we do not intend to issue shares of our Class A common stock at current market prices.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8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The following is a description of commitments for known and reasonably likely cash requirements as of June 30, 2022 and December 31, 2021. We anticipate fulfilling such commitments with our existing cash and cash equivalents, which amounted to $284.6 million and $400.6 million as of June 30, 2022 and December 31, 2021, respectively, or through additional capital raised to finance our operations; see </w:t>
      </w:r>
      <w:r>
        <w:rPr>
          <w:rFonts w:ascii="Arial" w:cs="Arial" w:eastAsia="Arial" w:hAnsi="Arial"/>
          <w:sz w:val="15"/>
          <w:szCs w:val="15"/>
          <w:i w:val="1"/>
          <w:iCs w:val="1"/>
          <w:color w:val="auto"/>
        </w:rPr>
        <w:t>"Liquidity and Capital Resources"</w:t>
      </w:r>
      <w:r>
        <w:rPr>
          <w:rFonts w:ascii="Arial" w:cs="Arial" w:eastAsia="Arial" w:hAnsi="Arial"/>
          <w:sz w:val="15"/>
          <w:szCs w:val="15"/>
          <w:color w:val="auto"/>
        </w:rPr>
        <w:t>.</w:t>
      </w:r>
    </w:p>
    <w:p>
      <w:pPr>
        <w:spacing w:after="0" w:line="11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Our future minimum payments under non-cancellable operating lease agreements were $81.7 million as of June 30, 2022 and $68.3 million as of December 31, 2021. The timing of these future payments, by year, can be found in our audited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within our Annual Report on Form 10-K for the year ended December 31, 2021, and our unaudited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statements in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included within this Quarterly Report, respectively.</w:t>
      </w:r>
    </w:p>
    <w:p>
      <w:pPr>
        <w:spacing w:after="0" w:line="1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 xml:space="preserve">Our future payments under finance leases were $63.2 million as of June 30, 2022. The timing of these future payments, by year, can be found in our audited financial statements in Note 9,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xml:space="preserve"> included within our Annual Report on Form 10-K for the year ended December 31, 2021, and our unaudited condensed consolidated financial statements in Note 9, </w:t>
      </w:r>
      <w:r>
        <w:rPr>
          <w:rFonts w:ascii="Arial" w:cs="Arial" w:eastAsia="Arial" w:hAnsi="Arial"/>
          <w:sz w:val="15"/>
          <w:szCs w:val="15"/>
          <w:i w:val="1"/>
          <w:iCs w:val="1"/>
          <w:color w:val="auto"/>
        </w:rPr>
        <w:t>“Leases,”</w:t>
      </w:r>
      <w:r>
        <w:rPr>
          <w:rFonts w:ascii="Arial" w:cs="Arial" w:eastAsia="Arial" w:hAnsi="Arial"/>
          <w:sz w:val="15"/>
          <w:szCs w:val="15"/>
          <w:color w:val="auto"/>
        </w:rPr>
        <w:t xml:space="preserve"> included within this Quarterly Report, respectively.</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3"/>
          </w:tcPr>
          <w:p>
            <w:pPr>
              <w:jc w:val="right"/>
              <w:ind w:right="636"/>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8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191"/>
        </w:trPr>
        <w:tc>
          <w:tcPr>
            <w:tcW w:w="8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261"/>
              <w:spacing w:after="0"/>
              <w:rPr>
                <w:sz w:val="20"/>
                <w:szCs w:val="20"/>
                <w:color w:val="auto"/>
              </w:rPr>
            </w:pPr>
            <w:r>
              <w:rPr>
                <w:rFonts w:ascii="Arial" w:cs="Arial" w:eastAsia="Arial" w:hAnsi="Arial"/>
                <w:sz w:val="18"/>
                <w:szCs w:val="18"/>
                <w:color w:val="auto"/>
                <w:w w:val="90"/>
              </w:rPr>
              <w:t>(166,139)</w:t>
            </w:r>
          </w:p>
        </w:tc>
        <w:tc>
          <w:tcPr>
            <w:tcW w:w="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(67,509)</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center"/>
              <w:ind w:left="261"/>
              <w:spacing w:after="0"/>
              <w:rPr>
                <w:sz w:val="20"/>
                <w:szCs w:val="20"/>
                <w:color w:val="auto"/>
              </w:rPr>
            </w:pPr>
            <w:r>
              <w:rPr>
                <w:rFonts w:ascii="Arial" w:cs="Arial" w:eastAsia="Arial" w:hAnsi="Arial"/>
                <w:sz w:val="18"/>
                <w:szCs w:val="18"/>
                <w:color w:val="auto"/>
                <w:w w:val="90"/>
              </w:rPr>
              <w:t>(134,210)</w:t>
            </w:r>
          </w:p>
        </w:tc>
        <w:tc>
          <w:tcPr>
            <w:tcW w:w="5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(9,475)</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center"/>
              <w:ind w:left="301"/>
              <w:spacing w:after="0"/>
              <w:rPr>
                <w:sz w:val="20"/>
                <w:szCs w:val="20"/>
                <w:color w:val="auto"/>
              </w:rPr>
            </w:pPr>
            <w:r>
              <w:rPr>
                <w:rFonts w:ascii="Arial" w:cs="Arial" w:eastAsia="Arial" w:hAnsi="Arial"/>
                <w:sz w:val="18"/>
                <w:szCs w:val="18"/>
                <w:color w:val="auto"/>
                <w:w w:val="89"/>
              </w:rPr>
              <w:t>197,897</w:t>
            </w:r>
          </w:p>
        </w:tc>
        <w:tc>
          <w:tcPr>
            <w:tcW w:w="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Net cash used in operating activities during the six months ended June 30, 2022 was $166.1 million, which was primarily attributable to a net loss of $162.6 million and a change in fair value of the warrant and earn-out liabilities of $41.4 million and an income tax benefit of $49.1 million. This was partially offset by non-cash depreciation and amortization of $14.8 million, non-cash stock-based compensation expense of $40.3 million, a provision for excess and obsolete inventory of $0.4 million and non-cash lease expense of $0.3 million. The net change in our operating assets and liabilities primarily reflected a $2.3 million increase in inventories driven by an increase in reagents and a reduction in inventory reserves, a $35.7 million increase in accounts payable and accrued expenses driven by reserves for refunds to insurance carriers established during the second quarter of 2022, a $4.8 million decrease in other current liabilities mainly driven by the payment of 2021 bonuses, offset by the accrual of the 2022 expected bonus payment, a $2.4 million decrease in accounts receivable primarily from institutional payors and a $2.9 million decrease in prepaid expenses and other current assets mainly driven by the amortization of insurance policy premiums.</w:t>
      </w:r>
    </w:p>
    <w:p>
      <w:pPr>
        <w:spacing w:after="0" w:line="14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Net cash used in operating activities during the six months ended June 30, 2021 was $67.5 million, which was primarily attributable to a net loss of $237.9 million, partially offset by non-cash depreciation and amortization of $10.5 million and non-cash stock-based compensation expense of $164.4 million. The net change in our operating assets and liabilities primarily reflected a $7.5 million decrease in accounts receivable due to a significant decrease in COVID-19 tests performed during the second quarter of 2021, a $6.6 million increase in inventories driven by a higher volume of purchases to support increasing testing volumes, a $9.7 million increase in prepaid expenses and other current assets mainly driven by professional services costs directly related to the business combination transaction, a $10.0 million increase in accounts payable and accrued expenses due to the timing of vendor payments of large vendors, and an $7.8 million decrease in other current liabilities mainly driven by a decline in our bonus accrual following bonus payments in March 2021 and other personnel related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during the six months ended June 30, 2022 was $134.2 million, which was attributable to $127 million cash consideration for the acquisition of GeneDx, $2.7 million in purchases of property and equipment and $4.5 million of costs related to development of internal-use software assets.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six months ended June 30, 2021 was $9.5 million, which was attributable to $3.3 million in purchases of property and equipment and $6.2 million of costs related to development of internal-use software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six months ended June 30, 2022 was $197.9 million, which was driven by proceeds from the Acquisition PIPE Investment, net of issuance costs of $197.7 million, and the exercise of stock options of $1.8 million which was offset by $1.6 million of finance lease principal payments.</w:t>
      </w:r>
    </w:p>
    <w:p>
      <w:pPr>
        <w:spacing w:after="0" w:line="14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Net cash used in financing activities during the six months ended June 30, 2021 was $4.6 million, which was attributable to $2.8 million in payments for the capitalized portion of the transaction costs related to the business combination transaction, $2.0 million in principal payments on our capital lease obligations and $0.8 million in principal payments on our long-term debt obligations, offset by $1.0 million cash received from stock option exercises.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unaudited condensed consolidated financial statements, which have been prepared in accordance with U.S. GAAP. The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Except as described in Note 2, </w:t>
      </w:r>
      <w:r>
        <w:rPr>
          <w:rFonts w:ascii="Arial" w:cs="Arial" w:eastAsia="Arial" w:hAnsi="Arial"/>
          <w:sz w:val="17"/>
          <w:szCs w:val="17"/>
          <w:i w:val="1"/>
          <w:iCs w:val="1"/>
          <w:color w:val="auto"/>
        </w:rPr>
        <w:t>“Summary of Significant Accounting Policies–Recent Accounting Pronouncement Issued but Not Yet Adopted,”</w:t>
      </w:r>
      <w:r>
        <w:rPr>
          <w:rFonts w:ascii="Arial" w:cs="Arial" w:eastAsia="Arial" w:hAnsi="Arial"/>
          <w:sz w:val="17"/>
          <w:szCs w:val="17"/>
          <w:color w:val="auto"/>
        </w:rPr>
        <w:t xml:space="preserve"> to our unaudited condensed consolidated financial statements included in this Quarterly Report, there have been no material changes to our critical accounting policies and estimates as compared to the critical accounting policies and estimates disclosed in our audited consolidated financial statements and notes thereto included within our Annual Report on Form 10-K for the year ended December 31, 2021.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considered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Following the completion of the Business Combination, 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Additional information on recent accounting pronouncements can be found in the audited financial statements in Note 2, </w:t>
      </w:r>
      <w:r>
        <w:rPr>
          <w:rFonts w:ascii="Arial" w:cs="Arial" w:eastAsia="Arial" w:hAnsi="Arial"/>
          <w:sz w:val="18"/>
          <w:szCs w:val="18"/>
          <w:i w:val="1"/>
          <w:iCs w:val="1"/>
          <w:color w:val="auto"/>
        </w:rPr>
        <w:t>“Summary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included within our Annual Report on Form 10-K for the year ended December 31, 2021, and our unaudited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financial statements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within this Quarterly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Our cash, cash equivalents, and restricted cash consists of bank deposits and money market funds, which totaled $299.0 million at June 30, 2022 and $401.5 million as of December 31, 2021.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Our loan and financing obligation are recorded at amortized cost and include variable interest rate term. Therefore, change in interest rates can impact our interest payments we are obligated to pay. Additional information on our long-term debt can be found in Sema4’s audited financial statements in Note 8, </w:t>
      </w: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and Sema4’s unaudited condensed consolidated financial statements in Note 8,</w:t>
      </w:r>
      <w:r>
        <w:rPr>
          <w:rFonts w:ascii="Arial" w:cs="Arial" w:eastAsia="Arial" w:hAnsi="Arial"/>
          <w:sz w:val="17"/>
          <w:szCs w:val="17"/>
          <w:i w:val="1"/>
          <w:iCs w:val="1"/>
          <w:color w:val="auto"/>
        </w:rPr>
        <w:t xml:space="preserve"> “Long-Term Debt.”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without limitation, controls and procedures designed to ensure that information required to be disclosed in our reports filed or submitted under the Exchange Act is accumulated and communicated to our management, including our Chief Executive Officer and Interim Chief Financial Officer, to allow timely decisions regarding required disclosure.</w:t>
      </w:r>
    </w:p>
    <w:p>
      <w:pPr>
        <w:spacing w:after="0" w:line="16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required by Rules 13a-15 and 15d-15 under the Exchange Act, our Chief Executive Officer and Interim Chief Financial Officer carried out an evaluation of the effectiveness of the design and operation of our disclosure controls and procedures as of June 30, 2022. Based on that evaluation, our Chief Executive Officer and Interim Chief Financial Officer concluded that our disclosure controls and procedures were not effective as of June 30, 2022 because of the material weaknesses in internal control over financial reporting as of December 31, 2021 that we previously identified in Item 9A. “Controls and Procedures” of our Annual Report on Form 10-K for the year ended December 31, 2021 and had not been fully remediated as of June 30, 2022.</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Notwithstanding the identified material weaknesses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Previously Reported Material Weaknesses</w:t>
      </w:r>
    </w:p>
    <w:p>
      <w:pPr>
        <w:spacing w:after="0" w:line="19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described in more detail in Item 9A. “Controls and Procedures” of our Annual Report on Form 10-K for the year ended December 31, 2021, the material weaknesses identified related to the fact that we did not design and maintain accounting policies, procedures and controls to ensure complete, accurate and timely financial reporting in accordance with U.S. GAAP.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and these remediation activities are continuing in 2022. In addition to the remediation actions undertaken during 2021 and described in more detail in Item 9A. “Controls and Procedures” of our Annual Report on Form 10-K for the year ended December 31, 2021, we expect to engage in additional activities, including, but not limited to:</w:t>
      </w:r>
    </w:p>
    <w:p>
      <w:pPr>
        <w:spacing w:after="0" w:line="239"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color w:val="auto"/>
        </w:rPr>
        <w:t>Hiring more technical accounting resources to enhance our control environment;</w:t>
      </w:r>
    </w:p>
    <w:p>
      <w:pPr>
        <w:spacing w:after="0" w:line="28" w:lineRule="exact"/>
        <w:rPr>
          <w:rFonts w:ascii="Arial" w:cs="Arial" w:eastAsia="Arial" w:hAnsi="Arial"/>
          <w:sz w:val="21"/>
          <w:szCs w:val="21"/>
          <w:color w:val="auto"/>
        </w:rPr>
      </w:pPr>
    </w:p>
    <w:p>
      <w:pPr>
        <w:ind w:left="640" w:hanging="316"/>
        <w:spacing w:after="0" w:line="250" w:lineRule="auto"/>
        <w:tabs>
          <w:tab w:leader="none" w:pos="635" w:val="left"/>
        </w:tabs>
        <w:numPr>
          <w:ilvl w:val="0"/>
          <w:numId w:val="29"/>
        </w:numPr>
        <w:rPr>
          <w:rFonts w:ascii="Arial" w:cs="Arial" w:eastAsia="Arial" w:hAnsi="Arial"/>
          <w:sz w:val="20"/>
          <w:szCs w:val="20"/>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20" w:lineRule="exact"/>
        <w:rPr>
          <w:rFonts w:ascii="Arial" w:cs="Arial" w:eastAsia="Arial" w:hAnsi="Arial"/>
          <w:sz w:val="20"/>
          <w:szCs w:val="20"/>
          <w:color w:val="auto"/>
        </w:rPr>
      </w:pPr>
    </w:p>
    <w:p>
      <w:pPr>
        <w:jc w:val="both"/>
        <w:ind w:left="640" w:hanging="316"/>
        <w:spacing w:after="0" w:line="253" w:lineRule="auto"/>
        <w:tabs>
          <w:tab w:leader="none" w:pos="635" w:val="left"/>
        </w:tabs>
        <w:numPr>
          <w:ilvl w:val="0"/>
          <w:numId w:val="29"/>
        </w:numPr>
        <w:rPr>
          <w:rFonts w:ascii="Arial" w:cs="Arial" w:eastAsia="Arial" w:hAnsi="Arial"/>
          <w:sz w:val="20"/>
          <w:szCs w:val="20"/>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21" w:lineRule="exact"/>
        <w:rPr>
          <w:rFonts w:ascii="Arial" w:cs="Arial" w:eastAsia="Arial" w:hAnsi="Arial"/>
          <w:sz w:val="20"/>
          <w:szCs w:val="20"/>
          <w:color w:val="auto"/>
        </w:rPr>
      </w:pPr>
    </w:p>
    <w:p>
      <w:pPr>
        <w:ind w:left="640" w:hanging="316"/>
        <w:spacing w:after="0" w:line="232"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internal control over financial reporting and disclosure controls and procedures, and we will make any changes to the design of our plan and take such other actions that we deem appropriate given the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There was no change in our internal control over financial reporting that occurred during the three months ended June 30, 2022 covered by this Quarterly Report on Form 10-Q that has materially affected, or is reasonably likely to materially affect, our internal control over financial reporting, other than as described herein. We are continuing to take steps to remediate the material weaknesses in our internal control over financial reporting, as discussed above.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19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management, including our Chief Executive Officer and Interim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36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3"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We, and our subsidiary, are currently not a party to, and our property is not currently the subject of, any material pending legal proceedings; however, we may become involved in various claims and legal actions arising in the ordinary course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You should carefully review and consider the following risk factors and the other information contained in this Quarterly Report on Form 10-Q before deciding whether to invest in our Class A common stock.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Class A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unaudited condensed consolidated financial statements and notes thereto included herein.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3"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101"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6"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138"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third-party payors, including managed care organizations, private health insurers and government health plans, do not provide adequate reimbursement for our tests, or seek to amend or renegotiate their fee reimbursement schedules, if we are unable to comply with their requirements for reimbursement, or if we are unable to respond to payor audits or resolve payor overpayment claims favorably our commercial success could be negatively affected.</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have limited experience with the development and commercialization of our databases and our health information and genomic platforms.</w:t>
      </w:r>
    </w:p>
    <w:p>
      <w:pPr>
        <w:spacing w:after="0" w:line="1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8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0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right="2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8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0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8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expect to make significant investments in our continued research and development of new products and services, which may not be successful.</w:t>
      </w:r>
    </w:p>
    <w:p>
      <w:pPr>
        <w:spacing w:after="0" w:line="172"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2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77" w:lineRule="exact"/>
        <w:rPr>
          <w:rFonts w:ascii="Arial" w:cs="Arial" w:eastAsia="Arial" w:hAnsi="Arial"/>
          <w:sz w:val="17"/>
          <w:szCs w:val="17"/>
          <w:color w:val="auto"/>
        </w:rPr>
      </w:pPr>
    </w:p>
    <w:p>
      <w:pPr>
        <w:ind w:left="640" w:hanging="316"/>
        <w:spacing w:after="0"/>
        <w:tabs>
          <w:tab w:leader="none" w:pos="6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Our ability to be successful following the Acquisition depends upon our efforts to integrate Sema4’s and GeneDx’s businesses and operations.</w:t>
      </w:r>
    </w:p>
    <w:p>
      <w:pPr>
        <w:spacing w:after="0" w:line="158"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be successful is further dependent upon the efforts of our key personnel, including the key personnel of GeneDx following the Acquisition. The loss of key personnel could negatively impact our operations and profitability our financial condition could suffer as a result.</w:t>
      </w:r>
    </w:p>
    <w:p>
      <w:pPr>
        <w:spacing w:after="0" w:line="64" w:lineRule="exact"/>
        <w:rPr>
          <w:rFonts w:ascii="Arial" w:cs="Arial" w:eastAsia="Arial" w:hAnsi="Arial"/>
          <w:sz w:val="17"/>
          <w:szCs w:val="17"/>
          <w:color w:val="auto"/>
        </w:rPr>
      </w:pPr>
    </w:p>
    <w:p>
      <w:pPr>
        <w:ind w:left="640" w:hanging="316"/>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Future changes in FDA enforcement discretion for LDTs could subject our operations to much more significant regulatory requirements.</w:t>
      </w:r>
    </w:p>
    <w:p>
      <w:pPr>
        <w:spacing w:after="0" w:line="149" w:lineRule="exact"/>
        <w:rPr>
          <w:rFonts w:ascii="Arial" w:cs="Arial" w:eastAsia="Arial" w:hAnsi="Arial"/>
          <w:sz w:val="17"/>
          <w:szCs w:val="17"/>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124"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face uncertainty related to healthcare reform, pricing, coverage and reimbursement, which could reduce our revenue.</w:t>
      </w:r>
    </w:p>
    <w:p>
      <w:pPr>
        <w:spacing w:after="0" w:line="12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1"/>
        </w:numPr>
        <w:rPr>
          <w:rFonts w:ascii="Arial" w:cs="Arial" w:eastAsia="Arial" w:hAnsi="Arial"/>
          <w:sz w:val="15"/>
          <w:szCs w:val="15"/>
          <w:color w:val="auto"/>
        </w:rPr>
      </w:pPr>
      <w:r>
        <w:rPr>
          <w:rFonts w:ascii="Arial" w:cs="Arial" w:eastAsia="Arial" w:hAnsi="Arial"/>
          <w:sz w:val="15"/>
          <w:szCs w:val="15"/>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3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8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Throughout 2020 and 2021, both we and our partners also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Our business could be negatively affected in the future if it takes excessive, ineffective or inadequate precautions.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54" w:lineRule="exact"/>
        <w:rPr>
          <w:sz w:val="20"/>
          <w:szCs w:val="20"/>
          <w:color w:val="auto"/>
        </w:rPr>
      </w:pPr>
    </w:p>
    <w:p>
      <w:pPr>
        <w:jc w:val="both"/>
        <w:ind w:left="640" w:hanging="316"/>
        <w:spacing w:after="0" w:line="25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8"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84"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4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2"/>
        </w:numPr>
        <w:rPr>
          <w:rFonts w:ascii="Arial" w:cs="Arial" w:eastAsia="Arial" w:hAnsi="Arial"/>
          <w:sz w:val="15"/>
          <w:szCs w:val="15"/>
          <w:color w:val="auto"/>
        </w:rPr>
      </w:pPr>
      <w:r>
        <w:rPr>
          <w:rFonts w:ascii="Arial" w:cs="Arial" w:eastAsia="Arial" w:hAnsi="Arial"/>
          <w:sz w:val="15"/>
          <w:szCs w:val="15"/>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71" w:lineRule="exact"/>
        <w:rPr>
          <w:rFonts w:ascii="Arial" w:cs="Arial" w:eastAsia="Arial" w:hAnsi="Arial"/>
          <w:sz w:val="15"/>
          <w:szCs w:val="15"/>
          <w:color w:val="auto"/>
        </w:rPr>
      </w:pPr>
    </w:p>
    <w:p>
      <w:pPr>
        <w:ind w:left="640" w:hanging="31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20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4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4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5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Class A common stock or other equity or</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equity-linked securities. If these market conditions persist when and if we need to raise capital, and if we are able to sell shares of our Class A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62"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7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2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2020, we received $5.4 million as part of the stimulus, comprised of $2.6 million received under the PRF and $2.8 million received under the ERC. In 2021, we received an additional $5.6 million under the PRF distribution. Funds provided under the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Funds provided under the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funds received under the ERC distribution and recorded the proceeds in other liabilities on the balance sheets as of June 30, 2022 and December 31, 2021.</w:t>
      </w:r>
    </w:p>
    <w:p>
      <w:pPr>
        <w:spacing w:after="0" w:line="13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2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reproductive health and women’s health and</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pediatrics and NICU screening products, health information services, and analytics, and data science services, and other diagnostic products. These competitors include:</w:t>
      </w:r>
    </w:p>
    <w:p>
      <w:pPr>
        <w:spacing w:after="0" w:line="154" w:lineRule="exact"/>
        <w:rPr>
          <w:sz w:val="20"/>
          <w:szCs w:val="20"/>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reproductive health and women’s health and pediatrics and NICU,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5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joint ventures and partnerships, in order to enhance our current diagnostics and health information and data science technologies, and existing and new products and services based off these technologies.</w:t>
      </w:r>
    </w:p>
    <w:p>
      <w:pPr>
        <w:spacing w:after="0" w:line="1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5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if we are unable to comply with their requirements for reimbursement, or if we are unable to respond to payor audits or resolve payor overpayment claims favorably, our commercial success could be negatively affected.</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payor’s determination that a test is appropriate, medically necessary, cost-effective and has received prior authorization. The commercial success of our current and future products, if approved, will depend on the extent to which</w:t>
      </w: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customers receive coverage and adequate reimbursement from third-party payors, including managed care organizations and government payors (e.g., Medicare and Medicaid).</w:t>
      </w:r>
    </w:p>
    <w:p>
      <w:pPr>
        <w:spacing w:after="0" w:line="1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Since each payor makes its own decision as to whether to establish a policy or enter into a contract to cover our tests, as well as the amount it will reimburse for a test, seeking these approvals is a time-consuming and costly process. In addition, the determination by a payor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3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5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Furthermore, in cases where we or our partners have established reimbursement rates with third-party payors, we face additional challenges in complying with their procedural requirements for reimbursement. These requirements often vary from payor to payor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For example, we are currently engaged in discussions with one of our third-party payors regarding certain overpayments we allegedly received from the payor for services that the payor alleges are not covered by, or were not otherwise properly billed to, the payor. This payor has asserted that it will seek recovery or recoupment in relation to the alleged overpayments, if the matter cannot be settled. As a result of this matter and other potential settlements with payors, we have established certain liabilities and reversed certain of our previously recorded revenue. For more information regarding this matter, see Note 4, “Revenue Recognition” to our unaudited condensed consolidated financial statements included within this Quarterly Report. We have been required to repay certain amounts to payors as a result of such audits, and we could be adversely affected if we are required to repay other payors for alleged overpayments due to lack of compliance with their reimbursement policies as well as agree to lower contracted reimbursement rates in connection with resolving claims of alleged overpayments. In addition, we have experienced, and may continue to experience, delays in reimbursement when we transition to being an in-network provider with a payor.</w:t>
      </w:r>
    </w:p>
    <w:p>
      <w:pPr>
        <w:spacing w:after="0" w:line="3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with the development and commercialization of our databases and our health information and genomic platforms.</w:t>
      </w:r>
    </w:p>
    <w:p>
      <w:pPr>
        <w:spacing w:after="0" w:line="21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w:t>
      </w: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(“GxP”), and data quality and integrity controls.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Ethical, legal and social concerns related to the use of genomic medicine and health information analysis could reduce demand for our tests.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Clinical Laboratory Improvement Amendments of 1988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(“LDTs”), by the New York State Department of Health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7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College of American Pathologists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GeneDx’s Business and Operations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GeneDx needs to scale its infrastructure in advance of demand for its tests, and its failure to generate sufficient demand for its tests would have a negative impact on its business and its ability to attain profitability.</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GeneDx is not able to continue to generate substantial demand of its tests, its commercial success will be negatively affected.</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spacing w:after="0" w:line="3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awareness and demand for these products through our sales and marketing operations</w:t>
      </w:r>
      <w:r>
        <w:rPr>
          <w:rFonts w:ascii="Arial" w:cs="Arial" w:eastAsia="Arial" w:hAnsi="Arial"/>
          <w:sz w:val="21"/>
          <w:szCs w:val="21"/>
          <w:color w:val="008080"/>
        </w:rPr>
        <w:t>.</w:t>
      </w:r>
    </w:p>
    <w:p>
      <w:pPr>
        <w:spacing w:after="0" w:line="18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GeneDx’s laboratories become inoperable due to disasters, health epidemics or for any other reasons, it will be unable to perform tests and its business will be harmed.</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GeneDx performs all of its tests at its production facilities in Gaithersburg, Maryland. GeneDx’s laboratories and the equipment it uses to perform its tests would be costly to replace and could require substantial lead time to replace and</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Chief Executive Officer, Katherine Stueland,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In addition, we do not have long-term retention agreements in place with our executive officers.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9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3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5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64" w:lineRule="exact"/>
        <w:rPr>
          <w:sz w:val="20"/>
          <w:szCs w:val="20"/>
          <w:color w:val="auto"/>
        </w:rPr>
      </w:pPr>
    </w:p>
    <w:p>
      <w:pPr>
        <w:jc w:val="both"/>
        <w:ind w:left="640" w:hanging="316"/>
        <w:spacing w:after="0" w:line="25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payor regimes and other governmental;</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(“FCPA”), its books and records provisions, or its anti-bribery provisions or laws similar to the FCPA in other jurisdictions in which we may in the future operate, such as the United Kingdom’s Bribery Act of 2010 and anti-bribery requirements of member states in the European Union (“EU”).</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5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5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success depends on the market’s confidence that we can provide data-driven research and diagnostic products and services that improve clinical outcomes, lower healthcare costs and enable better product development by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54" w:lineRule="exact"/>
        <w:rPr>
          <w:sz w:val="20"/>
          <w:szCs w:val="20"/>
          <w:color w:val="auto"/>
        </w:rPr>
      </w:pPr>
    </w:p>
    <w:p>
      <w:pPr>
        <w:jc w:val="both"/>
        <w:ind w:left="640" w:hanging="316"/>
        <w:spacing w:after="0" w:line="255"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48"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17"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30"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7" w:lineRule="exact"/>
        <w:rPr>
          <w:sz w:val="20"/>
          <w:szCs w:val="20"/>
          <w:color w:val="auto"/>
        </w:rPr>
      </w:pPr>
    </w:p>
    <w:p>
      <w:pPr>
        <w:ind w:right="160" w:firstLine="318"/>
        <w:spacing w:after="0" w:line="267" w:lineRule="auto"/>
        <w:rPr>
          <w:sz w:val="20"/>
          <w:szCs w:val="20"/>
          <w:color w:val="auto"/>
        </w:rPr>
      </w:pPr>
      <w:r>
        <w:rPr>
          <w:rFonts w:ascii="Arial" w:cs="Arial" w:eastAsia="Arial" w:hAnsi="Arial"/>
          <w:sz w:val="17"/>
          <w:szCs w:val="17"/>
          <w:color w:val="auto"/>
        </w:rPr>
        <w:t>Additionally, our customers and collaborators, including the Mount Sinai Health System, which refer to together with its related entities as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estimated the sizes of the markets for our current and future products and services, and these markets may be smaller than we estimate.</w:t>
      </w:r>
    </w:p>
    <w:p>
      <w:pPr>
        <w:spacing w:after="0" w:line="22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1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relatively limited experience developing and commercializing products and services outside of the fields of reproductive health and women’s health and pediatrics and NICU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Class A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35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3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development of the data necessary to obtain regulatory clearance and approval of tests is time-consuming and carries with it the risk of not yielding the desired results. The performance achieved in published studies may not be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repeated in later studies that may be required to obtain premarket clearance or approval from the U.S. Food and Drug Administration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2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5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4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Class A common stock, which could result in additional dilution of the percentage ownership of our stockholders and could cause the price of our Class A common stock and warrants to decline.</w:t>
      </w:r>
    </w:p>
    <w:p>
      <w:pPr>
        <w:spacing w:after="0" w:line="200" w:lineRule="exact"/>
        <w:rPr>
          <w:sz w:val="20"/>
          <w:szCs w:val="20"/>
          <w:color w:val="auto"/>
        </w:rPr>
      </w:pPr>
    </w:p>
    <w:p>
      <w:pPr>
        <w:spacing w:after="0" w:line="3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1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June 30, 2022 and December 31, 2021, we have an accumulated deficit of approximately $738.1 million and $575.4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7"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our success in marketing and selling, and changes in demand for, our tests, and the level of reimbursement and collection obtained for such tests;</w:t>
      </w:r>
    </w:p>
    <w:p>
      <w:pPr>
        <w:spacing w:after="0" w:line="225"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4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7"/>
        </w:numPr>
        <w:rPr>
          <w:rFonts w:ascii="Arial" w:cs="Arial" w:eastAsia="Arial" w:hAnsi="Arial"/>
          <w:sz w:val="15"/>
          <w:szCs w:val="15"/>
          <w:color w:val="auto"/>
        </w:rPr>
      </w:pPr>
      <w:r>
        <w:rPr>
          <w:rFonts w:ascii="Arial" w:cs="Arial" w:eastAsia="Arial" w:hAnsi="Arial"/>
          <w:sz w:val="15"/>
          <w:szCs w:val="15"/>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71"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20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Sema4 has incurred net losses and negative cash flows from operations since its inception, including net losses of $245.4 million, $241.3 million and $29.7 million for the years ended December 31, 2021, 2020 and 2019, respectively. The net loss was $162.6 million for the six months ended June 30, 2022. As of June 30, 2022, we had an accumulated deficit of $738.1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 For example, we may file with the SEC a shelf registration statement, which if declared effective by the SEC may permit us to sell from time to time additional shares of our Class A common stock or other securities in one or more offerings in amounts, at prices and on the terms that we will determine at the time of offering, although we do not intend to issue shares of our Class A common stock at current market prices.</w:t>
      </w:r>
    </w:p>
    <w:p>
      <w:pPr>
        <w:spacing w:after="0" w:line="11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54"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7"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rate of progress in establishing payor coverage and reimbursement arrangements with commercial third-party payors and government payors;</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rate of progress in, and cost of research and development activities associated with, products and services in research and early development;</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20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Any preferred equity securities issued also could provide for rights, preferences or privileges senior to those of holders of our Class A common stock.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2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June 30, 2022.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42" w:lineRule="exact"/>
        <w:rPr>
          <w:sz w:val="20"/>
          <w:szCs w:val="20"/>
          <w:color w:val="auto"/>
        </w:rPr>
      </w:pPr>
    </w:p>
    <w:p>
      <w:pPr>
        <w:ind w:left="64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01"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9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40" w:hanging="316"/>
        <w:spacing w:after="0" w:line="26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87"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67"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“Item 4. Controls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Procedures.” However, as noted above, as of June 30, 2022, the material weaknesses have not yet been fully remediated.</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5"/>
          <w:szCs w:val="15"/>
          <w:i w:val="1"/>
          <w:iCs w:val="1"/>
          <w:color w:val="auto"/>
        </w:rPr>
        <w:t>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5"/>
          <w:szCs w:val="15"/>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5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Furthermore, under Section 382 of the Internal Revenue Code of 1986, as amended (“Internal Revenue Code“), if a corporation undergoes an “ownership change,” the corporation’s ability to use its pre-change net operating loss carryforwards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with CMLS or the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7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payors,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rely on Mount Sinai, which is a related party, and its clinicians for a portion of our test volumes in connection with our diagnostic solutions and for substantially all of the de-identified clinical records in our databases. In addition, we sublease certain facilities from Mount Sinai, we provide certain research and data services to Mount Sinai, and we and Mount Sinai have entered into certain collaborative and commercial arrangements. Certain of our employees perform duties for or on behalf of Mount Sinai. Furthermore, we may in the future enter into other contracts for services or other engagements with Mount Sinai.</w:t>
      </w:r>
    </w:p>
    <w:p>
      <w:pPr>
        <w:spacing w:after="0" w:line="16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3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Icahn School of Medicine at Mount Sinai, or ISMMS is one of our significant stockholders. ISMMS may choose to dispose of some or all of the shares of our Class A common stock held by it. Any disposal of shares of Class A common stock by ISMMS, or the perception that these sales could occur, could cause the market price of our stock or warrants to decline.</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Acquisitions and Other Strategic Transactions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b w:val="1"/>
          <w:bCs w:val="1"/>
          <w:i w:val="1"/>
          <w:iCs w:val="1"/>
          <w:color w:val="auto"/>
        </w:rPr>
        <w:t>As a result of the Acquisition, OPKO became a substantial holder of shares of our Class A common stock and sales by OPKO into the market in the future could cause the market price of our Class A common stock to drop significantly, even if our business is doing well.</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a result of the Acquisition, OPKO became the owner of 80 million shares of Class A common stock as of the Closing Date. OPKO is subject to transfer restrictions and requirements to dispose of its shares in marketed sales processes under the shareholder agreements that were entered into in connection with the Acquisition, but those restrictions and requirements are finite and subject to exceptions.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the shares held by OPKO or the other holders party such shareholder agreements are sold, or if it is perceived that they will be sold in the public market, the trading price of our Class A common stock could decline.</w:t>
      </w:r>
    </w:p>
    <w:p>
      <w:pPr>
        <w:spacing w:after="0" w:line="141" w:lineRule="exact"/>
        <w:rPr>
          <w:sz w:val="20"/>
          <w:szCs w:val="20"/>
          <w:color w:val="auto"/>
        </w:rPr>
      </w:pPr>
    </w:p>
    <w:p>
      <w:pPr>
        <w:ind w:right="140"/>
        <w:spacing w:after="0" w:line="365" w:lineRule="auto"/>
        <w:rPr>
          <w:sz w:val="20"/>
          <w:szCs w:val="20"/>
          <w:color w:val="auto"/>
        </w:rPr>
      </w:pPr>
      <w:r>
        <w:rPr>
          <w:rFonts w:ascii="Arial" w:cs="Arial" w:eastAsia="Arial" w:hAnsi="Arial"/>
          <w:sz w:val="15"/>
          <w:szCs w:val="15"/>
          <w:b w:val="1"/>
          <w:bCs w:val="1"/>
          <w:i w:val="1"/>
          <w:iCs w:val="1"/>
          <w:color w:val="auto"/>
        </w:rPr>
        <w:t>Our ability to be successful is dependent following the Acquisition depends upon our efforts to integrate Sema4’s and GeneDx’s business and operations, and the anticipated benefits of the Acquisition may not be realized fully or at all or may take longer to realize than expected.</w:t>
      </w:r>
    </w:p>
    <w:p>
      <w:pPr>
        <w:spacing w:after="0" w:line="8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Acquisition involves the integration of two companies that have previously operated independently. Prior to the announcement, we and GeneDx did not conduct any integration planning for the two companies, and our ability to do so prior to consummation of the Acquisition was limited by applicable law. Following the closing of the Acquisition, we are devoting significant management attention and resources to integrating the two businesses. Delays in this process could adversely affect the combined company’s business, financial results, financial condition and stock price. Even if we are able to integrate the two companies’ business operations successfully, there can be no assurance that this integration will result in the realization of the full benefits of synergies, cost savings, innovation and operational efficiencies that we expected from this integration or that these benefits will be achieved within the anticipated time frame.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be successful is further dependent upon the efforts of our key personnel, including the key personnel of GeneDx following the Acquisition.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negatively impact our operations and profitability our financial condition could suffer as a result.</w:t>
      </w:r>
    </w:p>
    <w:p>
      <w:pPr>
        <w:spacing w:after="0" w:line="16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ability to be successful is dependent upon the efforts of our key personnel, including the key personnel of GeneDx (who became our employees as of the closing of the Acquisition. Although our key personnel are expected to continue remain with the Company in their current roles, it is possible that we will lose some key personnel, the loss of which could negatively impact the operations and profitability of our business.</w:t>
      </w:r>
    </w:p>
    <w:p>
      <w:pPr>
        <w:spacing w:after="0" w:line="1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us.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and will continue to incur significant transaction and transition costs in connection with the Acquisition.</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incurred significant, non-recurring costs in connection with consummating the Acquisition. Furthermore, we expect to incur additional significant, non-recurring costs in connection with the integration of the businesses of our company and GeneDx. We may also incur additional costs to retain key employees.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Acquisition’s benefits do not meet the expectations of investors, stockholders or financial analysts, the market price of our securities may decline.</w:t>
      </w:r>
    </w:p>
    <w:p>
      <w:pPr>
        <w:spacing w:after="0" w:line="2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benefits of the Acquisition do not meet the expectations of investors or securities analysts, the market price of our securities may decline. For additional factors that may affect the trading price of our securities see “</w:t>
      </w:r>
      <w:r>
        <w:rPr>
          <w:rFonts w:ascii="Arial" w:cs="Arial" w:eastAsia="Arial" w:hAnsi="Arial"/>
          <w:sz w:val="18"/>
          <w:szCs w:val="18"/>
          <w:i w:val="1"/>
          <w:iCs w:val="1"/>
          <w:color w:val="auto"/>
        </w:rPr>
        <w:t>—Risks Related to Being a Public Company—If we do not meet the expectations of</w:t>
      </w:r>
      <w:r>
        <w:rPr>
          <w:rFonts w:ascii="Arial" w:cs="Arial" w:eastAsia="Arial" w:hAnsi="Arial"/>
          <w:sz w:val="18"/>
          <w:szCs w:val="18"/>
          <w:color w:val="auto"/>
        </w:rPr>
        <w:t xml:space="preserve"> </w:t>
      </w:r>
      <w:r>
        <w:rPr>
          <w:rFonts w:ascii="Arial" w:cs="Arial" w:eastAsia="Arial" w:hAnsi="Arial"/>
          <w:sz w:val="18"/>
          <w:szCs w:val="18"/>
          <w:i w:val="1"/>
          <w:iCs w:val="1"/>
          <w:color w:val="auto"/>
        </w:rPr>
        <w:t>investors, stockholders or financial analysts, the market price of our securities may decline</w:t>
      </w:r>
      <w:r>
        <w:rPr>
          <w:rFonts w:ascii="Arial" w:cs="Arial" w:eastAsia="Arial" w:hAnsi="Arial"/>
          <w:sz w:val="18"/>
          <w:szCs w:val="18"/>
          <w:color w:val="auto"/>
        </w:rPr>
        <w:t>.”</w:t>
      </w:r>
    </w:p>
    <w:p>
      <w:pPr>
        <w:spacing w:after="0" w:line="14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We have been the target of transaction related lawsuits as result of the Acquisition, which could result in substantial costs, and we have also assumed GeneDx’s risks arising from various legal proceedings.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Acquisition, two lawsuits were filed in federal courts against us and our directors. The complaints assert claims under Section 14(a) and Section 20(a) of the Exchange Act, and Rule 14a-19 promulgated thereunder, generally allege that the proxy statement we mailed to our stockholders in connection with the approval of</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matters related to the Acquisition misrepresented and/or omitted certain purportedly material information, and seek a variety of equitable and injunctive relief. In addition, five purported stockholders of our company have sent us demand letters making similar allegations about the proxy statement and demanding we provide supplemental disclosures. Although we believe that these allegations, claims and demands are without merit, we cannot predict the outcome of these legal proceedings, or whether additional stockholders will file lawsuits.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as of the Closing, we assumed GeneDx’s risks arising from legal proceedings. Furthermore, following the Closing of the Acquisition, the strategies or motivations of a party or parties with respect to actual or potential litigation against us may change. We cannot predict with certainty the eventual outcome of GeneDx’s pending or future legal proceedings and the ultimate outcome of such matters could be material to our results of operations, cash flows and financial condition.</w:t>
      </w:r>
    </w:p>
    <w:p>
      <w:pPr>
        <w:spacing w:after="0" w:line="15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Finally, the Acquisition may result in post-transaction disputes with OPKO or the other counterparties to the Acquisition Merger Agreement and the related agreements regarding a number of matters, including any post-closing adjustments to the Cash Consideration, the occurrence or non-occurrence of any Milestone Event (as defined in the Acquisition Merger Agreement for the Acquisition) or payment of any Milestone Payment (as defined in the Acquisition Merger Agreement) or any liabilities for which we or OPKO believes it was indemnified under the Acquisition Merger Agreement.</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We may seek to grow our business through additional acquisitions of complementary products or technologies and we may from time to time dispose of businesses or assets, and the failure to manage these acquisitions or dispositions, or the failure to integrate acquired businesses with our existing business, could have a material adverse effect on our business, financial condition and operating results.</w:t>
      </w:r>
    </w:p>
    <w:p>
      <w:pPr>
        <w:spacing w:after="0" w:line="14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From time to time, we may consider additional opportunities to acquire other products or technologies that may enhance our product platform or technology, expand the breadth of our markets or customer base, or advance our business strategies. In addition, we plan to exit our somatic tumor testing business, which may involve a divestiture of this business, and we may consider disposing other assets or businesses in the future.</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acquisitions involve numerous risks, including:</w:t>
      </w:r>
    </w:p>
    <w:p>
      <w:pPr>
        <w:spacing w:after="0" w:line="124" w:lineRule="exact"/>
        <w:rPr>
          <w:sz w:val="20"/>
          <w:szCs w:val="20"/>
          <w:color w:val="auto"/>
        </w:rPr>
      </w:pPr>
    </w:p>
    <w:p>
      <w:pPr>
        <w:ind w:left="1280" w:hanging="638"/>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37" w:lineRule="exact"/>
        <w:rPr>
          <w:rFonts w:ascii="Arial" w:cs="Arial" w:eastAsia="Arial" w:hAnsi="Arial"/>
          <w:sz w:val="18"/>
          <w:szCs w:val="18"/>
          <w:color w:val="auto"/>
        </w:rPr>
      </w:pPr>
    </w:p>
    <w:p>
      <w:pPr>
        <w:ind w:left="1280" w:hanging="638"/>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37" w:lineRule="exact"/>
        <w:rPr>
          <w:rFonts w:ascii="Arial" w:cs="Arial" w:eastAsia="Arial" w:hAnsi="Arial"/>
          <w:sz w:val="18"/>
          <w:szCs w:val="18"/>
          <w:color w:val="auto"/>
        </w:rPr>
      </w:pPr>
    </w:p>
    <w:p>
      <w:pPr>
        <w:ind w:left="1280" w:hanging="638"/>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24" w:lineRule="exact"/>
        <w:rPr>
          <w:rFonts w:ascii="Arial" w:cs="Arial" w:eastAsia="Arial" w:hAnsi="Arial"/>
          <w:sz w:val="18"/>
          <w:szCs w:val="18"/>
          <w:color w:val="auto"/>
        </w:rPr>
      </w:pPr>
    </w:p>
    <w:p>
      <w:pPr>
        <w:ind w:left="1280" w:hanging="638"/>
        <w:spacing w:after="0"/>
        <w:tabs>
          <w:tab w:leader="none" w:pos="1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Dispositions may similarly involve </w:t>
      </w:r>
      <w:r>
        <w:rPr>
          <w:rFonts w:ascii="Arial" w:cs="Arial" w:eastAsia="Arial" w:hAnsi="Arial"/>
          <w:sz w:val="15"/>
          <w:szCs w:val="15"/>
          <w:color w:val="212529"/>
        </w:rPr>
        <w:t>risks associated with the potential disruption of our ongoing business and distraction of our management team, and the</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212529"/>
        </w:rPr>
        <w:t xml:space="preserve">anticipated benefits and cost savings of these transactions may not be realized fully, or at all, or take longer to realize than anticipated. In addition, dispositions </w:t>
      </w:r>
      <w:r>
        <w:rPr>
          <w:rFonts w:ascii="Arial" w:cs="Arial" w:eastAsia="Arial" w:hAnsi="Arial"/>
          <w:sz w:val="18"/>
          <w:szCs w:val="18"/>
          <w:color w:val="000000"/>
        </w:rPr>
        <w:t>may involve our continued financial involvement in a divested business, such as through continuing equity ownership, transition service agreements, guarantees, indemnities or other current or contingent financial obligations. Under these arrangements, performance by the acquired or divested business, or other conditions outside our control, could affect our future financial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had to expand our training and compliance efforts in line with our increasing reliance on personnel in our sales, marketing and billing functions, and our expansion of these functions in line with the overall growth in our business.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54"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18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We currently offer a laboratory-develop test (“LDT”), version of certain tests. The FDA has a policy of enforcement discretion with respect to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(“CDRH”), have expressed significant concerns regarding disparities between some LDTs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w:t>
      </w: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Recently, the FDA has also taken a more active role in certain diagnostic areas, including the oversight of pharmacogenetic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6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request to down classify the device into Class II or Class I, which would not require a PMA. In the </w:t>
      </w:r>
      <w:r>
        <w:rPr>
          <w:rFonts w:ascii="Arial" w:cs="Arial" w:eastAsia="Arial" w:hAnsi="Arial"/>
          <w:sz w:val="15"/>
          <w:szCs w:val="15"/>
          <w:i w:val="1"/>
          <w:iCs w:val="1"/>
          <w:color w:val="auto"/>
        </w:rPr>
        <w:t xml:space="preserve">de novo </w:t>
      </w:r>
      <w:r>
        <w:rPr>
          <w:rFonts w:ascii="Arial" w:cs="Arial" w:eastAsia="Arial" w:hAnsi="Arial"/>
          <w:sz w:val="15"/>
          <w:szCs w:val="15"/>
          <w:color w:val="auto"/>
        </w:rPr>
        <w:t>process, the FDA must determine that general and special controls are sufficient to provide reasonable assurance of the safety and effectiveness of a</w:t>
      </w:r>
      <w:r>
        <w:rPr>
          <w:rFonts w:ascii="Arial" w:cs="Arial" w:eastAsia="Arial" w:hAnsi="Arial"/>
          <w:sz w:val="15"/>
          <w:szCs w:val="15"/>
          <w:i w:val="1"/>
          <w:iCs w:val="1"/>
          <w:color w:val="auto"/>
        </w:rPr>
        <w:t xml:space="preserve"> </w:t>
      </w:r>
      <w:r>
        <w:rPr>
          <w:rFonts w:ascii="Arial" w:cs="Arial" w:eastAsia="Arial" w:hAnsi="Arial"/>
          <w:sz w:val="15"/>
          <w:szCs w:val="15"/>
          <w:color w:val="auto"/>
        </w:rPr>
        <w:t>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33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77"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90"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31" w:lineRule="exact"/>
        <w:rPr>
          <w:rFonts w:ascii="Arial" w:cs="Arial" w:eastAsia="Arial" w:hAnsi="Arial"/>
          <w:sz w:val="17"/>
          <w:szCs w:val="17"/>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18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the FDA disagrees with our determination, which it may not review until we submit an annual report or the FDA conducts an inspection or other inquiry, and requires us to seek new clearances, authorizations or approvals for</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41"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insurance;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or products and services and our expansion outside of the U.S. may increase the potential of violating these laws, regulations or our internal policies and procedures.</w:t>
      </w:r>
    </w:p>
    <w:p>
      <w:pPr>
        <w:spacing w:after="0" w:line="1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we or our partners, fail to comply with these laws and regulations, it could incur significant fines and penalties and our reputation and prospects could suffer. Additionally, any such partners could be forced to cease offering our products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51" w:lineRule="exact"/>
        <w:rPr>
          <w:sz w:val="20"/>
          <w:szCs w:val="20"/>
          <w:color w:val="auto"/>
        </w:rPr>
      </w:pPr>
    </w:p>
    <w:p>
      <w:pPr>
        <w:ind w:left="640" w:hanging="316"/>
        <w:spacing w:after="0" w:line="294" w:lineRule="auto"/>
        <w:tabs>
          <w:tab w:leader="none" w:pos="63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30" w:lineRule="exact"/>
        <w:rPr>
          <w:rFonts w:ascii="Arial" w:cs="Arial" w:eastAsia="Arial" w:hAnsi="Arial"/>
          <w:sz w:val="17"/>
          <w:szCs w:val="17"/>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9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9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2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In 2018, Congress passed the Eliminating Kickbacks in Recovery Act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33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payor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6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41"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54" w:lineRule="exact"/>
        <w:rPr>
          <w:sz w:val="20"/>
          <w:szCs w:val="20"/>
          <w:color w:val="auto"/>
        </w:rPr>
      </w:pPr>
    </w:p>
    <w:p>
      <w:pPr>
        <w:ind w:left="640" w:hanging="316"/>
        <w:spacing w:after="0" w:line="264"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4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6"/>
        </w:numPr>
        <w:rPr>
          <w:rFonts w:ascii="Arial" w:cs="Arial" w:eastAsia="Arial" w:hAnsi="Arial"/>
          <w:sz w:val="15"/>
          <w:szCs w:val="15"/>
          <w:color w:val="auto"/>
        </w:rPr>
      </w:pPr>
      <w:r>
        <w:rPr>
          <w:rFonts w:ascii="Arial" w:cs="Arial" w:eastAsia="Arial" w:hAnsi="Arial"/>
          <w:sz w:val="15"/>
          <w:szCs w:val="15"/>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7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General Data Protection Regulation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61"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31" w:lineRule="exact"/>
        <w:rPr>
          <w:rFonts w:ascii="Arial" w:cs="Arial" w:eastAsia="Arial" w:hAnsi="Arial"/>
          <w:sz w:val="17"/>
          <w:szCs w:val="17"/>
          <w:color w:val="auto"/>
        </w:rPr>
      </w:pPr>
    </w:p>
    <w:p>
      <w:pPr>
        <w:ind w:left="640" w:right="20" w:hanging="316"/>
        <w:spacing w:after="0" w:line="264"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640"/>
        <w:spacing w:after="0" w:line="277" w:lineRule="auto"/>
        <w:rPr>
          <w:sz w:val="20"/>
          <w:szCs w:val="20"/>
          <w:color w:val="auto"/>
        </w:rPr>
      </w:pPr>
      <w:r>
        <w:rPr>
          <w:rFonts w:ascii="Arial" w:cs="Arial" w:eastAsia="Arial" w:hAnsi="Arial"/>
          <w:sz w:val="17"/>
          <w:szCs w:val="17"/>
          <w:color w:val="auto"/>
        </w:rPr>
        <w:t>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45" w:lineRule="exact"/>
        <w:rPr>
          <w:sz w:val="20"/>
          <w:szCs w:val="20"/>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5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1"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4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payor, including private insurers;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5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47"/>
        </w:numPr>
        <w:rPr>
          <w:rFonts w:ascii="Arial" w:cs="Arial" w:eastAsia="Arial" w:hAnsi="Arial"/>
          <w:sz w:val="15"/>
          <w:szCs w:val="15"/>
          <w:color w:val="auto"/>
        </w:rPr>
      </w:pPr>
      <w:r>
        <w:rPr>
          <w:rFonts w:ascii="Arial" w:cs="Arial" w:eastAsia="Arial" w:hAnsi="Arial"/>
          <w:sz w:val="15"/>
          <w:szCs w:val="15"/>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40"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47"/>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payors;</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related to healthcare reform, pricing, coverage and reimbursement and other regulatory changes, which could reduce our revenue.</w:t>
      </w:r>
    </w:p>
    <w:p>
      <w:pPr>
        <w:spacing w:after="0" w:line="21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Healthcare reform laws, including the Patient Protection and Affordable Care Act (“ACA”), and the Protecting Access to Medicare Act of 2014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5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payor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payors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Coverage of our screening products that we may develop may also depend, in whole or in part, on whether payors determine, or courts and/or regulatory authorities determine, coverage is required under applicable federal or state laws mandating coverage of certain cancer screening services.</w:t>
      </w:r>
    </w:p>
    <w:p>
      <w:pPr>
        <w:spacing w:after="0" w:line="7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payors may disagree about how these</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Further, in June 2022, the U.S. Supreme Court in </w:t>
      </w:r>
      <w:r>
        <w:rPr>
          <w:rFonts w:ascii="Arial" w:cs="Arial" w:eastAsia="Arial" w:hAnsi="Arial"/>
          <w:sz w:val="18"/>
          <w:szCs w:val="18"/>
          <w:i w:val="1"/>
          <w:iCs w:val="1"/>
          <w:color w:val="auto"/>
        </w:rPr>
        <w:t>Dobbs v. Jackson Women's Health Organization</w:t>
      </w:r>
      <w:r>
        <w:rPr>
          <w:rFonts w:ascii="Arial" w:cs="Arial" w:eastAsia="Arial" w:hAnsi="Arial"/>
          <w:sz w:val="18"/>
          <w:szCs w:val="18"/>
          <w:color w:val="auto"/>
        </w:rPr>
        <w:t xml:space="preserve"> reversed </w:t>
      </w:r>
      <w:r>
        <w:rPr>
          <w:rFonts w:ascii="Arial" w:cs="Arial" w:eastAsia="Arial" w:hAnsi="Arial"/>
          <w:sz w:val="18"/>
          <w:szCs w:val="18"/>
          <w:i w:val="1"/>
          <w:iCs w:val="1"/>
          <w:color w:val="auto"/>
        </w:rPr>
        <w:t>Roe v. Wade</w:t>
      </w:r>
      <w:r>
        <w:rPr>
          <w:rFonts w:ascii="Arial" w:cs="Arial" w:eastAsia="Arial" w:hAnsi="Arial"/>
          <w:sz w:val="18"/>
          <w:szCs w:val="18"/>
          <w:color w:val="auto"/>
        </w:rPr>
        <w:t xml:space="preserve"> by holding that there is no constitutional right to abortion. Consequently, certain states have recently enacted or proposed restrictive abortion laws that may also implicate our reproductive health and women’s health screening products, which may decrease the demand for or coverage of our reproductive health and women’s health screening products. We cannot predict the timing or impact of any future rulemaking, court decisions or other changes in the law, or in how such laws, once enacted, would be interpreted and enforced.</w:t>
      </w:r>
    </w:p>
    <w:p>
      <w:pPr>
        <w:spacing w:after="0" w:line="15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Outside of the U.S., we would largely depend on public or government-controlled payors for coverage of our oncology tests. As compared to many more routine diagnostic tests, our oncology tests are more complicated, expensive and are performed in a central, specialized lab. In order to accommodate the unique characteristics of our diagnostic products, public payors in certain non-U.S. markets have designed reimbursement frameworks specifically for each test type. These payors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payors covering the test or the number of orders placed. Public payors could condition reimbursement of our tests upon performance of our tests locally or, even in laboratories owned or operated by the payors.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payors or patients.</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5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w:t>
      </w: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increasingly complex taxation rules and practices, which may affect how we conduct our business and our results of operations.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3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6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w:t>
      </w:r>
    </w:p>
    <w:p>
      <w:pPr>
        <w:spacing w:after="0" w:line="3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our proprietary technologies under certain jurisdictions and legal regimes could harm our competitive position.</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adversely affect our ability to obtain commercially relevant or competitively advantageous patent protection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subsequent case law, affect the legal concept of subject matter eligibility by seemingly narrowing the scope of the statute defining patentable inventions.</w:t>
      </w:r>
    </w:p>
    <w:p>
      <w:pPr>
        <w:spacing w:after="0" w:line="16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5"/>
          <w:szCs w:val="15"/>
          <w:i w:val="1"/>
          <w:iCs w:val="1"/>
          <w:color w:val="auto"/>
        </w:rPr>
        <w:t>Mayo, Association for Molecular Pathology v. Myriad Genetics, Inc.</w:t>
      </w:r>
      <w:r>
        <w:rPr>
          <w:rFonts w:ascii="Arial" w:cs="Arial" w:eastAsia="Arial" w:hAnsi="Arial"/>
          <w:sz w:val="15"/>
          <w:szCs w:val="15"/>
          <w:color w:val="auto"/>
        </w:rPr>
        <w:t xml:space="preserve">, and </w:t>
      </w:r>
      <w:r>
        <w:rPr>
          <w:rFonts w:ascii="Arial" w:cs="Arial" w:eastAsia="Arial" w:hAnsi="Arial"/>
          <w:sz w:val="15"/>
          <w:szCs w:val="15"/>
          <w:i w:val="1"/>
          <w:iCs w:val="1"/>
          <w:color w:val="auto"/>
        </w:rPr>
        <w:t>Alice</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Corporation Pty. Ltd. v. CLS Bank International</w:t>
      </w:r>
      <w:r>
        <w:rPr>
          <w:rFonts w:ascii="Arial" w:cs="Arial" w:eastAsia="Arial" w:hAnsi="Arial"/>
          <w:sz w:val="15"/>
          <w:szCs w:val="15"/>
          <w:color w:val="auto"/>
        </w:rPr>
        <w:t>, and others. The guidance indicates that claims directed to a law of nature, a natural phenomenon, or an</w:t>
      </w:r>
      <w:r>
        <w:rPr>
          <w:rFonts w:ascii="Arial" w:cs="Arial" w:eastAsia="Arial" w:hAnsi="Arial"/>
          <w:sz w:val="15"/>
          <w:szCs w:val="15"/>
          <w:i w:val="1"/>
          <w:iCs w:val="1"/>
          <w:color w:val="auto"/>
        </w:rPr>
        <w:t xml:space="preserve"> </w:t>
      </w:r>
      <w:r>
        <w:rPr>
          <w:rFonts w:ascii="Arial" w:cs="Arial" w:eastAsia="Arial" w:hAnsi="Arial"/>
          <w:sz w:val="15"/>
          <w:szCs w:val="15"/>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w:t>
      </w: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5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4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Because the U.S. Patent &amp; Trademark Office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3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6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4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4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7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payors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5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payors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4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w:t>
      </w:r>
    </w:p>
    <w:p>
      <w:pPr>
        <w:spacing w:after="0" w:line="34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(“UDAP”), statutes may also vary significantly.</w:t>
      </w:r>
    </w:p>
    <w:p>
      <w:pPr>
        <w:spacing w:after="0" w:line="16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for data transfers between the EU and the United Kingdom.</w:t>
      </w:r>
    </w:p>
    <w:p>
      <w:pPr>
        <w:spacing w:after="0" w:line="12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w:t>
      </w:r>
    </w:p>
    <w:p>
      <w:pPr>
        <w:spacing w:after="0" w:line="3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of a trend toward more stringent privacy legislation, which could increase our potential liability and adversely affect our business, results of operations, and financial condition.</w:t>
      </w:r>
    </w:p>
    <w:p>
      <w:pPr>
        <w:spacing w:after="0" w:line="1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2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6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21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payors,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a public company, we incur significant legal, accounting and other expenses, including costs associated with public company reporting requirements. In addition, the Sarbanes-Oxley Act of 2002 (the “Sarbanes-Oxley Act”) as well as rules implemented by the SEC and the Nasdaq Stock Market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7"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202" w:lineRule="exact"/>
        <w:rPr>
          <w:rFonts w:ascii="Arial" w:cs="Arial" w:eastAsia="Arial" w:hAnsi="Arial"/>
          <w:sz w:val="17"/>
          <w:szCs w:val="17"/>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that the Acquisition disrupts our current plans and operations or affects our ability to retain or recruit key employees;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 of the Acquisition on our business relationships (including, without limitation customers, strategic partners, collaborators and suppliers), operating results and business generally;</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officers or significant stockholders or the perception that such sales could occur;</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comply with the requirements of the Nasdaq;</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9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62"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securities or industry analysts cease publishing research or reports about us, our business, or our market, or if they change their recommendations regarding our Class A common stock adversely, then the price and trading volume of our Class A common stock could decline.</w:t>
      </w:r>
    </w:p>
    <w:p>
      <w:pPr>
        <w:spacing w:after="0" w:line="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Class A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Charter and Restated Bylaws, as well as provisions of Delaware law, could impair a takeover attempt.</w:t>
      </w:r>
    </w:p>
    <w:p>
      <w:pPr>
        <w:spacing w:after="0" w:line="21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19"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40" w:hanging="316"/>
        <w:spacing w:after="0" w:line="26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5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Class A common stock; and</w:t>
      </w:r>
    </w:p>
    <w:p>
      <w:pPr>
        <w:spacing w:after="0" w:line="15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Class A common stock that is held by non-affiliates exceeds $700.0 million as of the prior June 30th, and (ii) the date on which we have issued more than $1.0 billion in non-convertible debt during the prior three-year period.</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Class A common stock held by non-affiliates exceeds $250 million as of the prior June 30, or (ii) our annual revenues exceeded $100 million during such completed fiscal year and the market value of our Class A common stock held by non-affiliates exceeds $700 million as of the prior June 30.</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cannot predict if investors will find our Class A common stock less attractive because we rely on these exemptions. If some investors find our Class A common stock less attractive as a result, there may be a less active trading market for our Class A common stock and our stock price may be more volatile.</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4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Class A common stock could be negatively affected, and we could become subject to investigations by the SEC or other regulatory authorities, which could require additional financial and management resources.</w:t>
      </w:r>
    </w:p>
    <w:p>
      <w:pPr>
        <w:spacing w:after="0" w:line="1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6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41"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Restated Bylaws or as to which the General Corporation Law confers jurisdiction on the Court of Chancery of the State of Delaware:</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w:t>
      </w:r>
    </w:p>
    <w:p>
      <w:pPr>
        <w:spacing w:after="0" w:line="3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18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4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5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warrants are exercisable for our Class A common stock, which will increase the number of shares eligible for future resale in the public market and result in dilution to our stockholders.</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June 30, 2022, our public warrants are exercisable for 14,758,305 shares of Class A common stock at $11.50 per share. Our private warrants are exercisable for 7,236,667 shares of Class A common stock at $11.50 per share. The additional shares of our Class A common stock issuable upon exercise of our warrants will result in dilution to the then existing holders of our Class A common stock and increase the number of shares eligible for resale in the public market. Sales of substantial numbers of such shares in the public market could adversely affect the market price of our Class A common stock.</w:t>
      </w:r>
    </w:p>
    <w:p>
      <w:pPr>
        <w:spacing w:after="0" w:line="3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0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Included on our balance sheet as of June 30, 2022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had outstanding 379,896,799 shares of Class A common stock as of June 30, 2022. We have filed a registration statement which registers the offer and sale from time to time by certain selling stockholders of up to 160,864,198 shares of our Class A common stock, although the 110,864,198 shares registered on behalf of OPKO pursuant to this registration statement will be subject to transfer restrictions pursuant to the shareholder agreements that were entered into in connection with the Acquisition. In addition, we have filed a separate registration statement that the registers the offer and sale from time to time by certain selling security holders of up to an additional 229,657,978 shares of our Class A common stock. To the extent shares are sold into the market pursuant to these effective registration statements, under Rule 144 under the Securities Act or otherwise, particularly in substantial quantities and including following the end of the transfer restrictions provided for in the shareholder agreements in the case of OPKO and the other holders party such shareholder agreements, the market price of our Class A common stock could decline.</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exercise price for the public warrants is $11.50 per share of Class A common stock. There is no guarantee that the public warrants will ever be in the money prior to their expiration, and as such, the public warrants may expire worthless.</w:t>
      </w:r>
    </w:p>
    <w:p>
      <w:pPr>
        <w:spacing w:after="0" w:line="15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cannot guarantee that we will be able to satisfy the continued listing standards of Nasdaq going forward and if we fail to satisfy the continued listing requirements of Nasdaq, including the minimum closing bid price requirement, Nasdaq may take steps to delist our Class A common stock.</w:t>
      </w:r>
    </w:p>
    <w:p>
      <w:pPr>
        <w:spacing w:after="0" w:line="7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Class A common stock and public warrants are listed on the Nasdaq under the symbols “SMFR” and “SMFRW,” respectively. However, we cannot ensure that we will be able to satisfy the continued listing standards of Nasdaq, including the minimum closing bid price requirement, going forward. If we cannot satisfy the continued listing standards going forward, The Nasdaq Stock Market may commence delisting procedures against us, which could result in our Class A common stock or public warrants being removed from listing on Nasdaq. If either of our Class A common stock or public warrants were to be delisted, the liquidity of our Class A common stock or warrants could be adversely affected and the market price of our Class A common stock or warrants could decrease. Delisting could also adversely affect our securityholders’ ability to trade or obtain quotations on our securities because of lower trading volumes and transaction delays. These factors could contribute to lower prices and larger spreads in the bid and ask price for our securities. Investors may also not be able to resell their Class A common stock or warrants at or above the price they paid for such securities or at all.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3" w:lineRule="exact"/>
        <w:rPr>
          <w:sz w:val="20"/>
          <w:szCs w:val="20"/>
          <w:color w:val="auto"/>
        </w:rPr>
      </w:pPr>
    </w:p>
    <w:p>
      <w:pPr>
        <w:ind w:left="320" w:right="280"/>
        <w:spacing w:after="0" w:line="264" w:lineRule="auto"/>
        <w:rPr>
          <w:sz w:val="20"/>
          <w:szCs w:val="20"/>
          <w:color w:val="auto"/>
        </w:rPr>
      </w:pPr>
      <w:r>
        <w:rPr>
          <w:rFonts w:ascii="Arial" w:cs="Arial" w:eastAsia="Arial" w:hAnsi="Arial"/>
          <w:sz w:val="18"/>
          <w:szCs w:val="18"/>
          <w:color w:val="auto"/>
        </w:rPr>
        <w:t>The information required by this Item 2 related to the Acquisition PIPE Investment is contained in the Current Report on Form 8-K, filed with SEC on 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w:t>
      </w:r>
      <w:r>
        <w:rPr>
          <w:rFonts w:ascii="Arial" w:cs="Arial" w:eastAsia="Arial" w:hAnsi="Arial"/>
          <w:sz w:val="18"/>
          <w:szCs w:val="18"/>
          <w:color w:val="auto"/>
        </w:rPr>
        <w:t>s</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Associated with Exit or Disposal Activities.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August 11, 2022, the Board of Directors approved a plan to exit the Company’s somatic tumor testing business, including the planned closure of its laboratory in Branford, CT, effective December 31, 2022. In connection with the plan, the Company is also eliminating approximately 250 positions, representing about 13% of its workforce, which, combined with the Company’s prior reductions in force during 2022, will result in the elimination of approximately 30% of the roles from the Legacy Sema4 business. As a result of this decision, the Company currently estimates the impact of these actions to result in between $8.5 million and $11.5 million of cash charges primarily related to severance packages offered to the employees impacted by the plan to be incurred primarily during the second half of the year. The amount of this expected charge is an estimate, and the amount and timing of actual charges may vary due to a variety of factors. The Company also expects to incur non-cash charges, which it is currently not able to be estimated.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Directors or Certain Officers.</w:t>
      </w:r>
    </w:p>
    <w:p>
      <w:pPr>
        <w:spacing w:after="0" w:line="230" w:lineRule="exact"/>
        <w:rPr>
          <w:sz w:val="20"/>
          <w:szCs w:val="20"/>
          <w:color w:val="auto"/>
        </w:rPr>
      </w:pPr>
    </w:p>
    <w:p>
      <w:pPr>
        <w:jc w:val="both"/>
        <w:ind w:right="260" w:firstLine="318"/>
        <w:spacing w:after="0" w:line="239" w:lineRule="auto"/>
        <w:rPr>
          <w:sz w:val="20"/>
          <w:szCs w:val="20"/>
          <w:color w:val="auto"/>
        </w:rPr>
      </w:pPr>
      <w:r>
        <w:rPr>
          <w:rFonts w:ascii="Arial" w:cs="Arial" w:eastAsia="Arial" w:hAnsi="Arial"/>
          <w:sz w:val="18"/>
          <w:szCs w:val="18"/>
          <w:color w:val="auto"/>
        </w:rPr>
        <w:t>On August 11, 2022, our Board of Directors approved, and on August 12, 2022, Eric Schadt, Ph.D., our President and Chief Research &amp; Development Officer, and we mutually agreed the terms under which Dr. Schadt will leave us to pursue other career opportunities. Dr. Schadt’s departure is not related to any disagreement with us.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with Certain Officers</w:t>
      </w:r>
      <w:r>
        <w:rPr>
          <w:rFonts w:ascii="Arial" w:cs="Arial" w:eastAsia="Arial" w:hAnsi="Arial"/>
          <w:sz w:val="18"/>
          <w:szCs w:val="18"/>
          <w:color w:val="auto"/>
        </w:rPr>
        <w:t>.</w:t>
      </w:r>
    </w:p>
    <w:p>
      <w:pPr>
        <w:spacing w:after="0" w:line="19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Dr. Schadt’s departure, we and Dr. Schadt have entered into a Separation Agreement (the “Separation Agreement”), pursuant to which Dr. Schadt will receive severance in the form of 24-months of continued salary, 24 months of reimbursement of COBRA continuation benefits, and an extended exercise period for certain of his outstanding stock options, in exchange for a customary release of claims against us.</w:t>
      </w:r>
    </w:p>
    <w:p>
      <w:pPr>
        <w:spacing w:after="0" w:line="131"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auto"/>
        </w:rPr>
        <w:t>The foregoing description of the Separation Agreement does not purport to be complete and is qualified in its entirety by reference to the full text of the Separation Agreement, a copy of which is attached as Exhibit 10.6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Certain Officers.</w:t>
      </w:r>
    </w:p>
    <w:p>
      <w:pPr>
        <w:spacing w:after="0" w:line="230" w:lineRule="exact"/>
        <w:rPr>
          <w:sz w:val="20"/>
          <w:szCs w:val="20"/>
          <w:color w:val="auto"/>
        </w:rPr>
      </w:pPr>
    </w:p>
    <w:p>
      <w:pPr>
        <w:jc w:val="both"/>
        <w:ind w:firstLine="318"/>
        <w:spacing w:after="0" w:line="278" w:lineRule="auto"/>
        <w:rPr>
          <w:sz w:val="20"/>
          <w:szCs w:val="20"/>
          <w:color w:val="auto"/>
        </w:rPr>
      </w:pPr>
      <w:r>
        <w:rPr>
          <w:rFonts w:ascii="Arial" w:cs="Arial" w:eastAsia="Arial" w:hAnsi="Arial"/>
          <w:sz w:val="17"/>
          <w:szCs w:val="17"/>
          <w:color w:val="auto"/>
        </w:rPr>
        <w:t>In connection with Dr. Schadt’s departure, on August 11, 2022, the Board of Directors approved the appointment of Katherine Stueland, our current Chief Executive Officer and a director, to also be our President, with such appointment to become effective as of August 15, 2022.</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Ms. Stueland’s biographical information is incorporated herein by reference as set forth in our definitive proxy statement filed with the SEC on March 31, 2022 (the “Proxy Statement”).</w:t>
      </w:r>
    </w:p>
    <w:p>
      <w:pPr>
        <w:spacing w:after="0" w:line="207"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The information regarding family relationships between Ms. Stueland and any our directors or executive officers required to reported pursuant to Item 401(d) of Regulation S-K, and relationships or related transactions between Ms. Stueland and us that are required to be reported pursuant to Item 404(a) of Regulation S-K, is incorporated herein by reference as set forth in the Proxy Statement and our Current Report on Form 8-K filed with the SEC on May 2,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with Certain Officers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18"/>
        <w:spacing w:after="0" w:line="261" w:lineRule="auto"/>
        <w:rPr>
          <w:sz w:val="20"/>
          <w:szCs w:val="20"/>
          <w:color w:val="auto"/>
        </w:rPr>
      </w:pPr>
      <w:r>
        <w:rPr>
          <w:rFonts w:ascii="Arial" w:cs="Arial" w:eastAsia="Arial" w:hAnsi="Arial"/>
          <w:sz w:val="17"/>
          <w:szCs w:val="17"/>
          <w:color w:val="auto"/>
        </w:rPr>
        <w:t>In connection with Dr. Schadt’s departure, we and Dr. Schadt have entered into a Separation Agreement (the “Separation Agreement”), pursuant to which Dr. Schadt will receive severance in the form of 24-months of continued salary, 24 months of reimbursement of COBRA continuation benefits, and an extended exercise period for certain of his outstanding stock options, in exchange for a customary release of claims against us.</w:t>
      </w:r>
    </w:p>
    <w:p>
      <w:pPr>
        <w:spacing w:after="0" w:line="197" w:lineRule="exact"/>
        <w:rPr>
          <w:sz w:val="20"/>
          <w:szCs w:val="20"/>
          <w:color w:val="auto"/>
        </w:rPr>
      </w:pPr>
    </w:p>
    <w:p>
      <w:pPr>
        <w:ind w:right="200" w:firstLine="318"/>
        <w:spacing w:after="0" w:line="249" w:lineRule="auto"/>
        <w:rPr>
          <w:sz w:val="20"/>
          <w:szCs w:val="20"/>
          <w:color w:val="auto"/>
        </w:rPr>
      </w:pPr>
      <w:r>
        <w:rPr>
          <w:rFonts w:ascii="Arial" w:cs="Arial" w:eastAsia="Arial" w:hAnsi="Arial"/>
          <w:sz w:val="18"/>
          <w:szCs w:val="18"/>
          <w:color w:val="auto"/>
        </w:rPr>
        <w:t>The foregoing description of the Separation Agreement does not purport to be complete and is qualified in its entirety by reference to the full text of the Separation Agreement, a copy of which is attached as Exhibit 10.6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Events</w:t>
      </w:r>
    </w:p>
    <w:p>
      <w:pPr>
        <w:spacing w:after="0" w:line="230" w:lineRule="exact"/>
        <w:rPr>
          <w:sz w:val="20"/>
          <w:szCs w:val="20"/>
          <w:color w:val="auto"/>
        </w:rPr>
      </w:pPr>
    </w:p>
    <w:p>
      <w:pPr>
        <w:ind w:right="200" w:firstLine="318"/>
        <w:spacing w:after="0" w:line="233" w:lineRule="auto"/>
        <w:rPr>
          <w:sz w:val="20"/>
          <w:szCs w:val="20"/>
          <w:color w:val="auto"/>
        </w:rPr>
      </w:pPr>
      <w:r>
        <w:rPr>
          <w:rFonts w:ascii="Arial" w:cs="Arial" w:eastAsia="Arial" w:hAnsi="Arial"/>
          <w:sz w:val="18"/>
          <w:szCs w:val="18"/>
          <w:color w:val="auto"/>
        </w:rPr>
        <w:t>In addition to the management changes discussed above, Matthew Davis, formerly Head of AI &amp; Data at Invitae Corp. (NYSE: NVTA), is joining us as Chief Technology and Product Officer. Mr. Davis will work in close partnership with Chief Science Officer, Gustavo Stolovitzky, to drive scientific and product innovation to deliver on our data strategy for health systems and biopharma partners. Further, Daniel Clark, our general counsel, and Anthony Prentice, our Chief Product Officer, will be leaving us to pursue other career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w:t>
      </w: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180" w:type="dxa"/>
            <w:vAlign w:val="bottom"/>
            <w:tcBorders>
              <w:bottom w:val="single" w:sz="8" w:color="CCEEFF"/>
            </w:tcBorders>
          </w:tcPr>
          <w:p>
            <w:pPr>
              <w:spacing w:after="0"/>
              <w:rPr>
                <w:sz w:val="20"/>
                <w:szCs w:val="20"/>
                <w:color w:val="auto"/>
              </w:rPr>
            </w:pPr>
          </w:p>
        </w:tc>
        <w:tc>
          <w:tcPr>
            <w:tcW w:w="4060" w:type="dxa"/>
            <w:vAlign w:val="bottom"/>
            <w:tcBorders>
              <w:top w:val="single" w:sz="8" w:color="auto"/>
              <w:bottom w:val="single" w:sz="8" w:color="auto"/>
            </w:tcBorders>
            <w:gridSpan w:val="20"/>
          </w:tcPr>
          <w:p>
            <w:pPr>
              <w:spacing w:after="0"/>
              <w:rPr>
                <w:sz w:val="20"/>
                <w:szCs w:val="20"/>
                <w:color w:val="auto"/>
              </w:rPr>
            </w:pPr>
            <w:r>
              <w:rPr>
                <w:rFonts w:ascii="Arial" w:cs="Arial" w:eastAsia="Arial" w:hAnsi="Arial"/>
                <w:sz w:val="16"/>
                <w:szCs w:val="16"/>
                <w:b w:val="1"/>
                <w:bCs w:val="1"/>
                <w:color w:val="auto"/>
              </w:rPr>
              <w:t>Description of Exhibit</w:t>
            </w:r>
          </w:p>
        </w:tc>
        <w:tc>
          <w:tcPr>
            <w:tcW w:w="160" w:type="dxa"/>
            <w:vAlign w:val="bottom"/>
            <w:tcBorders>
              <w:bottom w:val="single" w:sz="8" w:color="CCEEFF"/>
            </w:tcBorders>
          </w:tcPr>
          <w:p>
            <w:pPr>
              <w:spacing w:after="0"/>
              <w:rPr>
                <w:sz w:val="20"/>
                <w:szCs w:val="20"/>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Exhibit</w:t>
            </w:r>
          </w:p>
        </w:tc>
        <w:tc>
          <w:tcPr>
            <w:tcW w:w="1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Filed Herewith</w:t>
            </w: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w w:val="95"/>
              </w:rPr>
            </w:pPr>
            <w:hyperlink r:id="rId142">
              <w:r>
                <w:rPr>
                  <w:rFonts w:ascii="Arial" w:cs="Arial" w:eastAsia="Arial" w:hAnsi="Arial"/>
                  <w:sz w:val="16"/>
                  <w:szCs w:val="16"/>
                  <w:color w:val="0000FF"/>
                  <w:w w:val="95"/>
                </w:rPr>
                <w:t>Certificate of Amendment to the Third Amended and Restated</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80" w:type="dxa"/>
            <w:vAlign w:val="bottom"/>
            <w:tcBorders>
              <w:top w:val="single" w:sz="8" w:color="0000FF"/>
            </w:tcBorders>
            <w:gridSpan w:val="18"/>
            <w:shd w:val="clear" w:color="auto" w:fill="CCEEFF"/>
          </w:tcPr>
          <w:p>
            <w:pPr>
              <w:spacing w:after="0" w:line="152" w:lineRule="exact"/>
              <w:rPr>
                <w:rFonts w:ascii="Arial" w:cs="Arial" w:eastAsia="Arial" w:hAnsi="Arial"/>
                <w:sz w:val="16"/>
                <w:szCs w:val="16"/>
                <w:color w:val="0000FF"/>
              </w:rPr>
            </w:pPr>
            <w:hyperlink r:id="rId142">
              <w:r>
                <w:rPr>
                  <w:rFonts w:ascii="Arial" w:cs="Arial" w:eastAsia="Arial" w:hAnsi="Arial"/>
                  <w:sz w:val="16"/>
                  <w:szCs w:val="16"/>
                  <w:color w:val="0000FF"/>
                </w:rPr>
                <w:t>Certificate of Incorporation of Sema4 Holdings Corp.</w:t>
              </w:r>
            </w:hyperlink>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w w:val="96"/>
              </w:rPr>
            </w:pPr>
            <w:hyperlink r:id="rId143">
              <w:r>
                <w:rPr>
                  <w:rFonts w:ascii="Arial" w:cs="Arial" w:eastAsia="Arial" w:hAnsi="Arial"/>
                  <w:sz w:val="16"/>
                  <w:szCs w:val="16"/>
                  <w:color w:val="0000FF"/>
                  <w:w w:val="96"/>
                </w:rPr>
                <w:t>Transition Services Agreement, dated as of April 29, 2022, by</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6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rPr>
            </w:pPr>
            <w:hyperlink r:id="rId143">
              <w:r>
                <w:rPr>
                  <w:rFonts w:ascii="Arial" w:cs="Arial" w:eastAsia="Arial" w:hAnsi="Arial"/>
                  <w:sz w:val="16"/>
                  <w:szCs w:val="16"/>
                  <w:color w:val="0000FF"/>
                </w:rPr>
                <w:t xml:space="preserve">and between GeneDx, Inc. and OPKO Health, </w:t>
              </w:r>
              <w:r>
                <w:rPr>
                  <w:rFonts w:ascii="Arial" w:cs="Arial" w:eastAsia="Arial" w:hAnsi="Arial"/>
                  <w:sz w:val="16"/>
                  <w:szCs w:val="16"/>
                  <w:color w:val="000000"/>
                </w:rPr>
                <w:t>Inc</w:t>
              </w:r>
            </w:hyperlink>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rPr>
            </w:pPr>
            <w:hyperlink r:id="rId144">
              <w:r>
                <w:rPr>
                  <w:rFonts w:ascii="Arial" w:cs="Arial" w:eastAsia="Arial" w:hAnsi="Arial"/>
                  <w:sz w:val="16"/>
                  <w:szCs w:val="16"/>
                  <w:color w:val="0000FF"/>
                </w:rPr>
                <w:t>Employment Agreement, dated as of January 14, 2022, as</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05/02/2022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2"/>
        </w:trPr>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700" w:type="dxa"/>
            <w:vAlign w:val="bottom"/>
            <w:tcBorders>
              <w:top w:val="single" w:sz="8" w:color="0000FF"/>
              <w:bottom w:val="single" w:sz="8" w:color="0000FF"/>
            </w:tcBorders>
            <w:gridSpan w:val="11"/>
            <w:shd w:val="clear" w:color="auto" w:fill="CCEEFF"/>
          </w:tcPr>
          <w:p>
            <w:pPr>
              <w:spacing w:after="0" w:line="152" w:lineRule="exact"/>
              <w:rPr>
                <w:rFonts w:ascii="Arial" w:cs="Arial" w:eastAsia="Arial" w:hAnsi="Arial"/>
                <w:sz w:val="16"/>
                <w:szCs w:val="16"/>
                <w:color w:val="0000FF"/>
                <w:w w:val="88"/>
              </w:rPr>
            </w:pPr>
            <w:hyperlink r:id="rId144">
              <w:r>
                <w:rPr>
                  <w:rFonts w:ascii="Arial" w:cs="Arial" w:eastAsia="Arial" w:hAnsi="Arial"/>
                  <w:sz w:val="16"/>
                  <w:szCs w:val="16"/>
                  <w:color w:val="0000FF"/>
                  <w:w w:val="88"/>
                </w:rPr>
                <w:t>amended April 29, 2022, by and between Sema4 Holdings</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98"/>
        </w:trPr>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220" w:type="dxa"/>
            <w:vAlign w:val="bottom"/>
            <w:gridSpan w:val="21"/>
            <w:shd w:val="clear" w:color="auto" w:fill="CCEEFF"/>
          </w:tcPr>
          <w:p>
            <w:pPr>
              <w:spacing w:after="0" w:line="165" w:lineRule="exact"/>
              <w:rPr>
                <w:rFonts w:ascii="Arial" w:cs="Arial" w:eastAsia="Arial" w:hAnsi="Arial"/>
                <w:sz w:val="16"/>
                <w:szCs w:val="16"/>
                <w:color w:val="0000FF"/>
              </w:rPr>
            </w:pPr>
            <w:hyperlink r:id="rId144">
              <w:r>
                <w:rPr>
                  <w:rFonts w:ascii="Arial" w:cs="Arial" w:eastAsia="Arial" w:hAnsi="Arial"/>
                  <w:sz w:val="16"/>
                  <w:szCs w:val="16"/>
                  <w:color w:val="0000FF"/>
                </w:rPr>
                <w:t>Corp. and Katherine Stueland.</w:t>
              </w:r>
            </w:hyperlink>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10.3</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w w:val="96"/>
              </w:rPr>
            </w:pPr>
            <w:hyperlink r:id="rId145">
              <w:r>
                <w:rPr>
                  <w:rFonts w:ascii="Arial" w:cs="Arial" w:eastAsia="Arial" w:hAnsi="Arial"/>
                  <w:sz w:val="16"/>
                  <w:szCs w:val="16"/>
                  <w:color w:val="0000FF"/>
                  <w:w w:val="96"/>
                </w:rPr>
                <w:t>Amendment No.1 to the Amended and Restated Employment</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06/14/2022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92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rPr>
            </w:pPr>
            <w:hyperlink r:id="rId145">
              <w:r>
                <w:rPr>
                  <w:rFonts w:ascii="Arial" w:cs="Arial" w:eastAsia="Arial" w:hAnsi="Arial"/>
                  <w:sz w:val="16"/>
                  <w:szCs w:val="16"/>
                  <w:color w:val="0000FF"/>
                </w:rPr>
                <w:t>of Agreement of Eric Schadt, dated June 14, 2022.</w:t>
              </w:r>
            </w:hyperlink>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10.4</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rFonts w:ascii="Arial" w:cs="Arial" w:eastAsia="Arial" w:hAnsi="Arial"/>
                <w:sz w:val="16"/>
                <w:szCs w:val="16"/>
                <w:color w:val="0000FF"/>
              </w:rPr>
            </w:pPr>
            <w:hyperlink r:id="rId146">
              <w:r>
                <w:rPr>
                  <w:rFonts w:ascii="Arial" w:cs="Arial" w:eastAsia="Arial" w:hAnsi="Arial"/>
                  <w:sz w:val="16"/>
                  <w:szCs w:val="16"/>
                  <w:color w:val="0000FF"/>
                </w:rPr>
                <w:t>Consulting Agreement with Isaac Ro, dated as of June 14,</w:t>
              </w:r>
            </w:hyperlink>
          </w:p>
        </w:tc>
        <w:tc>
          <w:tcPr>
            <w:tcW w:w="13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rPr>
              <w:t>8-K</w:t>
            </w: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ind w:left="260"/>
              <w:spacing w:after="0" w:line="172" w:lineRule="exact"/>
              <w:rPr>
                <w:sz w:val="20"/>
                <w:szCs w:val="20"/>
                <w:color w:val="auto"/>
              </w:rPr>
            </w:pPr>
            <w:r>
              <w:rPr>
                <w:rFonts w:ascii="Arial" w:cs="Arial" w:eastAsia="Arial" w:hAnsi="Arial"/>
                <w:sz w:val="16"/>
                <w:szCs w:val="16"/>
                <w:color w:val="auto"/>
              </w:rPr>
              <w:t>06/14/2022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rFonts w:ascii="Arial" w:cs="Arial" w:eastAsia="Arial" w:hAnsi="Arial"/>
                <w:sz w:val="16"/>
                <w:szCs w:val="16"/>
                <w:color w:val="0000FF"/>
              </w:rPr>
            </w:pPr>
            <w:hyperlink r:id="rId146">
              <w:r>
                <w:rPr>
                  <w:rFonts w:ascii="Arial" w:cs="Arial" w:eastAsia="Arial" w:hAnsi="Arial"/>
                  <w:sz w:val="16"/>
                  <w:szCs w:val="16"/>
                  <w:color w:val="0000FF"/>
                </w:rPr>
                <w:t>2022.</w:t>
              </w:r>
            </w:hyperlink>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10.5</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sz w:val="20"/>
                <w:szCs w:val="20"/>
                <w:color w:val="auto"/>
              </w:rPr>
            </w:pPr>
            <w:r>
              <w:rPr>
                <w:rFonts w:ascii="Arial" w:cs="Arial" w:eastAsia="Arial" w:hAnsi="Arial"/>
                <w:sz w:val="16"/>
                <w:szCs w:val="16"/>
                <w:color w:val="0000FF"/>
                <w:w w:val="99"/>
              </w:rPr>
              <w:t>Separation Agreement and General Release with Isaac Ro,</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740" w:type="dxa"/>
            <w:vAlign w:val="bottom"/>
            <w:tcBorders>
              <w:top w:val="single" w:sz="8" w:color="0000FF"/>
            </w:tcBorders>
            <w:gridSpan w:val="13"/>
            <w:shd w:val="clear" w:color="auto" w:fill="CCEEFF"/>
          </w:tcPr>
          <w:p>
            <w:pPr>
              <w:spacing w:after="0" w:line="152" w:lineRule="exact"/>
              <w:rPr>
                <w:sz w:val="20"/>
                <w:szCs w:val="20"/>
                <w:color w:val="auto"/>
              </w:rPr>
            </w:pPr>
            <w:r>
              <w:rPr>
                <w:rFonts w:ascii="Arial" w:cs="Arial" w:eastAsia="Arial" w:hAnsi="Arial"/>
                <w:sz w:val="16"/>
                <w:szCs w:val="16"/>
                <w:color w:val="0000FF"/>
              </w:rPr>
              <w:t>dated as of August 11, 2022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10.6</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sz w:val="20"/>
                <w:szCs w:val="20"/>
                <w:color w:val="auto"/>
              </w:rPr>
            </w:pPr>
            <w:r>
              <w:rPr>
                <w:rFonts w:ascii="Arial" w:cs="Arial" w:eastAsia="Arial" w:hAnsi="Arial"/>
                <w:sz w:val="16"/>
                <w:szCs w:val="16"/>
                <w:color w:val="0000FF"/>
                <w:w w:val="98"/>
              </w:rPr>
              <w:t>Separation Agreement, dated as of August 12, 2022, by and</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3800" w:type="dxa"/>
            <w:vAlign w:val="bottom"/>
            <w:tcBorders>
              <w:top w:val="single" w:sz="8" w:color="0000FF"/>
            </w:tcBorders>
            <w:gridSpan w:val="14"/>
            <w:shd w:val="clear" w:color="auto" w:fill="CCEEFF"/>
          </w:tcPr>
          <w:p>
            <w:pPr>
              <w:spacing w:after="0" w:line="152" w:lineRule="exact"/>
              <w:rPr>
                <w:sz w:val="20"/>
                <w:szCs w:val="20"/>
                <w:color w:val="auto"/>
              </w:rPr>
            </w:pPr>
            <w:r>
              <w:rPr>
                <w:rFonts w:ascii="Arial" w:cs="Arial" w:eastAsia="Arial" w:hAnsi="Arial"/>
                <w:sz w:val="16"/>
                <w:szCs w:val="16"/>
                <w:color w:val="0000FF"/>
              </w:rPr>
              <w:t>between Sema4 Holdings Corp. and Eric Schadt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6"/>
              </w:rPr>
              <w:t>31.1*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sz w:val="20"/>
                <w:szCs w:val="20"/>
                <w:color w:val="auto"/>
              </w:rPr>
            </w:pPr>
            <w:r>
              <w:rPr>
                <w:rFonts w:ascii="Arial" w:cs="Arial" w:eastAsia="Arial" w:hAnsi="Arial"/>
                <w:sz w:val="16"/>
                <w:szCs w:val="16"/>
                <w:color w:val="0000FF"/>
              </w:rPr>
              <w:t>Certification of Principal Executive Officer Pursuant to</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1"/>
            <w:shd w:val="clear" w:color="auto" w:fill="CCEEFF"/>
          </w:tcPr>
          <w:p>
            <w:pPr>
              <w:spacing w:after="0" w:line="152" w:lineRule="exact"/>
              <w:rPr>
                <w:sz w:val="20"/>
                <w:szCs w:val="20"/>
                <w:color w:val="auto"/>
              </w:rPr>
            </w:pPr>
            <w:r>
              <w:rPr>
                <w:rFonts w:ascii="Arial" w:cs="Arial" w:eastAsia="Arial" w:hAnsi="Arial"/>
                <w:sz w:val="16"/>
                <w:szCs w:val="16"/>
                <w:color w:val="0000FF"/>
                <w:w w:val="96"/>
              </w:rPr>
              <w:t>Securities Exchange Act Rules 13a-14(a) and 15(d)-14(a), as</w:t>
            </w: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66"/>
        </w:trPr>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65" w:lineRule="exact"/>
              <w:rPr>
                <w:sz w:val="20"/>
                <w:szCs w:val="20"/>
                <w:color w:val="auto"/>
              </w:rPr>
            </w:pPr>
            <w:r>
              <w:rPr>
                <w:rFonts w:ascii="Arial" w:cs="Arial" w:eastAsia="Arial" w:hAnsi="Arial"/>
                <w:sz w:val="16"/>
                <w:szCs w:val="16"/>
                <w:color w:val="0000FF"/>
                <w:w w:val="95"/>
              </w:rPr>
              <w:t>adopted Pursuant to Section 302 of the Sarbanes-Oxley Act of</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sz w:val="20"/>
                <w:szCs w:val="20"/>
                <w:color w:val="auto"/>
              </w:rPr>
            </w:pPr>
            <w:r>
              <w:rPr>
                <w:rFonts w:ascii="Arial" w:cs="Arial" w:eastAsia="Arial" w:hAnsi="Arial"/>
                <w:sz w:val="16"/>
                <w:szCs w:val="16"/>
                <w:color w:val="0000FF"/>
              </w:rPr>
              <w:t>2002.</w:t>
            </w: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6"/>
              </w:rPr>
              <w:t>31.2*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sz w:val="20"/>
                <w:szCs w:val="20"/>
                <w:color w:val="auto"/>
              </w:rPr>
            </w:pPr>
            <w:r>
              <w:rPr>
                <w:rFonts w:ascii="Arial" w:cs="Arial" w:eastAsia="Arial" w:hAnsi="Arial"/>
                <w:sz w:val="16"/>
                <w:szCs w:val="16"/>
                <w:color w:val="0000FF"/>
              </w:rPr>
              <w:t>Certification of Principal Financial Officer Pursuant to</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660" w:type="dxa"/>
            <w:vAlign w:val="bottom"/>
            <w:tcBorders>
              <w:right w:val="single" w:sz="8" w:color="CCEEFF"/>
            </w:tcBorders>
            <w:gridSpan w:val="6"/>
            <w:shd w:val="clear" w:color="auto" w:fill="0000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300" w:type="dxa"/>
            <w:vAlign w:val="bottom"/>
            <w:gridSpan w:val="7"/>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1"/>
            <w:shd w:val="clear" w:color="auto" w:fill="CCEEFF"/>
          </w:tcPr>
          <w:p>
            <w:pPr>
              <w:spacing w:after="0" w:line="152" w:lineRule="exact"/>
              <w:rPr>
                <w:sz w:val="20"/>
                <w:szCs w:val="20"/>
                <w:color w:val="auto"/>
              </w:rPr>
            </w:pPr>
            <w:r>
              <w:rPr>
                <w:rFonts w:ascii="Arial" w:cs="Arial" w:eastAsia="Arial" w:hAnsi="Arial"/>
                <w:sz w:val="16"/>
                <w:szCs w:val="16"/>
                <w:color w:val="0000FF"/>
                <w:w w:val="96"/>
              </w:rPr>
              <w:t>Securities Exchange Act Rules 13a-14(a) and 15(d)-14(a), as</w:t>
            </w: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65"/>
        </w:trPr>
        <w:tc>
          <w:tcPr>
            <w:tcW w:w="86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65" w:lineRule="exact"/>
              <w:rPr>
                <w:sz w:val="20"/>
                <w:szCs w:val="20"/>
                <w:color w:val="auto"/>
              </w:rPr>
            </w:pPr>
            <w:r>
              <w:rPr>
                <w:rFonts w:ascii="Arial" w:cs="Arial" w:eastAsia="Arial" w:hAnsi="Arial"/>
                <w:sz w:val="16"/>
                <w:szCs w:val="16"/>
                <w:color w:val="0000FF"/>
                <w:w w:val="95"/>
              </w:rPr>
              <w:t>adopted Pursuant to Section 302 of the Sarbanes-Oxley Act of</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99"/>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780" w:type="dxa"/>
            <w:vAlign w:val="bottom"/>
            <w:tcBorders>
              <w:top w:val="single" w:sz="8" w:color="0000FF"/>
            </w:tcBorders>
            <w:gridSpan w:val="2"/>
            <w:shd w:val="clear" w:color="auto" w:fill="CCEEFF"/>
          </w:tcPr>
          <w:p>
            <w:pPr>
              <w:spacing w:after="0" w:line="152" w:lineRule="exact"/>
              <w:rPr>
                <w:sz w:val="20"/>
                <w:szCs w:val="20"/>
                <w:color w:val="auto"/>
              </w:rPr>
            </w:pPr>
            <w:r>
              <w:rPr>
                <w:rFonts w:ascii="Arial" w:cs="Arial" w:eastAsia="Arial" w:hAnsi="Arial"/>
                <w:sz w:val="16"/>
                <w:szCs w:val="16"/>
                <w:color w:val="0000FF"/>
              </w:rPr>
              <w:t>2002.</w:t>
            </w: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2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32.1**</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sz w:val="20"/>
                <w:szCs w:val="20"/>
                <w:color w:val="auto"/>
              </w:rPr>
            </w:pPr>
            <w:r>
              <w:rPr>
                <w:rFonts w:ascii="Arial" w:cs="Arial" w:eastAsia="Arial" w:hAnsi="Arial"/>
                <w:sz w:val="16"/>
                <w:szCs w:val="16"/>
                <w:color w:val="0000FF"/>
              </w:rPr>
              <w:t>Certification of Principal Executive Officer Pursuant to 18</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20"/>
        </w:trPr>
        <w:tc>
          <w:tcPr>
            <w:tcW w:w="86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60" w:type="dxa"/>
            <w:vAlign w:val="bottom"/>
            <w:gridSpan w:val="3"/>
            <w:shd w:val="clear" w:color="auto" w:fill="0000FF"/>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00" w:type="dxa"/>
            <w:vAlign w:val="bottom"/>
            <w:gridSpan w:val="7"/>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r>
      <w:tr>
        <w:trPr>
          <w:trHeight w:val="152"/>
        </w:trPr>
        <w:tc>
          <w:tcPr>
            <w:tcW w:w="8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220" w:type="dxa"/>
            <w:vAlign w:val="bottom"/>
            <w:gridSpan w:val="21"/>
            <w:shd w:val="clear" w:color="auto" w:fill="CCEEFF"/>
          </w:tcPr>
          <w:p>
            <w:pPr>
              <w:spacing w:after="0" w:line="152" w:lineRule="exact"/>
              <w:rPr>
                <w:sz w:val="20"/>
                <w:szCs w:val="20"/>
                <w:color w:val="auto"/>
              </w:rPr>
            </w:pPr>
            <w:r>
              <w:rPr>
                <w:rFonts w:ascii="Arial" w:cs="Arial" w:eastAsia="Arial" w:hAnsi="Arial"/>
                <w:sz w:val="16"/>
                <w:szCs w:val="16"/>
                <w:color w:val="0000FF"/>
                <w:w w:val="92"/>
              </w:rPr>
              <w:t>U.S.C. Section 1350, as adopted Pursuant to Section 906 of the</w:t>
            </w: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19"/>
            <w:shd w:val="clear" w:color="auto" w:fill="CCEEFF"/>
          </w:tcPr>
          <w:p>
            <w:pPr>
              <w:spacing w:after="0" w:line="165" w:lineRule="exact"/>
              <w:rPr>
                <w:sz w:val="20"/>
                <w:szCs w:val="20"/>
                <w:color w:val="auto"/>
              </w:rPr>
            </w:pPr>
            <w:r>
              <w:rPr>
                <w:rFonts w:ascii="Arial" w:cs="Arial" w:eastAsia="Arial" w:hAnsi="Arial"/>
                <w:sz w:val="16"/>
                <w:szCs w:val="16"/>
                <w:color w:val="0000FF"/>
              </w:rPr>
              <w:t>Sarbanes-Oxley Act of 2002.</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172"/>
        </w:trPr>
        <w:tc>
          <w:tcPr>
            <w:tcW w:w="86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32.2**</w:t>
            </w:r>
          </w:p>
        </w:tc>
        <w:tc>
          <w:tcPr>
            <w:tcW w:w="180" w:type="dxa"/>
            <w:vAlign w:val="bottom"/>
            <w:tcBorders>
              <w:right w:val="single" w:sz="8" w:color="CCEEFF"/>
            </w:tcBorders>
            <w:shd w:val="clear" w:color="auto" w:fill="CCEEFF"/>
          </w:tcPr>
          <w:p>
            <w:pPr>
              <w:spacing w:after="0"/>
              <w:rPr>
                <w:sz w:val="14"/>
                <w:szCs w:val="14"/>
                <w:color w:val="auto"/>
              </w:rPr>
            </w:pPr>
          </w:p>
        </w:tc>
        <w:tc>
          <w:tcPr>
            <w:tcW w:w="4220" w:type="dxa"/>
            <w:vAlign w:val="bottom"/>
            <w:gridSpan w:val="21"/>
            <w:shd w:val="clear" w:color="auto" w:fill="CCEEFF"/>
          </w:tcPr>
          <w:p>
            <w:pPr>
              <w:spacing w:after="0" w:line="172" w:lineRule="exact"/>
              <w:rPr>
                <w:sz w:val="20"/>
                <w:szCs w:val="20"/>
                <w:color w:val="auto"/>
              </w:rPr>
            </w:pPr>
            <w:r>
              <w:rPr>
                <w:rFonts w:ascii="Arial" w:cs="Arial" w:eastAsia="Arial" w:hAnsi="Arial"/>
                <w:sz w:val="16"/>
                <w:szCs w:val="16"/>
                <w:color w:val="0000FF"/>
              </w:rPr>
              <w:t>Certification of Principal Financial Officer Pursuant to 18</w:t>
            </w: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X</w:t>
            </w:r>
          </w:p>
        </w:tc>
      </w:tr>
      <w:tr>
        <w:trPr>
          <w:trHeight w:val="152"/>
        </w:trPr>
        <w:tc>
          <w:tcPr>
            <w:tcW w:w="8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right w:val="single" w:sz="8" w:color="CCEEFF"/>
            </w:tcBorders>
            <w:shd w:val="clear" w:color="auto" w:fill="CCEEFF"/>
          </w:tcPr>
          <w:p>
            <w:pPr>
              <w:spacing w:after="0"/>
              <w:rPr>
                <w:sz w:val="13"/>
                <w:szCs w:val="13"/>
                <w:color w:val="auto"/>
              </w:rPr>
            </w:pPr>
          </w:p>
        </w:tc>
        <w:tc>
          <w:tcPr>
            <w:tcW w:w="3680" w:type="dxa"/>
            <w:vAlign w:val="bottom"/>
            <w:tcBorders>
              <w:top w:val="single" w:sz="8" w:color="0000FF"/>
            </w:tcBorders>
            <w:gridSpan w:val="10"/>
            <w:shd w:val="clear" w:color="auto" w:fill="CCEEFF"/>
          </w:tcPr>
          <w:p>
            <w:pPr>
              <w:spacing w:after="0" w:line="152" w:lineRule="exact"/>
              <w:rPr>
                <w:sz w:val="20"/>
                <w:szCs w:val="20"/>
                <w:color w:val="auto"/>
              </w:rPr>
            </w:pPr>
            <w:r>
              <w:rPr>
                <w:rFonts w:ascii="Arial" w:cs="Arial" w:eastAsia="Arial" w:hAnsi="Arial"/>
                <w:sz w:val="16"/>
                <w:szCs w:val="16"/>
                <w:color w:val="0000FF"/>
                <w:w w:val="89"/>
              </w:rPr>
              <w:t>U.S.C. Section 1350, as adopted Pursuant to Section 906</w:t>
            </w:r>
          </w:p>
        </w:tc>
        <w:tc>
          <w:tcPr>
            <w:tcW w:w="540" w:type="dxa"/>
            <w:vAlign w:val="bottom"/>
            <w:tcBorders>
              <w:top w:val="single" w:sz="8" w:color="CCEEFF"/>
            </w:tcBorders>
            <w:gridSpan w:val="11"/>
            <w:shd w:val="clear" w:color="auto" w:fill="CCEEFF"/>
          </w:tcPr>
          <w:p>
            <w:pPr>
              <w:spacing w:after="0" w:line="152" w:lineRule="exact"/>
              <w:rPr>
                <w:sz w:val="20"/>
                <w:szCs w:val="20"/>
                <w:color w:val="auto"/>
              </w:rPr>
            </w:pPr>
            <w:r>
              <w:rPr>
                <w:rFonts w:ascii="Arial" w:cs="Arial" w:eastAsia="Arial" w:hAnsi="Arial"/>
                <w:sz w:val="16"/>
                <w:szCs w:val="16"/>
                <w:color w:val="0000FF"/>
              </w:rPr>
              <w:t>of the</w:t>
            </w:r>
          </w:p>
        </w:tc>
        <w:tc>
          <w:tcPr>
            <w:tcW w:w="1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r>
      <w:tr>
        <w:trPr>
          <w:trHeight w:val="198"/>
        </w:trPr>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020" w:type="dxa"/>
            <w:vAlign w:val="bottom"/>
            <w:tcBorders>
              <w:top w:val="single" w:sz="8" w:color="0000FF"/>
            </w:tcBorders>
            <w:gridSpan w:val="19"/>
            <w:shd w:val="clear" w:color="auto" w:fill="CCEEFF"/>
          </w:tcPr>
          <w:p>
            <w:pPr>
              <w:spacing w:after="0" w:line="165" w:lineRule="exact"/>
              <w:rPr>
                <w:sz w:val="20"/>
                <w:szCs w:val="20"/>
                <w:color w:val="auto"/>
              </w:rPr>
            </w:pPr>
            <w:r>
              <w:rPr>
                <w:rFonts w:ascii="Arial" w:cs="Arial" w:eastAsia="Arial" w:hAnsi="Arial"/>
                <w:sz w:val="16"/>
                <w:szCs w:val="16"/>
                <w:color w:val="0000FF"/>
              </w:rPr>
              <w:t>Sarbanes-Oxley Act of 2002.</w:t>
            </w:r>
          </w:p>
        </w:tc>
        <w:tc>
          <w:tcPr>
            <w:tcW w:w="200" w:type="dxa"/>
            <w:vAlign w:val="bottom"/>
            <w:tcBorders>
              <w:top w:val="single" w:sz="8" w:color="CCEEFF"/>
            </w:tcBorders>
            <w:gridSpan w:val="2"/>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r>
      <w:tr>
        <w:trPr>
          <w:trHeight w:val="53"/>
        </w:trPr>
        <w:tc>
          <w:tcPr>
            <w:tcW w:w="8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240" w:type="dxa"/>
            <w:vAlign w:val="bottom"/>
            <w:tcBorders>
              <w:top w:val="single" w:sz="8" w:color="CCEEFF"/>
            </w:tcBorders>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3"/>
              </w:rPr>
              <w:t>101.INS</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XBRL Instance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6"/>
              </w:rPr>
              <w:t>101.CAL</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w w:val="98"/>
              </w:rPr>
              <w:t>XBRL Taxonomy Extension Calculation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2"/>
              </w:rPr>
              <w:t>101.SCH</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1"/>
              </w:rPr>
              <w:t>101.DEF</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7"/>
              </w:rPr>
              <w:t>101.LAB</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XBRL Taxonomy Extension Labels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5"/>
        </w:trPr>
        <w:tc>
          <w:tcPr>
            <w:tcW w:w="1040" w:type="dxa"/>
            <w:vAlign w:val="bottom"/>
            <w:tcBorders>
              <w:right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87"/>
              </w:rPr>
              <w:t>101.PRE</w:t>
            </w: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w w:val="96"/>
              </w:rPr>
              <w:t>XBRL Taxonomy Extension Presentation Linkbase Document</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53"/>
        </w:trPr>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176"/>
        </w:trPr>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89"/>
              </w:rPr>
              <w:t>104</w:t>
            </w:r>
          </w:p>
        </w:tc>
        <w:tc>
          <w:tcPr>
            <w:tcW w:w="180" w:type="dxa"/>
            <w:vAlign w:val="bottom"/>
            <w:tcBorders>
              <w:right w:val="single" w:sz="8" w:color="CCEEFF"/>
            </w:tcBorders>
            <w:shd w:val="clear" w:color="auto" w:fill="CCEEFF"/>
          </w:tcPr>
          <w:p>
            <w:pPr>
              <w:spacing w:after="0"/>
              <w:rPr>
                <w:sz w:val="15"/>
                <w:szCs w:val="15"/>
                <w:color w:val="auto"/>
              </w:rPr>
            </w:pPr>
          </w:p>
        </w:tc>
        <w:tc>
          <w:tcPr>
            <w:tcW w:w="4220" w:type="dxa"/>
            <w:vAlign w:val="bottom"/>
            <w:gridSpan w:val="21"/>
            <w:shd w:val="clear" w:color="auto" w:fill="CCEEFF"/>
          </w:tcPr>
          <w:p>
            <w:pPr>
              <w:spacing w:after="0" w:line="176" w:lineRule="exact"/>
              <w:rPr>
                <w:sz w:val="20"/>
                <w:szCs w:val="20"/>
                <w:color w:val="auto"/>
              </w:rPr>
            </w:pPr>
            <w:r>
              <w:rPr>
                <w:rFonts w:ascii="Arial" w:cs="Arial" w:eastAsia="Arial" w:hAnsi="Arial"/>
                <w:sz w:val="16"/>
                <w:szCs w:val="16"/>
                <w:color w:val="auto"/>
              </w:rPr>
              <w:t>Cover Page Interactive Data File (formatted as inline XBRL</w:t>
            </w: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X</w:t>
            </w:r>
          </w:p>
        </w:tc>
      </w:tr>
      <w:tr>
        <w:trPr>
          <w:trHeight w:val="185"/>
        </w:trPr>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w w:val="98"/>
              </w:rPr>
              <w:t>with applicable taxonomy extension information contained in</w:t>
            </w: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2"/>
        </w:trPr>
        <w:tc>
          <w:tcPr>
            <w:tcW w:w="8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4220" w:type="dxa"/>
            <w:vAlign w:val="bottom"/>
            <w:gridSpan w:val="21"/>
            <w:shd w:val="clear" w:color="auto" w:fill="CCEEFF"/>
          </w:tcPr>
          <w:p>
            <w:pPr>
              <w:spacing w:after="0"/>
              <w:rPr>
                <w:sz w:val="20"/>
                <w:szCs w:val="20"/>
                <w:color w:val="auto"/>
              </w:rPr>
            </w:pPr>
            <w:r>
              <w:rPr>
                <w:rFonts w:ascii="Arial" w:cs="Arial" w:eastAsia="Arial" w:hAnsi="Arial"/>
                <w:sz w:val="16"/>
                <w:szCs w:val="16"/>
                <w:color w:val="auto"/>
              </w:rPr>
              <w:t>Exhibits 101.)</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hanging="416"/>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Furnished.</w:t>
      </w:r>
    </w:p>
    <w:p>
      <w:pPr>
        <w:spacing w:after="0" w:line="45" w:lineRule="exact"/>
        <w:rPr>
          <w:sz w:val="20"/>
          <w:szCs w:val="20"/>
          <w:color w:val="auto"/>
        </w:rPr>
      </w:pPr>
    </w:p>
    <w:p>
      <w:pPr>
        <w:ind w:left="440" w:right="3099" w:hanging="416"/>
        <w:spacing w:after="0" w:line="239"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200" w:lineRule="exact"/>
        <w:rPr>
          <w:sz w:val="20"/>
          <w:szCs w:val="20"/>
          <w:color w:val="auto"/>
        </w:rPr>
      </w:pPr>
    </w:p>
    <w:p>
      <w:pPr>
        <w:spacing w:after="0" w:line="3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1220" w:type="dxa"/>
            <w:vAlign w:val="bottom"/>
            <w:gridSpan w:val="2"/>
          </w:tcPr>
          <w:p>
            <w:pPr>
              <w:ind w:left="6240"/>
              <w:spacing w:after="0"/>
              <w:rPr>
                <w:sz w:val="20"/>
                <w:szCs w:val="20"/>
                <w:color w:val="auto"/>
              </w:rPr>
            </w:pPr>
            <w:r>
              <w:rPr>
                <w:rFonts w:ascii="Arial" w:cs="Arial" w:eastAsia="Arial" w:hAnsi="Arial"/>
                <w:sz w:val="18"/>
                <w:szCs w:val="18"/>
                <w:b w:val="1"/>
                <w:bCs w:val="1"/>
                <w:color w:val="auto"/>
              </w:rPr>
              <w:t>SEMA4 HOLDINGS CORP.</w:t>
            </w:r>
          </w:p>
        </w:tc>
        <w:tc>
          <w:tcPr>
            <w:tcW w:w="0" w:type="dxa"/>
            <w:vAlign w:val="bottom"/>
          </w:tcPr>
          <w:p>
            <w:pPr>
              <w:spacing w:after="0"/>
              <w:rPr>
                <w:sz w:val="1"/>
                <w:szCs w:val="1"/>
                <w:color w:val="auto"/>
              </w:rPr>
            </w:pPr>
          </w:p>
        </w:tc>
      </w:tr>
      <w:tr>
        <w:trPr>
          <w:trHeight w:val="517"/>
        </w:trPr>
        <w:tc>
          <w:tcPr>
            <w:tcW w:w="7040" w:type="dxa"/>
            <w:vAlign w:val="bottom"/>
          </w:tcPr>
          <w:p>
            <w:pPr>
              <w:spacing w:after="0"/>
              <w:rPr>
                <w:sz w:val="20"/>
                <w:szCs w:val="20"/>
                <w:color w:val="auto"/>
              </w:rPr>
            </w:pPr>
            <w:r>
              <w:rPr>
                <w:rFonts w:ascii="Arial" w:cs="Arial" w:eastAsia="Arial" w:hAnsi="Arial"/>
                <w:sz w:val="18"/>
                <w:szCs w:val="18"/>
                <w:color w:val="auto"/>
              </w:rPr>
              <w:t>Date: August 15, 2022</w:t>
            </w:r>
          </w:p>
        </w:tc>
        <w:tc>
          <w:tcPr>
            <w:tcW w:w="4180" w:type="dxa"/>
            <w:vAlign w:val="bottom"/>
          </w:tcPr>
          <w:p>
            <w:pPr>
              <w:ind w:left="20"/>
              <w:spacing w:after="0"/>
              <w:rPr>
                <w:sz w:val="20"/>
                <w:szCs w:val="20"/>
                <w:color w:val="auto"/>
              </w:rPr>
            </w:pPr>
            <w:r>
              <w:rPr>
                <w:rFonts w:ascii="Arial" w:cs="Arial" w:eastAsia="Arial" w:hAnsi="Arial"/>
                <w:sz w:val="18"/>
                <w:szCs w:val="18"/>
                <w:color w:val="auto"/>
              </w:rPr>
              <w:t>/s/ Katherine Stueland</w:t>
            </w:r>
          </w:p>
        </w:tc>
        <w:tc>
          <w:tcPr>
            <w:tcW w:w="0" w:type="dxa"/>
            <w:vAlign w:val="bottom"/>
          </w:tcPr>
          <w:p>
            <w:pPr>
              <w:spacing w:after="0"/>
              <w:rPr>
                <w:sz w:val="1"/>
                <w:szCs w:val="1"/>
                <w:color w:val="auto"/>
              </w:rPr>
            </w:pPr>
          </w:p>
        </w:tc>
      </w:tr>
      <w:tr>
        <w:trPr>
          <w:trHeight w:val="28"/>
        </w:trPr>
        <w:tc>
          <w:tcPr>
            <w:tcW w:w="7040" w:type="dxa"/>
            <w:vAlign w:val="bottom"/>
            <w:vMerge w:val="restart"/>
          </w:tcPr>
          <w:p>
            <w:pPr>
              <w:ind w:left="6240"/>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40" w:type="dxa"/>
            <w:vAlign w:val="bottom"/>
            <w:vMerge w:val="continue"/>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Katherine Stueland</w:t>
            </w:r>
          </w:p>
        </w:tc>
        <w:tc>
          <w:tcPr>
            <w:tcW w:w="0" w:type="dxa"/>
            <w:vAlign w:val="bottom"/>
          </w:tcPr>
          <w:p>
            <w:pPr>
              <w:spacing w:after="0"/>
              <w:rPr>
                <w:sz w:val="1"/>
                <w:szCs w:val="1"/>
                <w:color w:val="auto"/>
              </w:rPr>
            </w:pPr>
          </w:p>
        </w:tc>
      </w:tr>
      <w:tr>
        <w:trPr>
          <w:trHeight w:val="227"/>
        </w:trPr>
        <w:tc>
          <w:tcPr>
            <w:tcW w:w="7040" w:type="dxa"/>
            <w:vAlign w:val="bottom"/>
          </w:tcPr>
          <w:p>
            <w:pPr>
              <w:ind w:left="6240"/>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w w:val="92"/>
              </w:rPr>
              <w:t>Chief Executive Officer and Director (Principal Executive</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517"/>
        </w:trPr>
        <w:tc>
          <w:tcPr>
            <w:tcW w:w="7040" w:type="dxa"/>
            <w:vAlign w:val="bottom"/>
          </w:tcPr>
          <w:p>
            <w:pPr>
              <w:spacing w:after="0"/>
              <w:rPr>
                <w:sz w:val="20"/>
                <w:szCs w:val="20"/>
                <w:color w:val="auto"/>
              </w:rPr>
            </w:pPr>
            <w:r>
              <w:rPr>
                <w:rFonts w:ascii="Arial" w:cs="Arial" w:eastAsia="Arial" w:hAnsi="Arial"/>
                <w:sz w:val="18"/>
                <w:szCs w:val="18"/>
                <w:color w:val="auto"/>
              </w:rPr>
              <w:t>Date: August 15, 2022</w:t>
            </w:r>
          </w:p>
        </w:tc>
        <w:tc>
          <w:tcPr>
            <w:tcW w:w="4180" w:type="dxa"/>
            <w:vAlign w:val="bottom"/>
          </w:tcPr>
          <w:p>
            <w:pPr>
              <w:ind w:left="20"/>
              <w:spacing w:after="0"/>
              <w:rPr>
                <w:sz w:val="20"/>
                <w:szCs w:val="20"/>
                <w:color w:val="auto"/>
              </w:rPr>
            </w:pPr>
            <w:r>
              <w:rPr>
                <w:rFonts w:ascii="Arial" w:cs="Arial" w:eastAsia="Arial" w:hAnsi="Arial"/>
                <w:sz w:val="18"/>
                <w:szCs w:val="18"/>
                <w:color w:val="auto"/>
              </w:rPr>
              <w:t>/s/ Richard Miao</w:t>
            </w:r>
          </w:p>
        </w:tc>
        <w:tc>
          <w:tcPr>
            <w:tcW w:w="0" w:type="dxa"/>
            <w:vAlign w:val="bottom"/>
          </w:tcPr>
          <w:p>
            <w:pPr>
              <w:spacing w:after="0"/>
              <w:rPr>
                <w:sz w:val="1"/>
                <w:szCs w:val="1"/>
                <w:color w:val="auto"/>
              </w:rPr>
            </w:pPr>
          </w:p>
        </w:tc>
      </w:tr>
      <w:tr>
        <w:trPr>
          <w:trHeight w:val="28"/>
        </w:trPr>
        <w:tc>
          <w:tcPr>
            <w:tcW w:w="7040" w:type="dxa"/>
            <w:vAlign w:val="bottom"/>
            <w:vMerge w:val="restart"/>
          </w:tcPr>
          <w:p>
            <w:pPr>
              <w:ind w:left="6240"/>
              <w:spacing w:after="0"/>
              <w:rPr>
                <w:sz w:val="20"/>
                <w:szCs w:val="20"/>
                <w:color w:val="auto"/>
              </w:rPr>
            </w:pPr>
            <w:r>
              <w:rPr>
                <w:rFonts w:ascii="Arial" w:cs="Arial" w:eastAsia="Arial" w:hAnsi="Arial"/>
                <w:sz w:val="18"/>
                <w:szCs w:val="18"/>
                <w:color w:val="auto"/>
              </w:rPr>
              <w:t>Name:</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40" w:type="dxa"/>
            <w:vAlign w:val="bottom"/>
            <w:vMerge w:val="continue"/>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Richard Miao</w:t>
            </w:r>
          </w:p>
        </w:tc>
        <w:tc>
          <w:tcPr>
            <w:tcW w:w="0" w:type="dxa"/>
            <w:vAlign w:val="bottom"/>
          </w:tcPr>
          <w:p>
            <w:pPr>
              <w:spacing w:after="0"/>
              <w:rPr>
                <w:sz w:val="1"/>
                <w:szCs w:val="1"/>
                <w:color w:val="auto"/>
              </w:rPr>
            </w:pPr>
          </w:p>
        </w:tc>
      </w:tr>
      <w:tr>
        <w:trPr>
          <w:trHeight w:val="227"/>
        </w:trPr>
        <w:tc>
          <w:tcPr>
            <w:tcW w:w="7040" w:type="dxa"/>
            <w:vAlign w:val="bottom"/>
          </w:tcPr>
          <w:p>
            <w:pPr>
              <w:ind w:left="6240"/>
              <w:spacing w:after="0"/>
              <w:rPr>
                <w:sz w:val="20"/>
                <w:szCs w:val="20"/>
                <w:color w:val="auto"/>
              </w:rPr>
            </w:pPr>
            <w:r>
              <w:rPr>
                <w:rFonts w:ascii="Arial" w:cs="Arial" w:eastAsia="Arial" w:hAnsi="Arial"/>
                <w:sz w:val="18"/>
                <w:szCs w:val="18"/>
                <w:color w:val="auto"/>
              </w:rPr>
              <w:t>Title:</w:t>
            </w:r>
          </w:p>
        </w:tc>
        <w:tc>
          <w:tcPr>
            <w:tcW w:w="4180" w:type="dxa"/>
            <w:vAlign w:val="bottom"/>
          </w:tcPr>
          <w:p>
            <w:pPr>
              <w:ind w:left="20"/>
              <w:spacing w:after="0"/>
              <w:rPr>
                <w:sz w:val="20"/>
                <w:szCs w:val="20"/>
                <w:color w:val="auto"/>
              </w:rPr>
            </w:pPr>
            <w:r>
              <w:rPr>
                <w:rFonts w:ascii="Arial" w:cs="Arial" w:eastAsia="Arial" w:hAnsi="Arial"/>
                <w:sz w:val="18"/>
                <w:szCs w:val="18"/>
                <w:color w:val="auto"/>
              </w:rPr>
              <w:t>Interim Chief Financial Officer (Principal Financial</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742"/>
        </w:trPr>
        <w:tc>
          <w:tcPr>
            <w:tcW w:w="7040" w:type="dxa"/>
            <w:vAlign w:val="bottom"/>
          </w:tcPr>
          <w:p>
            <w:pPr>
              <w:ind w:left="5640"/>
              <w:spacing w:after="0"/>
              <w:rPr>
                <w:sz w:val="20"/>
                <w:szCs w:val="20"/>
                <w:color w:val="auto"/>
              </w:rPr>
            </w:pPr>
            <w:r>
              <w:rPr>
                <w:rFonts w:ascii="Arial" w:cs="Arial" w:eastAsia="Arial" w:hAnsi="Arial"/>
                <w:sz w:val="18"/>
                <w:szCs w:val="18"/>
                <w:color w:val="auto"/>
              </w:rPr>
              <w:t>111</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9"/>
          <w:szCs w:val="19"/>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 Separation Agreement and General Release</w:t>
      </w:r>
    </w:p>
    <w:p>
      <w:pPr>
        <w:spacing w:after="0" w:line="215" w:lineRule="exact"/>
        <w:rPr>
          <w:sz w:val="20"/>
          <w:szCs w:val="20"/>
          <w:color w:val="auto"/>
        </w:rPr>
      </w:pPr>
    </w:p>
    <w:p>
      <w:pPr>
        <w:jc w:val="both"/>
        <w:ind w:right="300" w:firstLine="636"/>
        <w:spacing w:after="0" w:line="230" w:lineRule="auto"/>
        <w:rPr>
          <w:sz w:val="20"/>
          <w:szCs w:val="20"/>
          <w:color w:val="auto"/>
        </w:rPr>
      </w:pPr>
      <w:r>
        <w:rPr>
          <w:rFonts w:ascii="Arial" w:cs="Arial" w:eastAsia="Arial" w:hAnsi="Arial"/>
          <w:sz w:val="21"/>
          <w:szCs w:val="21"/>
          <w:color w:val="auto"/>
        </w:rPr>
        <w:t>This Confidential Separation Agreement and General Release (“Agreement”) is made by and between Sema4 OpCo, Inc. (“Employer”) and Isaac Ro (“Employee”). This Agreement may not be cited as an admission by Employer of any wrongdoing or violation of any law or regulation.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WHEREAS, Employee entered into an Employment Agreement on or about July 22, 2021 (“</w:t>
      </w:r>
      <w:r>
        <w:rPr>
          <w:rFonts w:ascii="Arial" w:cs="Arial" w:eastAsia="Arial" w:hAnsi="Arial"/>
          <w:sz w:val="20"/>
          <w:szCs w:val="20"/>
          <w:b w:val="1"/>
          <w:bCs w:val="1"/>
          <w:color w:val="auto"/>
        </w:rPr>
        <w:t>Employment Agreement</w:t>
      </w:r>
      <w:r>
        <w:rPr>
          <w:rFonts w:ascii="Arial" w:cs="Arial" w:eastAsia="Arial" w:hAnsi="Arial"/>
          <w:sz w:val="20"/>
          <w:szCs w:val="20"/>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1"/>
          <w:szCs w:val="21"/>
          <w:color w:val="auto"/>
        </w:rPr>
        <w:t>and</w:t>
      </w:r>
    </w:p>
    <w:p>
      <w:pPr>
        <w:spacing w:after="0" w:line="165" w:lineRule="exact"/>
        <w:rPr>
          <w:sz w:val="20"/>
          <w:szCs w:val="20"/>
          <w:color w:val="auto"/>
        </w:rPr>
      </w:pPr>
    </w:p>
    <w:p>
      <w:pPr>
        <w:jc w:val="both"/>
        <w:ind w:right="20" w:firstLine="636"/>
        <w:spacing w:after="0" w:line="239" w:lineRule="auto"/>
        <w:rPr>
          <w:sz w:val="20"/>
          <w:szCs w:val="20"/>
          <w:color w:val="auto"/>
        </w:rPr>
      </w:pPr>
      <w:r>
        <w:rPr>
          <w:rFonts w:ascii="Arial" w:cs="Arial" w:eastAsia="Arial" w:hAnsi="Arial"/>
          <w:sz w:val="21"/>
          <w:szCs w:val="21"/>
          <w:color w:val="auto"/>
        </w:rPr>
        <w:t>WHEREAS, pursuant to Paragraph 5(B)(iv) of the Employment Agreement, Employee’s employment can be terminated without cause upon sixty (60) days’ notice; and</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Employee was given notice on June 10, 2022 of the termination of his employment; and</w:t>
      </w:r>
    </w:p>
    <w:p>
      <w:pPr>
        <w:spacing w:after="0" w:line="183" w:lineRule="exact"/>
        <w:rPr>
          <w:sz w:val="20"/>
          <w:szCs w:val="20"/>
          <w:color w:val="auto"/>
        </w:rPr>
      </w:pPr>
    </w:p>
    <w:p>
      <w:pPr>
        <w:jc w:val="both"/>
        <w:ind w:firstLine="636"/>
        <w:spacing w:after="0" w:line="231" w:lineRule="auto"/>
        <w:rPr>
          <w:sz w:val="20"/>
          <w:szCs w:val="20"/>
          <w:color w:val="auto"/>
        </w:rPr>
      </w:pPr>
      <w:r>
        <w:rPr>
          <w:rFonts w:ascii="Arial" w:cs="Arial" w:eastAsia="Arial" w:hAnsi="Arial"/>
          <w:sz w:val="20"/>
          <w:szCs w:val="20"/>
          <w:color w:val="auto"/>
        </w:rPr>
        <w:t>WHEREAS, pursuant to Paragraphs 5(D) and (F) of the Employment Agreement, upon termination of his employment without cause Employee is entitled to certain severance benefits subject to certain conditions, specifically (i) the execution of a release in a form prescribed by the Employer, which release must have become effective and the revocation period expired without the Employee having revoked the release; (ii) Employee’s compliance with Sections 9 and 12 of the Employment Agreement and the Proprietary Information and Inventions Agreement entered into by the Employee and the Employer on or about July 7, 2021 (the “</w:t>
      </w:r>
      <w:r>
        <w:rPr>
          <w:rFonts w:ascii="Arial" w:cs="Arial" w:eastAsia="Arial" w:hAnsi="Arial"/>
          <w:sz w:val="20"/>
          <w:szCs w:val="20"/>
          <w:b w:val="1"/>
          <w:bCs w:val="1"/>
          <w:color w:val="auto"/>
        </w:rPr>
        <w:t>PIIA</w:t>
      </w:r>
      <w:r>
        <w:rPr>
          <w:rFonts w:ascii="Arial" w:cs="Arial" w:eastAsia="Arial" w:hAnsi="Arial"/>
          <w:sz w:val="20"/>
          <w:szCs w:val="20"/>
          <w:color w:val="auto"/>
        </w:rPr>
        <w:t>”); and (iii) applicable federal, state and local withholdings for taxes; and</w:t>
      </w:r>
    </w:p>
    <w:p>
      <w:pPr>
        <w:spacing w:after="0" w:line="156"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WHEREAS, pursuant to Paragraph 5(D)(ii) of the Employment Agreement, upon termination of his employment without cause Employee is entitled to continue to participate in Employer’s health benefit plans in accordance with the terms of Paragraph 5(D)(ii); and</w:t>
      </w:r>
    </w:p>
    <w:p>
      <w:pPr>
        <w:spacing w:after="0" w:line="154" w:lineRule="exact"/>
        <w:rPr>
          <w:sz w:val="20"/>
          <w:szCs w:val="20"/>
          <w:color w:val="auto"/>
        </w:rPr>
      </w:pPr>
    </w:p>
    <w:p>
      <w:pPr>
        <w:jc w:val="both"/>
        <w:ind w:right="20" w:firstLine="636"/>
        <w:spacing w:after="0" w:line="263" w:lineRule="auto"/>
        <w:rPr>
          <w:sz w:val="20"/>
          <w:szCs w:val="20"/>
          <w:color w:val="auto"/>
        </w:rPr>
      </w:pPr>
      <w:r>
        <w:rPr>
          <w:rFonts w:ascii="Arial" w:cs="Arial" w:eastAsia="Arial" w:hAnsi="Arial"/>
          <w:sz w:val="20"/>
          <w:szCs w:val="20"/>
          <w:color w:val="auto"/>
        </w:rPr>
        <w:t>WHEREAS, Employer and Employee are entering into a Consulting Agreement regarding Employee’s continued provision of consultation to Employer for the six month period beginning on August 10, 2021 (the “</w:t>
      </w:r>
      <w:r>
        <w:rPr>
          <w:rFonts w:ascii="Arial" w:cs="Arial" w:eastAsia="Arial" w:hAnsi="Arial"/>
          <w:sz w:val="20"/>
          <w:szCs w:val="20"/>
          <w:b w:val="1"/>
          <w:bCs w:val="1"/>
          <w:color w:val="auto"/>
        </w:rPr>
        <w:t>Consulting Agreement</w:t>
      </w:r>
      <w:r>
        <w:rPr>
          <w:rFonts w:ascii="Arial" w:cs="Arial" w:eastAsia="Arial" w:hAnsi="Arial"/>
          <w:sz w:val="20"/>
          <w:szCs w:val="20"/>
          <w:color w:val="auto"/>
        </w:rPr>
        <w:t>”).</w:t>
      </w:r>
    </w:p>
    <w:p>
      <w:pPr>
        <w:spacing w:after="0" w:line="132" w:lineRule="exact"/>
        <w:rPr>
          <w:sz w:val="20"/>
          <w:szCs w:val="20"/>
          <w:color w:val="auto"/>
        </w:rPr>
      </w:pPr>
    </w:p>
    <w:p>
      <w:pPr>
        <w:jc w:val="both"/>
        <w:ind w:right="20" w:firstLine="636"/>
        <w:spacing w:after="0" w:line="239" w:lineRule="auto"/>
        <w:rPr>
          <w:sz w:val="20"/>
          <w:szCs w:val="20"/>
          <w:color w:val="auto"/>
        </w:rPr>
      </w:pPr>
      <w:r>
        <w:rPr>
          <w:rFonts w:ascii="Arial" w:cs="Arial" w:eastAsia="Arial" w:hAnsi="Arial"/>
          <w:sz w:val="21"/>
          <w:szCs w:val="21"/>
          <w:color w:val="auto"/>
        </w:rPr>
        <w:t>NOW, THEREFORE, in consideration of the promises and mutual covenants contained herein, the receipt and adequacy of which are hereby acknowledged by the parties, it is agreed as follows:</w:t>
      </w:r>
    </w:p>
    <w:p>
      <w:pPr>
        <w:spacing w:after="0" w:line="195" w:lineRule="exact"/>
        <w:rPr>
          <w:sz w:val="20"/>
          <w:szCs w:val="20"/>
          <w:color w:val="auto"/>
        </w:rPr>
      </w:pPr>
    </w:p>
    <w:p>
      <w:pPr>
        <w:jc w:val="both"/>
        <w:ind w:firstLine="642"/>
        <w:spacing w:after="0" w:line="297" w:lineRule="auto"/>
        <w:tabs>
          <w:tab w:leader="none" w:pos="1272"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Termination Date</w:t>
      </w:r>
      <w:r>
        <w:rPr>
          <w:rFonts w:ascii="Arial" w:cs="Arial" w:eastAsia="Arial" w:hAnsi="Arial"/>
          <w:sz w:val="20"/>
          <w:szCs w:val="20"/>
          <w:color w:val="auto"/>
        </w:rPr>
        <w:t>: Employee’s last effective day of employment as Employer’s Chief Financial Officer will be August 9, 2022 (the “</w:t>
      </w:r>
      <w:r>
        <w:rPr>
          <w:rFonts w:ascii="Arial" w:cs="Arial" w:eastAsia="Arial" w:hAnsi="Arial"/>
          <w:sz w:val="20"/>
          <w:szCs w:val="20"/>
          <w:b w:val="1"/>
          <w:bCs w:val="1"/>
          <w:color w:val="auto"/>
        </w:rPr>
        <w:t>Termination Date</w:t>
      </w:r>
      <w:r>
        <w:rPr>
          <w:rFonts w:ascii="Arial" w:cs="Arial" w:eastAsia="Arial" w:hAnsi="Arial"/>
          <w:sz w:val="20"/>
          <w:szCs w:val="20"/>
          <w:color w:val="auto"/>
        </w:rPr>
        <w:t>”), and Employee shall be paid all accrued wages due through the Termination Date,</w:t>
      </w:r>
    </w:p>
    <w:p>
      <w:pPr>
        <w:jc w:val="both"/>
        <w:spacing w:after="0" w:line="276" w:lineRule="auto"/>
        <w:rPr>
          <w:rFonts w:ascii="Arial" w:cs="Arial" w:eastAsia="Arial" w:hAnsi="Arial"/>
          <w:sz w:val="20"/>
          <w:szCs w:val="20"/>
          <w:color w:val="auto"/>
        </w:rPr>
      </w:pPr>
      <w:r>
        <w:rPr>
          <w:rFonts w:ascii="Arial" w:cs="Arial" w:eastAsia="Arial" w:hAnsi="Arial"/>
          <w:sz w:val="21"/>
          <w:szCs w:val="21"/>
          <w:color w:val="auto"/>
        </w:rPr>
        <w:t>whether or not Employee signs this Agreement. Employee’s coverage as an active employee under the Employer’s medical, prescription, dental and vison benefit plans will terminate as of August 31, 2022, subject to the continuation benefits described in Paragraph 2.</w:t>
      </w:r>
    </w:p>
    <w:p>
      <w:pPr>
        <w:spacing w:after="0" w:line="1" w:lineRule="exact"/>
        <w:rPr>
          <w:rFonts w:ascii="Arial" w:cs="Arial" w:eastAsia="Arial" w:hAnsi="Arial"/>
          <w:sz w:val="20"/>
          <w:szCs w:val="20"/>
          <w:color w:val="auto"/>
        </w:rPr>
      </w:pPr>
    </w:p>
    <w:p>
      <w:pPr>
        <w:ind w:left="1280" w:hanging="638"/>
        <w:spacing w:after="0"/>
        <w:tabs>
          <w:tab w:leader="none" w:pos="128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Severance Payment and Health Benefit Coverage</w:t>
      </w:r>
      <w:r>
        <w:rPr>
          <w:rFonts w:ascii="Arial" w:cs="Arial" w:eastAsia="Arial" w:hAnsi="Arial"/>
          <w:sz w:val="19"/>
          <w:szCs w:val="19"/>
          <w:color w:val="auto"/>
        </w:rPr>
        <w:t>: Provided that Employee executes this Agreement and does not</w:t>
      </w:r>
    </w:p>
    <w:p>
      <w:pPr>
        <w:spacing w:after="0" w:line="73" w:lineRule="exact"/>
        <w:rPr>
          <w:rFonts w:ascii="Arial" w:cs="Arial" w:eastAsia="Arial" w:hAnsi="Arial"/>
          <w:sz w:val="19"/>
          <w:szCs w:val="19"/>
          <w:color w:val="auto"/>
        </w:rPr>
      </w:pPr>
    </w:p>
    <w:p>
      <w:pPr>
        <w:spacing w:after="0" w:line="276" w:lineRule="auto"/>
        <w:rPr>
          <w:rFonts w:ascii="Arial" w:cs="Arial" w:eastAsia="Arial" w:hAnsi="Arial"/>
          <w:sz w:val="19"/>
          <w:szCs w:val="19"/>
          <w:color w:val="auto"/>
        </w:rPr>
      </w:pPr>
      <w:r>
        <w:rPr>
          <w:rFonts w:ascii="Arial" w:cs="Arial" w:eastAsia="Arial" w:hAnsi="Arial"/>
          <w:sz w:val="21"/>
          <w:szCs w:val="21"/>
          <w:color w:val="auto"/>
        </w:rPr>
        <w:t>revoke it within the period specified in Paragraph 12 below, and further provided that Employee complies with the terms of this Agreement, then, in consideration of Employee’s obligations set forth in this Agreement:</w:t>
      </w:r>
    </w:p>
    <w:p>
      <w:pPr>
        <w:spacing w:after="0" w:line="1" w:lineRule="exact"/>
        <w:rPr>
          <w:rFonts w:ascii="Arial" w:cs="Arial" w:eastAsia="Arial" w:hAnsi="Arial"/>
          <w:sz w:val="19"/>
          <w:szCs w:val="19"/>
          <w:color w:val="auto"/>
        </w:rPr>
      </w:pPr>
    </w:p>
    <w:p>
      <w:pPr>
        <w:jc w:val="both"/>
        <w:ind w:firstLine="1278"/>
        <w:spacing w:after="0" w:line="295" w:lineRule="auto"/>
        <w:tabs>
          <w:tab w:leader="none" w:pos="1905" w:val="left"/>
        </w:tabs>
        <w:numPr>
          <w:ilvl w:val="1"/>
          <w:numId w:val="55"/>
        </w:numPr>
        <w:rPr>
          <w:rFonts w:ascii="Arial" w:cs="Arial" w:eastAsia="Arial" w:hAnsi="Arial"/>
          <w:sz w:val="21"/>
          <w:szCs w:val="21"/>
          <w:color w:val="auto"/>
        </w:rPr>
      </w:pPr>
      <w:r>
        <w:rPr>
          <w:rFonts w:ascii="Arial" w:cs="Arial" w:eastAsia="Arial" w:hAnsi="Arial"/>
          <w:sz w:val="21"/>
          <w:szCs w:val="21"/>
          <w:color w:val="auto"/>
        </w:rPr>
        <w:t>Employer shall pay Employee, as severance pay, for nine (9) months at Employee’s current base salary, less all required deductions and withholdings, in accordance with Employer’s regular payroll practices (the “</w:t>
      </w:r>
      <w:r>
        <w:rPr>
          <w:rFonts w:ascii="Arial" w:cs="Arial" w:eastAsia="Arial" w:hAnsi="Arial"/>
          <w:sz w:val="21"/>
          <w:szCs w:val="21"/>
          <w:b w:val="1"/>
          <w:bCs w:val="1"/>
          <w:color w:val="auto"/>
        </w:rPr>
        <w:t>Severance Payment</w:t>
      </w:r>
      <w:r>
        <w:rPr>
          <w:rFonts w:ascii="Arial" w:cs="Arial" w:eastAsia="Arial" w:hAnsi="Arial"/>
          <w:sz w:val="21"/>
          <w:szCs w:val="21"/>
          <w:color w:val="auto"/>
        </w:rPr>
        <w:t>”), starting on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w:t>
      </w:r>
    </w:p>
    <w:p>
      <w:pPr>
        <w:sectPr>
          <w:pgSz w:w="11900" w:h="16838" w:orient="portrait"/>
          <w:cols w:equalWidth="0" w:num="1">
            <w:col w:w="11240"/>
          </w:cols>
          <w:pgMar w:left="320" w:top="104" w:right="339" w:bottom="1440" w:gutter="0" w:footer="0" w:header="0"/>
        </w:sectPr>
      </w:pPr>
    </w:p>
    <w:bookmarkStart w:id="112" w:name="page113"/>
    <w:bookmarkEnd w:id="112"/>
    <w:p>
      <w:pPr>
        <w:spacing w:after="0" w:line="283" w:lineRule="auto"/>
        <w:rPr>
          <w:sz w:val="20"/>
          <w:szCs w:val="20"/>
          <w:color w:val="auto"/>
        </w:rPr>
      </w:pPr>
      <w:r>
        <w:rPr>
          <w:rFonts w:ascii="Arial" w:cs="Arial" w:eastAsia="Arial" w:hAnsi="Arial"/>
          <w:sz w:val="21"/>
          <w:szCs w:val="21"/>
          <w:color w:val="auto"/>
        </w:rPr>
        <w:t>after the Termination Date, with the first payment to include those payments that would have occurred earlier but for the 60-day delay; and</w:t>
      </w:r>
    </w:p>
    <w:p>
      <w:pPr>
        <w:jc w:val="both"/>
        <w:ind w:firstLine="1278"/>
        <w:spacing w:after="0" w:line="309" w:lineRule="auto"/>
        <w:tabs>
          <w:tab w:leader="none" w:pos="1903" w:val="left"/>
        </w:tabs>
        <w:numPr>
          <w:ilvl w:val="1"/>
          <w:numId w:val="56"/>
        </w:numPr>
        <w:rPr>
          <w:rFonts w:ascii="Arial" w:cs="Arial" w:eastAsia="Arial" w:hAnsi="Arial"/>
          <w:sz w:val="19"/>
          <w:szCs w:val="19"/>
          <w:color w:val="auto"/>
        </w:rPr>
      </w:pPr>
      <w:r>
        <w:rPr>
          <w:rFonts w:ascii="Arial" w:cs="Arial" w:eastAsia="Arial" w:hAnsi="Arial"/>
          <w:sz w:val="19"/>
          <w:szCs w:val="19"/>
          <w:color w:val="auto"/>
        </w:rPr>
        <w:t>Provided that Employee is then eligible for and timely elects continued coverage under the Consolidated Omnibus Budget Reconciliation Act (“</w:t>
      </w:r>
      <w:r>
        <w:rPr>
          <w:rFonts w:ascii="Arial" w:cs="Arial" w:eastAsia="Arial" w:hAnsi="Arial"/>
          <w:sz w:val="19"/>
          <w:szCs w:val="19"/>
          <w:b w:val="1"/>
          <w:bCs w:val="1"/>
          <w:color w:val="auto"/>
        </w:rPr>
        <w:t>COBRA</w:t>
      </w:r>
      <w:r>
        <w:rPr>
          <w:rFonts w:ascii="Arial" w:cs="Arial" w:eastAsia="Arial" w:hAnsi="Arial"/>
          <w:sz w:val="19"/>
          <w:szCs w:val="19"/>
          <w:color w:val="auto"/>
        </w:rPr>
        <w:t>”), Employer shall directly pay, or reimburse Employee for, the monthly COBRA premiums to continue the Employee’s coverage (including coverage for eligible dependents, if applicable) through the period starting on the Termination Date and ending on the earliest to occur of (a) twelve (12) months following the Termination Date; (b)</w:t>
      </w:r>
    </w:p>
    <w:p>
      <w:pPr>
        <w:spacing w:after="0" w:line="1" w:lineRule="exact"/>
        <w:rPr>
          <w:rFonts w:ascii="Arial" w:cs="Arial" w:eastAsia="Arial" w:hAnsi="Arial"/>
          <w:sz w:val="19"/>
          <w:szCs w:val="19"/>
          <w:color w:val="auto"/>
        </w:rPr>
      </w:pPr>
    </w:p>
    <w:p>
      <w:pPr>
        <w:jc w:val="both"/>
        <w:spacing w:after="0" w:line="279" w:lineRule="auto"/>
        <w:rPr>
          <w:rFonts w:ascii="Arial" w:cs="Arial" w:eastAsia="Arial" w:hAnsi="Arial"/>
          <w:sz w:val="19"/>
          <w:szCs w:val="19"/>
          <w:color w:val="auto"/>
        </w:rPr>
      </w:pPr>
      <w:r>
        <w:rPr>
          <w:rFonts w:ascii="Arial" w:cs="Arial" w:eastAsia="Arial" w:hAnsi="Arial"/>
          <w:sz w:val="21"/>
          <w:szCs w:val="21"/>
          <w:color w:val="auto"/>
        </w:rPr>
        <w:t>the date Employee becomes eligible for group health insurance through a new employer; or (c) the date Executive ceases to be eligible for COBRA continuation coverage for any reason, including plan termination. In the event Employee becomes covered under another employer’s group health plan or otherwise ceases to be eligible for COBRA during this time period, Employee must immediately notify Employer of such event.</w:t>
      </w:r>
    </w:p>
    <w:p>
      <w:pPr>
        <w:spacing w:after="0" w:line="3" w:lineRule="exact"/>
        <w:rPr>
          <w:rFonts w:ascii="Arial" w:cs="Arial" w:eastAsia="Arial" w:hAnsi="Arial"/>
          <w:sz w:val="19"/>
          <w:szCs w:val="19"/>
          <w:color w:val="auto"/>
        </w:rPr>
      </w:pPr>
    </w:p>
    <w:p>
      <w:pPr>
        <w:jc w:val="both"/>
        <w:ind w:firstLine="642"/>
        <w:spacing w:after="0" w:line="279" w:lineRule="auto"/>
        <w:tabs>
          <w:tab w:leader="none" w:pos="1272"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Adequacy of Consideration</w:t>
      </w:r>
      <w:r>
        <w:rPr>
          <w:rFonts w:ascii="Arial" w:cs="Arial" w:eastAsia="Arial" w:hAnsi="Arial"/>
          <w:sz w:val="21"/>
          <w:szCs w:val="21"/>
          <w:color w:val="auto"/>
        </w:rPr>
        <w:t>: Employee acknowledges that the consideration described in Paragraph 2 of this Agreement is not mandated by any Employer policy or by any law, and that the contractual obligation to pay the severance described in Paragraph 2 of this Agreement is expressly conditioned on Employee’s execution of a release in a form prescribed by the Company. Employee further acknowledges that Employee is not otherwise entitled to receive the consideration referenced in Paragraph 2 absent Employee’s execution of this Agreement.</w:t>
      </w:r>
    </w:p>
    <w:p>
      <w:pPr>
        <w:jc w:val="both"/>
        <w:ind w:firstLine="642"/>
        <w:spacing w:after="0" w:line="297" w:lineRule="auto"/>
        <w:tabs>
          <w:tab w:leader="none" w:pos="1272"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Covenant Not to Sue</w:t>
      </w:r>
      <w:r>
        <w:rPr>
          <w:rFonts w:ascii="Arial" w:cs="Arial" w:eastAsia="Arial" w:hAnsi="Arial"/>
          <w:sz w:val="20"/>
          <w:szCs w:val="20"/>
          <w:color w:val="auto"/>
        </w:rPr>
        <w:t>: Employee hereby represents that Employee has not filed any complaint, charge, or claim against the Employer or any of its current or former affiliated entities, including but not limited to Sema4 Holdings Corp., their</w:t>
      </w:r>
    </w:p>
    <w:p>
      <w:pPr>
        <w:jc w:val="both"/>
        <w:spacing w:after="0" w:line="309" w:lineRule="auto"/>
        <w:rPr>
          <w:rFonts w:ascii="Arial" w:cs="Arial" w:eastAsia="Arial" w:hAnsi="Arial"/>
          <w:sz w:val="20"/>
          <w:szCs w:val="20"/>
          <w:color w:val="auto"/>
        </w:rPr>
      </w:pPr>
      <w:r>
        <w:rPr>
          <w:rFonts w:ascii="Arial" w:cs="Arial" w:eastAsia="Arial" w:hAnsi="Arial"/>
          <w:sz w:val="19"/>
          <w:szCs w:val="19"/>
          <w:color w:val="auto"/>
        </w:rPr>
        <w:t>parents, affiliates, employee benefit and/or pension funds, successors and assigns, and/or any of their current or past directors, officers, shareholders, contractors, employees, agents, attorneys, their respective successors or assigns, as well as any third party for whom Employee provides services on Employer’s behalf (collectively referred to as “</w:t>
      </w:r>
      <w:r>
        <w:rPr>
          <w:rFonts w:ascii="Arial" w:cs="Arial" w:eastAsia="Arial" w:hAnsi="Arial"/>
          <w:sz w:val="19"/>
          <w:szCs w:val="19"/>
          <w:b w:val="1"/>
          <w:bCs w:val="1"/>
          <w:color w:val="auto"/>
        </w:rPr>
        <w:t>Releasees</w:t>
      </w:r>
      <w:r>
        <w:rPr>
          <w:rFonts w:ascii="Arial" w:cs="Arial" w:eastAsia="Arial" w:hAnsi="Arial"/>
          <w:sz w:val="19"/>
          <w:szCs w:val="19"/>
          <w:color w:val="auto"/>
        </w:rPr>
        <w:t>”) with any court or agency. Subject to the provisions of Paragraph 5(b), pursuant to and as a part of Employee’s complete, total and irrevocable release and discharge of</w:t>
      </w:r>
    </w:p>
    <w:p>
      <w:pPr>
        <w:spacing w:after="0" w:line="1" w:lineRule="exact"/>
        <w:rPr>
          <w:rFonts w:ascii="Arial" w:cs="Arial" w:eastAsia="Arial" w:hAnsi="Arial"/>
          <w:sz w:val="20"/>
          <w:szCs w:val="20"/>
          <w:color w:val="auto"/>
        </w:rPr>
      </w:pPr>
    </w:p>
    <w:p>
      <w:pPr>
        <w:jc w:val="both"/>
        <w:spacing w:after="0" w:line="276" w:lineRule="auto"/>
        <w:rPr>
          <w:rFonts w:ascii="Arial" w:cs="Arial" w:eastAsia="Arial" w:hAnsi="Arial"/>
          <w:sz w:val="20"/>
          <w:szCs w:val="20"/>
          <w:color w:val="auto"/>
        </w:rPr>
      </w:pPr>
      <w:r>
        <w:rPr>
          <w:rFonts w:ascii="Arial" w:cs="Arial" w:eastAsia="Arial" w:hAnsi="Arial"/>
          <w:sz w:val="21"/>
          <w:szCs w:val="21"/>
          <w:color w:val="auto"/>
        </w:rPr>
        <w:t>Releasees, Employee agrees, to the fullest extent permitted by law, not to sue or file a charge, complaint, grievance or demand for arbitration against Releasees or any of them with respect to any matter arising on or before the date on which the Employee signs this Agreement which has been released herein.</w:t>
      </w:r>
    </w:p>
    <w:p>
      <w:pPr>
        <w:spacing w:after="0" w:line="1" w:lineRule="exact"/>
        <w:rPr>
          <w:rFonts w:ascii="Arial" w:cs="Arial" w:eastAsia="Arial" w:hAnsi="Arial"/>
          <w:sz w:val="20"/>
          <w:szCs w:val="20"/>
          <w:color w:val="auto"/>
        </w:rPr>
      </w:pPr>
    </w:p>
    <w:p>
      <w:pPr>
        <w:ind w:left="1280" w:hanging="638"/>
        <w:spacing w:after="0"/>
        <w:tabs>
          <w:tab w:leader="none" w:pos="128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General Release:</w:t>
      </w:r>
    </w:p>
    <w:p>
      <w:pPr>
        <w:spacing w:after="0" w:line="50" w:lineRule="exact"/>
        <w:rPr>
          <w:rFonts w:ascii="Arial" w:cs="Arial" w:eastAsia="Arial" w:hAnsi="Arial"/>
          <w:sz w:val="21"/>
          <w:szCs w:val="21"/>
          <w:color w:val="auto"/>
        </w:rPr>
      </w:pPr>
    </w:p>
    <w:p>
      <w:pPr>
        <w:jc w:val="both"/>
        <w:ind w:firstLine="1278"/>
        <w:spacing w:after="0" w:line="309" w:lineRule="auto"/>
        <w:tabs>
          <w:tab w:leader="none" w:pos="1905" w:val="left"/>
        </w:tabs>
        <w:numPr>
          <w:ilvl w:val="1"/>
          <w:numId w:val="57"/>
        </w:numPr>
        <w:rPr>
          <w:rFonts w:ascii="Arial" w:cs="Arial" w:eastAsia="Arial" w:hAnsi="Arial"/>
          <w:sz w:val="19"/>
          <w:szCs w:val="19"/>
          <w:color w:val="auto"/>
        </w:rPr>
      </w:pPr>
      <w:r>
        <w:rPr>
          <w:rFonts w:ascii="Arial" w:cs="Arial" w:eastAsia="Arial" w:hAnsi="Arial"/>
          <w:sz w:val="19"/>
          <w:szCs w:val="19"/>
          <w:color w:val="auto"/>
        </w:rPr>
        <w:t>As a material inducement to Employer to enter into this Agreement and to provide Employee with the payment and benefits herein, and in consideration of Employer’s obligations set forth in this Agreement (including but not limited to providing Employee the Severance Payment described in Paragraph 2 above), Employee, on behalf of Employee and Employee’s heirs, executors, administrators, successors and assign, hereby voluntarily, knowingly and willingly forever releases and discharges</w:t>
      </w:r>
    </w:p>
    <w:p>
      <w:pPr>
        <w:spacing w:after="0" w:line="1" w:lineRule="exact"/>
        <w:rPr>
          <w:rFonts w:ascii="Arial" w:cs="Arial" w:eastAsia="Arial" w:hAnsi="Arial"/>
          <w:sz w:val="19"/>
          <w:szCs w:val="19"/>
          <w:color w:val="auto"/>
        </w:rPr>
      </w:pPr>
    </w:p>
    <w:p>
      <w:pPr>
        <w:spacing w:after="0" w:line="305" w:lineRule="auto"/>
        <w:rPr>
          <w:rFonts w:ascii="Arial" w:cs="Arial" w:eastAsia="Arial" w:hAnsi="Arial"/>
          <w:sz w:val="19"/>
          <w:szCs w:val="19"/>
          <w:color w:val="auto"/>
        </w:rPr>
      </w:pPr>
      <w:r>
        <w:rPr>
          <w:rFonts w:ascii="Arial" w:cs="Arial" w:eastAsia="Arial" w:hAnsi="Arial"/>
          <w:sz w:val="21"/>
          <w:szCs w:val="21"/>
          <w:color w:val="auto"/>
        </w:rPr>
        <w:t>the Releasees from any and all claims, demands, causes of action, fees and liabilities of any kind whatsoever, known or unknown, that Employee ever had, now has, or may have against any of the Releasees by reason of 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17" w:right="339" w:bottom="1440" w:gutter="0" w:footer="0" w:header="0"/>
        </w:sectPr>
      </w:pPr>
    </w:p>
    <w:bookmarkStart w:id="113" w:name="page114"/>
    <w:bookmarkEnd w:id="113"/>
    <w:p>
      <w:pPr>
        <w:jc w:val="both"/>
        <w:spacing w:after="0" w:line="309" w:lineRule="auto"/>
        <w:rPr>
          <w:sz w:val="20"/>
          <w:szCs w:val="20"/>
          <w:color w:val="auto"/>
        </w:rPr>
      </w:pPr>
      <w:r>
        <w:rPr>
          <w:rFonts w:ascii="Arial" w:cs="Arial" w:eastAsia="Arial" w:hAnsi="Arial"/>
          <w:sz w:val="19"/>
          <w:szCs w:val="19"/>
          <w:color w:val="auto"/>
        </w:rPr>
        <w:t>omission, transaction, practice, plan, policy, procedure, conduct, occurrence, or other matter from the beginning of time up to and including the date on which Employee signs this Agreement. Without limiting the foregoing, this Agreement is intended to, and shall release, Releasees from any and all claims arising at any time up to and including the date on which Employee signs this Agreement, whether known or unknown, which Employee ever had, now has, or may have against Releasees arising out of or relating to Employee’s employment and/or separation from that employment, whether arising under federal, state, or local constitution, law, regulation, or ordinance, including, but not limited to: (i) any and all claims under Title VII of the Civil Rights Act of 1866 and 1964; the Civil Rights Act of 1991;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the Americans With Disabilities Act of 1990; the Fair Labor Standards Act; the Employee Retirement Income Security Act of 1974 (except for vested benefits which are not affected by this agreement); the National Labor Relations Act (“</w:t>
      </w:r>
      <w:r>
        <w:rPr>
          <w:rFonts w:ascii="Arial" w:cs="Arial" w:eastAsia="Arial" w:hAnsi="Arial"/>
          <w:sz w:val="19"/>
          <w:szCs w:val="19"/>
          <w:b w:val="1"/>
          <w:bCs w:val="1"/>
          <w:color w:val="auto"/>
        </w:rPr>
        <w:t>NLRA</w:t>
      </w:r>
      <w:r>
        <w:rPr>
          <w:rFonts w:ascii="Arial" w:cs="Arial" w:eastAsia="Arial" w:hAnsi="Arial"/>
          <w:sz w:val="19"/>
          <w:szCs w:val="19"/>
          <w:color w:val="auto"/>
        </w:rPr>
        <w:t>”); the Older Workers Benefit Protection Act of 1990 (“</w:t>
      </w:r>
      <w:r>
        <w:rPr>
          <w:rFonts w:ascii="Arial" w:cs="Arial" w:eastAsia="Arial" w:hAnsi="Arial"/>
          <w:sz w:val="19"/>
          <w:szCs w:val="19"/>
          <w:b w:val="1"/>
          <w:bCs w:val="1"/>
          <w:color w:val="auto"/>
        </w:rPr>
        <w:t>OWBPA</w:t>
      </w:r>
      <w:r>
        <w:rPr>
          <w:rFonts w:ascii="Arial" w:cs="Arial" w:eastAsia="Arial" w:hAnsi="Arial"/>
          <w:sz w:val="19"/>
          <w:szCs w:val="19"/>
          <w:color w:val="auto"/>
        </w:rPr>
        <w:t>”); the Equal Pay Act; the Federal False Claims Act; the Worker Adjustment Retraining and Notification (“</w:t>
      </w:r>
      <w:r>
        <w:rPr>
          <w:rFonts w:ascii="Arial" w:cs="Arial" w:eastAsia="Arial" w:hAnsi="Arial"/>
          <w:sz w:val="19"/>
          <w:szCs w:val="19"/>
          <w:b w:val="1"/>
          <w:bCs w:val="1"/>
          <w:color w:val="auto"/>
        </w:rPr>
        <w:t>WARN</w:t>
      </w:r>
      <w:r>
        <w:rPr>
          <w:rFonts w:ascii="Arial" w:cs="Arial" w:eastAsia="Arial" w:hAnsi="Arial"/>
          <w:sz w:val="19"/>
          <w:szCs w:val="19"/>
          <w:color w:val="auto"/>
        </w:rPr>
        <w:t>”) Act and any state WARN statutes; the Genetic Information Non-Discrimination Act; the Family and Medical Leave Act (“</w:t>
      </w:r>
      <w:r>
        <w:rPr>
          <w:rFonts w:ascii="Arial" w:cs="Arial" w:eastAsia="Arial" w:hAnsi="Arial"/>
          <w:sz w:val="19"/>
          <w:szCs w:val="19"/>
          <w:b w:val="1"/>
          <w:bCs w:val="1"/>
          <w:color w:val="auto"/>
        </w:rPr>
        <w:t>FMLA</w:t>
      </w:r>
      <w:r>
        <w:rPr>
          <w:rFonts w:ascii="Arial" w:cs="Arial" w:eastAsia="Arial" w:hAnsi="Arial"/>
          <w:sz w:val="19"/>
          <w:szCs w:val="19"/>
          <w:color w:val="auto"/>
        </w:rPr>
        <w:t>”); each as amended; and (ii) any other claim (whether based on federal, state, or local law, statutory or decisional) relating to or arising out of Employee’s employment, the terms and conditions of such employment, the termination of such employment, and/or any of the events relating directly or indirectly to or surrounding the termination of that employment, including but not limited to breach of contract (express or implied), negligence, fraud, negligent misrepresentation, promissory estoppel, detrimental reliance, defamation, tortious interference with contractual relations, tortuous interference with prospective contractual relations; any tort; any claim for equitable relief or recovery of attorneys’ fees or punitive, compensatory, or other damages or monies, including severance benefits (except as expressly provided herein); or wrongful discharge, emotional distress, breach of the covenant of good faith and fair dealing, violation of public policy, sexual harassment, constructive termination, retaliation and discrimination based upon age, race, color, sex, gender identity, sexual orientation, marital status, religion, national origin, ancestry, handicap, disability, genetics, or retaliation or any other factor protected by law.</w:t>
      </w:r>
    </w:p>
    <w:p>
      <w:pPr>
        <w:spacing w:after="0" w:line="15" w:lineRule="exact"/>
        <w:rPr>
          <w:sz w:val="20"/>
          <w:szCs w:val="20"/>
          <w:color w:val="auto"/>
        </w:rPr>
      </w:pPr>
    </w:p>
    <w:p>
      <w:pPr>
        <w:jc w:val="both"/>
        <w:ind w:firstLine="1278"/>
        <w:spacing w:after="0" w:line="309" w:lineRule="auto"/>
        <w:tabs>
          <w:tab w:leader="none" w:pos="1903"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nothing contained herein is intended to prohibit or restrict Employee in any way from: (i) making any disclosure of information required by law or requested by any regulatory agency; (ii) exercising Employee’s rights under the OWBPA to challenge the validity of Employee’s waiver of claims arising under the ADEA as set forth in subparagraph (a), above; (iii) pursuing claims which by law cannot be waived or subject to a general</w:t>
      </w:r>
    </w:p>
    <w:p>
      <w:pPr>
        <w:spacing w:after="0" w:line="1"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1"/>
          <w:szCs w:val="21"/>
          <w:color w:val="auto"/>
        </w:rPr>
        <w:t>release of this kind, such as claims for unemployment or workers’ compensation benefits; (iv) bringing appropriate proceedings to enforce this Agreement; or (v) providing information to, filing a charge with, or testifying or otherwise assisting in any investigation or proceeding brought by, any federal or state agency, including, without limitation, the Equal Employment Opportunity Commission (“</w:t>
      </w:r>
      <w:r>
        <w:rPr>
          <w:rFonts w:ascii="Arial" w:cs="Arial" w:eastAsia="Arial" w:hAnsi="Arial"/>
          <w:sz w:val="21"/>
          <w:szCs w:val="21"/>
          <w:b w:val="1"/>
          <w:bCs w:val="1"/>
          <w:color w:val="auto"/>
        </w:rPr>
        <w:t>EEOC</w:t>
      </w:r>
      <w:r>
        <w:rPr>
          <w:rFonts w:ascii="Arial" w:cs="Arial" w:eastAsia="Arial" w:hAnsi="Arial"/>
          <w:sz w:val="21"/>
          <w:szCs w:val="21"/>
          <w:color w:val="auto"/>
        </w:rPr>
        <w:t>”) or any state equivalent agency; the Securities and Exchange Commission; the Department of Justice; the Congress; any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17" w:right="339" w:bottom="1440" w:gutter="0" w:footer="0" w:header="0"/>
        </w:sectPr>
      </w:pPr>
    </w:p>
    <w:bookmarkStart w:id="114" w:name="page115"/>
    <w:bookmarkEnd w:id="114"/>
    <w:p>
      <w:pPr>
        <w:jc w:val="both"/>
        <w:spacing w:after="0" w:line="280" w:lineRule="auto"/>
        <w:rPr>
          <w:sz w:val="20"/>
          <w:szCs w:val="20"/>
          <w:color w:val="auto"/>
        </w:rPr>
      </w:pPr>
      <w:r>
        <w:rPr>
          <w:rFonts w:ascii="Arial" w:cs="Arial" w:eastAsia="Arial" w:hAnsi="Arial"/>
          <w:sz w:val="21"/>
          <w:szCs w:val="21"/>
          <w:color w:val="auto"/>
        </w:rPr>
        <w:t>Inspector General; or the Employer’s legal, compliance or human resources officers. However, to the fullest extent permitted by applicable law, Employee hereby waives any right to recover any monetary damages in connection with a charge or proceeding brought by Employee or through any action brought by a third party with the EEOC or any state equivalent agency with respect to the claims released and waived in this Agreement. Employee acknowledges that as of the date Employee signs this Agreement, Employee has not filed or caused to be filed any lawsuits, claims, complaints, actions, proceedings or arbitrations in any form or forum against any of the Releasees.</w:t>
      </w:r>
    </w:p>
    <w:p>
      <w:pPr>
        <w:spacing w:after="0" w:line="6" w:lineRule="exact"/>
        <w:rPr>
          <w:sz w:val="20"/>
          <w:szCs w:val="20"/>
          <w:color w:val="auto"/>
        </w:rPr>
      </w:pPr>
    </w:p>
    <w:p>
      <w:pPr>
        <w:ind w:left="1920" w:hanging="642"/>
        <w:spacing w:after="0"/>
        <w:tabs>
          <w:tab w:leader="none" w:pos="1920"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Representations and Company Property</w:t>
      </w:r>
      <w:r>
        <w:rPr>
          <w:rFonts w:ascii="Arial" w:cs="Arial" w:eastAsia="Arial" w:hAnsi="Arial"/>
          <w:sz w:val="21"/>
          <w:szCs w:val="21"/>
          <w:color w:val="auto"/>
        </w:rPr>
        <w:t>:</w:t>
      </w:r>
    </w:p>
    <w:p>
      <w:pPr>
        <w:spacing w:after="0" w:line="37" w:lineRule="exact"/>
        <w:rPr>
          <w:sz w:val="20"/>
          <w:szCs w:val="20"/>
          <w:color w:val="auto"/>
        </w:rPr>
      </w:pPr>
    </w:p>
    <w:p>
      <w:pPr>
        <w:jc w:val="both"/>
        <w:ind w:firstLine="1278"/>
        <w:spacing w:after="0" w:line="310" w:lineRule="auto"/>
        <w:tabs>
          <w:tab w:leader="none" w:pos="1905" w:val="left"/>
        </w:tabs>
        <w:numPr>
          <w:ilvl w:val="0"/>
          <w:numId w:val="60"/>
        </w:numPr>
        <w:rPr>
          <w:rFonts w:ascii="Arial" w:cs="Arial" w:eastAsia="Arial" w:hAnsi="Arial"/>
          <w:sz w:val="19"/>
          <w:szCs w:val="19"/>
          <w:color w:val="auto"/>
        </w:rPr>
      </w:pPr>
      <w:r>
        <w:rPr>
          <w:rFonts w:ascii="Arial" w:cs="Arial" w:eastAsia="Arial" w:hAnsi="Arial"/>
          <w:sz w:val="19"/>
          <w:szCs w:val="19"/>
          <w:color w:val="auto"/>
        </w:rPr>
        <w:t>Employee represents that Employee has returned, or agrees to return, to Employer all property belonging to Employer and/or the Releasees, including but not limited to all equipment, documents, materials, records or other items in Employee’s possession or control belonging to Employer and/or the Releasees or containing any proprietary information relating to</w:t>
      </w:r>
    </w:p>
    <w:p>
      <w:pPr>
        <w:spacing w:after="0" w:line="1" w:lineRule="exact"/>
        <w:rPr>
          <w:rFonts w:ascii="Arial" w:cs="Arial" w:eastAsia="Arial" w:hAnsi="Arial"/>
          <w:sz w:val="19"/>
          <w:szCs w:val="19"/>
          <w:color w:val="auto"/>
        </w:rPr>
      </w:pPr>
    </w:p>
    <w:p>
      <w:pPr>
        <w:jc w:val="both"/>
        <w:spacing w:after="0" w:line="279" w:lineRule="auto"/>
        <w:rPr>
          <w:rFonts w:ascii="Arial" w:cs="Arial" w:eastAsia="Arial" w:hAnsi="Arial"/>
          <w:sz w:val="19"/>
          <w:szCs w:val="19"/>
          <w:color w:val="auto"/>
        </w:rPr>
      </w:pPr>
      <w:r>
        <w:rPr>
          <w:rFonts w:ascii="Arial" w:cs="Arial" w:eastAsia="Arial" w:hAnsi="Arial"/>
          <w:sz w:val="21"/>
          <w:szCs w:val="21"/>
          <w:color w:val="auto"/>
        </w:rPr>
        <w:t>Employer and/or the Releasees, and that Employee has not (or will not) retain any copies of such items. Employee further represents that Employee has surrendered, or agrees to surrender, to Employer any smartphone, iPad, laptop, keys, card access to and within Employer’s buildings, employee materials, computer user name and password, disks and/or voicemail code. Employee further acknowledges and agrees that Employer shall have no obligation to pay or provide the Separation Payment until Employee has satisfied all of the obligations pursuant to this Paragraph 6.</w:t>
      </w:r>
    </w:p>
    <w:p>
      <w:pPr>
        <w:jc w:val="both"/>
        <w:ind w:firstLine="1278"/>
        <w:spacing w:after="0" w:line="280" w:lineRule="auto"/>
        <w:tabs>
          <w:tab w:leader="none" w:pos="1908" w:val="left"/>
        </w:tabs>
        <w:numPr>
          <w:ilvl w:val="0"/>
          <w:numId w:val="60"/>
        </w:numPr>
        <w:rPr>
          <w:rFonts w:ascii="Arial" w:cs="Arial" w:eastAsia="Arial" w:hAnsi="Arial"/>
          <w:sz w:val="21"/>
          <w:szCs w:val="21"/>
          <w:color w:val="auto"/>
        </w:rPr>
      </w:pPr>
      <w:r>
        <w:rPr>
          <w:rFonts w:ascii="Arial" w:cs="Arial" w:eastAsia="Arial" w:hAnsi="Arial"/>
          <w:sz w:val="21"/>
          <w:szCs w:val="21"/>
          <w:color w:val="auto"/>
        </w:rPr>
        <w:t>Without limiting the foregoing, Employee further represents that Employee has assisted or will assist with the transfer of any passwords, credentials, or other information necessary for the use of any of Employer’s computing, software, or other systems or programs.</w:t>
      </w:r>
    </w:p>
    <w:p>
      <w:pPr>
        <w:spacing w:after="0" w:line="2" w:lineRule="exact"/>
        <w:rPr>
          <w:rFonts w:ascii="Arial" w:cs="Arial" w:eastAsia="Arial" w:hAnsi="Arial"/>
          <w:sz w:val="21"/>
          <w:szCs w:val="21"/>
          <w:color w:val="auto"/>
        </w:rPr>
      </w:pPr>
    </w:p>
    <w:p>
      <w:pPr>
        <w:jc w:val="both"/>
        <w:ind w:firstLine="1278"/>
        <w:spacing w:after="0" w:line="279" w:lineRule="auto"/>
        <w:tabs>
          <w:tab w:leader="none" w:pos="1903" w:val="left"/>
        </w:tabs>
        <w:numPr>
          <w:ilvl w:val="0"/>
          <w:numId w:val="60"/>
        </w:numPr>
        <w:rPr>
          <w:rFonts w:ascii="Arial" w:cs="Arial" w:eastAsia="Arial" w:hAnsi="Arial"/>
          <w:sz w:val="21"/>
          <w:szCs w:val="21"/>
          <w:color w:val="auto"/>
        </w:rPr>
      </w:pPr>
      <w:r>
        <w:rPr>
          <w:rFonts w:ascii="Arial" w:cs="Arial" w:eastAsia="Arial" w:hAnsi="Arial"/>
          <w:sz w:val="21"/>
          <w:szCs w:val="21"/>
          <w:color w:val="auto"/>
        </w:rPr>
        <w:t>Employee acknowledges that Employee has reported all hours worked as of the date of this Agreement and has been paid for all such hours, and that Employee is not owed any wages, commissions, bonuses, sick pay, personal leave pay, vacation pay or other compensation or benefits or payments or form of remuneration of any kind or nature, other than that specifically provided for in this Agreement.</w:t>
      </w:r>
    </w:p>
    <w:p>
      <w:pPr>
        <w:spacing w:after="0" w:line="3" w:lineRule="exact"/>
        <w:rPr>
          <w:rFonts w:ascii="Arial" w:cs="Arial" w:eastAsia="Arial" w:hAnsi="Arial"/>
          <w:sz w:val="21"/>
          <w:szCs w:val="21"/>
          <w:color w:val="auto"/>
        </w:rPr>
      </w:pPr>
    </w:p>
    <w:p>
      <w:pPr>
        <w:jc w:val="both"/>
        <w:ind w:firstLine="1278"/>
        <w:spacing w:after="0" w:line="280" w:lineRule="auto"/>
        <w:tabs>
          <w:tab w:leader="none" w:pos="1903" w:val="left"/>
        </w:tabs>
        <w:numPr>
          <w:ilvl w:val="0"/>
          <w:numId w:val="60"/>
        </w:numPr>
        <w:rPr>
          <w:rFonts w:ascii="Arial" w:cs="Arial" w:eastAsia="Arial" w:hAnsi="Arial"/>
          <w:sz w:val="21"/>
          <w:szCs w:val="21"/>
          <w:color w:val="auto"/>
        </w:rPr>
      </w:pPr>
      <w:r>
        <w:rPr>
          <w:rFonts w:ascii="Arial" w:cs="Arial" w:eastAsia="Arial" w:hAnsi="Arial"/>
          <w:sz w:val="21"/>
          <w:szCs w:val="21"/>
          <w:color w:val="auto"/>
        </w:rPr>
        <w:t>Employee acknowledges that, following termination, Employee’s equity grant(s) will be subject to and handled in accordance with the terms of the individual grant agreements and the relevant plans, as may be modified by the Consulting Agreement.</w:t>
      </w:r>
    </w:p>
    <w:p>
      <w:pPr>
        <w:spacing w:after="0" w:line="2" w:lineRule="exact"/>
        <w:rPr>
          <w:rFonts w:ascii="Arial" w:cs="Arial" w:eastAsia="Arial" w:hAnsi="Arial"/>
          <w:sz w:val="21"/>
          <w:szCs w:val="21"/>
          <w:color w:val="auto"/>
        </w:rPr>
      </w:pPr>
    </w:p>
    <w:p>
      <w:pPr>
        <w:jc w:val="both"/>
        <w:ind w:firstLine="1278"/>
        <w:spacing w:after="0" w:line="309" w:lineRule="auto"/>
        <w:tabs>
          <w:tab w:leader="none" w:pos="1896" w:val="left"/>
        </w:tabs>
        <w:numPr>
          <w:ilvl w:val="0"/>
          <w:numId w:val="60"/>
        </w:numPr>
        <w:rPr>
          <w:rFonts w:ascii="Arial" w:cs="Arial" w:eastAsia="Arial" w:hAnsi="Arial"/>
          <w:sz w:val="19"/>
          <w:szCs w:val="19"/>
          <w:color w:val="auto"/>
        </w:rPr>
      </w:pPr>
      <w:r>
        <w:rPr>
          <w:rFonts w:ascii="Arial" w:cs="Arial" w:eastAsia="Arial" w:hAnsi="Arial"/>
          <w:sz w:val="19"/>
          <w:szCs w:val="19"/>
          <w:color w:val="auto"/>
        </w:rPr>
        <w:t>Employee acknowledges and represents that Employee has not suffered any discrimination or harassment by Employer, or any employee, agent or representative of the Employer, on account of Employee’s race, gender, national origin, religion, marital or registered domestic partner status, sexual orientation, age, disability, medical condition or any other characteristic protected by law. Employee further acknowledges and represents that Employee has not been denied any leave,</w:t>
      </w:r>
    </w:p>
    <w:p>
      <w:pPr>
        <w:spacing w:after="0" w:line="1" w:lineRule="exact"/>
        <w:rPr>
          <w:rFonts w:ascii="Arial" w:cs="Arial" w:eastAsia="Arial" w:hAnsi="Arial"/>
          <w:sz w:val="19"/>
          <w:szCs w:val="19"/>
          <w:color w:val="auto"/>
        </w:rPr>
      </w:pPr>
    </w:p>
    <w:p>
      <w:pPr>
        <w:spacing w:after="0" w:line="363" w:lineRule="auto"/>
        <w:rPr>
          <w:rFonts w:ascii="Arial" w:cs="Arial" w:eastAsia="Arial" w:hAnsi="Arial"/>
          <w:sz w:val="19"/>
          <w:szCs w:val="19"/>
          <w:color w:val="auto"/>
        </w:rPr>
      </w:pPr>
      <w:r>
        <w:rPr>
          <w:rFonts w:ascii="Arial" w:cs="Arial" w:eastAsia="Arial" w:hAnsi="Arial"/>
          <w:sz w:val="19"/>
          <w:szCs w:val="19"/>
          <w:color w:val="auto"/>
        </w:rPr>
        <w:t>benefits or rights to which Employee may have been entitled under the FMLA or any other federal or state law, and that Employee has not suffered any job-related wrongs or injuries for which Employee might still be entitled to compensation or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17" w:right="339" w:bottom="1440" w:gutter="0" w:footer="0" w:header="0"/>
        </w:sectPr>
      </w:pPr>
    </w:p>
    <w:bookmarkStart w:id="115" w:name="page116"/>
    <w:bookmarkEnd w:id="115"/>
    <w:p>
      <w:pPr>
        <w:ind w:left="1280" w:hanging="638"/>
        <w:spacing w:after="0"/>
        <w:tabs>
          <w:tab w:leader="none" w:pos="128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Non-Disclosure</w:t>
      </w:r>
      <w:r>
        <w:rPr>
          <w:rFonts w:ascii="Arial" w:cs="Arial" w:eastAsia="Arial" w:hAnsi="Arial"/>
          <w:sz w:val="21"/>
          <w:szCs w:val="21"/>
          <w:color w:val="auto"/>
        </w:rPr>
        <w:t>:</w:t>
      </w:r>
    </w:p>
    <w:p>
      <w:pPr>
        <w:spacing w:after="0" w:line="36" w:lineRule="exact"/>
        <w:rPr>
          <w:rFonts w:ascii="Arial" w:cs="Arial" w:eastAsia="Arial" w:hAnsi="Arial"/>
          <w:sz w:val="21"/>
          <w:szCs w:val="21"/>
          <w:color w:val="auto"/>
        </w:rPr>
      </w:pPr>
    </w:p>
    <w:p>
      <w:pPr>
        <w:ind w:left="1900" w:hanging="622"/>
        <w:spacing w:after="0"/>
        <w:tabs>
          <w:tab w:leader="none" w:pos="1900" w:val="left"/>
        </w:tabs>
        <w:numPr>
          <w:ilvl w:val="1"/>
          <w:numId w:val="61"/>
        </w:numPr>
        <w:rPr>
          <w:rFonts w:ascii="Arial" w:cs="Arial" w:eastAsia="Arial" w:hAnsi="Arial"/>
          <w:sz w:val="20"/>
          <w:szCs w:val="20"/>
          <w:color w:val="auto"/>
        </w:rPr>
      </w:pPr>
      <w:r>
        <w:rPr>
          <w:rFonts w:ascii="Arial" w:cs="Arial" w:eastAsia="Arial" w:hAnsi="Arial"/>
          <w:sz w:val="20"/>
          <w:szCs w:val="20"/>
          <w:color w:val="auto"/>
        </w:rPr>
        <w:t>Subject to Employee’s rights pursuant to Paragraph 5(b), above, Employee represents and warrants that</w:t>
      </w:r>
    </w:p>
    <w:p>
      <w:pPr>
        <w:spacing w:after="0" w:line="61" w:lineRule="exact"/>
        <w:rPr>
          <w:rFonts w:ascii="Arial" w:cs="Arial" w:eastAsia="Arial" w:hAnsi="Arial"/>
          <w:sz w:val="20"/>
          <w:szCs w:val="20"/>
          <w:color w:val="auto"/>
        </w:rPr>
      </w:pPr>
    </w:p>
    <w:p>
      <w:pPr>
        <w:jc w:val="both"/>
        <w:spacing w:after="0" w:line="309" w:lineRule="auto"/>
        <w:rPr>
          <w:rFonts w:ascii="Arial" w:cs="Arial" w:eastAsia="Arial" w:hAnsi="Arial"/>
          <w:sz w:val="20"/>
          <w:szCs w:val="20"/>
          <w:color w:val="auto"/>
        </w:rPr>
      </w:pPr>
      <w:r>
        <w:rPr>
          <w:rFonts w:ascii="Arial" w:cs="Arial" w:eastAsia="Arial" w:hAnsi="Arial"/>
          <w:sz w:val="19"/>
          <w:szCs w:val="19"/>
          <w:color w:val="auto"/>
        </w:rPr>
        <w:t>Employee has not heretofore disclosed and agrees that Employee will not disclose without the express written consent of Employer any information concerning the terms of this Agreement or the negotiations leading up to this Agreement to any person or entity (subject to the limitations set forth in subparagraph (b) below), including to any past or present employee of Employer. The Parties acknowledge that this representation and warranty constitute a material inducement to Employer to enter into this Agreement.</w:t>
      </w:r>
    </w:p>
    <w:p>
      <w:pPr>
        <w:spacing w:after="0" w:line="1" w:lineRule="exact"/>
        <w:rPr>
          <w:rFonts w:ascii="Arial" w:cs="Arial" w:eastAsia="Arial" w:hAnsi="Arial"/>
          <w:sz w:val="20"/>
          <w:szCs w:val="20"/>
          <w:color w:val="auto"/>
        </w:rPr>
      </w:pPr>
    </w:p>
    <w:p>
      <w:pPr>
        <w:jc w:val="both"/>
        <w:ind w:firstLine="1278"/>
        <w:spacing w:after="0" w:line="309" w:lineRule="auto"/>
        <w:tabs>
          <w:tab w:leader="none" w:pos="1903" w:val="left"/>
        </w:tabs>
        <w:numPr>
          <w:ilvl w:val="1"/>
          <w:numId w:val="61"/>
        </w:numPr>
        <w:rPr>
          <w:rFonts w:ascii="Arial" w:cs="Arial" w:eastAsia="Arial" w:hAnsi="Arial"/>
          <w:sz w:val="19"/>
          <w:szCs w:val="19"/>
          <w:color w:val="auto"/>
        </w:rPr>
      </w:pPr>
      <w:r>
        <w:rPr>
          <w:rFonts w:ascii="Arial" w:cs="Arial" w:eastAsia="Arial" w:hAnsi="Arial"/>
          <w:sz w:val="19"/>
          <w:szCs w:val="19"/>
          <w:color w:val="auto"/>
        </w:rPr>
        <w:t>Notwithstanding the foregoing, Employee shall not be prohibited from making disclosure of the matters referred to herein to Employee’s attorneys, financial advisors, the IRS or other taxing authorities, or Employee’s immediate family (spouse, children, siblings, parents), or as required by law, or in response to an inquiry from any judicial, governmental, regulatory or self-regulatory agency or organization. If Employee does make disclosure of any of the matters referred to herein to Employee’s</w:t>
      </w:r>
    </w:p>
    <w:p>
      <w:pPr>
        <w:spacing w:after="0" w:line="1" w:lineRule="exact"/>
        <w:rPr>
          <w:rFonts w:ascii="Arial" w:cs="Arial" w:eastAsia="Arial" w:hAnsi="Arial"/>
          <w:sz w:val="19"/>
          <w:szCs w:val="19"/>
          <w:color w:val="auto"/>
        </w:rPr>
      </w:pPr>
    </w:p>
    <w:p>
      <w:pPr>
        <w:jc w:val="both"/>
        <w:spacing w:after="0" w:line="276" w:lineRule="auto"/>
        <w:rPr>
          <w:rFonts w:ascii="Arial" w:cs="Arial" w:eastAsia="Arial" w:hAnsi="Arial"/>
          <w:sz w:val="19"/>
          <w:szCs w:val="19"/>
          <w:color w:val="auto"/>
        </w:rPr>
      </w:pPr>
      <w:r>
        <w:rPr>
          <w:rFonts w:ascii="Arial" w:cs="Arial" w:eastAsia="Arial" w:hAnsi="Arial"/>
          <w:sz w:val="21"/>
          <w:szCs w:val="21"/>
          <w:color w:val="auto"/>
        </w:rPr>
        <w:t>immediate family or attorney or financial advisors, Employee will advise them that they must not make any disclosure of any such matters and any disclosure of any such information by any such person or entity shall be deemed to be a disclosure by Employee in breach of this Agreement.</w:t>
      </w:r>
    </w:p>
    <w:p>
      <w:pPr>
        <w:spacing w:after="0" w:line="1" w:lineRule="exact"/>
        <w:rPr>
          <w:rFonts w:ascii="Arial" w:cs="Arial" w:eastAsia="Arial" w:hAnsi="Arial"/>
          <w:sz w:val="19"/>
          <w:szCs w:val="19"/>
          <w:color w:val="auto"/>
        </w:rPr>
      </w:pPr>
    </w:p>
    <w:p>
      <w:pPr>
        <w:ind w:left="1280" w:hanging="638"/>
        <w:spacing w:after="0"/>
        <w:tabs>
          <w:tab w:leader="none" w:pos="128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Compliance</w:t>
      </w:r>
      <w:r>
        <w:rPr>
          <w:rFonts w:ascii="Arial" w:cs="Arial" w:eastAsia="Arial" w:hAnsi="Arial"/>
          <w:sz w:val="19"/>
          <w:szCs w:val="19"/>
          <w:color w:val="auto"/>
        </w:rPr>
        <w:t>: Employee represents and warrants that Employee is not aware of any compliance issues or concerns</w:t>
      </w:r>
    </w:p>
    <w:p>
      <w:pPr>
        <w:spacing w:after="0" w:line="73" w:lineRule="exact"/>
        <w:rPr>
          <w:rFonts w:ascii="Arial" w:cs="Arial" w:eastAsia="Arial" w:hAnsi="Arial"/>
          <w:sz w:val="19"/>
          <w:szCs w:val="19"/>
          <w:color w:val="auto"/>
        </w:rPr>
      </w:pPr>
    </w:p>
    <w:p>
      <w:pPr>
        <w:spacing w:after="0" w:line="276" w:lineRule="auto"/>
        <w:rPr>
          <w:rFonts w:ascii="Arial" w:cs="Arial" w:eastAsia="Arial" w:hAnsi="Arial"/>
          <w:sz w:val="19"/>
          <w:szCs w:val="19"/>
          <w:color w:val="auto"/>
        </w:rPr>
      </w:pPr>
      <w:r>
        <w:rPr>
          <w:rFonts w:ascii="Arial" w:cs="Arial" w:eastAsia="Arial" w:hAnsi="Arial"/>
          <w:sz w:val="21"/>
          <w:szCs w:val="21"/>
          <w:color w:val="auto"/>
        </w:rPr>
        <w:t>other than those brought forward and shared during an exit interview or with Employee’s current manager or otherwise shared with senior compliance staff during the course of Employee’s employment.</w:t>
      </w:r>
    </w:p>
    <w:p>
      <w:pPr>
        <w:spacing w:after="0" w:line="1" w:lineRule="exact"/>
        <w:rPr>
          <w:rFonts w:ascii="Arial" w:cs="Arial" w:eastAsia="Arial" w:hAnsi="Arial"/>
          <w:sz w:val="19"/>
          <w:szCs w:val="19"/>
          <w:color w:val="auto"/>
        </w:rPr>
      </w:pPr>
    </w:p>
    <w:p>
      <w:pPr>
        <w:ind w:left="1280" w:hanging="638"/>
        <w:spacing w:after="0"/>
        <w:tabs>
          <w:tab w:leader="none" w:pos="1280"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Non-Disparagement; Cooperation</w:t>
      </w:r>
      <w:r>
        <w:rPr>
          <w:rFonts w:ascii="Arial" w:cs="Arial" w:eastAsia="Arial" w:hAnsi="Arial"/>
          <w:sz w:val="21"/>
          <w:szCs w:val="21"/>
          <w:color w:val="auto"/>
        </w:rPr>
        <w:t>:</w:t>
      </w:r>
    </w:p>
    <w:p>
      <w:pPr>
        <w:spacing w:after="0" w:line="50" w:lineRule="exact"/>
        <w:rPr>
          <w:rFonts w:ascii="Arial" w:cs="Arial" w:eastAsia="Arial" w:hAnsi="Arial"/>
          <w:sz w:val="21"/>
          <w:szCs w:val="21"/>
          <w:color w:val="auto"/>
        </w:rPr>
      </w:pPr>
    </w:p>
    <w:p>
      <w:pPr>
        <w:jc w:val="both"/>
        <w:ind w:firstLine="1278"/>
        <w:spacing w:after="0" w:line="309" w:lineRule="auto"/>
        <w:tabs>
          <w:tab w:leader="none" w:pos="1896" w:val="left"/>
        </w:tabs>
        <w:numPr>
          <w:ilvl w:val="1"/>
          <w:numId w:val="62"/>
        </w:numPr>
        <w:rPr>
          <w:rFonts w:ascii="Arial" w:cs="Arial" w:eastAsia="Arial" w:hAnsi="Arial"/>
          <w:sz w:val="19"/>
          <w:szCs w:val="19"/>
          <w:color w:val="auto"/>
        </w:rPr>
      </w:pPr>
      <w:r>
        <w:rPr>
          <w:rFonts w:ascii="Arial" w:cs="Arial" w:eastAsia="Arial" w:hAnsi="Arial"/>
          <w:sz w:val="19"/>
          <w:szCs w:val="19"/>
          <w:color w:val="auto"/>
        </w:rPr>
        <w:t>Subject to Employee’s rights pursuant to Paragraph 5(b), above, Employee agrees not to make any disparaging remarks or send any disparaging communications, written or oral, directly or indirectly, concerning Employer or the business or management of Employer, or any Releasees, with the intention of damaging the reputation of Employer or the personal or business reputations of any Release, or with the intention of interfering with, impairing, or disrupting the normal operations of</w:t>
      </w:r>
    </w:p>
    <w:p>
      <w:pPr>
        <w:spacing w:after="0" w:line="1" w:lineRule="exact"/>
        <w:rPr>
          <w:rFonts w:ascii="Arial" w:cs="Arial" w:eastAsia="Arial" w:hAnsi="Arial"/>
          <w:sz w:val="19"/>
          <w:szCs w:val="19"/>
          <w:color w:val="auto"/>
        </w:rPr>
      </w:pPr>
    </w:p>
    <w:p>
      <w:pPr>
        <w:spacing w:after="0" w:line="276" w:lineRule="auto"/>
        <w:rPr>
          <w:rFonts w:ascii="Arial" w:cs="Arial" w:eastAsia="Arial" w:hAnsi="Arial"/>
          <w:sz w:val="19"/>
          <w:szCs w:val="19"/>
          <w:color w:val="auto"/>
        </w:rPr>
      </w:pPr>
      <w:r>
        <w:rPr>
          <w:rFonts w:ascii="Arial" w:cs="Arial" w:eastAsia="Arial" w:hAnsi="Arial"/>
          <w:sz w:val="21"/>
          <w:szCs w:val="21"/>
          <w:color w:val="auto"/>
        </w:rPr>
        <w:t>Employer. Nothing in this Agreement will be construed to prohibit Employee from engaging in protected concerted activity under the NLRA, if applicable.</w:t>
      </w:r>
    </w:p>
    <w:p>
      <w:pPr>
        <w:spacing w:after="0" w:line="1" w:lineRule="exact"/>
        <w:rPr>
          <w:rFonts w:ascii="Arial" w:cs="Arial" w:eastAsia="Arial" w:hAnsi="Arial"/>
          <w:sz w:val="19"/>
          <w:szCs w:val="19"/>
          <w:color w:val="auto"/>
        </w:rPr>
      </w:pPr>
    </w:p>
    <w:p>
      <w:pPr>
        <w:jc w:val="both"/>
        <w:ind w:firstLine="1278"/>
        <w:spacing w:after="0" w:line="297" w:lineRule="auto"/>
        <w:tabs>
          <w:tab w:leader="none" w:pos="1896" w:val="left"/>
        </w:tabs>
        <w:numPr>
          <w:ilvl w:val="1"/>
          <w:numId w:val="62"/>
        </w:numPr>
        <w:rPr>
          <w:rFonts w:ascii="Arial" w:cs="Arial" w:eastAsia="Arial" w:hAnsi="Arial"/>
          <w:sz w:val="20"/>
          <w:szCs w:val="20"/>
          <w:color w:val="auto"/>
        </w:rPr>
      </w:pPr>
      <w:r>
        <w:rPr>
          <w:rFonts w:ascii="Arial" w:cs="Arial" w:eastAsia="Arial" w:hAnsi="Arial"/>
          <w:sz w:val="20"/>
          <w:szCs w:val="20"/>
          <w:color w:val="auto"/>
        </w:rPr>
        <w:t>Employer agrees to refrain from issuing, authorizing, ratifying, or condoning written or oral disparaging remarks or communications to any person or entity with whom Employee has had or has a business or prospective business</w:t>
      </w:r>
    </w:p>
    <w:p>
      <w:pPr>
        <w:jc w:val="both"/>
        <w:spacing w:after="0" w:line="279" w:lineRule="auto"/>
        <w:rPr>
          <w:rFonts w:ascii="Arial" w:cs="Arial" w:eastAsia="Arial" w:hAnsi="Arial"/>
          <w:sz w:val="20"/>
          <w:szCs w:val="20"/>
          <w:color w:val="auto"/>
        </w:rPr>
      </w:pPr>
      <w:r>
        <w:rPr>
          <w:rFonts w:ascii="Arial" w:cs="Arial" w:eastAsia="Arial" w:hAnsi="Arial"/>
          <w:sz w:val="21"/>
          <w:szCs w:val="21"/>
          <w:color w:val="auto"/>
        </w:rPr>
        <w:t>relationship. Furthermore, should it come to the Employer’s attention that any officer, director, employee, agent or other Employer-related personnel has or is in the process of disparaging you, Employer will take appropriate, prompt and immediate action to ensure said disparagement does not take place and/or ceases. Nothing contained herein shall prevent any party from responding accurately and fully to any question, inquiry or request for information when required by legal process, or prevent Employer from reporting or disclosing information regarding its historical performance.</w:t>
      </w:r>
    </w:p>
    <w:p>
      <w:pPr>
        <w:ind w:firstLine="1278"/>
        <w:spacing w:after="0" w:line="305" w:lineRule="auto"/>
        <w:tabs>
          <w:tab w:leader="none" w:pos="1903" w:val="left"/>
        </w:tabs>
        <w:numPr>
          <w:ilvl w:val="1"/>
          <w:numId w:val="62"/>
        </w:numPr>
        <w:rPr>
          <w:rFonts w:ascii="Arial" w:cs="Arial" w:eastAsia="Arial" w:hAnsi="Arial"/>
          <w:sz w:val="21"/>
          <w:szCs w:val="21"/>
          <w:color w:val="auto"/>
        </w:rPr>
      </w:pPr>
      <w:r>
        <w:rPr>
          <w:rFonts w:ascii="Arial" w:cs="Arial" w:eastAsia="Arial" w:hAnsi="Arial"/>
          <w:sz w:val="21"/>
          <w:szCs w:val="21"/>
          <w:color w:val="auto"/>
        </w:rPr>
        <w:t>Employee agrees that Employee will provide assistance and cooperation as needed from time to time, including but not limited to locating or obtaining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17" w:right="339" w:bottom="1440" w:gutter="0" w:footer="0" w:header="0"/>
        </w:sectPr>
      </w:pPr>
    </w:p>
    <w:bookmarkStart w:id="116" w:name="page117"/>
    <w:bookmarkEnd w:id="116"/>
    <w:p>
      <w:pPr>
        <w:jc w:val="both"/>
        <w:spacing w:after="0" w:line="279" w:lineRule="auto"/>
        <w:rPr>
          <w:sz w:val="20"/>
          <w:szCs w:val="20"/>
          <w:color w:val="auto"/>
        </w:rPr>
      </w:pPr>
      <w:r>
        <w:rPr>
          <w:rFonts w:ascii="Arial" w:cs="Arial" w:eastAsia="Arial" w:hAnsi="Arial"/>
          <w:sz w:val="21"/>
          <w:szCs w:val="21"/>
          <w:color w:val="auto"/>
        </w:rPr>
        <w:t>documents concerning the Employer or the Releasees (past or present) about which Employee is knowledgeable. Employee further agrees to assist and cooperate with the Employer in connection with the defense or prosecution of any claim that may be made against or by Employer and/or involving the Releasees or in connection with any ongoing or future audit, investigation or dispute or claim of any kind involving Employer or the Releasees, including any proceeding before any arbitral, administrative, judicial, legislative, or other body or agency.</w:t>
      </w:r>
    </w:p>
    <w:p>
      <w:pPr>
        <w:spacing w:after="0" w:line="1" w:lineRule="exact"/>
        <w:rPr>
          <w:sz w:val="20"/>
          <w:szCs w:val="20"/>
          <w:color w:val="auto"/>
        </w:rPr>
      </w:pPr>
    </w:p>
    <w:p>
      <w:pPr>
        <w:ind w:left="1280" w:hanging="638"/>
        <w:spacing w:after="0"/>
        <w:tabs>
          <w:tab w:leader="none" w:pos="128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This  Agreement  shall  be  binding  upon  the  parties  hereto  and  upon  their  heirs,</w:t>
      </w:r>
    </w:p>
    <w:p>
      <w:pPr>
        <w:spacing w:after="0" w:line="61" w:lineRule="exact"/>
        <w:rPr>
          <w:rFonts w:ascii="Arial" w:cs="Arial" w:eastAsia="Arial" w:hAnsi="Arial"/>
          <w:sz w:val="20"/>
          <w:szCs w:val="20"/>
          <w:color w:val="auto"/>
        </w:rPr>
      </w:pPr>
    </w:p>
    <w:p>
      <w:pPr>
        <w:spacing w:after="0" w:line="276" w:lineRule="auto"/>
        <w:rPr>
          <w:rFonts w:ascii="Arial" w:cs="Arial" w:eastAsia="Arial" w:hAnsi="Arial"/>
          <w:sz w:val="20"/>
          <w:szCs w:val="20"/>
          <w:color w:val="auto"/>
        </w:rPr>
      </w:pPr>
      <w:r>
        <w:rPr>
          <w:rFonts w:ascii="Arial" w:cs="Arial" w:eastAsia="Arial" w:hAnsi="Arial"/>
          <w:sz w:val="21"/>
          <w:szCs w:val="21"/>
          <w:color w:val="auto"/>
        </w:rPr>
        <w:t>administrators, representatives, executors, successors, and assigns, and shall inure to the benefit of said parties and each of them and to their heirs, administrators, representatives, executors, successors and assigns.</w:t>
      </w:r>
    </w:p>
    <w:p>
      <w:pPr>
        <w:spacing w:after="0" w:line="1" w:lineRule="exact"/>
        <w:rPr>
          <w:rFonts w:ascii="Arial" w:cs="Arial" w:eastAsia="Arial" w:hAnsi="Arial"/>
          <w:sz w:val="20"/>
          <w:szCs w:val="20"/>
          <w:color w:val="auto"/>
        </w:rPr>
      </w:pPr>
    </w:p>
    <w:p>
      <w:pPr>
        <w:jc w:val="both"/>
        <w:ind w:firstLine="642"/>
        <w:spacing w:after="0" w:line="312" w:lineRule="auto"/>
        <w:tabs>
          <w:tab w:leader="none" w:pos="1264"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Should any provision of this Agreement require interpretation or construction, it is agreed by the parties that the court (or other tribunal) interpreting or construing this Agreement shall not apply a presumption against one party by reason</w:t>
      </w:r>
    </w:p>
    <w:p>
      <w:pPr>
        <w:spacing w:after="0" w:line="1" w:lineRule="exact"/>
        <w:rPr>
          <w:rFonts w:ascii="Arial" w:cs="Arial" w:eastAsia="Arial" w:hAnsi="Arial"/>
          <w:sz w:val="19"/>
          <w:szCs w:val="19"/>
          <w:color w:val="auto"/>
        </w:rPr>
      </w:pPr>
    </w:p>
    <w:p>
      <w:pPr>
        <w:jc w:val="both"/>
        <w:spacing w:after="0" w:line="309" w:lineRule="auto"/>
        <w:rPr>
          <w:rFonts w:ascii="Arial" w:cs="Arial" w:eastAsia="Arial" w:hAnsi="Arial"/>
          <w:sz w:val="19"/>
          <w:szCs w:val="19"/>
          <w:color w:val="auto"/>
        </w:rPr>
      </w:pPr>
      <w:r>
        <w:rPr>
          <w:rFonts w:ascii="Arial" w:cs="Arial" w:eastAsia="Arial" w:hAnsi="Arial"/>
          <w:sz w:val="19"/>
          <w:szCs w:val="19"/>
          <w:color w:val="auto"/>
        </w:rPr>
        <w:t>of the rule of construction that a document is to be construed more strictly against the party who prepared the document, it being agreed that all parties (by their respective attorneys) have participated in the preparation of all provisions of this Agreement. If any provision of this Agreement is determined by a court of competent jurisdiction to be excessively broad as to duration, scope, activity or subject, Employee and Employer hereby consent and agree that such court of competent jurisdiction shall modify and/or</w:t>
      </w:r>
    </w:p>
    <w:p>
      <w:pPr>
        <w:spacing w:after="0" w:line="1" w:lineRule="exact"/>
        <w:rPr>
          <w:rFonts w:ascii="Arial" w:cs="Arial" w:eastAsia="Arial" w:hAnsi="Arial"/>
          <w:sz w:val="19"/>
          <w:szCs w:val="19"/>
          <w:color w:val="auto"/>
        </w:rPr>
      </w:pPr>
    </w:p>
    <w:p>
      <w:pPr>
        <w:jc w:val="both"/>
        <w:spacing w:after="0" w:line="280" w:lineRule="auto"/>
        <w:rPr>
          <w:rFonts w:ascii="Arial" w:cs="Arial" w:eastAsia="Arial" w:hAnsi="Arial"/>
          <w:sz w:val="19"/>
          <w:szCs w:val="19"/>
          <w:color w:val="auto"/>
        </w:rPr>
      </w:pPr>
      <w:r>
        <w:rPr>
          <w:rFonts w:ascii="Arial" w:cs="Arial" w:eastAsia="Arial" w:hAnsi="Arial"/>
          <w:sz w:val="21"/>
          <w:szCs w:val="21"/>
          <w:color w:val="auto"/>
        </w:rPr>
        <w:t>reform any such provision so as to be enforceable to the fullest and maximum extent compatible with applicable law. Further, if any provision of this Agreement is held by a Court to be unenforceable and incapable of being modified and/or reformed, the remaining provisions shall remain in force and in effect to the maximum extent permissible by law.</w:t>
      </w:r>
    </w:p>
    <w:p>
      <w:pPr>
        <w:spacing w:after="0" w:line="2" w:lineRule="exact"/>
        <w:rPr>
          <w:rFonts w:ascii="Arial" w:cs="Arial" w:eastAsia="Arial" w:hAnsi="Arial"/>
          <w:sz w:val="19"/>
          <w:szCs w:val="19"/>
          <w:color w:val="auto"/>
        </w:rPr>
      </w:pPr>
    </w:p>
    <w:p>
      <w:pPr>
        <w:ind w:left="1280" w:hanging="638"/>
        <w:spacing w:after="0"/>
        <w:tabs>
          <w:tab w:leader="none" w:pos="128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Review and Revocation Rights; Knowing and Voluntary Waiver</w:t>
      </w:r>
      <w:r>
        <w:rPr>
          <w:rFonts w:ascii="Arial" w:cs="Arial" w:eastAsia="Arial" w:hAnsi="Arial"/>
          <w:sz w:val="20"/>
          <w:szCs w:val="20"/>
          <w:color w:val="auto"/>
        </w:rPr>
        <w:t>: Employee understands and acknowledges that:</w:t>
      </w:r>
    </w:p>
    <w:p>
      <w:pPr>
        <w:spacing w:after="0" w:line="48" w:lineRule="exact"/>
        <w:rPr>
          <w:rFonts w:ascii="Arial" w:cs="Arial" w:eastAsia="Arial" w:hAnsi="Arial"/>
          <w:sz w:val="20"/>
          <w:szCs w:val="20"/>
          <w:color w:val="auto"/>
        </w:rPr>
      </w:pPr>
    </w:p>
    <w:p>
      <w:pPr>
        <w:jc w:val="both"/>
        <w:ind w:firstLine="1278"/>
        <w:spacing w:after="0" w:line="280" w:lineRule="auto"/>
        <w:tabs>
          <w:tab w:leader="none" w:pos="1903" w:val="left"/>
        </w:tabs>
        <w:numPr>
          <w:ilvl w:val="1"/>
          <w:numId w:val="63"/>
        </w:numPr>
        <w:rPr>
          <w:rFonts w:ascii="Arial" w:cs="Arial" w:eastAsia="Arial" w:hAnsi="Arial"/>
          <w:sz w:val="21"/>
          <w:szCs w:val="21"/>
          <w:color w:val="auto"/>
        </w:rPr>
      </w:pPr>
      <w:r>
        <w:rPr>
          <w:rFonts w:ascii="Arial" w:cs="Arial" w:eastAsia="Arial" w:hAnsi="Arial"/>
          <w:sz w:val="21"/>
          <w:szCs w:val="21"/>
          <w:color w:val="auto"/>
        </w:rPr>
        <w:t>Employee has been given twenty-one (21) days within which to review this Agreement, including without limitation the Release set forth in Paragraph 5 hereof (the “</w:t>
      </w:r>
      <w:r>
        <w:rPr>
          <w:rFonts w:ascii="Arial" w:cs="Arial" w:eastAsia="Arial" w:hAnsi="Arial"/>
          <w:sz w:val="21"/>
          <w:szCs w:val="21"/>
          <w:b w:val="1"/>
          <w:bCs w:val="1"/>
          <w:color w:val="auto"/>
        </w:rPr>
        <w:t>Review Period</w:t>
      </w:r>
      <w:r>
        <w:rPr>
          <w:rFonts w:ascii="Arial" w:cs="Arial" w:eastAsia="Arial" w:hAnsi="Arial"/>
          <w:sz w:val="21"/>
          <w:szCs w:val="21"/>
          <w:color w:val="auto"/>
        </w:rPr>
        <w:t>”), although Employee may sign and return the Agreement sooner should Employee so desire;</w:t>
      </w:r>
    </w:p>
    <w:p>
      <w:pPr>
        <w:spacing w:after="0" w:line="2" w:lineRule="exact"/>
        <w:rPr>
          <w:rFonts w:ascii="Arial" w:cs="Arial" w:eastAsia="Arial" w:hAnsi="Arial"/>
          <w:sz w:val="21"/>
          <w:szCs w:val="21"/>
          <w:color w:val="auto"/>
        </w:rPr>
      </w:pPr>
    </w:p>
    <w:p>
      <w:pPr>
        <w:jc w:val="both"/>
        <w:ind w:firstLine="1278"/>
        <w:spacing w:after="0" w:line="279" w:lineRule="auto"/>
        <w:tabs>
          <w:tab w:leader="none" w:pos="1903" w:val="left"/>
        </w:tabs>
        <w:numPr>
          <w:ilvl w:val="1"/>
          <w:numId w:val="63"/>
        </w:numPr>
        <w:rPr>
          <w:rFonts w:ascii="Arial" w:cs="Arial" w:eastAsia="Arial" w:hAnsi="Arial"/>
          <w:sz w:val="21"/>
          <w:szCs w:val="21"/>
          <w:color w:val="auto"/>
        </w:rPr>
      </w:pPr>
      <w:r>
        <w:rPr>
          <w:rFonts w:ascii="Arial" w:cs="Arial" w:eastAsia="Arial" w:hAnsi="Arial"/>
          <w:sz w:val="21"/>
          <w:szCs w:val="21"/>
          <w:color w:val="auto"/>
        </w:rPr>
        <w:t>Employee has been advised by Employer that, if Employee signs and returns this Agreement during the Review Period, Employee has the right to revoke this Agreement in writing for a period of seven (7) days after signing the Agreement by notifying in writing, or having Employee’s counsel notify in writing, Sema4 OpCo, Inc., 333 Ludlow St, Stamford, CT 06902, Attn: General Counsel, within those seven (7) days (the “</w:t>
      </w:r>
      <w:r>
        <w:rPr>
          <w:rFonts w:ascii="Arial" w:cs="Arial" w:eastAsia="Arial" w:hAnsi="Arial"/>
          <w:sz w:val="21"/>
          <w:szCs w:val="21"/>
          <w:b w:val="1"/>
          <w:bCs w:val="1"/>
          <w:color w:val="auto"/>
        </w:rPr>
        <w:t>Revocation Period</w:t>
      </w:r>
      <w:r>
        <w:rPr>
          <w:rFonts w:ascii="Arial" w:cs="Arial" w:eastAsia="Arial" w:hAnsi="Arial"/>
          <w:sz w:val="21"/>
          <w:szCs w:val="21"/>
          <w:color w:val="auto"/>
        </w:rPr>
        <w:t>”);</w:t>
      </w:r>
    </w:p>
    <w:p>
      <w:pPr>
        <w:spacing w:after="0" w:line="3" w:lineRule="exact"/>
        <w:rPr>
          <w:rFonts w:ascii="Arial" w:cs="Arial" w:eastAsia="Arial" w:hAnsi="Arial"/>
          <w:sz w:val="21"/>
          <w:szCs w:val="21"/>
          <w:color w:val="auto"/>
        </w:rPr>
      </w:pPr>
    </w:p>
    <w:p>
      <w:pPr>
        <w:jc w:val="both"/>
        <w:ind w:firstLine="1278"/>
        <w:spacing w:after="0" w:line="256" w:lineRule="auto"/>
        <w:tabs>
          <w:tab w:leader="none" w:pos="1903" w:val="left"/>
        </w:tabs>
        <w:numPr>
          <w:ilvl w:val="1"/>
          <w:numId w:val="63"/>
        </w:numPr>
        <w:rPr>
          <w:rFonts w:ascii="Arial" w:cs="Arial" w:eastAsia="Arial" w:hAnsi="Arial"/>
          <w:sz w:val="21"/>
          <w:szCs w:val="21"/>
          <w:color w:val="auto"/>
        </w:rPr>
      </w:pPr>
      <w:r>
        <w:rPr>
          <w:rFonts w:ascii="Arial" w:cs="Arial" w:eastAsia="Arial" w:hAnsi="Arial"/>
          <w:sz w:val="21"/>
          <w:szCs w:val="21"/>
          <w:color w:val="auto"/>
        </w:rPr>
        <w:t>If Employee signs the Agreement, and does not revoke the Agreement during the Revocation Period, this Agreement shall become effective on the later of the Termination Date and the eighth (8</w:t>
      </w:r>
      <w:r>
        <w:rPr>
          <w:rFonts w:ascii="Arial" w:cs="Arial" w:eastAsia="Arial" w:hAnsi="Arial"/>
          <w:sz w:val="27"/>
          <w:szCs w:val="27"/>
          <w:color w:val="auto"/>
          <w:vertAlign w:val="superscript"/>
        </w:rPr>
        <w:t>th</w:t>
      </w:r>
      <w:r>
        <w:rPr>
          <w:rFonts w:ascii="Arial" w:cs="Arial" w:eastAsia="Arial" w:hAnsi="Arial"/>
          <w:sz w:val="21"/>
          <w:szCs w:val="21"/>
          <w:color w:val="auto"/>
        </w:rPr>
        <w:t>) day following Employee’s execution and delivery of this Agreement to Employer (the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17" w:right="339" w:bottom="1440" w:gutter="0" w:footer="0" w:header="0"/>
        </w:sectPr>
      </w:pPr>
    </w:p>
    <w:bookmarkStart w:id="117" w:name="page118"/>
    <w:bookmarkEnd w:id="117"/>
    <w:p>
      <w:pPr>
        <w:jc w:val="both"/>
        <w:ind w:firstLine="1278"/>
        <w:spacing w:after="0" w:line="280" w:lineRule="auto"/>
        <w:tabs>
          <w:tab w:leader="none" w:pos="1908" w:val="left"/>
        </w:tabs>
        <w:numPr>
          <w:ilvl w:val="1"/>
          <w:numId w:val="64"/>
        </w:numPr>
        <w:rPr>
          <w:rFonts w:ascii="Arial" w:cs="Arial" w:eastAsia="Arial" w:hAnsi="Arial"/>
          <w:sz w:val="21"/>
          <w:szCs w:val="21"/>
          <w:color w:val="auto"/>
        </w:rPr>
      </w:pPr>
      <w:r>
        <w:rPr>
          <w:rFonts w:ascii="Arial" w:cs="Arial" w:eastAsia="Arial" w:hAnsi="Arial"/>
          <w:sz w:val="21"/>
          <w:szCs w:val="21"/>
          <w:color w:val="auto"/>
        </w:rPr>
        <w:t>Employer has advised Employee to consult with counsel of Employee’s choosing prior to signing this Agreement. Employee understands and agrees that Employee has the right and has been given the opportunity to consult with counsel should Employee so desire;</w:t>
      </w:r>
    </w:p>
    <w:p>
      <w:pPr>
        <w:spacing w:after="0" w:line="2" w:lineRule="exact"/>
        <w:rPr>
          <w:rFonts w:ascii="Arial" w:cs="Arial" w:eastAsia="Arial" w:hAnsi="Arial"/>
          <w:sz w:val="21"/>
          <w:szCs w:val="21"/>
          <w:color w:val="auto"/>
        </w:rPr>
      </w:pPr>
    </w:p>
    <w:p>
      <w:pPr>
        <w:ind w:left="1920" w:hanging="642"/>
        <w:spacing w:after="0"/>
        <w:tabs>
          <w:tab w:leader="none" w:pos="1920" w:val="left"/>
        </w:tabs>
        <w:numPr>
          <w:ilvl w:val="1"/>
          <w:numId w:val="64"/>
        </w:numPr>
        <w:rPr>
          <w:rFonts w:ascii="Arial" w:cs="Arial" w:eastAsia="Arial" w:hAnsi="Arial"/>
          <w:sz w:val="19"/>
          <w:szCs w:val="19"/>
          <w:color w:val="auto"/>
        </w:rPr>
      </w:pPr>
      <w:r>
        <w:rPr>
          <w:rFonts w:ascii="Arial" w:cs="Arial" w:eastAsia="Arial" w:hAnsi="Arial"/>
          <w:sz w:val="19"/>
          <w:szCs w:val="19"/>
          <w:color w:val="auto"/>
        </w:rPr>
        <w:t>Employee is signing this Agreement knowingly and voluntarily, with an understanding of each of its terms;</w:t>
      </w:r>
    </w:p>
    <w:p>
      <w:pPr>
        <w:spacing w:after="0" w:line="59" w:lineRule="exact"/>
        <w:rPr>
          <w:rFonts w:ascii="Arial" w:cs="Arial" w:eastAsia="Arial" w:hAnsi="Arial"/>
          <w:sz w:val="19"/>
          <w:szCs w:val="19"/>
          <w:color w:val="auto"/>
        </w:rPr>
      </w:pPr>
    </w:p>
    <w:p>
      <w:pPr>
        <w:ind w:left="1900" w:hanging="622"/>
        <w:spacing w:after="0"/>
        <w:tabs>
          <w:tab w:leader="none" w:pos="1900" w:val="left"/>
        </w:tabs>
        <w:numPr>
          <w:ilvl w:val="1"/>
          <w:numId w:val="64"/>
        </w:numPr>
        <w:rPr>
          <w:rFonts w:ascii="Arial" w:cs="Arial" w:eastAsia="Arial" w:hAnsi="Arial"/>
          <w:sz w:val="20"/>
          <w:szCs w:val="20"/>
          <w:color w:val="auto"/>
        </w:rPr>
      </w:pPr>
      <w:r>
        <w:rPr>
          <w:rFonts w:ascii="Arial" w:cs="Arial" w:eastAsia="Arial" w:hAnsi="Arial"/>
          <w:sz w:val="20"/>
          <w:szCs w:val="20"/>
          <w:color w:val="auto"/>
        </w:rPr>
        <w:t>Employee is not releasing claims that may arise from facts or events which occur after the date Employee</w:t>
      </w:r>
    </w:p>
    <w:p>
      <w:pPr>
        <w:spacing w:after="0" w:line="4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signs this Agreement;</w:t>
      </w:r>
    </w:p>
    <w:p>
      <w:pPr>
        <w:spacing w:after="0" w:line="50" w:lineRule="exact"/>
        <w:rPr>
          <w:rFonts w:ascii="Arial" w:cs="Arial" w:eastAsia="Arial" w:hAnsi="Arial"/>
          <w:sz w:val="20"/>
          <w:szCs w:val="20"/>
          <w:color w:val="auto"/>
        </w:rPr>
      </w:pPr>
    </w:p>
    <w:p>
      <w:pPr>
        <w:jc w:val="both"/>
        <w:ind w:firstLine="1278"/>
        <w:spacing w:after="0" w:line="305" w:lineRule="auto"/>
        <w:tabs>
          <w:tab w:leader="none" w:pos="1903" w:val="left"/>
        </w:tabs>
        <w:numPr>
          <w:ilvl w:val="1"/>
          <w:numId w:val="64"/>
        </w:numPr>
        <w:rPr>
          <w:rFonts w:ascii="Arial" w:cs="Arial" w:eastAsia="Arial" w:hAnsi="Arial"/>
          <w:sz w:val="19"/>
          <w:szCs w:val="19"/>
          <w:color w:val="auto"/>
        </w:rPr>
      </w:pPr>
      <w:r>
        <w:rPr>
          <w:rFonts w:ascii="Arial" w:cs="Arial" w:eastAsia="Arial" w:hAnsi="Arial"/>
          <w:sz w:val="19"/>
          <w:szCs w:val="19"/>
          <w:color w:val="auto"/>
        </w:rPr>
        <w:t>In the event that Employee does not sign and return this Agreement to Employer during the Review Period, or in the event Employee revokes Employee’s consent to this Agreement during the Revocation Period: (a) this Agreement shall have no force or effect; and (b) Employee shall have no right to receive the Severance Payment set forth in Paragraph 2 above.</w:t>
      </w:r>
    </w:p>
    <w:p>
      <w:pPr>
        <w:spacing w:after="0" w:line="1" w:lineRule="exact"/>
        <w:rPr>
          <w:rFonts w:ascii="Arial" w:cs="Arial" w:eastAsia="Arial" w:hAnsi="Arial"/>
          <w:sz w:val="19"/>
          <w:szCs w:val="19"/>
          <w:color w:val="auto"/>
        </w:rPr>
      </w:pPr>
    </w:p>
    <w:p>
      <w:pPr>
        <w:ind w:left="1280" w:hanging="638"/>
        <w:spacing w:after="0"/>
        <w:tabs>
          <w:tab w:leader="none" w:pos="128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Governing Law/Jurisdiction/Venue</w:t>
      </w:r>
      <w:r>
        <w:rPr>
          <w:rFonts w:ascii="Arial" w:cs="Arial" w:eastAsia="Arial" w:hAnsi="Arial"/>
          <w:sz w:val="19"/>
          <w:szCs w:val="19"/>
          <w:color w:val="auto"/>
        </w:rPr>
        <w:t>: The parties agree that the Agreement will be governed by the laws of the State</w:t>
      </w:r>
    </w:p>
    <w:p>
      <w:pPr>
        <w:spacing w:after="0" w:line="73" w:lineRule="exact"/>
        <w:rPr>
          <w:rFonts w:ascii="Arial" w:cs="Arial" w:eastAsia="Arial" w:hAnsi="Arial"/>
          <w:sz w:val="19"/>
          <w:szCs w:val="19"/>
          <w:color w:val="auto"/>
        </w:rPr>
      </w:pPr>
    </w:p>
    <w:p>
      <w:pPr>
        <w:spacing w:after="0" w:line="276" w:lineRule="auto"/>
        <w:rPr>
          <w:rFonts w:ascii="Arial" w:cs="Arial" w:eastAsia="Arial" w:hAnsi="Arial"/>
          <w:sz w:val="19"/>
          <w:szCs w:val="19"/>
          <w:color w:val="auto"/>
        </w:rPr>
      </w:pPr>
      <w:r>
        <w:rPr>
          <w:rFonts w:ascii="Arial" w:cs="Arial" w:eastAsia="Arial" w:hAnsi="Arial"/>
          <w:sz w:val="21"/>
          <w:szCs w:val="21"/>
          <w:color w:val="auto"/>
        </w:rPr>
        <w:t>of Connecticut without regard to conflicts of law and that Employee will submit to the jurisdiction of the state and/or federal courts located within Connecticut for the resolution of any dispute that may arise hereunder.</w:t>
      </w:r>
    </w:p>
    <w:p>
      <w:pPr>
        <w:spacing w:after="0" w:line="1" w:lineRule="exact"/>
        <w:rPr>
          <w:rFonts w:ascii="Arial" w:cs="Arial" w:eastAsia="Arial" w:hAnsi="Arial"/>
          <w:sz w:val="19"/>
          <w:szCs w:val="19"/>
          <w:color w:val="auto"/>
        </w:rPr>
      </w:pPr>
    </w:p>
    <w:p>
      <w:pPr>
        <w:jc w:val="both"/>
        <w:ind w:firstLine="642"/>
        <w:spacing w:after="0" w:line="312" w:lineRule="auto"/>
        <w:tabs>
          <w:tab w:leader="none" w:pos="1272"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Entire Agreement; No Extra-Contractual Representations</w:t>
      </w:r>
      <w:r>
        <w:rPr>
          <w:rFonts w:ascii="Arial" w:cs="Arial" w:eastAsia="Arial" w:hAnsi="Arial"/>
          <w:sz w:val="19"/>
          <w:szCs w:val="19"/>
          <w:color w:val="auto"/>
        </w:rPr>
        <w:t>: This Agreement is the complete understanding between the parties with respect to the subject matter herein, and supersedes all prior understandings, arrangements and agreements, whether</w:t>
      </w:r>
    </w:p>
    <w:p>
      <w:pPr>
        <w:spacing w:after="0" w:line="1" w:lineRule="exact"/>
        <w:rPr>
          <w:rFonts w:ascii="Arial" w:cs="Arial" w:eastAsia="Arial" w:hAnsi="Arial"/>
          <w:sz w:val="19"/>
          <w:szCs w:val="19"/>
          <w:color w:val="auto"/>
        </w:rPr>
      </w:pPr>
    </w:p>
    <w:p>
      <w:pPr>
        <w:jc w:val="both"/>
        <w:spacing w:after="0" w:line="309" w:lineRule="auto"/>
        <w:rPr>
          <w:rFonts w:ascii="Arial" w:cs="Arial" w:eastAsia="Arial" w:hAnsi="Arial"/>
          <w:sz w:val="19"/>
          <w:szCs w:val="19"/>
          <w:color w:val="auto"/>
        </w:rPr>
      </w:pPr>
      <w:r>
        <w:rPr>
          <w:rFonts w:ascii="Arial" w:cs="Arial" w:eastAsia="Arial" w:hAnsi="Arial"/>
          <w:sz w:val="19"/>
          <w:szCs w:val="19"/>
          <w:color w:val="auto"/>
        </w:rPr>
        <w:t xml:space="preserve">verbal or written, between Employee and Employer;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impair Employee’s continuing contractual and common-law obligations to Employer including without limitation under (i) the PIIA; (ii) Paragraphs 5, 6, 9, 10, 12, 13 and 14 of the Employment Agreement, including without limitation the Restrictive Covenants set forth in Paragraph 9 of the Employment Agreement (the “</w:t>
      </w:r>
      <w:r>
        <w:rPr>
          <w:rFonts w:ascii="Arial" w:cs="Arial" w:eastAsia="Arial" w:hAnsi="Arial"/>
          <w:sz w:val="19"/>
          <w:szCs w:val="19"/>
          <w:b w:val="1"/>
          <w:bCs w:val="1"/>
          <w:color w:val="auto"/>
        </w:rPr>
        <w:t>Employment Agreement Restrictive Covenants</w:t>
      </w:r>
      <w:r>
        <w:rPr>
          <w:rFonts w:ascii="Arial" w:cs="Arial" w:eastAsia="Arial" w:hAnsi="Arial"/>
          <w:sz w:val="19"/>
          <w:szCs w:val="19"/>
          <w:color w:val="auto"/>
        </w:rPr>
        <w:t>”), and (iii) the Consulting Agreement, the terms of which are incorporated by reference into this Agreement as if fully set forth herein. For the avoidance of doubt, in the event Employee breaches or threatens to breach his continuing contractual obligations set forth in the PIIA and/or the Employment Agreement Restrictive Covenants, Employer shall be entitled to all remedies in accordance with the terms and conditions of such</w:t>
      </w:r>
    </w:p>
    <w:p>
      <w:pPr>
        <w:spacing w:after="0" w:line="5" w:lineRule="exact"/>
        <w:rPr>
          <w:rFonts w:ascii="Arial" w:cs="Arial" w:eastAsia="Arial" w:hAnsi="Arial"/>
          <w:sz w:val="19"/>
          <w:szCs w:val="19"/>
          <w:color w:val="auto"/>
        </w:rPr>
      </w:pPr>
    </w:p>
    <w:p>
      <w:pPr>
        <w:jc w:val="both"/>
        <w:spacing w:after="0" w:line="279" w:lineRule="auto"/>
        <w:rPr>
          <w:rFonts w:ascii="Arial" w:cs="Arial" w:eastAsia="Arial" w:hAnsi="Arial"/>
          <w:sz w:val="19"/>
          <w:szCs w:val="19"/>
          <w:color w:val="auto"/>
        </w:rPr>
      </w:pPr>
      <w:r>
        <w:rPr>
          <w:rFonts w:ascii="Arial" w:cs="Arial" w:eastAsia="Arial" w:hAnsi="Arial"/>
          <w:sz w:val="21"/>
          <w:szCs w:val="21"/>
          <w:color w:val="auto"/>
        </w:rPr>
        <w:t>agreements which expressly survive the termination of Employee’s employment, and which are incorporated by reference into this Agreement as if fully set forth herein. Employee acknowledges that Employee is not relying on any representations or promises by any representative of Employer with regard to the subject matter, basis or effect of this Agreement or otherwise, other than as specifically stated in this written Agreement.</w:t>
      </w:r>
    </w:p>
    <w:p>
      <w:pPr>
        <w:spacing w:after="0" w:line="3" w:lineRule="exact"/>
        <w:rPr>
          <w:rFonts w:ascii="Arial" w:cs="Arial" w:eastAsia="Arial" w:hAnsi="Arial"/>
          <w:sz w:val="19"/>
          <w:szCs w:val="19"/>
          <w:color w:val="auto"/>
        </w:rPr>
      </w:pPr>
    </w:p>
    <w:p>
      <w:pPr>
        <w:jc w:val="both"/>
        <w:ind w:firstLine="642"/>
        <w:spacing w:after="0" w:line="286" w:lineRule="auto"/>
        <w:tabs>
          <w:tab w:leader="none" w:pos="127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 No provision of this Agreement may be amended or modified unless the amendment or modification is agreed to in writing and signed by Employee and an authorized representative of Employer. No waiver by either party of any breach by the other party of any condition or provision of this Agreement to be performed by such other party shall be deemed a waiver of any other provision or condition at the time or at any prior or subsequent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17" w:right="339" w:bottom="1440" w:gutter="0" w:footer="0" w:header="0"/>
        </w:sectPr>
      </w:pPr>
    </w:p>
    <w:bookmarkStart w:id="118" w:name="page119"/>
    <w:bookmarkEnd w:id="118"/>
    <w:p>
      <w:pPr>
        <w:jc w:val="both"/>
        <w:ind w:firstLine="642"/>
        <w:spacing w:after="0" w:line="312" w:lineRule="auto"/>
        <w:tabs>
          <w:tab w:leader="none" w:pos="1272"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Counterparts; Facsimile or Electronic Execution and Delivery</w:t>
      </w:r>
      <w:r>
        <w:rPr>
          <w:rFonts w:ascii="Arial" w:cs="Arial" w:eastAsia="Arial" w:hAnsi="Arial"/>
          <w:sz w:val="19"/>
          <w:szCs w:val="19"/>
          <w:color w:val="auto"/>
        </w:rPr>
        <w:t>: This Agreement may be executed in counterparts, each of which shall be deemed an original, and all counterparts so executed shall constitute one agreement binding on all of the</w:t>
      </w:r>
    </w:p>
    <w:p>
      <w:pPr>
        <w:spacing w:after="0" w:line="1" w:lineRule="exact"/>
        <w:rPr>
          <w:rFonts w:ascii="Arial" w:cs="Arial" w:eastAsia="Arial" w:hAnsi="Arial"/>
          <w:sz w:val="19"/>
          <w:szCs w:val="19"/>
          <w:color w:val="auto"/>
        </w:rPr>
      </w:pPr>
    </w:p>
    <w:p>
      <w:pPr>
        <w:jc w:val="both"/>
        <w:spacing w:after="0" w:line="291" w:lineRule="auto"/>
        <w:rPr>
          <w:rFonts w:ascii="Arial" w:cs="Arial" w:eastAsia="Arial" w:hAnsi="Arial"/>
          <w:sz w:val="19"/>
          <w:szCs w:val="19"/>
          <w:color w:val="auto"/>
        </w:rPr>
      </w:pPr>
      <w:r>
        <w:rPr>
          <w:rFonts w:ascii="Arial" w:cs="Arial" w:eastAsia="Arial" w:hAnsi="Arial"/>
          <w:sz w:val="21"/>
          <w:szCs w:val="21"/>
          <w:color w:val="auto"/>
        </w:rPr>
        <w:t>parties hereto, notwithstanding that all of the parties are not signatory to the same counterpart. This Agreement may be executed or delivered either by original or facsimile, either of which will be equally valid and binding, and PDF signatures transmitted by email shall be equivalent to original signatures.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17"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71"/>
        </w:trPr>
        <w:tc>
          <w:tcPr>
            <w:tcW w:w="2260" w:type="dxa"/>
            <w:vAlign w:val="bottom"/>
            <w:gridSpan w:val="5"/>
          </w:tcPr>
          <w:p>
            <w:pPr>
              <w:spacing w:after="0"/>
              <w:rPr>
                <w:sz w:val="20"/>
                <w:szCs w:val="20"/>
                <w:color w:val="auto"/>
              </w:rPr>
            </w:pPr>
            <w:r>
              <w:rPr>
                <w:rFonts w:ascii="Arial" w:cs="Arial" w:eastAsia="Arial" w:hAnsi="Arial"/>
                <w:sz w:val="21"/>
                <w:szCs w:val="21"/>
                <w:color w:val="auto"/>
                <w:w w:val="95"/>
              </w:rPr>
              <w:t>Accepted and agreed by:</w:t>
            </w: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636"/>
        </w:trPr>
        <w:tc>
          <w:tcPr>
            <w:tcW w:w="2260" w:type="dxa"/>
            <w:vAlign w:val="bottom"/>
            <w:gridSpan w:val="5"/>
          </w:tcPr>
          <w:p>
            <w:pPr>
              <w:spacing w:after="0"/>
              <w:rPr>
                <w:sz w:val="20"/>
                <w:szCs w:val="20"/>
                <w:color w:val="auto"/>
              </w:rPr>
            </w:pPr>
            <w:r>
              <w:rPr>
                <w:rFonts w:ascii="Arial" w:cs="Arial" w:eastAsia="Arial" w:hAnsi="Arial"/>
                <w:sz w:val="21"/>
                <w:szCs w:val="21"/>
                <w:color w:val="auto"/>
              </w:rPr>
              <w:t>EMPLOYEE: Isaac Ro</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3"/>
        </w:trPr>
        <w:tc>
          <w:tcPr>
            <w:tcW w:w="1200" w:type="dxa"/>
            <w:vAlign w:val="bottom"/>
            <w:gridSpan w:val="2"/>
          </w:tcPr>
          <w:p>
            <w:pPr>
              <w:spacing w:after="0"/>
              <w:rPr>
                <w:sz w:val="20"/>
                <w:szCs w:val="20"/>
                <w:color w:val="auto"/>
              </w:rPr>
            </w:pPr>
            <w:r>
              <w:rPr>
                <w:rFonts w:ascii="Arial" w:cs="Arial" w:eastAsia="Arial" w:hAnsi="Arial"/>
                <w:sz w:val="21"/>
                <w:szCs w:val="21"/>
                <w:color w:val="auto"/>
              </w:rPr>
              <w:t>/s/ Isaac Ro</w:t>
            </w:r>
          </w:p>
        </w:tc>
        <w:tc>
          <w:tcPr>
            <w:tcW w:w="2720" w:type="dxa"/>
            <w:vAlign w:val="bottom"/>
            <w:gridSpan w:val="6"/>
          </w:tcPr>
          <w:p>
            <w:pPr>
              <w:ind w:left="220"/>
              <w:spacing w:after="0"/>
              <w:rPr>
                <w:sz w:val="20"/>
                <w:szCs w:val="20"/>
                <w:color w:val="auto"/>
              </w:rPr>
            </w:pPr>
            <w:r>
              <w:rPr>
                <w:rFonts w:ascii="Arial" w:cs="Arial" w:eastAsia="Arial" w:hAnsi="Arial"/>
                <w:sz w:val="21"/>
                <w:szCs w:val="21"/>
                <w:color w:val="auto"/>
              </w:rPr>
              <w:t>Date: 8/11/22</w:t>
            </w:r>
          </w:p>
        </w:tc>
      </w:tr>
      <w:tr>
        <w:trPr>
          <w:trHeight w:val="20"/>
        </w:trPr>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79"/>
        </w:trPr>
        <w:tc>
          <w:tcPr>
            <w:tcW w:w="3920" w:type="dxa"/>
            <w:vAlign w:val="bottom"/>
            <w:gridSpan w:val="8"/>
          </w:tcPr>
          <w:p>
            <w:pPr>
              <w:spacing w:after="0"/>
              <w:rPr>
                <w:sz w:val="20"/>
                <w:szCs w:val="20"/>
                <w:color w:val="auto"/>
              </w:rPr>
            </w:pPr>
            <w:r>
              <w:rPr>
                <w:rFonts w:ascii="Arial" w:cs="Arial" w:eastAsia="Arial" w:hAnsi="Arial"/>
                <w:sz w:val="21"/>
                <w:szCs w:val="21"/>
                <w:color w:val="auto"/>
              </w:rPr>
              <w:t>EMPLOYER: Sema4 OpCo, Inc.</w:t>
            </w:r>
          </w:p>
        </w:tc>
      </w:tr>
      <w:tr>
        <w:trPr>
          <w:trHeight w:val="373"/>
        </w:trPr>
        <w:tc>
          <w:tcPr>
            <w:tcW w:w="2260" w:type="dxa"/>
            <w:vAlign w:val="bottom"/>
            <w:gridSpan w:val="5"/>
          </w:tcPr>
          <w:p>
            <w:pPr>
              <w:spacing w:after="0"/>
              <w:rPr>
                <w:sz w:val="20"/>
                <w:szCs w:val="20"/>
                <w:color w:val="auto"/>
              </w:rPr>
            </w:pPr>
            <w:r>
              <w:rPr>
                <w:rFonts w:ascii="Arial" w:cs="Arial" w:eastAsia="Arial" w:hAnsi="Arial"/>
                <w:sz w:val="21"/>
                <w:szCs w:val="21"/>
                <w:color w:val="auto"/>
              </w:rPr>
              <w:t>By: /s/ Karen White</w:t>
            </w:r>
          </w:p>
        </w:tc>
        <w:tc>
          <w:tcPr>
            <w:tcW w:w="1660" w:type="dxa"/>
            <w:vAlign w:val="bottom"/>
            <w:gridSpan w:val="3"/>
          </w:tcPr>
          <w:p>
            <w:pPr>
              <w:ind w:left="80"/>
              <w:spacing w:after="0"/>
              <w:rPr>
                <w:sz w:val="20"/>
                <w:szCs w:val="20"/>
                <w:color w:val="auto"/>
              </w:rPr>
            </w:pPr>
            <w:r>
              <w:rPr>
                <w:rFonts w:ascii="Arial" w:cs="Arial" w:eastAsia="Arial" w:hAnsi="Arial"/>
                <w:sz w:val="21"/>
                <w:szCs w:val="21"/>
                <w:color w:val="auto"/>
              </w:rPr>
              <w:t>Date: 8/11/22</w:t>
            </w:r>
          </w:p>
        </w:tc>
      </w:tr>
      <w:tr>
        <w:trPr>
          <w:trHeight w:val="184"/>
        </w:trPr>
        <w:tc>
          <w:tcPr>
            <w:tcW w:w="360" w:type="dxa"/>
            <w:vAlign w:val="bottom"/>
          </w:tcPr>
          <w:p>
            <w:pPr>
              <w:spacing w:after="0"/>
              <w:rPr>
                <w:sz w:val="15"/>
                <w:szCs w:val="15"/>
                <w:color w:val="auto"/>
              </w:rPr>
            </w:pPr>
          </w:p>
        </w:tc>
        <w:tc>
          <w:tcPr>
            <w:tcW w:w="1560" w:type="dxa"/>
            <w:vAlign w:val="bottom"/>
            <w:tcBorders>
              <w:top w:val="single" w:sz="8" w:color="auto"/>
            </w:tcBorders>
            <w:gridSpan w:val="2"/>
          </w:tcPr>
          <w:p>
            <w:pPr>
              <w:ind w:left="40"/>
              <w:spacing w:after="0" w:line="184" w:lineRule="exact"/>
              <w:rPr>
                <w:sz w:val="20"/>
                <w:szCs w:val="20"/>
                <w:color w:val="auto"/>
              </w:rPr>
            </w:pPr>
            <w:r>
              <w:rPr>
                <w:rFonts w:ascii="Arial" w:cs="Arial" w:eastAsia="Arial" w:hAnsi="Arial"/>
                <w:sz w:val="21"/>
                <w:szCs w:val="21"/>
                <w:color w:val="auto"/>
              </w:rPr>
              <w:t>Karen White</w:t>
            </w:r>
          </w:p>
        </w:tc>
        <w:tc>
          <w:tcPr>
            <w:tcW w:w="340" w:type="dxa"/>
            <w:vAlign w:val="bottom"/>
            <w:gridSpan w:val="2"/>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71"/>
        </w:trPr>
        <w:tc>
          <w:tcPr>
            <w:tcW w:w="360" w:type="dxa"/>
            <w:vAlign w:val="bottom"/>
          </w:tcPr>
          <w:p>
            <w:pPr>
              <w:spacing w:after="0"/>
              <w:rPr>
                <w:sz w:val="23"/>
                <w:szCs w:val="23"/>
                <w:color w:val="auto"/>
              </w:rPr>
            </w:pPr>
          </w:p>
        </w:tc>
        <w:tc>
          <w:tcPr>
            <w:tcW w:w="1900" w:type="dxa"/>
            <w:vAlign w:val="bottom"/>
            <w:gridSpan w:val="4"/>
          </w:tcPr>
          <w:p>
            <w:pPr>
              <w:ind w:left="40"/>
              <w:spacing w:after="0"/>
              <w:rPr>
                <w:sz w:val="20"/>
                <w:szCs w:val="20"/>
                <w:color w:val="auto"/>
              </w:rPr>
            </w:pPr>
            <w:r>
              <w:rPr>
                <w:rFonts w:ascii="Arial" w:cs="Arial" w:eastAsia="Arial" w:hAnsi="Arial"/>
                <w:sz w:val="21"/>
                <w:szCs w:val="21"/>
                <w:color w:val="auto"/>
                <w:w w:val="97"/>
              </w:rPr>
              <w:t>Chief People Officer</w:t>
            </w: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45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0139"/>
          </w:cols>
          <w:pgMar w:left="320" w:top="1377" w:right="1440" w:bottom="1440" w:gutter="0" w:footer="0" w:header="0"/>
        </w:sectPr>
      </w:pPr>
    </w:p>
    <w:bookmarkStart w:id="120" w:name="page121"/>
    <w:bookmarkEnd w:id="12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rFonts w:ascii="Arial" w:cs="Arial" w:eastAsia="Arial" w:hAnsi="Arial"/>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 Separation Agreement and General Release</w:t>
      </w:r>
    </w:p>
    <w:p>
      <w:pPr>
        <w:spacing w:after="0" w:line="18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This Confidential Separation Agreement and General Release (“</w:t>
      </w:r>
      <w:r>
        <w:rPr>
          <w:rFonts w:ascii="Arial" w:cs="Arial" w:eastAsia="Arial" w:hAnsi="Arial"/>
          <w:sz w:val="21"/>
          <w:szCs w:val="21"/>
          <w:b w:val="1"/>
          <w:bCs w:val="1"/>
          <w:color w:val="auto"/>
        </w:rPr>
        <w:t>Agreement</w:t>
      </w:r>
      <w:r>
        <w:rPr>
          <w:rFonts w:ascii="Arial" w:cs="Arial" w:eastAsia="Arial" w:hAnsi="Arial"/>
          <w:sz w:val="21"/>
          <w:szCs w:val="21"/>
          <w:color w:val="auto"/>
        </w:rPr>
        <w:t>”) is made by and between Sema4 OpCo, Inc. (“</w:t>
      </w:r>
      <w:r>
        <w:rPr>
          <w:rFonts w:ascii="Arial" w:cs="Arial" w:eastAsia="Arial" w:hAnsi="Arial"/>
          <w:sz w:val="21"/>
          <w:szCs w:val="21"/>
          <w:b w:val="1"/>
          <w:bCs w:val="1"/>
          <w:color w:val="auto"/>
        </w:rPr>
        <w:t>Employer</w:t>
      </w:r>
      <w:r>
        <w:rPr>
          <w:rFonts w:ascii="Arial" w:cs="Arial" w:eastAsia="Arial" w:hAnsi="Arial"/>
          <w:sz w:val="21"/>
          <w:szCs w:val="21"/>
          <w:color w:val="auto"/>
        </w:rPr>
        <w:t>”) and Eric Schadt, Ph.D. (“</w:t>
      </w:r>
      <w:r>
        <w:rPr>
          <w:rFonts w:ascii="Arial" w:cs="Arial" w:eastAsia="Arial" w:hAnsi="Arial"/>
          <w:sz w:val="21"/>
          <w:szCs w:val="21"/>
          <w:b w:val="1"/>
          <w:bCs w:val="1"/>
          <w:color w:val="auto"/>
        </w:rPr>
        <w:t>Employee</w:t>
      </w:r>
      <w:r>
        <w:rPr>
          <w:rFonts w:ascii="Arial" w:cs="Arial" w:eastAsia="Arial" w:hAnsi="Arial"/>
          <w:sz w:val="21"/>
          <w:szCs w:val="21"/>
          <w:color w:val="auto"/>
        </w:rPr>
        <w:t>” or “</w:t>
      </w:r>
      <w:r>
        <w:rPr>
          <w:rFonts w:ascii="Arial" w:cs="Arial" w:eastAsia="Arial" w:hAnsi="Arial"/>
          <w:sz w:val="21"/>
          <w:szCs w:val="21"/>
          <w:b w:val="1"/>
          <w:bCs w:val="1"/>
          <w:color w:val="auto"/>
        </w:rPr>
        <w:t>you</w:t>
      </w:r>
      <w:r>
        <w:rPr>
          <w:rFonts w:ascii="Arial" w:cs="Arial" w:eastAsia="Arial" w:hAnsi="Arial"/>
          <w:sz w:val="21"/>
          <w:szCs w:val="21"/>
          <w:color w:val="auto"/>
        </w:rPr>
        <w:t>”). This Agreement may not be cited as an admission by Employer of any wrongdoing or violation of any law or regulation.</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WHEREAS, Employee entered into an amended and restated Employment Agreement on or about July 22, 2021, as amended on June 14, 2022 (“</w:t>
      </w:r>
      <w:r>
        <w:rPr>
          <w:rFonts w:ascii="Arial" w:cs="Arial" w:eastAsia="Arial" w:hAnsi="Arial"/>
          <w:sz w:val="21"/>
          <w:szCs w:val="21"/>
          <w:b w:val="1"/>
          <w:bCs w:val="1"/>
          <w:color w:val="auto"/>
        </w:rPr>
        <w:t>Employment Agreement</w:t>
      </w:r>
      <w:r>
        <w:rPr>
          <w:rFonts w:ascii="Arial" w:cs="Arial" w:eastAsia="Arial" w:hAnsi="Arial"/>
          <w:sz w:val="21"/>
          <w:szCs w:val="21"/>
          <w:color w:val="auto"/>
        </w:rPr>
        <w:t>”).</w:t>
      </w:r>
    </w:p>
    <w:p>
      <w:pPr>
        <w:spacing w:after="0" w:line="149"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WHEREAS, on April 29, 2022 (“</w:t>
      </w:r>
      <w:r>
        <w:rPr>
          <w:rFonts w:ascii="Arial" w:cs="Arial" w:eastAsia="Arial" w:hAnsi="Arial"/>
          <w:sz w:val="21"/>
          <w:szCs w:val="21"/>
          <w:b w:val="1"/>
          <w:bCs w:val="1"/>
          <w:color w:val="auto"/>
        </w:rPr>
        <w:t>Closing Date</w:t>
      </w:r>
      <w:r>
        <w:rPr>
          <w:rFonts w:ascii="Arial" w:cs="Arial" w:eastAsia="Arial" w:hAnsi="Arial"/>
          <w:sz w:val="21"/>
          <w:szCs w:val="21"/>
          <w:color w:val="auto"/>
        </w:rPr>
        <w:t>”), Sema4 Holdings Corp. (the “</w:t>
      </w:r>
      <w:r>
        <w:rPr>
          <w:rFonts w:ascii="Arial" w:cs="Arial" w:eastAsia="Arial" w:hAnsi="Arial"/>
          <w:sz w:val="21"/>
          <w:szCs w:val="21"/>
          <w:b w:val="1"/>
          <w:bCs w:val="1"/>
          <w:color w:val="auto"/>
        </w:rPr>
        <w:t>Corporation</w:t>
      </w:r>
      <w:r>
        <w:rPr>
          <w:rFonts w:ascii="Arial" w:cs="Arial" w:eastAsia="Arial" w:hAnsi="Arial"/>
          <w:sz w:val="21"/>
          <w:szCs w:val="21"/>
          <w:color w:val="auto"/>
        </w:rPr>
        <w:t>” and, together with its subsidiaries, “</w:t>
      </w:r>
      <w:r>
        <w:rPr>
          <w:rFonts w:ascii="Arial" w:cs="Arial" w:eastAsia="Arial" w:hAnsi="Arial"/>
          <w:sz w:val="21"/>
          <w:szCs w:val="21"/>
          <w:b w:val="1"/>
          <w:bCs w:val="1"/>
          <w:color w:val="auto"/>
        </w:rPr>
        <w:t>Sema4</w:t>
      </w:r>
      <w:r>
        <w:rPr>
          <w:rFonts w:ascii="Arial" w:cs="Arial" w:eastAsia="Arial" w:hAnsi="Arial"/>
          <w:sz w:val="21"/>
          <w:szCs w:val="21"/>
          <w:color w:val="auto"/>
        </w:rPr>
        <w:t>”) completed its acquisition of GeneDx, Inc. On the Closing Date, Employee was appointed President and Chief Research &amp; Development Officer of the Corporation, ceased serving as the Chief Executive Officer of the Corporation, and no longer reported directly to the Board of Directors of the Corporation (the “</w:t>
      </w:r>
      <w:r>
        <w:rPr>
          <w:rFonts w:ascii="Arial" w:cs="Arial" w:eastAsia="Arial" w:hAnsi="Arial"/>
          <w:sz w:val="21"/>
          <w:szCs w:val="21"/>
          <w:b w:val="1"/>
          <w:bCs w:val="1"/>
          <w:color w:val="auto"/>
        </w:rPr>
        <w:t>Board</w:t>
      </w:r>
      <w:r>
        <w:rPr>
          <w:rFonts w:ascii="Arial" w:cs="Arial" w:eastAsia="Arial" w:hAnsi="Arial"/>
          <w:sz w:val="21"/>
          <w:szCs w:val="21"/>
          <w:color w:val="auto"/>
        </w:rPr>
        <w:t>”). The changes to Employee’s job as of the Closing Date is hereinafter referred to as the “</w:t>
      </w:r>
      <w:r>
        <w:rPr>
          <w:rFonts w:ascii="Arial" w:cs="Arial" w:eastAsia="Arial" w:hAnsi="Arial"/>
          <w:sz w:val="21"/>
          <w:szCs w:val="21"/>
          <w:b w:val="1"/>
          <w:bCs w:val="1"/>
          <w:color w:val="auto"/>
        </w:rPr>
        <w:t>Employment Modifications</w:t>
      </w:r>
      <w:r>
        <w:rPr>
          <w:rFonts w:ascii="Arial" w:cs="Arial" w:eastAsia="Arial" w:hAnsi="Arial"/>
          <w:sz w:val="21"/>
          <w:szCs w:val="21"/>
          <w:color w:val="auto"/>
        </w:rPr>
        <w:t>”.</w:t>
      </w:r>
    </w:p>
    <w:p>
      <w:pPr>
        <w:spacing w:after="0" w:line="156"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0"/>
          <w:szCs w:val="20"/>
          <w:color w:val="auto"/>
        </w:rPr>
        <w:t>WHEREAS, pursuant to the Employment Agreement, Employee may provide written notice of Good Reason (as defined in the Employment Agreement) to Employer in connection with the Employment Modifications on or prior to April 28, 2023.</w:t>
      </w:r>
    </w:p>
    <w:p>
      <w:pPr>
        <w:spacing w:after="0" w:line="132"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WHEREAS, Employee provided such written notice of Good Reason to Employer on June 22, 2022, and Employer has not cured the events constituting Good Reason.</w:t>
      </w:r>
    </w:p>
    <w:p>
      <w:pPr>
        <w:spacing w:after="0" w:line="155"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0"/>
          <w:szCs w:val="20"/>
          <w:color w:val="auto"/>
        </w:rPr>
        <w:t>WHEREAS, pursuant to Paragraphs 5(D) and (F) of the Employment Agreement, upon termination of his employment for Good Reason and resignation from all positions then held within 30 days following the expiration of the Employer’s cure period, Employee is entitled to certain severance payments and benefits subject to certain conditions, specifically (i) the execution of a release in a form prescribed by the Employer, which release must have become effective and the revocation period expired without the Employee having revoked the release; (ii) Employee’s compliance with Sections 9 and 12 of the Employment Agreement and the Proprietary Information and Inventions Agreement entered into by the Employee and the Employer (the “</w:t>
      </w:r>
      <w:r>
        <w:rPr>
          <w:rFonts w:ascii="Arial" w:cs="Arial" w:eastAsia="Arial" w:hAnsi="Arial"/>
          <w:sz w:val="20"/>
          <w:szCs w:val="20"/>
          <w:b w:val="1"/>
          <w:bCs w:val="1"/>
          <w:color w:val="auto"/>
        </w:rPr>
        <w:t>PIIA</w:t>
      </w:r>
      <w:r>
        <w:rPr>
          <w:rFonts w:ascii="Arial" w:cs="Arial" w:eastAsia="Arial" w:hAnsi="Arial"/>
          <w:sz w:val="20"/>
          <w:szCs w:val="20"/>
          <w:color w:val="auto"/>
        </w:rPr>
        <w:t>”); and (iii) applicable federal, state and local withholdings for taxes.</w:t>
      </w:r>
    </w:p>
    <w:p>
      <w:pPr>
        <w:spacing w:after="0" w:line="153" w:lineRule="exact"/>
        <w:rPr>
          <w:sz w:val="20"/>
          <w:szCs w:val="20"/>
          <w:color w:val="auto"/>
        </w:rPr>
      </w:pPr>
    </w:p>
    <w:p>
      <w:pPr>
        <w:jc w:val="both"/>
        <w:ind w:right="20" w:firstLine="636"/>
        <w:spacing w:after="0" w:line="239" w:lineRule="auto"/>
        <w:rPr>
          <w:sz w:val="20"/>
          <w:szCs w:val="20"/>
          <w:color w:val="auto"/>
        </w:rPr>
      </w:pPr>
      <w:r>
        <w:rPr>
          <w:rFonts w:ascii="Arial" w:cs="Arial" w:eastAsia="Arial" w:hAnsi="Arial"/>
          <w:sz w:val="21"/>
          <w:szCs w:val="21"/>
          <w:color w:val="auto"/>
        </w:rPr>
        <w:t>NOW, THEREFORE, in consideration of the promises and mutual covenants contained herein, the receipt and adequacy of which are hereby acknowledged by the parties, it is agreed as follows:</w:t>
      </w:r>
    </w:p>
    <w:p>
      <w:pPr>
        <w:spacing w:after="0" w:line="155" w:lineRule="exact"/>
        <w:rPr>
          <w:sz w:val="20"/>
          <w:szCs w:val="20"/>
          <w:color w:val="auto"/>
        </w:rPr>
      </w:pPr>
    </w:p>
    <w:p>
      <w:pPr>
        <w:jc w:val="both"/>
        <w:ind w:firstLine="642"/>
        <w:spacing w:after="0" w:line="220" w:lineRule="auto"/>
        <w:tabs>
          <w:tab w:leader="none" w:pos="1272"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Termination Date; Resignation from Board of Directors</w:t>
      </w:r>
      <w:r>
        <w:rPr>
          <w:rFonts w:ascii="Arial" w:cs="Arial" w:eastAsia="Arial" w:hAnsi="Arial"/>
          <w:sz w:val="21"/>
          <w:szCs w:val="21"/>
          <w:color w:val="auto"/>
        </w:rPr>
        <w:t>: Employee’s last effective day of employment as the Corporation’s President and Chief Research &amp; Development Officer will be August 15, 2022 (the “</w:t>
      </w:r>
      <w:r>
        <w:rPr>
          <w:rFonts w:ascii="Arial" w:cs="Arial" w:eastAsia="Arial" w:hAnsi="Arial"/>
          <w:sz w:val="21"/>
          <w:szCs w:val="21"/>
          <w:b w:val="1"/>
          <w:bCs w:val="1"/>
          <w:color w:val="auto"/>
        </w:rPr>
        <w:t>Termination Date</w:t>
      </w:r>
      <w:r>
        <w:rPr>
          <w:rFonts w:ascii="Arial" w:cs="Arial" w:eastAsia="Arial" w:hAnsi="Arial"/>
          <w:sz w:val="21"/>
          <w:szCs w:val="21"/>
          <w:color w:val="auto"/>
        </w:rPr>
        <w:t>”), and Employee shall be paid all accrued wages due through the Termination Date, whether or not Employee signs this Agreement. Employee’s coverage as an active employee under the Employer’s medical, prescription, dental and vison benefit plans will terminate as of August 31, 2022, subject to the continuation benefits described in Paragraph 3, below. Employee’s resignation from the Board shall be effective as of the Termination Date.</w:t>
      </w:r>
    </w:p>
    <w:p>
      <w:pPr>
        <w:spacing w:after="0" w:line="155" w:lineRule="exact"/>
        <w:rPr>
          <w:rFonts w:ascii="Arial" w:cs="Arial" w:eastAsia="Arial" w:hAnsi="Arial"/>
          <w:sz w:val="21"/>
          <w:szCs w:val="21"/>
          <w:color w:val="auto"/>
        </w:rPr>
      </w:pPr>
    </w:p>
    <w:p>
      <w:pPr>
        <w:ind w:left="1280" w:hanging="638"/>
        <w:spacing w:after="0"/>
        <w:tabs>
          <w:tab w:leader="none" w:pos="128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Non-Disparagement; Cooperation</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278"/>
        <w:spacing w:after="0" w:line="242" w:lineRule="auto"/>
        <w:tabs>
          <w:tab w:leader="none" w:pos="1905" w:val="left"/>
        </w:tabs>
        <w:numPr>
          <w:ilvl w:val="1"/>
          <w:numId w:val="67"/>
        </w:numPr>
        <w:rPr>
          <w:rFonts w:ascii="Arial" w:cs="Arial" w:eastAsia="Arial" w:hAnsi="Arial"/>
          <w:sz w:val="20"/>
          <w:szCs w:val="20"/>
          <w:color w:val="auto"/>
        </w:rPr>
      </w:pPr>
      <w:r>
        <w:rPr>
          <w:rFonts w:ascii="Arial" w:cs="Arial" w:eastAsia="Arial" w:hAnsi="Arial"/>
          <w:sz w:val="20"/>
          <w:szCs w:val="20"/>
          <w:color w:val="auto"/>
        </w:rPr>
        <w:t>Subject to Employee’s rights pursuant to Paragraph 6(b), below, Employee agrees not to make any disparaging remarks or send any disparaging communications, written or oral, directly or indirectly, concerning Sema4 or the business or management of Sema4, or any Releasees, with the intention of damaging the reputation of Sema4 or the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22" w:name="page123"/>
    <w:bookmarkEnd w:id="122"/>
    <w:p>
      <w:pPr>
        <w:ind w:left="10140"/>
        <w:spacing w:after="0"/>
        <w:rPr>
          <w:sz w:val="20"/>
          <w:szCs w:val="20"/>
          <w:color w:val="auto"/>
        </w:rPr>
      </w:pPr>
      <w:r>
        <w:rPr>
          <w:rFonts w:ascii="Arial" w:cs="Arial" w:eastAsia="Arial" w:hAnsi="Arial"/>
          <w:sz w:val="19"/>
          <w:szCs w:val="19"/>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or business reputations of any Releasee, or with the intention of interfering with, impairing, or disrupting the normal operations of Sema4. Nothing in this Agreement will be construed to prohibit Employee from engaging in protected concerted activity under the NLRA, if applicable.</w:t>
      </w:r>
    </w:p>
    <w:p>
      <w:pPr>
        <w:spacing w:after="0" w:line="154" w:lineRule="exact"/>
        <w:rPr>
          <w:sz w:val="20"/>
          <w:szCs w:val="20"/>
          <w:color w:val="auto"/>
        </w:rPr>
      </w:pPr>
    </w:p>
    <w:p>
      <w:pPr>
        <w:jc w:val="both"/>
        <w:ind w:firstLine="1278"/>
        <w:spacing w:after="0" w:line="220" w:lineRule="auto"/>
        <w:tabs>
          <w:tab w:leader="none" w:pos="1903" w:val="left"/>
        </w:tabs>
        <w:numPr>
          <w:ilvl w:val="1"/>
          <w:numId w:val="68"/>
        </w:numPr>
        <w:rPr>
          <w:rFonts w:ascii="Arial" w:cs="Arial" w:eastAsia="Arial" w:hAnsi="Arial"/>
          <w:sz w:val="21"/>
          <w:szCs w:val="21"/>
          <w:color w:val="auto"/>
        </w:rPr>
      </w:pPr>
      <w:r>
        <w:rPr>
          <w:rFonts w:ascii="Arial" w:cs="Arial" w:eastAsia="Arial" w:hAnsi="Arial"/>
          <w:sz w:val="21"/>
          <w:szCs w:val="21"/>
          <w:color w:val="auto"/>
        </w:rPr>
        <w:t>Likewise, the Corporation, through the members of the Board and its Executive Leadership Team while acting as a director, consultant or advisor to the Employer, agrees not to disparage Employee or encourage any third party to disparage Employee in any manner likely to be harmful to Employee, Employee’s business or your personal reputation. Furthermore, should it come to the Employer’s attention that any officer, director, employee, agent or other Employer related personnel has or is in the process of disparaging Employee, the Employer will take appropriate, prompt and immediate action to ensure said disparagement does not take place and/or ceases.</w:t>
      </w:r>
    </w:p>
    <w:p>
      <w:pPr>
        <w:spacing w:after="0" w:line="155" w:lineRule="exact"/>
        <w:rPr>
          <w:rFonts w:ascii="Arial" w:cs="Arial" w:eastAsia="Arial" w:hAnsi="Arial"/>
          <w:sz w:val="21"/>
          <w:szCs w:val="21"/>
          <w:color w:val="auto"/>
        </w:rPr>
      </w:pPr>
    </w:p>
    <w:p>
      <w:pPr>
        <w:jc w:val="both"/>
        <w:ind w:firstLine="1278"/>
        <w:spacing w:after="0" w:line="225" w:lineRule="auto"/>
        <w:tabs>
          <w:tab w:leader="none" w:pos="1905" w:val="left"/>
        </w:tabs>
        <w:numPr>
          <w:ilvl w:val="1"/>
          <w:numId w:val="68"/>
        </w:numPr>
        <w:rPr>
          <w:rFonts w:ascii="Arial" w:cs="Arial" w:eastAsia="Arial" w:hAnsi="Arial"/>
          <w:sz w:val="21"/>
          <w:szCs w:val="21"/>
          <w:color w:val="auto"/>
        </w:rPr>
      </w:pPr>
      <w:r>
        <w:rPr>
          <w:rFonts w:ascii="Arial" w:cs="Arial" w:eastAsia="Arial" w:hAnsi="Arial"/>
          <w:sz w:val="21"/>
          <w:szCs w:val="21"/>
          <w:color w:val="auto"/>
        </w:rPr>
        <w:t>Employee will be provided a reasonable opportunity to review and comment on any press release or other public communication, in advance of publication, regarding Employee’s separation from Employer, or the portion thereof regarding Employee’s separation. The Corporation agrees to reasonably consider any suggested changes to specific language which might otherwise reflect poorly on Employee.</w:t>
      </w:r>
    </w:p>
    <w:p>
      <w:pPr>
        <w:spacing w:after="0" w:line="154" w:lineRule="exact"/>
        <w:rPr>
          <w:rFonts w:ascii="Arial" w:cs="Arial" w:eastAsia="Arial" w:hAnsi="Arial"/>
          <w:sz w:val="21"/>
          <w:szCs w:val="21"/>
          <w:color w:val="auto"/>
        </w:rPr>
      </w:pPr>
    </w:p>
    <w:p>
      <w:pPr>
        <w:jc w:val="both"/>
        <w:ind w:firstLine="1278"/>
        <w:spacing w:after="0" w:line="230" w:lineRule="auto"/>
        <w:tabs>
          <w:tab w:leader="none" w:pos="1986" w:val="left"/>
        </w:tabs>
        <w:numPr>
          <w:ilvl w:val="1"/>
          <w:numId w:val="68"/>
        </w:numPr>
        <w:rPr>
          <w:rFonts w:ascii="Arial" w:cs="Arial" w:eastAsia="Arial" w:hAnsi="Arial"/>
          <w:sz w:val="21"/>
          <w:szCs w:val="21"/>
          <w:color w:val="auto"/>
        </w:rPr>
      </w:pPr>
      <w:r>
        <w:rPr>
          <w:rFonts w:ascii="Arial" w:cs="Arial" w:eastAsia="Arial" w:hAnsi="Arial"/>
          <w:sz w:val="21"/>
          <w:szCs w:val="21"/>
          <w:color w:val="auto"/>
        </w:rPr>
        <w:t>Nothing contained in this Agreement, including Paragraph 2(c), shall prevent any party from responding accurately and fully to any question, inquiry or request for information when required by legal process, or prevent the Corporation from reporting or disclosing information regarding its historical performance.</w:t>
      </w:r>
    </w:p>
    <w:p>
      <w:pPr>
        <w:spacing w:after="0" w:line="153" w:lineRule="exact"/>
        <w:rPr>
          <w:rFonts w:ascii="Arial" w:cs="Arial" w:eastAsia="Arial" w:hAnsi="Arial"/>
          <w:sz w:val="21"/>
          <w:szCs w:val="21"/>
          <w:color w:val="auto"/>
        </w:rPr>
      </w:pPr>
    </w:p>
    <w:p>
      <w:pPr>
        <w:jc w:val="both"/>
        <w:ind w:firstLine="1278"/>
        <w:spacing w:after="0" w:line="244" w:lineRule="auto"/>
        <w:tabs>
          <w:tab w:leader="none" w:pos="1905" w:val="left"/>
        </w:tabs>
        <w:numPr>
          <w:ilvl w:val="1"/>
          <w:numId w:val="68"/>
        </w:numPr>
        <w:rPr>
          <w:rFonts w:ascii="Arial" w:cs="Arial" w:eastAsia="Arial" w:hAnsi="Arial"/>
          <w:sz w:val="19"/>
          <w:szCs w:val="19"/>
          <w:color w:val="auto"/>
        </w:rPr>
      </w:pPr>
      <w:r>
        <w:rPr>
          <w:rFonts w:ascii="Arial" w:cs="Arial" w:eastAsia="Arial" w:hAnsi="Arial"/>
          <w:sz w:val="19"/>
          <w:szCs w:val="19"/>
          <w:color w:val="auto"/>
        </w:rPr>
        <w:t>Employee agrees that Employee will provide reasonable assistance and cooperation as needed from time to time, including but not limited to locating or obtaining information and documents concerning the Employer or the Releasees (past or present) about which Employee is knowledgeable. Employee further agrees to reasonably assist and cooperate with the Employer in connection with the defense or prosecution of any claim that may be made against or by Employer and/or involving the Releasees or in connection with any ongoing or future audit, investigation or dispute or claim of any kind involving Employer or the Releasees, including any proceeding before any arbitral, administrative, judicial, legislative, or other body or agency.</w:t>
      </w:r>
    </w:p>
    <w:p>
      <w:pPr>
        <w:spacing w:after="0" w:line="151" w:lineRule="exact"/>
        <w:rPr>
          <w:rFonts w:ascii="Arial" w:cs="Arial" w:eastAsia="Arial" w:hAnsi="Arial"/>
          <w:sz w:val="19"/>
          <w:szCs w:val="19"/>
          <w:color w:val="auto"/>
        </w:rPr>
      </w:pPr>
    </w:p>
    <w:p>
      <w:pPr>
        <w:jc w:val="both"/>
        <w:ind w:firstLine="642"/>
        <w:spacing w:after="0" w:line="220" w:lineRule="auto"/>
        <w:tabs>
          <w:tab w:leader="none" w:pos="1272" w:val="left"/>
        </w:tabs>
        <w:numPr>
          <w:ilvl w:val="0"/>
          <w:numId w:val="69"/>
        </w:numPr>
        <w:rPr>
          <w:rFonts w:ascii="Arial" w:cs="Arial" w:eastAsia="Arial" w:hAnsi="Arial"/>
          <w:sz w:val="21"/>
          <w:szCs w:val="21"/>
          <w:color w:val="auto"/>
        </w:rPr>
      </w:pPr>
      <w:r>
        <w:rPr>
          <w:rFonts w:ascii="Arial" w:cs="Arial" w:eastAsia="Arial" w:hAnsi="Arial"/>
          <w:sz w:val="21"/>
          <w:szCs w:val="21"/>
          <w:u w:val="single" w:color="auto"/>
          <w:color w:val="auto"/>
        </w:rPr>
        <w:t>Severance Payment and Health Benefit Coverage</w:t>
      </w:r>
      <w:r>
        <w:rPr>
          <w:rFonts w:ascii="Arial" w:cs="Arial" w:eastAsia="Arial" w:hAnsi="Arial"/>
          <w:sz w:val="21"/>
          <w:szCs w:val="21"/>
          <w:color w:val="auto"/>
        </w:rPr>
        <w:t>: Provided that (i) Employee executes this Agreement and does not revoke it within the period specified in Paragraph 12 below, (ii) in the event Employee has executed this Agreement before the Termination Date, Employee executes a reaffirmation of the Release on or following the Termination Date in the form attached hereto as Exhibit A (the “</w:t>
      </w:r>
      <w:r>
        <w:rPr>
          <w:rFonts w:ascii="Arial" w:cs="Arial" w:eastAsia="Arial" w:hAnsi="Arial"/>
          <w:sz w:val="21"/>
          <w:szCs w:val="21"/>
          <w:b w:val="1"/>
          <w:bCs w:val="1"/>
          <w:color w:val="auto"/>
        </w:rPr>
        <w:t>Reaffirmation</w:t>
      </w:r>
      <w:r>
        <w:rPr>
          <w:rFonts w:ascii="Arial" w:cs="Arial" w:eastAsia="Arial" w:hAnsi="Arial"/>
          <w:sz w:val="21"/>
          <w:szCs w:val="21"/>
          <w:color w:val="auto"/>
        </w:rPr>
        <w:t>”), which Reaffirmation has been signed and become irrevocable no later than 30 days after the Termination Date, and (iii) Employee complies with the terms of this Agreement, then, in consideration of Employee’s obligations set forth in this Agreement:</w:t>
      </w:r>
    </w:p>
    <w:p>
      <w:pPr>
        <w:spacing w:after="0" w:line="155" w:lineRule="exact"/>
        <w:rPr>
          <w:rFonts w:ascii="Arial" w:cs="Arial" w:eastAsia="Arial" w:hAnsi="Arial"/>
          <w:sz w:val="21"/>
          <w:szCs w:val="21"/>
          <w:color w:val="auto"/>
        </w:rPr>
      </w:pPr>
    </w:p>
    <w:p>
      <w:pPr>
        <w:jc w:val="both"/>
        <w:ind w:firstLine="1278"/>
        <w:spacing w:after="0" w:line="210" w:lineRule="auto"/>
        <w:tabs>
          <w:tab w:leader="none" w:pos="1908" w:val="left"/>
        </w:tabs>
        <w:numPr>
          <w:ilvl w:val="1"/>
          <w:numId w:val="69"/>
        </w:numPr>
        <w:rPr>
          <w:rFonts w:ascii="Arial" w:cs="Arial" w:eastAsia="Arial" w:hAnsi="Arial"/>
          <w:sz w:val="21"/>
          <w:szCs w:val="21"/>
          <w:color w:val="auto"/>
        </w:rPr>
      </w:pPr>
      <w:r>
        <w:rPr>
          <w:rFonts w:ascii="Arial" w:cs="Arial" w:eastAsia="Arial" w:hAnsi="Arial"/>
          <w:sz w:val="21"/>
          <w:szCs w:val="21"/>
          <w:color w:val="auto"/>
        </w:rPr>
        <w:t>Employer shall pay Employee, as severance pay, his current base salary, less all required deductions and withholdings, for twenty-four (24) months in accordance with Employer’s regular payroll practices (the “</w:t>
      </w:r>
      <w:r>
        <w:rPr>
          <w:rFonts w:ascii="Arial" w:cs="Arial" w:eastAsia="Arial" w:hAnsi="Arial"/>
          <w:sz w:val="21"/>
          <w:szCs w:val="21"/>
          <w:b w:val="1"/>
          <w:bCs w:val="1"/>
          <w:color w:val="auto"/>
        </w:rPr>
        <w:t>Severance Payment</w:t>
      </w:r>
      <w:r>
        <w:rPr>
          <w:rFonts w:ascii="Arial" w:cs="Arial" w:eastAsia="Arial" w:hAnsi="Arial"/>
          <w:sz w:val="21"/>
          <w:szCs w:val="21"/>
          <w:color w:val="auto"/>
        </w:rPr>
        <w:t>”), starting on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the Termination Date, with the first payment to include those payments that would have occurred earlier but for the 60-day delay, except as otherwise described in Section 7(d); and</w:t>
      </w:r>
    </w:p>
    <w:p>
      <w:pPr>
        <w:spacing w:after="0" w:line="154" w:lineRule="exact"/>
        <w:rPr>
          <w:rFonts w:ascii="Arial" w:cs="Arial" w:eastAsia="Arial" w:hAnsi="Arial"/>
          <w:sz w:val="21"/>
          <w:szCs w:val="21"/>
          <w:color w:val="auto"/>
        </w:rPr>
      </w:pPr>
    </w:p>
    <w:p>
      <w:pPr>
        <w:jc w:val="both"/>
        <w:ind w:firstLine="1278"/>
        <w:spacing w:after="0" w:line="225" w:lineRule="auto"/>
        <w:tabs>
          <w:tab w:leader="none" w:pos="1903" w:val="left"/>
        </w:tabs>
        <w:numPr>
          <w:ilvl w:val="1"/>
          <w:numId w:val="69"/>
        </w:numPr>
        <w:rPr>
          <w:rFonts w:ascii="Arial" w:cs="Arial" w:eastAsia="Arial" w:hAnsi="Arial"/>
          <w:sz w:val="21"/>
          <w:szCs w:val="21"/>
          <w:color w:val="auto"/>
        </w:rPr>
      </w:pPr>
      <w:r>
        <w:rPr>
          <w:rFonts w:ascii="Arial" w:cs="Arial" w:eastAsia="Arial" w:hAnsi="Arial"/>
          <w:sz w:val="21"/>
          <w:szCs w:val="21"/>
          <w:color w:val="auto"/>
        </w:rPr>
        <w:t>Provided that Employee is then eligible for and timely elects continued coverage under the Consolidated Omnibus Budget Reconciliation Act (“</w:t>
      </w:r>
      <w:r>
        <w:rPr>
          <w:rFonts w:ascii="Arial" w:cs="Arial" w:eastAsia="Arial" w:hAnsi="Arial"/>
          <w:sz w:val="21"/>
          <w:szCs w:val="21"/>
          <w:b w:val="1"/>
          <w:bCs w:val="1"/>
          <w:color w:val="auto"/>
        </w:rPr>
        <w:t>COBRA</w:t>
      </w:r>
      <w:r>
        <w:rPr>
          <w:rFonts w:ascii="Arial" w:cs="Arial" w:eastAsia="Arial" w:hAnsi="Arial"/>
          <w:sz w:val="21"/>
          <w:szCs w:val="21"/>
          <w:color w:val="auto"/>
        </w:rPr>
        <w:t>”), Employer shall directly pay, or reimburse Employee for, the monthly COBRA premiums to continue the Employee’s coverage (including coverage for eligible dependents, if applicable) through the period starting on the Termination Date and ending on the earliest to occur of (a) twenty-four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
        <w:spacing w:after="0" w:line="241" w:lineRule="auto"/>
        <w:tabs>
          <w:tab w:leader="none" w:pos="431" w:val="left"/>
        </w:tabs>
        <w:numPr>
          <w:ilvl w:val="0"/>
          <w:numId w:val="70"/>
        </w:numPr>
        <w:rPr>
          <w:rFonts w:ascii="Arial" w:cs="Arial" w:eastAsia="Arial" w:hAnsi="Arial"/>
          <w:sz w:val="19"/>
          <w:szCs w:val="19"/>
          <w:color w:val="auto"/>
        </w:rPr>
      </w:pPr>
      <w:r>
        <w:rPr>
          <w:rFonts w:ascii="Arial" w:cs="Arial" w:eastAsia="Arial" w:hAnsi="Arial"/>
          <w:sz w:val="19"/>
          <w:szCs w:val="19"/>
          <w:color w:val="auto"/>
        </w:rPr>
        <w:t>months following the Termination Date; (b) the date Employee becomes eligible for group health insurance through a new employer; or (c) the date Employee ceases to be eligible for COBRA continuation coverage for any reason, including plan termination. In the event Employee becomes covered under another employer’s group health plan or otherwise ceases to be eligible for COBRA during this time period, Employee must immediately notify Employer of such event. Notwithstanding the foregoing, if the Employer determines, in its sole discretion, that it cannot pay the COBRA premiums without a substantial risk of violating applicable law, the Employer instead shall pay to Employee, on the first day of each calendar month, a fully taxable cash payment equal to the applicable COBRA premiums for that month, subject to applicable tax withholdings, for the remainder of the COBRA premium period. Employee may, but is not obligated to, use such payments toward the cost of COBRA premiums.</w:t>
      </w:r>
    </w:p>
    <w:p>
      <w:pPr>
        <w:spacing w:after="0" w:line="152" w:lineRule="exact"/>
        <w:rPr>
          <w:rFonts w:ascii="Arial" w:cs="Arial" w:eastAsia="Arial" w:hAnsi="Arial"/>
          <w:sz w:val="19"/>
          <w:szCs w:val="19"/>
          <w:color w:val="auto"/>
        </w:rPr>
      </w:pPr>
    </w:p>
    <w:p>
      <w:pPr>
        <w:jc w:val="both"/>
        <w:ind w:firstLine="1278"/>
        <w:spacing w:after="0"/>
        <w:tabs>
          <w:tab w:leader="none" w:pos="1903" w:val="left"/>
        </w:tabs>
        <w:numPr>
          <w:ilvl w:val="2"/>
          <w:numId w:val="70"/>
        </w:numPr>
        <w:rPr>
          <w:rFonts w:ascii="Arial" w:cs="Arial" w:eastAsia="Arial" w:hAnsi="Arial"/>
          <w:sz w:val="19"/>
          <w:szCs w:val="19"/>
          <w:color w:val="auto"/>
        </w:rPr>
      </w:pPr>
      <w:r>
        <w:rPr>
          <w:rFonts w:ascii="Arial" w:cs="Arial" w:eastAsia="Arial" w:hAnsi="Arial"/>
          <w:sz w:val="19"/>
          <w:szCs w:val="19"/>
          <w:color w:val="auto"/>
        </w:rPr>
        <w:t xml:space="preserve">As further consideration for entering into this Agreement (and the execution and non-revocation of the Reaffirmation to the extent required pursuant to Section 3 above), Employer is extending the post-termination exercise period for those vested stock options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Extended Exercise Period Options</w:t>
      </w:r>
      <w:r>
        <w:rPr>
          <w:rFonts w:ascii="Arial" w:cs="Arial" w:eastAsia="Arial" w:hAnsi="Arial"/>
          <w:sz w:val="19"/>
          <w:szCs w:val="19"/>
          <w:color w:val="auto"/>
        </w:rPr>
        <w:t>”) through December 31, 2023; provided, however, that you hereby acknowledge that if you sign and return this Agreement the foregoing offer to extend the post-termination exercise period for the Extended Exercise Period Options shall cause the Extended Exercise Period Options that are incentive stock options to become non-qualified stock options effective as of the date hereof, regardless of whether you exercise such stock options within ninety (90) days of the termination of your employment. All previously vested but unsettled restricted stock units will be settled in shares of the Corporation’s Class A Common Stock, $0.0001 par value per share (the “</w:t>
      </w:r>
      <w:r>
        <w:rPr>
          <w:rFonts w:ascii="Arial" w:cs="Arial" w:eastAsia="Arial" w:hAnsi="Arial"/>
          <w:sz w:val="19"/>
          <w:szCs w:val="19"/>
          <w:b w:val="1"/>
          <w:bCs w:val="1"/>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color w:val="auto"/>
        </w:rPr>
        <w:t>Stock</w:t>
      </w:r>
      <w:r>
        <w:rPr>
          <w:rFonts w:ascii="Arial" w:cs="Arial" w:eastAsia="Arial" w:hAnsi="Arial"/>
          <w:sz w:val="19"/>
          <w:szCs w:val="19"/>
          <w:color w:val="auto"/>
        </w:rPr>
        <w:t>”), within thirty (30) days after the Termination Date, subject to Employee paying taxes on such shares subject to 7(D) below.</w:t>
      </w:r>
    </w:p>
    <w:p>
      <w:pPr>
        <w:spacing w:after="0" w:line="153" w:lineRule="exact"/>
        <w:rPr>
          <w:rFonts w:ascii="Arial" w:cs="Arial" w:eastAsia="Arial" w:hAnsi="Arial"/>
          <w:sz w:val="19"/>
          <w:szCs w:val="19"/>
          <w:color w:val="auto"/>
        </w:rPr>
      </w:pPr>
    </w:p>
    <w:p>
      <w:pPr>
        <w:jc w:val="both"/>
        <w:ind w:firstLine="642"/>
        <w:spacing w:after="0" w:line="233" w:lineRule="auto"/>
        <w:tabs>
          <w:tab w:leader="none" w:pos="1272"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Adequacy of Consideration</w:t>
      </w:r>
      <w:r>
        <w:rPr>
          <w:rFonts w:ascii="Arial" w:cs="Arial" w:eastAsia="Arial" w:hAnsi="Arial"/>
          <w:sz w:val="20"/>
          <w:szCs w:val="20"/>
          <w:color w:val="auto"/>
        </w:rPr>
        <w:t>: Employee acknowledges that the consideration described in Paragraph 3 of this Agreement is not mandated by any Employer policy or by any law, and that the contractual obligation to pay the Severance Payment and provide the other benefits described in Paragraph 3 above is expressly conditioned on Employee’s execution of a release in a form prescribed by Employer. Employee further acknowledges that Employee is not otherwise entitled to receive the consideration referenced in Paragraph 3 absent Employee’s execution of this Agreement.</w:t>
      </w:r>
    </w:p>
    <w:p>
      <w:pPr>
        <w:spacing w:after="0" w:line="155" w:lineRule="exact"/>
        <w:rPr>
          <w:rFonts w:ascii="Arial" w:cs="Arial" w:eastAsia="Arial" w:hAnsi="Arial"/>
          <w:sz w:val="20"/>
          <w:szCs w:val="20"/>
          <w:color w:val="auto"/>
        </w:rPr>
      </w:pPr>
    </w:p>
    <w:p>
      <w:pPr>
        <w:jc w:val="both"/>
        <w:ind w:firstLine="642"/>
        <w:spacing w:after="0" w:line="228" w:lineRule="auto"/>
        <w:tabs>
          <w:tab w:leader="none" w:pos="1272" w:val="left"/>
        </w:tabs>
        <w:numPr>
          <w:ilvl w:val="1"/>
          <w:numId w:val="70"/>
        </w:numPr>
        <w:rPr>
          <w:rFonts w:ascii="Arial" w:cs="Arial" w:eastAsia="Arial" w:hAnsi="Arial"/>
          <w:sz w:val="20"/>
          <w:szCs w:val="20"/>
          <w:color w:val="auto"/>
        </w:rPr>
      </w:pPr>
      <w:r>
        <w:rPr>
          <w:rFonts w:ascii="Arial" w:cs="Arial" w:eastAsia="Arial" w:hAnsi="Arial"/>
          <w:sz w:val="20"/>
          <w:szCs w:val="20"/>
          <w:u w:val="single" w:color="auto"/>
          <w:color w:val="auto"/>
        </w:rPr>
        <w:t>Covenant Not to Sue</w:t>
      </w:r>
      <w:r>
        <w:rPr>
          <w:rFonts w:ascii="Arial" w:cs="Arial" w:eastAsia="Arial" w:hAnsi="Arial"/>
          <w:sz w:val="20"/>
          <w:szCs w:val="20"/>
          <w:color w:val="auto"/>
        </w:rPr>
        <w:t>: Employee hereby represents that Employee has not filed any complaint, charge, or claim against the Employer or any of its current or former affiliated entities, including but not limited to the Corporation, their parents, affiliates, employee benefit and/or pension funds, successors and assigns, and/or any of their current or past directors, officers, shareholders, contractors, employees, agents, attorneys, their respective successors or assigns, as well as any third party for whom Employee provides services on Employer’s behalf (collectively referred to as “</w:t>
      </w:r>
      <w:r>
        <w:rPr>
          <w:rFonts w:ascii="Arial" w:cs="Arial" w:eastAsia="Arial" w:hAnsi="Arial"/>
          <w:sz w:val="20"/>
          <w:szCs w:val="20"/>
          <w:b w:val="1"/>
          <w:bCs w:val="1"/>
          <w:color w:val="auto"/>
        </w:rPr>
        <w:t>Releasees</w:t>
      </w:r>
      <w:r>
        <w:rPr>
          <w:rFonts w:ascii="Arial" w:cs="Arial" w:eastAsia="Arial" w:hAnsi="Arial"/>
          <w:sz w:val="20"/>
          <w:szCs w:val="20"/>
          <w:color w:val="auto"/>
        </w:rPr>
        <w:t>”) with any court or agency. Subject to the provisions of Paragraph 6(b), pursuant to and as a part of Employee’s complete, total and irrevocable release and discharge of Releasees, Employee agrees, to the fullest extent permitted by law, not to sue or file a charge, complaint, grievance or demand for arbitration against Releasees or any of them with respect to any matter arising on or before the date on which the Employee signs this Agreement which has been released herein.</w:t>
      </w:r>
    </w:p>
    <w:p>
      <w:pPr>
        <w:spacing w:after="0" w:line="153" w:lineRule="exact"/>
        <w:rPr>
          <w:rFonts w:ascii="Arial" w:cs="Arial" w:eastAsia="Arial" w:hAnsi="Arial"/>
          <w:sz w:val="20"/>
          <w:szCs w:val="20"/>
          <w:color w:val="auto"/>
        </w:rPr>
      </w:pPr>
    </w:p>
    <w:p>
      <w:pPr>
        <w:ind w:left="1280" w:hanging="638"/>
        <w:spacing w:after="0"/>
        <w:tabs>
          <w:tab w:leader="none" w:pos="1280"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General Release:</w:t>
      </w:r>
    </w:p>
    <w:p>
      <w:pPr>
        <w:spacing w:after="0" w:line="182" w:lineRule="exact"/>
        <w:rPr>
          <w:rFonts w:ascii="Arial" w:cs="Arial" w:eastAsia="Arial" w:hAnsi="Arial"/>
          <w:sz w:val="21"/>
          <w:szCs w:val="21"/>
          <w:color w:val="auto"/>
        </w:rPr>
      </w:pPr>
    </w:p>
    <w:p>
      <w:pPr>
        <w:jc w:val="both"/>
        <w:ind w:firstLine="1278"/>
        <w:spacing w:after="0" w:line="225" w:lineRule="auto"/>
        <w:tabs>
          <w:tab w:leader="none" w:pos="1896" w:val="left"/>
        </w:tabs>
        <w:numPr>
          <w:ilvl w:val="2"/>
          <w:numId w:val="71"/>
        </w:numPr>
        <w:rPr>
          <w:rFonts w:ascii="Arial" w:cs="Arial" w:eastAsia="Arial" w:hAnsi="Arial"/>
          <w:sz w:val="21"/>
          <w:szCs w:val="21"/>
          <w:color w:val="auto"/>
        </w:rPr>
      </w:pPr>
      <w:r>
        <w:rPr>
          <w:rFonts w:ascii="Arial" w:cs="Arial" w:eastAsia="Arial" w:hAnsi="Arial"/>
          <w:sz w:val="21"/>
          <w:szCs w:val="21"/>
          <w:color w:val="auto"/>
        </w:rPr>
        <w:t>As a material inducement to Employer to enter into this Agreement and to provide Employee with the payment and benefits herein, and in consideration of Employer’s obligations set forth in this Agreement (including but not limited to providing Employee the Severance Payment and the other benefits described in Paragraph 3 above), Employee, on behalf of Employee and Employee’s heirs, executors, administrators, successors and assign,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24" w:name="page125"/>
    <w:bookmarkEnd w:id="124"/>
    <w:p>
      <w:pPr>
        <w:ind w:left="10140"/>
        <w:spacing w:after="0"/>
        <w:rPr>
          <w:sz w:val="20"/>
          <w:szCs w:val="20"/>
          <w:color w:val="auto"/>
        </w:rPr>
      </w:pPr>
      <w:r>
        <w:rPr>
          <w:rFonts w:ascii="Arial" w:cs="Arial" w:eastAsia="Arial" w:hAnsi="Arial"/>
          <w:sz w:val="19"/>
          <w:szCs w:val="19"/>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voluntarily, knowingly and willingly forever releases and discharges the Releasees from any and all claims, demands, causes of action, fees and liabilities of any kind whatsoever, known or unknown, that Employee ever had, now has, or may have against any of the Releasees by reason of any act, omission, transaction, practice, plan, policy, procedure, conduct, occurrence, or other matter from the beginning of time up to and including the date on which Employee signs this Agreement. Without limiting the foregoing, this Agreement is intended to, and shall release, Releasees from any and all claims arising at any time up to and including the date on which Employee signs this Agreement, whether known or unknown, which Employee ever had, now has, or may have against Releasees arising out of or relating to Employee’s employment and/or separation from that employment, whether arising under federal, state, or local constitution, law, regulation, or ordinance, including, but not limited to: (i) any and all claims under Title VII of the Civil Rights Act of 1866 and 1964; the Civil Rights Act of 1991;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the Americans With Disabilities Act of 1990; the Fair Labor Standards Act; the Employee Retirement Income Security Act of 1974 (except for vested benefits which are not affected by this agreement); the National Labor Relations Act (“</w:t>
      </w:r>
      <w:r>
        <w:rPr>
          <w:rFonts w:ascii="Arial" w:cs="Arial" w:eastAsia="Arial" w:hAnsi="Arial"/>
          <w:sz w:val="19"/>
          <w:szCs w:val="19"/>
          <w:b w:val="1"/>
          <w:bCs w:val="1"/>
          <w:color w:val="auto"/>
        </w:rPr>
        <w:t>NLRA</w:t>
      </w:r>
      <w:r>
        <w:rPr>
          <w:rFonts w:ascii="Arial" w:cs="Arial" w:eastAsia="Arial" w:hAnsi="Arial"/>
          <w:sz w:val="19"/>
          <w:szCs w:val="19"/>
          <w:color w:val="auto"/>
        </w:rPr>
        <w:t>”); the Older Workers Benefit Protection Act of 1990 (“</w:t>
      </w:r>
      <w:r>
        <w:rPr>
          <w:rFonts w:ascii="Arial" w:cs="Arial" w:eastAsia="Arial" w:hAnsi="Arial"/>
          <w:sz w:val="19"/>
          <w:szCs w:val="19"/>
          <w:b w:val="1"/>
          <w:bCs w:val="1"/>
          <w:color w:val="auto"/>
        </w:rPr>
        <w:t>OWBPA</w:t>
      </w:r>
      <w:r>
        <w:rPr>
          <w:rFonts w:ascii="Arial" w:cs="Arial" w:eastAsia="Arial" w:hAnsi="Arial"/>
          <w:sz w:val="19"/>
          <w:szCs w:val="19"/>
          <w:color w:val="auto"/>
        </w:rPr>
        <w:t>”); the Equal Pay Act; the Federal False Claims Act; the Worker Adjustment Retraining and Notification (“</w:t>
      </w:r>
      <w:r>
        <w:rPr>
          <w:rFonts w:ascii="Arial" w:cs="Arial" w:eastAsia="Arial" w:hAnsi="Arial"/>
          <w:sz w:val="19"/>
          <w:szCs w:val="19"/>
          <w:b w:val="1"/>
          <w:bCs w:val="1"/>
          <w:color w:val="auto"/>
        </w:rPr>
        <w:t>WARN</w:t>
      </w:r>
      <w:r>
        <w:rPr>
          <w:rFonts w:ascii="Arial" w:cs="Arial" w:eastAsia="Arial" w:hAnsi="Arial"/>
          <w:sz w:val="19"/>
          <w:szCs w:val="19"/>
          <w:color w:val="auto"/>
        </w:rPr>
        <w:t>”) Act and any state WARN statutes; the Genetic Information Non-Discrimination Act; the Family and Medical Leave Act (“</w:t>
      </w:r>
      <w:r>
        <w:rPr>
          <w:rFonts w:ascii="Arial" w:cs="Arial" w:eastAsia="Arial" w:hAnsi="Arial"/>
          <w:sz w:val="19"/>
          <w:szCs w:val="19"/>
          <w:b w:val="1"/>
          <w:bCs w:val="1"/>
          <w:color w:val="auto"/>
        </w:rPr>
        <w:t>FMLA</w:t>
      </w:r>
      <w:r>
        <w:rPr>
          <w:rFonts w:ascii="Arial" w:cs="Arial" w:eastAsia="Arial" w:hAnsi="Arial"/>
          <w:sz w:val="19"/>
          <w:szCs w:val="19"/>
          <w:color w:val="auto"/>
        </w:rPr>
        <w:t>”); each as amended; and (ii) any other claim (whether based on federal, state, or local law, statutory or decisional) relating to or arising out of Employee’s employment, the terms and conditions of such employment, the termination of such employment, and/or any of the events relating directly or indirectly to or surrounding the termination of that employment, including but not limited to breach of contract (express or implied), negligence, fraud, negligent misrepresentation, promissory estoppel, detrimental reliance, defamation, tortious interference with contractual relations, tortuous interference with prospective contractual relations; any tort; any claim for equitable relief or recovery of attorneys’ fees or punitive, compensatory, or other damages or monies, including severance benefits (except as expressly provided herein); or wrongful discharge, emotional distress, breach of the covenant of good faith and fair dealing, violation of public policy, sexual harassment, constructive termination, retaliation and discrimination based upon age, race, color, sex, gender identity, sexual orientation, marital status, religion, national origin, ancestry, handicap, disability, genetics, or retaliation or any other factor protected by law.</w:t>
      </w:r>
    </w:p>
    <w:p>
      <w:pPr>
        <w:spacing w:after="0" w:line="167" w:lineRule="exact"/>
        <w:rPr>
          <w:sz w:val="20"/>
          <w:szCs w:val="20"/>
          <w:color w:val="auto"/>
        </w:rPr>
      </w:pPr>
    </w:p>
    <w:p>
      <w:pPr>
        <w:jc w:val="both"/>
        <w:ind w:firstLine="1278"/>
        <w:spacing w:after="0" w:line="225" w:lineRule="auto"/>
        <w:tabs>
          <w:tab w:leader="none" w:pos="1896" w:val="left"/>
        </w:tabs>
        <w:numPr>
          <w:ilvl w:val="0"/>
          <w:numId w:val="72"/>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nothing contained herein is intended to prohibit or restrict Employee in any way from: (i) making any disclosure of information required by law or requested by any regulatory agency; (ii) exercising Employee’s rights under the OWBPA to challenge the validity of Employee’s waiver of claims arising under the ADEA as set forth in subparagraph (a), above; (iii) pursuing claims which by law cannot be waived or subject to a general release of this kind, such as claims for unemployment or workers’ compensation benefits; (iv) bringing appropriate proceedings to enforce this Agreement; or (v) providing information to, filing a charge with, or testifying or otherwise assisting in any investigation or proceeding brought by, any federal or state agency, including, without limitation, the Equal Employment Opportunity Commission (“</w:t>
      </w:r>
      <w:r>
        <w:rPr>
          <w:rFonts w:ascii="Arial" w:cs="Arial" w:eastAsia="Arial" w:hAnsi="Arial"/>
          <w:sz w:val="20"/>
          <w:szCs w:val="20"/>
          <w:b w:val="1"/>
          <w:bCs w:val="1"/>
          <w:color w:val="auto"/>
        </w:rPr>
        <w:t>EEOC</w:t>
      </w:r>
      <w:r>
        <w:rPr>
          <w:rFonts w:ascii="Arial" w:cs="Arial" w:eastAsia="Arial" w:hAnsi="Arial"/>
          <w:sz w:val="20"/>
          <w:szCs w:val="20"/>
          <w:color w:val="auto"/>
        </w:rPr>
        <w:t>”) or any state equivalent agency; the Securities and Exchange Commission; the Department of Justice; the Congress; any agency Inspector General; or the Employer’s legal, compliance or human resources officers. However, to the fullest extent permitted by applicable law, Employee hereby waives any right to recover any monetary damages in connection with a charge or proceeding brought by Employee or through any action brought by a third party with the EEOC or any state equivalent agency with respect to the claims released and waived in this Agreement. Employee acknowledges that as of the date Employee signs this Agreement, Employee has not filed or caused to be filed any lawsuits, claims, complaints, actions, proceedings or arbitrations in any form or forum against any of the Releasees.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25" w:name="page126"/>
    <w:bookmarkEnd w:id="125"/>
    <w:p>
      <w:pPr>
        <w:ind w:left="10140"/>
        <w:spacing w:after="0"/>
        <w:rPr>
          <w:sz w:val="20"/>
          <w:szCs w:val="20"/>
          <w:color w:val="auto"/>
        </w:rPr>
      </w:pPr>
      <w:r>
        <w:rPr>
          <w:rFonts w:ascii="Arial" w:cs="Arial" w:eastAsia="Arial" w:hAnsi="Arial"/>
          <w:sz w:val="19"/>
          <w:szCs w:val="19"/>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80" w:hanging="638"/>
        <w:spacing w:after="0"/>
        <w:tabs>
          <w:tab w:leader="none" w:pos="128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Representations and Company Property</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278"/>
        <w:spacing w:after="0" w:line="241" w:lineRule="auto"/>
        <w:tabs>
          <w:tab w:leader="none" w:pos="1903" w:val="left"/>
        </w:tabs>
        <w:numPr>
          <w:ilvl w:val="1"/>
          <w:numId w:val="73"/>
        </w:numPr>
        <w:rPr>
          <w:rFonts w:ascii="Arial" w:cs="Arial" w:eastAsia="Arial" w:hAnsi="Arial"/>
          <w:sz w:val="19"/>
          <w:szCs w:val="19"/>
          <w:color w:val="auto"/>
        </w:rPr>
      </w:pPr>
      <w:r>
        <w:rPr>
          <w:rFonts w:ascii="Arial" w:cs="Arial" w:eastAsia="Arial" w:hAnsi="Arial"/>
          <w:sz w:val="19"/>
          <w:szCs w:val="19"/>
          <w:color w:val="auto"/>
        </w:rPr>
        <w:t>Employee represents that Employee has returned, or agrees to return, to Employer all property belonging to Employer and/or the Releasees, including but not limited to all equipment, documents, materials, records or other items in Employee’s possession or control belonging to Employer and/or the Releasees or containing any proprietary information relating to Employer and/or the Releasees, and that Employee has not (or will not) retain any copies of such items. Employee further represents that Employee has surrendered, or agrees to surrender, to Employer any smartphone, iPad, laptop, keys, card access to and within Employer’s buildings, employee materials, computer user name and password, disks and/or voicemail code. Employee further acknowledges and agrees that Employer shall have no obligation to pay or provide the Severance Payment and the other benefits described in Paragraph 3 above until Employee has satisfied all of the obligations pursuant to this Paragraph 7.</w:t>
      </w:r>
    </w:p>
    <w:p>
      <w:pPr>
        <w:spacing w:after="0" w:line="152" w:lineRule="exact"/>
        <w:rPr>
          <w:rFonts w:ascii="Arial" w:cs="Arial" w:eastAsia="Arial" w:hAnsi="Arial"/>
          <w:sz w:val="19"/>
          <w:szCs w:val="19"/>
          <w:color w:val="auto"/>
        </w:rPr>
      </w:pPr>
    </w:p>
    <w:p>
      <w:pPr>
        <w:jc w:val="both"/>
        <w:ind w:firstLine="1278"/>
        <w:spacing w:after="0" w:line="230" w:lineRule="auto"/>
        <w:tabs>
          <w:tab w:leader="none" w:pos="1896" w:val="left"/>
        </w:tabs>
        <w:numPr>
          <w:ilvl w:val="1"/>
          <w:numId w:val="73"/>
        </w:numPr>
        <w:rPr>
          <w:rFonts w:ascii="Arial" w:cs="Arial" w:eastAsia="Arial" w:hAnsi="Arial"/>
          <w:sz w:val="21"/>
          <w:szCs w:val="21"/>
          <w:color w:val="auto"/>
        </w:rPr>
      </w:pPr>
      <w:r>
        <w:rPr>
          <w:rFonts w:ascii="Arial" w:cs="Arial" w:eastAsia="Arial" w:hAnsi="Arial"/>
          <w:sz w:val="21"/>
          <w:szCs w:val="21"/>
          <w:color w:val="auto"/>
        </w:rPr>
        <w:t>Without limiting the foregoing, Employee further represents that Employee has assisted or will assist with the transfer of any passwords, credentials, or other information necessary for the use of any of Employer’s computing, software, or other systems or programs.</w:t>
      </w:r>
    </w:p>
    <w:p>
      <w:pPr>
        <w:spacing w:after="0" w:line="153" w:lineRule="exact"/>
        <w:rPr>
          <w:rFonts w:ascii="Arial" w:cs="Arial" w:eastAsia="Arial" w:hAnsi="Arial"/>
          <w:sz w:val="21"/>
          <w:szCs w:val="21"/>
          <w:color w:val="auto"/>
        </w:rPr>
      </w:pPr>
    </w:p>
    <w:p>
      <w:pPr>
        <w:jc w:val="both"/>
        <w:ind w:firstLine="1278"/>
        <w:spacing w:after="0" w:line="225" w:lineRule="auto"/>
        <w:tabs>
          <w:tab w:leader="none" w:pos="1896" w:val="left"/>
        </w:tabs>
        <w:numPr>
          <w:ilvl w:val="1"/>
          <w:numId w:val="73"/>
        </w:numPr>
        <w:rPr>
          <w:rFonts w:ascii="Arial" w:cs="Arial" w:eastAsia="Arial" w:hAnsi="Arial"/>
          <w:sz w:val="21"/>
          <w:szCs w:val="21"/>
          <w:color w:val="auto"/>
        </w:rPr>
      </w:pPr>
      <w:r>
        <w:rPr>
          <w:rFonts w:ascii="Arial" w:cs="Arial" w:eastAsia="Arial" w:hAnsi="Arial"/>
          <w:sz w:val="21"/>
          <w:szCs w:val="21"/>
          <w:color w:val="auto"/>
        </w:rPr>
        <w:t>Employee acknowledges that Employee has reported all hours worked as of the date of this Agreement and has been paid for all such hours, and that Employee is not owed any wages, commissions, bonuses, sick pay, personal leave pay, vacation pay or other compensation or benefits or payments or form of remuneration of any kind or nature, other than that specifically provided for in this Agreement.</w:t>
      </w:r>
    </w:p>
    <w:p>
      <w:pPr>
        <w:spacing w:after="0" w:line="154" w:lineRule="exact"/>
        <w:rPr>
          <w:rFonts w:ascii="Arial" w:cs="Arial" w:eastAsia="Arial" w:hAnsi="Arial"/>
          <w:sz w:val="21"/>
          <w:szCs w:val="21"/>
          <w:color w:val="auto"/>
        </w:rPr>
      </w:pPr>
    </w:p>
    <w:p>
      <w:pPr>
        <w:jc w:val="both"/>
        <w:ind w:firstLine="1278"/>
        <w:spacing w:after="0" w:line="238" w:lineRule="auto"/>
        <w:tabs>
          <w:tab w:leader="none" w:pos="1903" w:val="left"/>
        </w:tabs>
        <w:numPr>
          <w:ilvl w:val="1"/>
          <w:numId w:val="73"/>
        </w:numPr>
        <w:rPr>
          <w:rFonts w:ascii="Arial" w:cs="Arial" w:eastAsia="Arial" w:hAnsi="Arial"/>
          <w:sz w:val="19"/>
          <w:szCs w:val="19"/>
          <w:color w:val="auto"/>
        </w:rPr>
      </w:pPr>
      <w:r>
        <w:rPr>
          <w:rFonts w:ascii="Arial" w:cs="Arial" w:eastAsia="Arial" w:hAnsi="Arial"/>
          <w:sz w:val="19"/>
          <w:szCs w:val="19"/>
          <w:color w:val="auto"/>
        </w:rPr>
        <w:t>Employee acknowledges that, following termination, Employee’s stock options, restricted stock units and all other equity grant(s) that have not vested as of the Termination Date will be cancelled for no consideration as of the Termination Date, and Employee’s vested stock options will be subject to and handled in accordance with the terms of the individual grant agreements and the relevant plans, other than as set forth in Section 3(c). Employee acknowledges, represents and agrees that he will inform Employer in the event that Employee engages in any transaction in the Common Stock pursuant to which Employee may have realized profits that are recoverable by the Corporation under Section 16(b) (“</w:t>
      </w:r>
      <w:r>
        <w:rPr>
          <w:rFonts w:ascii="Arial" w:cs="Arial" w:eastAsia="Arial" w:hAnsi="Arial"/>
          <w:sz w:val="19"/>
          <w:szCs w:val="19"/>
          <w:b w:val="1"/>
          <w:bCs w:val="1"/>
          <w:color w:val="auto"/>
        </w:rPr>
        <w:t>Section 16(b)</w:t>
      </w:r>
      <w:r>
        <w:rPr>
          <w:rFonts w:ascii="Arial" w:cs="Arial" w:eastAsia="Arial" w:hAnsi="Arial"/>
          <w:sz w:val="19"/>
          <w:szCs w:val="19"/>
          <w:color w:val="auto"/>
        </w:rPr>
        <w:t>”) of the Securities Exchange Act of 1934, as amended, within two business days of any such transaction, and in the event of any such transaction, Employer shall be permitted to offset the full amount of any recoverable profits in respect of such transaction against one or more installments of the Severance Payment, should an exemption from liability under Section 16(b) for such transaction not be available. Employee further acknowledges that any withholding taxes incurred in connection with the settlement of the restricted stock units as described in 3(c) shall not be satisfied through an automatic “sell to cover” transaction, and instead Employer shall be permitted to offset the full amount of any such withholding taxes against one or more installments of the Severance Payment.</w:t>
      </w:r>
    </w:p>
    <w:p>
      <w:pPr>
        <w:spacing w:after="0" w:line="156" w:lineRule="exact"/>
        <w:rPr>
          <w:rFonts w:ascii="Arial" w:cs="Arial" w:eastAsia="Arial" w:hAnsi="Arial"/>
          <w:sz w:val="19"/>
          <w:szCs w:val="19"/>
          <w:color w:val="auto"/>
        </w:rPr>
      </w:pPr>
    </w:p>
    <w:p>
      <w:pPr>
        <w:jc w:val="both"/>
        <w:ind w:firstLine="1278"/>
        <w:spacing w:after="0" w:line="244" w:lineRule="auto"/>
        <w:tabs>
          <w:tab w:leader="none" w:pos="1903" w:val="left"/>
        </w:tabs>
        <w:numPr>
          <w:ilvl w:val="1"/>
          <w:numId w:val="73"/>
        </w:numPr>
        <w:rPr>
          <w:rFonts w:ascii="Arial" w:cs="Arial" w:eastAsia="Arial" w:hAnsi="Arial"/>
          <w:sz w:val="19"/>
          <w:szCs w:val="19"/>
          <w:color w:val="auto"/>
        </w:rPr>
      </w:pPr>
      <w:r>
        <w:rPr>
          <w:rFonts w:ascii="Arial" w:cs="Arial" w:eastAsia="Arial" w:hAnsi="Arial"/>
          <w:sz w:val="19"/>
          <w:szCs w:val="19"/>
          <w:color w:val="auto"/>
        </w:rPr>
        <w:t>Employee acknowledges and represents that Employee has not suffered any discrimination or harassment by Employer, or any employee, agent or representative of the Employer, on account of Employee’s race, gender, national origin, religion, marital or registered domestic partner status, sexual orientation, age, disability, medical condition or any other characteristic protected by law. Employee further acknowledges and represents that Employee has not been denied any leave, benefits or rights to which Employee may have been entitled under the FMLA or any other federal or state law, and that Employee has not suffered any job-related wrongs or injuries for which Employee might still be entitled to compensation or relief.</w:t>
      </w:r>
    </w:p>
    <w:p>
      <w:pPr>
        <w:spacing w:after="0" w:line="151" w:lineRule="exact"/>
        <w:rPr>
          <w:rFonts w:ascii="Arial" w:cs="Arial" w:eastAsia="Arial" w:hAnsi="Arial"/>
          <w:sz w:val="19"/>
          <w:szCs w:val="19"/>
          <w:color w:val="auto"/>
        </w:rPr>
      </w:pPr>
    </w:p>
    <w:p>
      <w:pPr>
        <w:ind w:left="1280" w:hanging="638"/>
        <w:spacing w:after="0"/>
        <w:tabs>
          <w:tab w:leader="none" w:pos="128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Non-Disclosure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1278"/>
        <w:spacing w:after="0" w:line="247" w:lineRule="auto"/>
        <w:tabs>
          <w:tab w:leader="none" w:pos="1903" w:val="left"/>
        </w:tabs>
        <w:numPr>
          <w:ilvl w:val="1"/>
          <w:numId w:val="74"/>
        </w:numPr>
        <w:rPr>
          <w:rFonts w:ascii="Arial" w:cs="Arial" w:eastAsia="Arial" w:hAnsi="Arial"/>
          <w:sz w:val="19"/>
          <w:szCs w:val="19"/>
          <w:color w:val="auto"/>
        </w:rPr>
      </w:pPr>
      <w:r>
        <w:rPr>
          <w:rFonts w:ascii="Arial" w:cs="Arial" w:eastAsia="Arial" w:hAnsi="Arial"/>
          <w:sz w:val="19"/>
          <w:szCs w:val="19"/>
          <w:color w:val="auto"/>
        </w:rPr>
        <w:t>Subject to Employee’s rights pursuant to Paragraph 6(b), above, Employee represents and warrants that Employee has not heretofore disclosed and agrees that Employee will not disclose without the express written consent of Employer any information concerning the terms of this Agreement or the negotiations leading up to this Agreement to any person or entity (subject to the limitations set forth in subparagraph (b) below), including to any past or present employee of Employer. The Parties acknowledge that this representation and warranty constitute a material inducement to Employer to enter into this Agreement.</w:t>
      </w:r>
    </w:p>
    <w:p>
      <w:pPr>
        <w:spacing w:after="0" w:line="147" w:lineRule="exact"/>
        <w:rPr>
          <w:rFonts w:ascii="Arial" w:cs="Arial" w:eastAsia="Arial" w:hAnsi="Arial"/>
          <w:sz w:val="19"/>
          <w:szCs w:val="19"/>
          <w:color w:val="auto"/>
        </w:rPr>
      </w:pPr>
    </w:p>
    <w:p>
      <w:pPr>
        <w:jc w:val="both"/>
        <w:ind w:firstLine="1278"/>
        <w:spacing w:after="0" w:line="219" w:lineRule="auto"/>
        <w:tabs>
          <w:tab w:leader="none" w:pos="1903" w:val="left"/>
        </w:tabs>
        <w:numPr>
          <w:ilvl w:val="1"/>
          <w:numId w:val="74"/>
        </w:numPr>
        <w:rPr>
          <w:rFonts w:ascii="Arial" w:cs="Arial" w:eastAsia="Arial" w:hAnsi="Arial"/>
          <w:sz w:val="21"/>
          <w:szCs w:val="21"/>
          <w:color w:val="auto"/>
        </w:rPr>
      </w:pPr>
      <w:r>
        <w:rPr>
          <w:rFonts w:ascii="Arial" w:cs="Arial" w:eastAsia="Arial" w:hAnsi="Arial"/>
          <w:sz w:val="21"/>
          <w:szCs w:val="21"/>
          <w:color w:val="auto"/>
        </w:rPr>
        <w:t>Notwithstanding the foregoing, Employee shall not be prohibited from making disclosure of the matters referred to herein to Employee’s attorneys, financial advisors, the IRS or other taxing authorities, or Employee’s immediate family (spouse, children, siblings, parents), or as required by law, or in response to an inquiry from any judicial, governmental, regulatory or self-regulatory agency or organization. If Employee does make disclosure of any of the matters referred to herein to Employee’s immediate family or attorney or financial advisors, Employee will advise them that they must not make any disclosure of any such matters and any disclosure of any such information by any such person or entity shall be deemed to be a disclosure by Employee in breach of this Agreement.</w:t>
      </w:r>
    </w:p>
    <w:p>
      <w:pPr>
        <w:spacing w:after="0" w:line="153" w:lineRule="exact"/>
        <w:rPr>
          <w:rFonts w:ascii="Arial" w:cs="Arial" w:eastAsia="Arial" w:hAnsi="Arial"/>
          <w:sz w:val="21"/>
          <w:szCs w:val="21"/>
          <w:color w:val="auto"/>
        </w:rPr>
      </w:pPr>
    </w:p>
    <w:p>
      <w:pPr>
        <w:jc w:val="both"/>
        <w:ind w:firstLine="642"/>
        <w:spacing w:after="0" w:line="230" w:lineRule="auto"/>
        <w:tabs>
          <w:tab w:leader="none" w:pos="1272"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Compliance</w:t>
      </w:r>
      <w:r>
        <w:rPr>
          <w:rFonts w:ascii="Arial" w:cs="Arial" w:eastAsia="Arial" w:hAnsi="Arial"/>
          <w:sz w:val="21"/>
          <w:szCs w:val="21"/>
          <w:color w:val="auto"/>
        </w:rPr>
        <w:t>: Employee represents and warrants that Employee is not aware of any compliance issues or concerns other than those brought forward and shared during an exit interview or with Employee’s current manager or otherwise shared with senior compliance staff during the course of Employee’s employment.</w:t>
      </w:r>
    </w:p>
    <w:p>
      <w:pPr>
        <w:spacing w:after="0" w:line="153" w:lineRule="exact"/>
        <w:rPr>
          <w:rFonts w:ascii="Arial" w:cs="Arial" w:eastAsia="Arial" w:hAnsi="Arial"/>
          <w:sz w:val="21"/>
          <w:szCs w:val="21"/>
          <w:color w:val="auto"/>
        </w:rPr>
      </w:pPr>
    </w:p>
    <w:p>
      <w:pPr>
        <w:jc w:val="both"/>
        <w:ind w:firstLine="642"/>
        <w:spacing w:after="0" w:line="230" w:lineRule="auto"/>
        <w:tabs>
          <w:tab w:leader="none" w:pos="1272"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This Agreement shall be binding upon the parties hereto and upon their heirs, administrators, representatives, executors, successors, and assigns, and shall inure to the benefit of said parties and each of them and to their heirs, administrators, representatives, executors, successors and assigns.</w:t>
      </w:r>
    </w:p>
    <w:p>
      <w:pPr>
        <w:spacing w:after="0" w:line="153" w:lineRule="exact"/>
        <w:rPr>
          <w:rFonts w:ascii="Arial" w:cs="Arial" w:eastAsia="Arial" w:hAnsi="Arial"/>
          <w:sz w:val="21"/>
          <w:szCs w:val="21"/>
          <w:color w:val="auto"/>
        </w:rPr>
      </w:pPr>
    </w:p>
    <w:p>
      <w:pPr>
        <w:jc w:val="both"/>
        <w:ind w:firstLine="642"/>
        <w:spacing w:after="0"/>
        <w:tabs>
          <w:tab w:leader="none" w:pos="1264"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Should any provision of this Agreement require interpretation or construction, it is agreed by the parties that the court (or other tribunal) interpreting or construing this Agreement shall not apply a presumption against one party by reason of the rule of construction that a document is to be construed more strictly against the party who prepared the document, it being agreed that all parties (by their respective attorneys) have participated in the preparation of all provisions of this Agreement. If any provision of this Agreement is determined by a court of competent jurisdiction to be excessively broad as to duration, scope, activity or subject, Employee and Employer hereby consent and agree that such court of competent jurisdiction shall modify and/or reform any such provision so as to be enforceable to the fullest and maximum extent compatible with applicable law. Further, if any provision of this Agreement is held by a Court to be unenforceable and incapable of being modified and/or reformed, the remaining provisions shall remain in force and in effect to the maximum extent permissible by law.</w:t>
      </w:r>
    </w:p>
    <w:p>
      <w:pPr>
        <w:spacing w:after="0" w:line="153" w:lineRule="exact"/>
        <w:rPr>
          <w:rFonts w:ascii="Arial" w:cs="Arial" w:eastAsia="Arial" w:hAnsi="Arial"/>
          <w:sz w:val="19"/>
          <w:szCs w:val="19"/>
          <w:color w:val="auto"/>
        </w:rPr>
      </w:pPr>
    </w:p>
    <w:p>
      <w:pPr>
        <w:ind w:left="1280" w:hanging="638"/>
        <w:spacing w:after="0"/>
        <w:tabs>
          <w:tab w:leader="none" w:pos="128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Review and Revocation Rights; Knowing and Voluntary Waiver</w:t>
      </w:r>
      <w:r>
        <w:rPr>
          <w:rFonts w:ascii="Arial" w:cs="Arial" w:eastAsia="Arial" w:hAnsi="Arial"/>
          <w:sz w:val="20"/>
          <w:szCs w:val="20"/>
          <w:color w:val="auto"/>
        </w:rPr>
        <w:t>: Employee understands and acknowledges that:</w:t>
      </w:r>
    </w:p>
    <w:p>
      <w:pPr>
        <w:spacing w:after="0" w:line="194" w:lineRule="exact"/>
        <w:rPr>
          <w:rFonts w:ascii="Arial" w:cs="Arial" w:eastAsia="Arial" w:hAnsi="Arial"/>
          <w:sz w:val="20"/>
          <w:szCs w:val="20"/>
          <w:color w:val="auto"/>
        </w:rPr>
      </w:pPr>
    </w:p>
    <w:p>
      <w:pPr>
        <w:jc w:val="both"/>
        <w:ind w:firstLine="1278"/>
        <w:spacing w:after="0" w:line="230" w:lineRule="auto"/>
        <w:tabs>
          <w:tab w:leader="none" w:pos="1908" w:val="left"/>
        </w:tabs>
        <w:numPr>
          <w:ilvl w:val="1"/>
          <w:numId w:val="75"/>
        </w:numPr>
        <w:rPr>
          <w:rFonts w:ascii="Arial" w:cs="Arial" w:eastAsia="Arial" w:hAnsi="Arial"/>
          <w:sz w:val="21"/>
          <w:szCs w:val="21"/>
          <w:color w:val="auto"/>
        </w:rPr>
      </w:pPr>
      <w:r>
        <w:rPr>
          <w:rFonts w:ascii="Arial" w:cs="Arial" w:eastAsia="Arial" w:hAnsi="Arial"/>
          <w:sz w:val="21"/>
          <w:szCs w:val="21"/>
          <w:color w:val="auto"/>
        </w:rPr>
        <w:t>Employee has been given twenty-one (21) days within which to review this Agreement, including without limitation the Release set forth in Paragraph 7 hereof (the “</w:t>
      </w:r>
      <w:r>
        <w:rPr>
          <w:rFonts w:ascii="Arial" w:cs="Arial" w:eastAsia="Arial" w:hAnsi="Arial"/>
          <w:sz w:val="21"/>
          <w:szCs w:val="21"/>
          <w:b w:val="1"/>
          <w:bCs w:val="1"/>
          <w:color w:val="auto"/>
        </w:rPr>
        <w:t>Review Period</w:t>
      </w:r>
      <w:r>
        <w:rPr>
          <w:rFonts w:ascii="Arial" w:cs="Arial" w:eastAsia="Arial" w:hAnsi="Arial"/>
          <w:sz w:val="21"/>
          <w:szCs w:val="21"/>
          <w:color w:val="auto"/>
        </w:rPr>
        <w:t>”), although Employee may sign and return the Agreement sooner should Employee so desire;</w:t>
      </w:r>
    </w:p>
    <w:p>
      <w:pPr>
        <w:spacing w:after="0" w:line="153" w:lineRule="exact"/>
        <w:rPr>
          <w:rFonts w:ascii="Arial" w:cs="Arial" w:eastAsia="Arial" w:hAnsi="Arial"/>
          <w:sz w:val="21"/>
          <w:szCs w:val="21"/>
          <w:color w:val="auto"/>
        </w:rPr>
      </w:pPr>
    </w:p>
    <w:p>
      <w:pPr>
        <w:jc w:val="both"/>
        <w:ind w:firstLine="1278"/>
        <w:spacing w:after="0" w:line="242" w:lineRule="auto"/>
        <w:tabs>
          <w:tab w:leader="none" w:pos="1906" w:val="left"/>
        </w:tabs>
        <w:numPr>
          <w:ilvl w:val="1"/>
          <w:numId w:val="75"/>
        </w:numPr>
        <w:rPr>
          <w:rFonts w:ascii="Arial" w:cs="Arial" w:eastAsia="Arial" w:hAnsi="Arial"/>
          <w:sz w:val="20"/>
          <w:szCs w:val="20"/>
          <w:color w:val="auto"/>
        </w:rPr>
      </w:pPr>
      <w:r>
        <w:rPr>
          <w:rFonts w:ascii="Arial" w:cs="Arial" w:eastAsia="Arial" w:hAnsi="Arial"/>
          <w:sz w:val="20"/>
          <w:szCs w:val="20"/>
          <w:color w:val="auto"/>
        </w:rPr>
        <w:t>Employee has been advised by Employer that, if Employee signs and returns this Agreement during the Review Period, Employee has the right to revoke this Agreement in writing for a period of seven (7) days after signing the Agreement by notifying in writing, or having Employee’s counsel notify in writing, Sema4 OpCo, Inc., 333 Ludlow 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Stamford, CT 06902, Attn: General Counsel, within those seven (7) days (the “</w:t>
      </w:r>
      <w:r>
        <w:rPr>
          <w:rFonts w:ascii="Arial" w:cs="Arial" w:eastAsia="Arial" w:hAnsi="Arial"/>
          <w:sz w:val="21"/>
          <w:szCs w:val="21"/>
          <w:b w:val="1"/>
          <w:bCs w:val="1"/>
          <w:color w:val="auto"/>
        </w:rPr>
        <w:t>Revocation Period</w:t>
      </w:r>
      <w:r>
        <w:rPr>
          <w:rFonts w:ascii="Arial" w:cs="Arial" w:eastAsia="Arial" w:hAnsi="Arial"/>
          <w:sz w:val="21"/>
          <w:szCs w:val="21"/>
          <w:color w:val="auto"/>
        </w:rPr>
        <w:t>”);</w:t>
      </w:r>
    </w:p>
    <w:p>
      <w:pPr>
        <w:spacing w:after="0" w:line="189" w:lineRule="exact"/>
        <w:rPr>
          <w:sz w:val="20"/>
          <w:szCs w:val="20"/>
          <w:color w:val="auto"/>
        </w:rPr>
      </w:pPr>
    </w:p>
    <w:p>
      <w:pPr>
        <w:jc w:val="both"/>
        <w:ind w:firstLine="1278"/>
        <w:spacing w:after="0" w:line="210" w:lineRule="auto"/>
        <w:tabs>
          <w:tab w:leader="none" w:pos="1896" w:val="left"/>
        </w:tabs>
        <w:numPr>
          <w:ilvl w:val="1"/>
          <w:numId w:val="76"/>
        </w:numPr>
        <w:rPr>
          <w:rFonts w:ascii="Arial" w:cs="Arial" w:eastAsia="Arial" w:hAnsi="Arial"/>
          <w:sz w:val="21"/>
          <w:szCs w:val="21"/>
          <w:color w:val="auto"/>
        </w:rPr>
      </w:pPr>
      <w:r>
        <w:rPr>
          <w:rFonts w:ascii="Arial" w:cs="Arial" w:eastAsia="Arial" w:hAnsi="Arial"/>
          <w:sz w:val="21"/>
          <w:szCs w:val="21"/>
          <w:color w:val="auto"/>
        </w:rPr>
        <w:t>If Employee signs the Agreement, and does not revoke the Agreement during the Revocation Period, this Agreement shall become effective on the later of the Termination Date and the eighth (8</w:t>
      </w:r>
      <w:r>
        <w:rPr>
          <w:rFonts w:ascii="Arial" w:cs="Arial" w:eastAsia="Arial" w:hAnsi="Arial"/>
          <w:sz w:val="27"/>
          <w:szCs w:val="27"/>
          <w:color w:val="auto"/>
          <w:vertAlign w:val="superscript"/>
        </w:rPr>
        <w:t>th</w:t>
      </w:r>
      <w:r>
        <w:rPr>
          <w:rFonts w:ascii="Arial" w:cs="Arial" w:eastAsia="Arial" w:hAnsi="Arial"/>
          <w:sz w:val="21"/>
          <w:szCs w:val="21"/>
          <w:color w:val="auto"/>
        </w:rPr>
        <w:t>) day following Employee’s execution and delivery of this Agreement to Employer (the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jc w:val="both"/>
        <w:ind w:firstLine="1278"/>
        <w:spacing w:after="0" w:line="230" w:lineRule="auto"/>
        <w:tabs>
          <w:tab w:leader="none" w:pos="1903" w:val="left"/>
        </w:tabs>
        <w:numPr>
          <w:ilvl w:val="1"/>
          <w:numId w:val="76"/>
        </w:numPr>
        <w:rPr>
          <w:rFonts w:ascii="Arial" w:cs="Arial" w:eastAsia="Arial" w:hAnsi="Arial"/>
          <w:sz w:val="21"/>
          <w:szCs w:val="21"/>
          <w:color w:val="auto"/>
        </w:rPr>
      </w:pPr>
      <w:r>
        <w:rPr>
          <w:rFonts w:ascii="Arial" w:cs="Arial" w:eastAsia="Arial" w:hAnsi="Arial"/>
          <w:sz w:val="21"/>
          <w:szCs w:val="21"/>
          <w:color w:val="auto"/>
        </w:rPr>
        <w:t>Employer has advised Employee to consult with counsel of Employee’s choosing prior to signing this Agreement. Employee understands and agrees that Employee has the right and has been given the opportunity to consult with counsel should Employee so desire;</w:t>
      </w:r>
    </w:p>
    <w:p>
      <w:pPr>
        <w:spacing w:after="0" w:line="153" w:lineRule="exact"/>
        <w:rPr>
          <w:rFonts w:ascii="Arial" w:cs="Arial" w:eastAsia="Arial" w:hAnsi="Arial"/>
          <w:sz w:val="21"/>
          <w:szCs w:val="21"/>
          <w:color w:val="auto"/>
        </w:rPr>
      </w:pPr>
    </w:p>
    <w:p>
      <w:pPr>
        <w:ind w:left="1900" w:hanging="622"/>
        <w:spacing w:after="0"/>
        <w:tabs>
          <w:tab w:leader="none" w:pos="1900" w:val="left"/>
        </w:tabs>
        <w:numPr>
          <w:ilvl w:val="1"/>
          <w:numId w:val="76"/>
        </w:numPr>
        <w:rPr>
          <w:rFonts w:ascii="Arial" w:cs="Arial" w:eastAsia="Arial" w:hAnsi="Arial"/>
          <w:sz w:val="20"/>
          <w:szCs w:val="20"/>
          <w:color w:val="auto"/>
        </w:rPr>
      </w:pPr>
      <w:r>
        <w:rPr>
          <w:rFonts w:ascii="Arial" w:cs="Arial" w:eastAsia="Arial" w:hAnsi="Arial"/>
          <w:sz w:val="20"/>
          <w:szCs w:val="20"/>
          <w:color w:val="auto"/>
        </w:rPr>
        <w:t>Employee is signing this Agreement knowingly and voluntarily, with an understanding of each of its terms;</w:t>
      </w:r>
    </w:p>
    <w:p>
      <w:pPr>
        <w:spacing w:after="0" w:line="194" w:lineRule="exact"/>
        <w:rPr>
          <w:rFonts w:ascii="Arial" w:cs="Arial" w:eastAsia="Arial" w:hAnsi="Arial"/>
          <w:sz w:val="20"/>
          <w:szCs w:val="20"/>
          <w:color w:val="auto"/>
        </w:rPr>
      </w:pPr>
    </w:p>
    <w:p>
      <w:pPr>
        <w:ind w:left="1900" w:hanging="622"/>
        <w:spacing w:after="0"/>
        <w:tabs>
          <w:tab w:leader="none" w:pos="1900" w:val="left"/>
        </w:tabs>
        <w:numPr>
          <w:ilvl w:val="1"/>
          <w:numId w:val="76"/>
        </w:numPr>
        <w:rPr>
          <w:rFonts w:ascii="Arial" w:cs="Arial" w:eastAsia="Arial" w:hAnsi="Arial"/>
          <w:sz w:val="20"/>
          <w:szCs w:val="20"/>
          <w:color w:val="auto"/>
        </w:rPr>
      </w:pPr>
      <w:r>
        <w:rPr>
          <w:rFonts w:ascii="Arial" w:cs="Arial" w:eastAsia="Arial" w:hAnsi="Arial"/>
          <w:sz w:val="20"/>
          <w:szCs w:val="20"/>
          <w:color w:val="auto"/>
        </w:rPr>
        <w:t>Employee is not releasing claims that may arise from facts or events which occur after the date Employee</w:t>
      </w:r>
    </w:p>
    <w:p>
      <w:pPr>
        <w:spacing w:after="0"/>
        <w:rPr>
          <w:rFonts w:ascii="Arial" w:cs="Arial" w:eastAsia="Arial" w:hAnsi="Arial"/>
          <w:sz w:val="20"/>
          <w:szCs w:val="20"/>
          <w:color w:val="auto"/>
        </w:rPr>
      </w:pPr>
      <w:r>
        <w:rPr>
          <w:rFonts w:ascii="Arial" w:cs="Arial" w:eastAsia="Arial" w:hAnsi="Arial"/>
          <w:sz w:val="21"/>
          <w:szCs w:val="21"/>
          <w:color w:val="auto"/>
        </w:rPr>
        <w:t>signs this Agreement;</w:t>
      </w:r>
    </w:p>
    <w:p>
      <w:pPr>
        <w:spacing w:after="0" w:line="164" w:lineRule="exact"/>
        <w:rPr>
          <w:rFonts w:ascii="Arial" w:cs="Arial" w:eastAsia="Arial" w:hAnsi="Arial"/>
          <w:sz w:val="20"/>
          <w:szCs w:val="20"/>
          <w:color w:val="auto"/>
        </w:rPr>
      </w:pPr>
    </w:p>
    <w:p>
      <w:pPr>
        <w:jc w:val="both"/>
        <w:ind w:firstLine="1278"/>
        <w:spacing w:after="0" w:line="225" w:lineRule="auto"/>
        <w:tabs>
          <w:tab w:leader="none" w:pos="1903" w:val="left"/>
        </w:tabs>
        <w:numPr>
          <w:ilvl w:val="1"/>
          <w:numId w:val="76"/>
        </w:numPr>
        <w:rPr>
          <w:rFonts w:ascii="Arial" w:cs="Arial" w:eastAsia="Arial" w:hAnsi="Arial"/>
          <w:sz w:val="21"/>
          <w:szCs w:val="21"/>
          <w:color w:val="auto"/>
        </w:rPr>
      </w:pPr>
      <w:r>
        <w:rPr>
          <w:rFonts w:ascii="Arial" w:cs="Arial" w:eastAsia="Arial" w:hAnsi="Arial"/>
          <w:sz w:val="21"/>
          <w:szCs w:val="21"/>
          <w:color w:val="auto"/>
        </w:rPr>
        <w:t>In the event that Employee does not sign and return this Agreement to Employer during the Review Period, or in the event Employee revokes Employee’s consent to this Agreement during the Revocation Period: (a) this Agreement shall have no force or effect; and (b) Employee shall have no right to receive the Severance Payment and other benefits set forth in Paragraph 3 above.</w:t>
      </w:r>
    </w:p>
    <w:p>
      <w:pPr>
        <w:spacing w:after="0" w:line="154" w:lineRule="exact"/>
        <w:rPr>
          <w:rFonts w:ascii="Arial" w:cs="Arial" w:eastAsia="Arial" w:hAnsi="Arial"/>
          <w:sz w:val="21"/>
          <w:szCs w:val="21"/>
          <w:color w:val="auto"/>
        </w:rPr>
      </w:pPr>
    </w:p>
    <w:p>
      <w:pPr>
        <w:jc w:val="both"/>
        <w:ind w:firstLine="642"/>
        <w:spacing w:after="0" w:line="230" w:lineRule="auto"/>
        <w:tabs>
          <w:tab w:leader="none" w:pos="1272"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Governing Law/Jurisdiction/Venue</w:t>
      </w:r>
      <w:r>
        <w:rPr>
          <w:rFonts w:ascii="Arial" w:cs="Arial" w:eastAsia="Arial" w:hAnsi="Arial"/>
          <w:sz w:val="21"/>
          <w:szCs w:val="21"/>
          <w:color w:val="auto"/>
        </w:rPr>
        <w:t>: The parties agree that the Agreement will be governed by the laws of the State of Connecticut without regard to conflicts of law and that Employee will submit to the jurisdiction of the state and/or federal courts located within Connecticut for the resolution of any dispute that may arise hereunder.</w:t>
      </w:r>
    </w:p>
    <w:p>
      <w:pPr>
        <w:spacing w:after="0" w:line="153" w:lineRule="exact"/>
        <w:rPr>
          <w:rFonts w:ascii="Arial" w:cs="Arial" w:eastAsia="Arial" w:hAnsi="Arial"/>
          <w:sz w:val="21"/>
          <w:szCs w:val="21"/>
          <w:color w:val="auto"/>
        </w:rPr>
      </w:pPr>
    </w:p>
    <w:p>
      <w:pPr>
        <w:jc w:val="both"/>
        <w:ind w:firstLine="642"/>
        <w:spacing w:after="0" w:line="237" w:lineRule="auto"/>
        <w:tabs>
          <w:tab w:leader="none" w:pos="1272"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Entire Agreement; No Extra-Contractual Representations</w:t>
      </w:r>
      <w:r>
        <w:rPr>
          <w:rFonts w:ascii="Arial" w:cs="Arial" w:eastAsia="Arial" w:hAnsi="Arial"/>
          <w:sz w:val="19"/>
          <w:szCs w:val="19"/>
          <w:color w:val="auto"/>
        </w:rPr>
        <w:t xml:space="preserve">: This Agreement is the complete understanding between the parties with respect to the subject matter herein, and supersedes all prior understandings, arrangements and agreements, whether verbal or written, between Employee and Employer;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impair Employee’s continuing contractual and common-law obligations to Employer including without limitation under (i) the PIIA; and (ii) Paragraphs 4, 5, 6, 9, 10, 12, 13, 14, and 15 of the Employment Agreement, including without limitation the Restrictive Covenants set forth in Paragraph 9 of the Employment Agreement (the “</w:t>
      </w:r>
      <w:r>
        <w:rPr>
          <w:rFonts w:ascii="Arial" w:cs="Arial" w:eastAsia="Arial" w:hAnsi="Arial"/>
          <w:sz w:val="19"/>
          <w:szCs w:val="19"/>
          <w:b w:val="1"/>
          <w:bCs w:val="1"/>
          <w:color w:val="auto"/>
        </w:rPr>
        <w:t>Employment Agreement Restrictive Covenants</w:t>
      </w:r>
      <w:r>
        <w:rPr>
          <w:rFonts w:ascii="Arial" w:cs="Arial" w:eastAsia="Arial" w:hAnsi="Arial"/>
          <w:sz w:val="19"/>
          <w:szCs w:val="19"/>
          <w:color w:val="auto"/>
        </w:rPr>
        <w:t>”), the terms of which are incorporated by reference into this Agreement as if fully set forth herein. For purposes of clarity, however, Employee may perform services for the Icahn School of Medicine at Mount Sinai (“</w:t>
      </w:r>
      <w:r>
        <w:rPr>
          <w:rFonts w:ascii="Arial" w:cs="Arial" w:eastAsia="Arial" w:hAnsi="Arial"/>
          <w:sz w:val="19"/>
          <w:szCs w:val="19"/>
          <w:b w:val="1"/>
          <w:bCs w:val="1"/>
          <w:color w:val="auto"/>
        </w:rPr>
        <w:t>ISMMS</w:t>
      </w:r>
      <w:r>
        <w:rPr>
          <w:rFonts w:ascii="Arial" w:cs="Arial" w:eastAsia="Arial" w:hAnsi="Arial"/>
          <w:sz w:val="19"/>
          <w:szCs w:val="19"/>
          <w:color w:val="auto"/>
        </w:rPr>
        <w:t>”) on a full or part time basis and not be in violation of the foregoing prohibitions. For the avoidance of doubt, in the event Employee breaches or threatens to breach his continuing contractual obligations set forth in the PIIA and/or the Employment Agreement Restrictive Covenants, Employer shall be entitled to all remedies in accordance with the terms and conditions of such agreements which expressly survive the termination of Employee’s employment, and which are incorporated by reference into this Agreement as if fully set forth herein. Employee acknowledges that Employee is not relying on any representations or promises by any representative of Employer with regard to the subject matter, basis or effect of this Agreement or otherwise, other than as specifically stated in this written Agreement.</w:t>
      </w:r>
    </w:p>
    <w:p>
      <w:pPr>
        <w:spacing w:after="0" w:line="159" w:lineRule="exact"/>
        <w:rPr>
          <w:rFonts w:ascii="Arial" w:cs="Arial" w:eastAsia="Arial" w:hAnsi="Arial"/>
          <w:sz w:val="19"/>
          <w:szCs w:val="19"/>
          <w:color w:val="auto"/>
        </w:rPr>
      </w:pPr>
    </w:p>
    <w:p>
      <w:pPr>
        <w:jc w:val="both"/>
        <w:ind w:firstLine="642"/>
        <w:spacing w:after="0" w:line="242" w:lineRule="auto"/>
        <w:tabs>
          <w:tab w:leader="none" w:pos="127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No provision of this Agreement may be amended or modified unless the amendment or modification is agreed to in writing and signed by Employee and an authorized representative of Employer. No waiver by either party of any breach by the other party of any condition or provision of this Agreement to be performed by such other party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be deemed a waiver of any other provision or condition at the time or at any prior or subsequent time.</w:t>
      </w:r>
    </w:p>
    <w:p>
      <w:pPr>
        <w:spacing w:after="0" w:line="183" w:lineRule="exact"/>
        <w:rPr>
          <w:sz w:val="20"/>
          <w:szCs w:val="20"/>
          <w:color w:val="auto"/>
        </w:rPr>
      </w:pPr>
    </w:p>
    <w:p>
      <w:pPr>
        <w:jc w:val="both"/>
        <w:ind w:firstLine="642"/>
        <w:spacing w:after="0" w:line="222" w:lineRule="auto"/>
        <w:tabs>
          <w:tab w:leader="none" w:pos="127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Counterparts; Facsimile or Electronic Execution and Delivery</w:t>
      </w:r>
      <w:r>
        <w:rPr>
          <w:rFonts w:ascii="Arial" w:cs="Arial" w:eastAsia="Arial" w:hAnsi="Arial"/>
          <w:sz w:val="21"/>
          <w:szCs w:val="21"/>
          <w:color w:val="auto"/>
        </w:rPr>
        <w:t>: This Agreement may be executed in counterparts, each of which shall be deemed an original, and all counterparts so executed shall constitute one agreement binding on all of the parties hereto, notwithstanding that all of the parties are not signatory to the same counterpart. This Agreement may be executed or delivered either by original or facsimile, either of which will be equally valid and binding, and PDF signatures transmitted by email shall be equivalent to original signatures.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color w:val="auto"/>
        </w:rPr>
        <w:t>Accepted and agreed by:</w:t>
      </w: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color w:val="auto"/>
        </w:rPr>
        <w:t>EMPLOYEE: Eric Schadt, Ph.D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gridSpan w:val="3"/>
          </w:tcPr>
          <w:p>
            <w:pPr>
              <w:spacing w:after="0"/>
              <w:rPr>
                <w:sz w:val="20"/>
                <w:szCs w:val="20"/>
                <w:color w:val="auto"/>
              </w:rPr>
            </w:pPr>
            <w:r>
              <w:rPr>
                <w:rFonts w:ascii="Arial" w:cs="Arial" w:eastAsia="Arial" w:hAnsi="Arial"/>
                <w:sz w:val="21"/>
                <w:szCs w:val="21"/>
                <w:color w:val="auto"/>
              </w:rPr>
              <w:t>/s/ Eric Schadt, Ph. D</w:t>
            </w:r>
          </w:p>
        </w:tc>
        <w:tc>
          <w:tcPr>
            <w:tcW w:w="2000" w:type="dxa"/>
            <w:vAlign w:val="bottom"/>
            <w:gridSpan w:val="4"/>
          </w:tcPr>
          <w:p>
            <w:pPr>
              <w:ind w:left="420"/>
              <w:spacing w:after="0"/>
              <w:rPr>
                <w:sz w:val="20"/>
                <w:szCs w:val="20"/>
                <w:color w:val="auto"/>
              </w:rPr>
            </w:pPr>
            <w:r>
              <w:rPr>
                <w:rFonts w:ascii="Arial" w:cs="Arial" w:eastAsia="Arial" w:hAnsi="Arial"/>
                <w:sz w:val="21"/>
                <w:szCs w:val="21"/>
                <w:color w:val="auto"/>
              </w:rPr>
              <w:t>Date: 8/12/22</w:t>
            </w:r>
          </w:p>
        </w:tc>
      </w:tr>
      <w:tr>
        <w:trPr>
          <w:trHeight w:val="20"/>
        </w:trPr>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879"/>
        </w:trPr>
        <w:tc>
          <w:tcPr>
            <w:tcW w:w="4260" w:type="dxa"/>
            <w:vAlign w:val="bottom"/>
            <w:gridSpan w:val="7"/>
          </w:tcPr>
          <w:p>
            <w:pPr>
              <w:spacing w:after="0"/>
              <w:rPr>
                <w:sz w:val="20"/>
                <w:szCs w:val="20"/>
                <w:color w:val="auto"/>
              </w:rPr>
            </w:pPr>
            <w:r>
              <w:rPr>
                <w:rFonts w:ascii="Arial" w:cs="Arial" w:eastAsia="Arial" w:hAnsi="Arial"/>
                <w:sz w:val="21"/>
                <w:szCs w:val="21"/>
                <w:color w:val="auto"/>
              </w:rPr>
              <w:t>EMPLOYER: Sema4 OpCo, Inc.</w:t>
            </w:r>
          </w:p>
        </w:tc>
      </w:tr>
      <w:tr>
        <w:trPr>
          <w:trHeight w:val="373"/>
        </w:trPr>
        <w:tc>
          <w:tcPr>
            <w:tcW w:w="2260" w:type="dxa"/>
            <w:vAlign w:val="bottom"/>
            <w:gridSpan w:val="3"/>
          </w:tcPr>
          <w:p>
            <w:pPr>
              <w:spacing w:after="0"/>
              <w:rPr>
                <w:sz w:val="20"/>
                <w:szCs w:val="20"/>
                <w:color w:val="auto"/>
              </w:rPr>
            </w:pPr>
            <w:r>
              <w:rPr>
                <w:rFonts w:ascii="Arial" w:cs="Arial" w:eastAsia="Arial" w:hAnsi="Arial"/>
                <w:sz w:val="21"/>
                <w:szCs w:val="21"/>
                <w:color w:val="auto"/>
              </w:rPr>
              <w:t>By: /s/ Karen White</w:t>
            </w:r>
          </w:p>
        </w:tc>
        <w:tc>
          <w:tcPr>
            <w:tcW w:w="2000" w:type="dxa"/>
            <w:vAlign w:val="bottom"/>
            <w:gridSpan w:val="4"/>
          </w:tcPr>
          <w:p>
            <w:pPr>
              <w:ind w:left="80"/>
              <w:spacing w:after="0"/>
              <w:rPr>
                <w:sz w:val="20"/>
                <w:szCs w:val="20"/>
                <w:color w:val="auto"/>
              </w:rPr>
            </w:pPr>
            <w:r>
              <w:rPr>
                <w:rFonts w:ascii="Arial" w:cs="Arial" w:eastAsia="Arial" w:hAnsi="Arial"/>
                <w:sz w:val="21"/>
                <w:szCs w:val="21"/>
                <w:color w:val="auto"/>
              </w:rPr>
              <w:t>Date: 8/12/22</w:t>
            </w:r>
          </w:p>
        </w:tc>
      </w:tr>
      <w:tr>
        <w:trPr>
          <w:trHeight w:val="184"/>
        </w:trPr>
        <w:tc>
          <w:tcPr>
            <w:tcW w:w="260" w:type="dxa"/>
            <w:vAlign w:val="bottom"/>
          </w:tcPr>
          <w:p>
            <w:pPr>
              <w:spacing w:after="0"/>
              <w:rPr>
                <w:sz w:val="15"/>
                <w:szCs w:val="15"/>
                <w:color w:val="auto"/>
              </w:rPr>
            </w:pPr>
          </w:p>
        </w:tc>
        <w:tc>
          <w:tcPr>
            <w:tcW w:w="1660" w:type="dxa"/>
            <w:vAlign w:val="bottom"/>
            <w:tcBorders>
              <w:top w:val="single" w:sz="8" w:color="auto"/>
            </w:tcBorders>
          </w:tcPr>
          <w:p>
            <w:pPr>
              <w:ind w:left="140"/>
              <w:spacing w:after="0" w:line="184" w:lineRule="exact"/>
              <w:rPr>
                <w:sz w:val="20"/>
                <w:szCs w:val="20"/>
                <w:color w:val="auto"/>
              </w:rPr>
            </w:pPr>
            <w:r>
              <w:rPr>
                <w:rFonts w:ascii="Arial" w:cs="Arial" w:eastAsia="Arial" w:hAnsi="Arial"/>
                <w:sz w:val="21"/>
                <w:szCs w:val="21"/>
                <w:color w:val="auto"/>
              </w:rPr>
              <w:t>Karen White</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71"/>
        </w:trPr>
        <w:tc>
          <w:tcPr>
            <w:tcW w:w="260" w:type="dxa"/>
            <w:vAlign w:val="bottom"/>
          </w:tcPr>
          <w:p>
            <w:pPr>
              <w:spacing w:after="0"/>
              <w:rPr>
                <w:sz w:val="23"/>
                <w:szCs w:val="23"/>
                <w:color w:val="auto"/>
              </w:rPr>
            </w:pPr>
          </w:p>
        </w:tc>
        <w:tc>
          <w:tcPr>
            <w:tcW w:w="2000" w:type="dxa"/>
            <w:vAlign w:val="bottom"/>
            <w:gridSpan w:val="2"/>
          </w:tcPr>
          <w:p>
            <w:pPr>
              <w:ind w:left="140"/>
              <w:spacing w:after="0"/>
              <w:rPr>
                <w:sz w:val="20"/>
                <w:szCs w:val="20"/>
                <w:color w:val="auto"/>
              </w:rPr>
            </w:pPr>
            <w:r>
              <w:rPr>
                <w:rFonts w:ascii="Arial" w:cs="Arial" w:eastAsia="Arial" w:hAnsi="Arial"/>
                <w:sz w:val="21"/>
                <w:szCs w:val="21"/>
                <w:color w:val="auto"/>
                <w:w w:val="97"/>
              </w:rPr>
              <w:t>Chief People Officer</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REAFFIRMATION OF RELEASE AGREEMENT</w:t>
      </w:r>
    </w:p>
    <w:p>
      <w:pPr>
        <w:spacing w:after="0" w:line="209"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By his signature below, Eric Schadt, Ph.D (“</w:t>
      </w:r>
      <w:r>
        <w:rPr>
          <w:rFonts w:ascii="Arial" w:cs="Arial" w:eastAsia="Arial" w:hAnsi="Arial"/>
          <w:sz w:val="20"/>
          <w:szCs w:val="20"/>
          <w:b w:val="1"/>
          <w:bCs w:val="1"/>
          <w:color w:val="auto"/>
        </w:rPr>
        <w:t>Employee</w:t>
      </w:r>
      <w:r>
        <w:rPr>
          <w:rFonts w:ascii="Arial" w:cs="Arial" w:eastAsia="Arial" w:hAnsi="Arial"/>
          <w:sz w:val="20"/>
          <w:szCs w:val="20"/>
          <w:color w:val="auto"/>
        </w:rPr>
        <w:t>”) hereby reaffirms the Confidential Separation Agreement and General Release previously entered between him on the one hand and Sema4 OpCo, Inc. (“</w:t>
      </w:r>
      <w:r>
        <w:rPr>
          <w:rFonts w:ascii="Arial" w:cs="Arial" w:eastAsia="Arial" w:hAnsi="Arial"/>
          <w:sz w:val="20"/>
          <w:szCs w:val="20"/>
          <w:b w:val="1"/>
          <w:bCs w:val="1"/>
          <w:color w:val="auto"/>
        </w:rPr>
        <w:t>Employer</w:t>
      </w:r>
      <w:r>
        <w:rPr>
          <w:rFonts w:ascii="Arial" w:cs="Arial" w:eastAsia="Arial" w:hAnsi="Arial"/>
          <w:sz w:val="20"/>
          <w:szCs w:val="20"/>
          <w:color w:val="auto"/>
        </w:rPr>
        <w:t>”) on the other hand as of</w:t>
      </w:r>
    </w:p>
    <w:p>
      <w:pPr>
        <w:spacing w:after="0" w:line="234" w:lineRule="auto"/>
        <w:rPr>
          <w:sz w:val="20"/>
          <w:szCs w:val="20"/>
          <w:color w:val="auto"/>
        </w:rPr>
      </w:pPr>
      <w:r>
        <w:rPr>
          <w:rFonts w:ascii="Arial" w:cs="Arial" w:eastAsia="Arial" w:hAnsi="Arial"/>
          <w:sz w:val="19"/>
          <w:szCs w:val="19"/>
          <w:color w:val="auto"/>
        </w:rPr>
        <w:t xml:space="preserve">_____________, 2022 (“the </w:t>
      </w:r>
      <w:r>
        <w:rPr>
          <w:rFonts w:ascii="Arial" w:cs="Arial" w:eastAsia="Arial" w:hAnsi="Arial"/>
          <w:sz w:val="19"/>
          <w:szCs w:val="19"/>
          <w:b w:val="1"/>
          <w:bCs w:val="1"/>
          <w:color w:val="auto"/>
        </w:rPr>
        <w:t>Release Agreement</w:t>
      </w:r>
      <w:r>
        <w:rPr>
          <w:rFonts w:ascii="Arial" w:cs="Arial" w:eastAsia="Arial" w:hAnsi="Arial"/>
          <w:sz w:val="19"/>
          <w:szCs w:val="19"/>
          <w:color w:val="auto"/>
        </w:rPr>
        <w:t>”), which is incorporated herein by reference as if set forth fully. The intent of this</w:t>
      </w:r>
    </w:p>
    <w:p>
      <w:pPr>
        <w:jc w:val="both"/>
        <w:spacing w:after="0" w:line="270" w:lineRule="auto"/>
        <w:rPr>
          <w:sz w:val="20"/>
          <w:szCs w:val="20"/>
          <w:color w:val="auto"/>
        </w:rPr>
      </w:pPr>
      <w:r>
        <w:rPr>
          <w:rFonts w:ascii="Arial" w:cs="Arial" w:eastAsia="Arial" w:hAnsi="Arial"/>
          <w:sz w:val="19"/>
          <w:szCs w:val="19"/>
          <w:color w:val="auto"/>
        </w:rPr>
        <w:t>Reaffirmation is to effectuate a complete release of all claims of whatever kind or nature, whether known or unknown, as described in the Release Agreement, while extending the timeframe of those releases to and including the date of Employee’s signature below.</w:t>
      </w:r>
    </w:p>
    <w:p>
      <w:pPr>
        <w:spacing w:after="0" w:line="15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In reaffirming the Release Agreement, Employee covenants and agrees that he will not bring any action against the Employer, including without limitation its current or former affiliated entities, including but not limited to Sema4 Holdings Corp., their parents, affiliates, employee benefit and/or pension funds, successors and assigns, and/or any of their current or past directors, officers, shareholders, contractors, employees, agents, attorneys, their respective successors or assigns, as well as any third party for whom Employee provides services on Employer’s behalf, as a consequence of any matter from the beginning of time to and including the date of his signature below.</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Employee further understands and acknowledges that the complete release of all matters described in this Reaffirmation includes, but is not limited to, all of the types of claims described in the Release Agreement.</w:t>
      </w:r>
    </w:p>
    <w:p>
      <w:pPr>
        <w:spacing w:after="0" w:line="18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Employee also understands and acknowledges that the twenty-one (21) days to review and to consult with counsel of his choosing described in the Release Agreement, and the seven (7) day revocation period described in the Release Agreement apply equally to this Reaffirmation of the Release Agreement. Employee further understands and acknowledges that the complete release of all matters described in this Reaffirmation includes, without limitation, the release of age discrimination claims pursuant to the Age Discrimination in Employment Act, as modified by the Older Workers Benefit Protection Act, and all applicable similar state and federal laws and ordinances.</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Employee is executing this Reaffirmation pursuant to his agreement in the Release Agreement, in exchange for the consideration described in that Release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Accepted and Agreed:</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w:t>
      </w:r>
    </w:p>
    <w:p>
      <w:pPr>
        <w:spacing w:after="0"/>
        <w:rPr>
          <w:sz w:val="20"/>
          <w:szCs w:val="20"/>
          <w:color w:val="auto"/>
        </w:rPr>
      </w:pPr>
      <w:r>
        <w:rPr>
          <w:rFonts w:ascii="Arial" w:cs="Arial" w:eastAsia="Arial" w:hAnsi="Arial"/>
          <w:sz w:val="21"/>
          <w:szCs w:val="21"/>
          <w:color w:val="auto"/>
        </w:rPr>
        <w:t>Eric Schadt, Ph.D.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Date:___________________</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11</w:t>
      </w:r>
    </w:p>
    <w:p>
      <w:pPr>
        <w:sectPr>
          <w:pgSz w:w="11900" w:h="16838" w:orient="portrait"/>
          <w:cols w:equalWidth="0" w:num="1">
            <w:col w:w="11240"/>
          </w:cols>
          <w:pgMar w:left="320" w:top="10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1"/>
          <w:szCs w:val="21"/>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770" w:type="dxa"/>
        <w:tblCellMar>
          <w:top w:w="0" w:type="dxa"/>
          <w:left w:w="0" w:type="dxa"/>
          <w:bottom w:w="0" w:type="dxa"/>
          <w:right w:w="0" w:type="dxa"/>
        </w:tblCellMar>
      </w:tblPr>
      <w:tr>
        <w:trPr>
          <w:trHeight w:val="291"/>
        </w:trPr>
        <w:tc>
          <w:tcPr>
            <w:tcW w:w="1920" w:type="dxa"/>
            <w:vAlign w:val="bottom"/>
            <w:tcBorders>
              <w:top w:val="single" w:sz="8" w:color="auto"/>
              <w:left w:val="single" w:sz="8" w:color="auto"/>
              <w:right w:val="single" w:sz="8" w:color="auto"/>
            </w:tcBorders>
            <w:shd w:val="clear" w:color="auto" w:fill="D9D9D9"/>
          </w:tcPr>
          <w:p>
            <w:pPr>
              <w:spacing w:after="0"/>
              <w:rPr>
                <w:sz w:val="24"/>
                <w:szCs w:val="24"/>
                <w:color w:val="auto"/>
              </w:rPr>
            </w:pPr>
          </w:p>
        </w:tc>
        <w:tc>
          <w:tcPr>
            <w:tcW w:w="1340" w:type="dxa"/>
            <w:vAlign w:val="bottom"/>
            <w:tcBorders>
              <w:top w:val="single" w:sz="8" w:color="auto"/>
              <w:right w:val="single" w:sz="8" w:color="auto"/>
            </w:tcBorders>
            <w:shd w:val="clear" w:color="auto" w:fill="D9D9D9"/>
          </w:tcPr>
          <w:p>
            <w:pPr>
              <w:spacing w:after="0"/>
              <w:rPr>
                <w:sz w:val="24"/>
                <w:szCs w:val="24"/>
                <w:color w:val="auto"/>
              </w:rPr>
            </w:pPr>
          </w:p>
        </w:tc>
        <w:tc>
          <w:tcPr>
            <w:tcW w:w="190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1"/>
                <w:szCs w:val="21"/>
                <w:b w:val="1"/>
                <w:bCs w:val="1"/>
                <w:color w:val="auto"/>
                <w:w w:val="96"/>
              </w:rPr>
              <w:t>Extended Exercise</w:t>
            </w:r>
          </w:p>
        </w:tc>
      </w:tr>
      <w:tr>
        <w:trPr>
          <w:trHeight w:val="265"/>
        </w:trPr>
        <w:tc>
          <w:tcPr>
            <w:tcW w:w="1920" w:type="dxa"/>
            <w:vAlign w:val="bottom"/>
            <w:tcBorders>
              <w:left w:val="single" w:sz="8" w:color="auto"/>
              <w:right w:val="single" w:sz="8" w:color="auto"/>
            </w:tcBorders>
            <w:shd w:val="clear" w:color="auto" w:fill="D9D9D9"/>
          </w:tcPr>
          <w:p>
            <w:pPr>
              <w:spacing w:after="0"/>
              <w:rPr>
                <w:sz w:val="23"/>
                <w:szCs w:val="23"/>
                <w:color w:val="auto"/>
              </w:rPr>
            </w:pPr>
          </w:p>
        </w:tc>
        <w:tc>
          <w:tcPr>
            <w:tcW w:w="1340" w:type="dxa"/>
            <w:vAlign w:val="bottom"/>
            <w:tcBorders>
              <w:right w:val="single" w:sz="8" w:color="auto"/>
            </w:tcBorders>
            <w:shd w:val="clear" w:color="auto" w:fill="D9D9D9"/>
          </w:tcPr>
          <w:p>
            <w:pPr>
              <w:spacing w:after="0"/>
              <w:rPr>
                <w:sz w:val="23"/>
                <w:szCs w:val="23"/>
                <w:color w:val="auto"/>
              </w:rPr>
            </w:pPr>
          </w:p>
        </w:tc>
        <w:tc>
          <w:tcPr>
            <w:tcW w:w="190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21"/>
                <w:szCs w:val="21"/>
                <w:b w:val="1"/>
                <w:bCs w:val="1"/>
                <w:color w:val="auto"/>
                <w:w w:val="97"/>
              </w:rPr>
              <w:t>Period Options for</w:t>
            </w:r>
          </w:p>
        </w:tc>
      </w:tr>
      <w:tr>
        <w:trPr>
          <w:trHeight w:val="265"/>
        </w:trPr>
        <w:tc>
          <w:tcPr>
            <w:tcW w:w="1920" w:type="dxa"/>
            <w:vAlign w:val="bottom"/>
            <w:tcBorders>
              <w:left w:val="single" w:sz="8" w:color="auto"/>
              <w:right w:val="single" w:sz="8" w:color="auto"/>
            </w:tcBorders>
            <w:shd w:val="clear" w:color="auto" w:fill="D9D9D9"/>
          </w:tcPr>
          <w:p>
            <w:pPr>
              <w:spacing w:after="0"/>
              <w:rPr>
                <w:sz w:val="23"/>
                <w:szCs w:val="23"/>
                <w:color w:val="auto"/>
              </w:rPr>
            </w:pPr>
          </w:p>
        </w:tc>
        <w:tc>
          <w:tcPr>
            <w:tcW w:w="1340" w:type="dxa"/>
            <w:vAlign w:val="bottom"/>
            <w:tcBorders>
              <w:right w:val="single" w:sz="8" w:color="auto"/>
            </w:tcBorders>
            <w:shd w:val="clear" w:color="auto" w:fill="D9D9D9"/>
          </w:tcPr>
          <w:p>
            <w:pPr>
              <w:spacing w:after="0"/>
              <w:rPr>
                <w:sz w:val="23"/>
                <w:szCs w:val="23"/>
                <w:color w:val="auto"/>
              </w:rPr>
            </w:pPr>
          </w:p>
        </w:tc>
        <w:tc>
          <w:tcPr>
            <w:tcW w:w="190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21"/>
                <w:szCs w:val="21"/>
                <w:b w:val="1"/>
                <w:bCs w:val="1"/>
                <w:color w:val="auto"/>
                <w:w w:val="98"/>
              </w:rPr>
              <w:t>Vested Options as</w:t>
            </w:r>
          </w:p>
        </w:tc>
      </w:tr>
      <w:tr>
        <w:trPr>
          <w:trHeight w:val="265"/>
        </w:trPr>
        <w:tc>
          <w:tcPr>
            <w:tcW w:w="1920" w:type="dxa"/>
            <w:vAlign w:val="bottom"/>
            <w:tcBorders>
              <w:left w:val="single" w:sz="8" w:color="auto"/>
              <w:right w:val="single" w:sz="8" w:color="auto"/>
            </w:tcBorders>
            <w:shd w:val="clear" w:color="auto" w:fill="D9D9D9"/>
          </w:tcPr>
          <w:p>
            <w:pPr>
              <w:spacing w:after="0"/>
              <w:rPr>
                <w:sz w:val="23"/>
                <w:szCs w:val="23"/>
                <w:color w:val="auto"/>
              </w:rPr>
            </w:pPr>
          </w:p>
        </w:tc>
        <w:tc>
          <w:tcPr>
            <w:tcW w:w="1340" w:type="dxa"/>
            <w:vAlign w:val="bottom"/>
            <w:tcBorders>
              <w:right w:val="single" w:sz="8" w:color="auto"/>
            </w:tcBorders>
            <w:shd w:val="clear" w:color="auto" w:fill="D9D9D9"/>
          </w:tcPr>
          <w:p>
            <w:pPr>
              <w:spacing w:after="0"/>
              <w:rPr>
                <w:sz w:val="23"/>
                <w:szCs w:val="23"/>
                <w:color w:val="auto"/>
              </w:rPr>
            </w:pPr>
          </w:p>
        </w:tc>
        <w:tc>
          <w:tcPr>
            <w:tcW w:w="190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21"/>
                <w:szCs w:val="21"/>
                <w:b w:val="1"/>
                <w:bCs w:val="1"/>
                <w:color w:val="auto"/>
              </w:rPr>
              <w:t>of Termination</w:t>
            </w:r>
          </w:p>
        </w:tc>
      </w:tr>
      <w:tr>
        <w:trPr>
          <w:trHeight w:val="311"/>
        </w:trPr>
        <w:tc>
          <w:tcPr>
            <w:tcW w:w="1920" w:type="dxa"/>
            <w:vAlign w:val="bottom"/>
            <w:tcBorders>
              <w:left w:val="single" w:sz="8" w:color="auto"/>
              <w:bottom w:val="single" w:sz="8" w:color="D9D9D9"/>
              <w:right w:val="single" w:sz="8" w:color="auto"/>
            </w:tcBorders>
            <w:shd w:val="clear" w:color="auto" w:fill="D9D9D9"/>
          </w:tcPr>
          <w:p>
            <w:pPr>
              <w:ind w:left="80"/>
              <w:spacing w:after="0"/>
              <w:rPr>
                <w:sz w:val="20"/>
                <w:szCs w:val="20"/>
                <w:color w:val="auto"/>
              </w:rPr>
            </w:pPr>
            <w:r>
              <w:rPr>
                <w:rFonts w:ascii="Arial" w:cs="Arial" w:eastAsia="Arial" w:hAnsi="Arial"/>
                <w:sz w:val="21"/>
                <w:szCs w:val="21"/>
                <w:b w:val="1"/>
                <w:bCs w:val="1"/>
                <w:color w:val="auto"/>
              </w:rPr>
              <w:t>Award Type</w:t>
            </w:r>
          </w:p>
        </w:tc>
        <w:tc>
          <w:tcPr>
            <w:tcW w:w="134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21"/>
                <w:szCs w:val="21"/>
                <w:b w:val="1"/>
                <w:bCs w:val="1"/>
                <w:color w:val="auto"/>
              </w:rPr>
              <w:t>Grant Date</w:t>
            </w:r>
          </w:p>
        </w:tc>
        <w:tc>
          <w:tcPr>
            <w:tcW w:w="1900" w:type="dxa"/>
            <w:vAlign w:val="bottom"/>
            <w:tcBorders>
              <w:bottom w:val="single" w:sz="8" w:color="D9D9D9"/>
              <w:right w:val="single" w:sz="8" w:color="auto"/>
            </w:tcBorders>
            <w:shd w:val="clear" w:color="auto" w:fill="D9D9D9"/>
          </w:tcPr>
          <w:p>
            <w:pPr>
              <w:ind w:left="60"/>
              <w:spacing w:after="0"/>
              <w:rPr>
                <w:sz w:val="20"/>
                <w:szCs w:val="20"/>
                <w:color w:val="auto"/>
              </w:rPr>
            </w:pPr>
            <w:r>
              <w:rPr>
                <w:rFonts w:ascii="Arial" w:cs="Arial" w:eastAsia="Arial" w:hAnsi="Arial"/>
                <w:sz w:val="21"/>
                <w:szCs w:val="21"/>
                <w:b w:val="1"/>
                <w:bCs w:val="1"/>
                <w:color w:val="auto"/>
              </w:rPr>
              <w:t>Date</w:t>
            </w:r>
          </w:p>
        </w:tc>
      </w:tr>
      <w:tr>
        <w:trPr>
          <w:trHeight w:val="283"/>
        </w:trPr>
        <w:tc>
          <w:tcPr>
            <w:tcW w:w="19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Stock Option</w:t>
            </w:r>
          </w:p>
        </w:tc>
        <w:tc>
          <w:tcPr>
            <w:tcW w:w="13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4/4/2022</w:t>
            </w:r>
          </w:p>
        </w:tc>
        <w:tc>
          <w:tcPr>
            <w:tcW w:w="19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39,710</w:t>
            </w:r>
          </w:p>
        </w:tc>
      </w:tr>
      <w:tr>
        <w:trPr>
          <w:trHeight w:val="29"/>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r>
        <w:trPr>
          <w:trHeight w:val="283"/>
        </w:trPr>
        <w:tc>
          <w:tcPr>
            <w:tcW w:w="19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Stock Options</w:t>
            </w:r>
          </w:p>
        </w:tc>
        <w:tc>
          <w:tcPr>
            <w:tcW w:w="134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2/18/2020</w:t>
            </w: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21"/>
                <w:szCs w:val="21"/>
                <w:color w:val="auto"/>
              </w:rPr>
              <w:t>1,733,604</w:t>
            </w:r>
          </w:p>
        </w:tc>
      </w:tr>
      <w:tr>
        <w:trPr>
          <w:trHeight w:val="29"/>
        </w:trPr>
        <w:tc>
          <w:tcPr>
            <w:tcW w:w="192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11</w:t>
      </w:r>
    </w:p>
    <w:p>
      <w:pPr>
        <w:sectPr>
          <w:pgSz w:w="11900" w:h="16838" w:orient="portrait"/>
          <w:cols w:equalWidth="0" w:num="1">
            <w:col w:w="10120"/>
          </w:cols>
          <w:pgMar w:left="1440" w:top="10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SECURITIES EXCHANGE ACT 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I, Katherine Stueland, certify that:</w:t>
      </w:r>
    </w:p>
    <w:p>
      <w:pPr>
        <w:spacing w:after="0" w:line="209" w:lineRule="exact"/>
        <w:rPr>
          <w:sz w:val="20"/>
          <w:szCs w:val="20"/>
          <w:color w:val="auto"/>
        </w:rPr>
      </w:pPr>
    </w:p>
    <w:p>
      <w:pPr>
        <w:ind w:left="320" w:hanging="314"/>
        <w:spacing w:after="0"/>
        <w:tabs>
          <w:tab w:leader="none" w:pos="3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Sema4 Holdings Corp. (the “registrant”);</w:t>
      </w:r>
    </w:p>
    <w:p>
      <w:pPr>
        <w:spacing w:after="0" w:line="209" w:lineRule="exact"/>
        <w:rPr>
          <w:rFonts w:ascii="Arial" w:cs="Arial" w:eastAsia="Arial" w:hAnsi="Arial"/>
          <w:sz w:val="21"/>
          <w:szCs w:val="21"/>
          <w:color w:val="auto"/>
        </w:rPr>
      </w:pPr>
    </w:p>
    <w:p>
      <w:pPr>
        <w:ind w:left="320" w:right="240" w:hanging="314"/>
        <w:spacing w:after="0" w:line="230" w:lineRule="auto"/>
        <w:tabs>
          <w:tab w:leader="none" w:pos="3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21"/>
          <w:szCs w:val="21"/>
          <w:color w:val="auto"/>
        </w:rPr>
      </w:pPr>
    </w:p>
    <w:p>
      <w:pPr>
        <w:ind w:left="320" w:right="340" w:hanging="314"/>
        <w:spacing w:after="0" w:line="230" w:lineRule="auto"/>
        <w:tabs>
          <w:tab w:leader="none" w:pos="3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21"/>
          <w:szCs w:val="21"/>
          <w:color w:val="auto"/>
        </w:rPr>
      </w:pPr>
    </w:p>
    <w:p>
      <w:pPr>
        <w:ind w:left="320" w:right="20" w:hanging="314"/>
        <w:spacing w:after="0" w:line="239" w:lineRule="auto"/>
        <w:tabs>
          <w:tab w:leader="none" w:pos="3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21"/>
          <w:szCs w:val="21"/>
          <w:color w:val="auto"/>
        </w:rPr>
      </w:pPr>
    </w:p>
    <w:p>
      <w:pPr>
        <w:ind w:left="640" w:right="220" w:hanging="316"/>
        <w:spacing w:after="0" w:line="230" w:lineRule="auto"/>
        <w:tabs>
          <w:tab w:leader="none" w:pos="628" w:val="left"/>
        </w:tabs>
        <w:numPr>
          <w:ilvl w:val="1"/>
          <w:numId w:val="79"/>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0" w:lineRule="exact"/>
        <w:rPr>
          <w:rFonts w:ascii="Arial" w:cs="Arial" w:eastAsia="Arial" w:hAnsi="Arial"/>
          <w:sz w:val="21"/>
          <w:szCs w:val="21"/>
          <w:color w:val="auto"/>
        </w:rPr>
      </w:pPr>
    </w:p>
    <w:p>
      <w:pPr>
        <w:ind w:left="640" w:hanging="316"/>
        <w:spacing w:after="0" w:line="230" w:lineRule="auto"/>
        <w:tabs>
          <w:tab w:leader="none" w:pos="6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21"/>
          <w:szCs w:val="21"/>
          <w:color w:val="auto"/>
        </w:rPr>
      </w:pPr>
    </w:p>
    <w:p>
      <w:pPr>
        <w:ind w:left="640" w:right="40" w:hanging="316"/>
        <w:spacing w:after="0" w:line="261" w:lineRule="auto"/>
        <w:tabs>
          <w:tab w:leader="none" w:pos="628" w:val="left"/>
        </w:tabs>
        <w:numPr>
          <w:ilvl w:val="1"/>
          <w:numId w:val="7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9"/>
          <w:szCs w:val="19"/>
          <w:color w:val="auto"/>
        </w:rPr>
      </w:pPr>
    </w:p>
    <w:p>
      <w:pPr>
        <w:ind w:left="320" w:right="660" w:hanging="314"/>
        <w:spacing w:after="0" w:line="230" w:lineRule="auto"/>
        <w:tabs>
          <w:tab w:leader="none" w:pos="32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21"/>
          <w:szCs w:val="21"/>
          <w:color w:val="auto"/>
        </w:rPr>
      </w:pPr>
    </w:p>
    <w:p>
      <w:pPr>
        <w:ind w:left="640" w:right="320" w:hanging="316"/>
        <w:spacing w:after="0" w:line="230" w:lineRule="auto"/>
        <w:tabs>
          <w:tab w:leader="none" w:pos="628" w:val="left"/>
        </w:tabs>
        <w:numPr>
          <w:ilvl w:val="1"/>
          <w:numId w:val="79"/>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21"/>
          <w:szCs w:val="21"/>
          <w:color w:val="auto"/>
        </w:rPr>
      </w:pPr>
    </w:p>
    <w:p>
      <w:pPr>
        <w:ind w:left="640" w:right="760" w:hanging="316"/>
        <w:spacing w:after="0" w:line="239" w:lineRule="auto"/>
        <w:tabs>
          <w:tab w:leader="none" w:pos="6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06" w:right="339" w:bottom="1440" w:gutter="0" w:footer="0" w:header="0"/>
        </w:sectPr>
      </w:pPr>
    </w:p>
    <w:bookmarkStart w:id="133" w:name="page134"/>
    <w:bookmarkEnd w:id="133"/>
    <w:p>
      <w:pPr>
        <w:spacing w:after="0" w:line="229" w:lineRule="exact"/>
        <w:rPr>
          <w:sz w:val="20"/>
          <w:szCs w:val="20"/>
          <w:color w:val="auto"/>
        </w:rPr>
      </w:pPr>
    </w:p>
    <w:p>
      <w:pPr>
        <w:spacing w:after="0"/>
        <w:tabs>
          <w:tab w:leader="none" w:pos="6100" w:val="left"/>
          <w:tab w:leader="none" w:pos="6560" w:val="left"/>
        </w:tabs>
        <w:rPr>
          <w:sz w:val="20"/>
          <w:szCs w:val="20"/>
          <w:color w:val="auto"/>
        </w:rPr>
      </w:pPr>
      <w:r>
        <w:rPr>
          <w:rFonts w:ascii="Arial" w:cs="Arial" w:eastAsia="Arial" w:hAnsi="Arial"/>
          <w:sz w:val="21"/>
          <w:szCs w:val="21"/>
          <w:color w:val="auto"/>
        </w:rPr>
        <w:t>Date: August 15, 2022</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20320</wp:posOffset>
            </wp:positionV>
            <wp:extent cx="29533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Katherine Stueland</w:t>
      </w:r>
    </w:p>
    <w:p>
      <w:pPr>
        <w:spacing w:after="0" w:line="65"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Chief Executive Officer</w:t>
      </w:r>
    </w:p>
    <w:p>
      <w:pPr>
        <w:jc w:val="right"/>
        <w:ind w:right="1059"/>
        <w:spacing w:after="0"/>
        <w:rPr>
          <w:sz w:val="20"/>
          <w:szCs w:val="20"/>
          <w:color w:val="auto"/>
        </w:rPr>
      </w:pPr>
      <w:r>
        <w:rPr>
          <w:rFonts w:ascii="Arial" w:cs="Arial" w:eastAsia="Arial" w:hAnsi="Arial"/>
          <w:sz w:val="21"/>
          <w:szCs w:val="21"/>
          <w:color w:val="auto"/>
        </w:rPr>
        <w:t>(Principal Executive Officer)</w:t>
      </w:r>
    </w:p>
    <w:p>
      <w:pPr>
        <w:sectPr>
          <w:pgSz w:w="11900" w:h="16838" w:orient="portrait"/>
          <w:cols w:equalWidth="0" w:num="1">
            <w:col w:w="10119"/>
          </w:cols>
          <w:pgMar w:left="340" w:top="1440"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RULES 13a-14(a) AND 15d-14(a)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THE SECURITIES EXCHANGE ACT 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302 OF THE SARBANES-OXLEY ACT OF 2002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I, Richard Miao, certify that:</w:t>
      </w:r>
    </w:p>
    <w:p>
      <w:pPr>
        <w:spacing w:after="0" w:line="209" w:lineRule="exact"/>
        <w:rPr>
          <w:sz w:val="20"/>
          <w:szCs w:val="20"/>
          <w:color w:val="auto"/>
        </w:rPr>
      </w:pPr>
    </w:p>
    <w:p>
      <w:pPr>
        <w:ind w:left="320" w:hanging="314"/>
        <w:spacing w:after="0"/>
        <w:tabs>
          <w:tab w:leader="none" w:pos="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Sema4 Holdings Corp. (the “registrant”);</w:t>
      </w:r>
    </w:p>
    <w:p>
      <w:pPr>
        <w:spacing w:after="0" w:line="209" w:lineRule="exact"/>
        <w:rPr>
          <w:rFonts w:ascii="Arial" w:cs="Arial" w:eastAsia="Arial" w:hAnsi="Arial"/>
          <w:sz w:val="21"/>
          <w:szCs w:val="21"/>
          <w:color w:val="auto"/>
        </w:rPr>
      </w:pPr>
    </w:p>
    <w:p>
      <w:pPr>
        <w:ind w:left="320" w:right="240" w:hanging="314"/>
        <w:spacing w:after="0" w:line="230" w:lineRule="auto"/>
        <w:tabs>
          <w:tab w:leader="none" w:pos="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21"/>
          <w:szCs w:val="21"/>
          <w:color w:val="auto"/>
        </w:rPr>
      </w:pPr>
    </w:p>
    <w:p>
      <w:pPr>
        <w:ind w:left="320" w:right="340" w:hanging="314"/>
        <w:spacing w:after="0" w:line="230" w:lineRule="auto"/>
        <w:tabs>
          <w:tab w:leader="none" w:pos="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21"/>
          <w:szCs w:val="21"/>
          <w:color w:val="auto"/>
        </w:rPr>
      </w:pPr>
    </w:p>
    <w:p>
      <w:pPr>
        <w:ind w:left="320" w:right="20" w:hanging="314"/>
        <w:spacing w:after="0" w:line="239" w:lineRule="auto"/>
        <w:tabs>
          <w:tab w:leader="none" w:pos="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registrant’s other certifying officer and I are responsible for establishing and maintaining disclosure controls and procedures (as defined in Exchange Act Rules 13a-15(e) and 15d-15(e)) for the registrant and have:</w:t>
      </w:r>
    </w:p>
    <w:p>
      <w:pPr>
        <w:spacing w:after="0" w:line="181" w:lineRule="exact"/>
        <w:rPr>
          <w:rFonts w:ascii="Arial" w:cs="Arial" w:eastAsia="Arial" w:hAnsi="Arial"/>
          <w:sz w:val="21"/>
          <w:szCs w:val="21"/>
          <w:color w:val="auto"/>
        </w:rPr>
      </w:pPr>
    </w:p>
    <w:p>
      <w:pPr>
        <w:ind w:left="640" w:right="220" w:hanging="316"/>
        <w:spacing w:after="0" w:line="230" w:lineRule="auto"/>
        <w:tabs>
          <w:tab w:leader="none" w:pos="628" w:val="left"/>
        </w:tabs>
        <w:numPr>
          <w:ilvl w:val="1"/>
          <w:numId w:val="80"/>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80" w:lineRule="exact"/>
        <w:rPr>
          <w:rFonts w:ascii="Arial" w:cs="Arial" w:eastAsia="Arial" w:hAnsi="Arial"/>
          <w:sz w:val="21"/>
          <w:szCs w:val="21"/>
          <w:color w:val="auto"/>
        </w:rPr>
      </w:pPr>
    </w:p>
    <w:p>
      <w:pPr>
        <w:ind w:left="640" w:hanging="316"/>
        <w:spacing w:after="0" w:line="230" w:lineRule="auto"/>
        <w:tabs>
          <w:tab w:leader="none" w:pos="640" w:val="left"/>
        </w:tabs>
        <w:numPr>
          <w:ilvl w:val="1"/>
          <w:numId w:val="80"/>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21"/>
          <w:szCs w:val="21"/>
          <w:color w:val="auto"/>
        </w:rPr>
      </w:pPr>
    </w:p>
    <w:p>
      <w:pPr>
        <w:ind w:left="640" w:right="40" w:hanging="316"/>
        <w:spacing w:after="0" w:line="261" w:lineRule="auto"/>
        <w:tabs>
          <w:tab w:leader="none" w:pos="628" w:val="left"/>
        </w:tabs>
        <w:numPr>
          <w:ilvl w:val="1"/>
          <w:numId w:val="8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9"/>
          <w:szCs w:val="19"/>
          <w:color w:val="auto"/>
        </w:rPr>
      </w:pPr>
    </w:p>
    <w:p>
      <w:pPr>
        <w:ind w:left="320" w:right="660" w:hanging="314"/>
        <w:spacing w:after="0" w:line="230" w:lineRule="auto"/>
        <w:tabs>
          <w:tab w:leader="none" w:pos="3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21"/>
          <w:szCs w:val="21"/>
          <w:color w:val="auto"/>
        </w:rPr>
      </w:pPr>
    </w:p>
    <w:p>
      <w:pPr>
        <w:ind w:left="640" w:right="320" w:hanging="316"/>
        <w:spacing w:after="0" w:line="230" w:lineRule="auto"/>
        <w:tabs>
          <w:tab w:leader="none" w:pos="628" w:val="left"/>
        </w:tabs>
        <w:numPr>
          <w:ilvl w:val="1"/>
          <w:numId w:val="80"/>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21"/>
          <w:szCs w:val="21"/>
          <w:color w:val="auto"/>
        </w:rPr>
      </w:pPr>
    </w:p>
    <w:p>
      <w:pPr>
        <w:ind w:left="640" w:right="760" w:hanging="316"/>
        <w:spacing w:after="0" w:line="239" w:lineRule="auto"/>
        <w:tabs>
          <w:tab w:leader="none" w:pos="640" w:val="left"/>
        </w:tabs>
        <w:numPr>
          <w:ilvl w:val="1"/>
          <w:numId w:val="80"/>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06" w:right="339" w:bottom="1440" w:gutter="0" w:footer="0" w:header="0"/>
        </w:sectPr>
      </w:pPr>
    </w:p>
    <w:bookmarkStart w:id="135" w:name="page136"/>
    <w:bookmarkEnd w:id="135"/>
    <w:p>
      <w:pPr>
        <w:spacing w:after="0" w:line="229" w:lineRule="exact"/>
        <w:rPr>
          <w:sz w:val="20"/>
          <w:szCs w:val="20"/>
          <w:color w:val="auto"/>
        </w:rPr>
      </w:pPr>
    </w:p>
    <w:p>
      <w:pPr>
        <w:spacing w:after="0"/>
        <w:tabs>
          <w:tab w:leader="none" w:pos="6100" w:val="left"/>
          <w:tab w:leader="none" w:pos="6560" w:val="left"/>
        </w:tabs>
        <w:rPr>
          <w:sz w:val="20"/>
          <w:szCs w:val="20"/>
          <w:color w:val="auto"/>
        </w:rPr>
      </w:pPr>
      <w:r>
        <w:rPr>
          <w:rFonts w:ascii="Arial" w:cs="Arial" w:eastAsia="Arial" w:hAnsi="Arial"/>
          <w:sz w:val="21"/>
          <w:szCs w:val="21"/>
          <w:color w:val="auto"/>
        </w:rPr>
        <w:t>Date: August 15, 2022</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Richard Miao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20320</wp:posOffset>
            </wp:positionV>
            <wp:extent cx="29533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2953385" cy="825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21"/>
          <w:szCs w:val="21"/>
          <w:color w:val="auto"/>
        </w:rPr>
        <w:t>Richard Miao</w:t>
      </w:r>
    </w:p>
    <w:p>
      <w:pPr>
        <w:spacing w:after="0" w:line="65" w:lineRule="exact"/>
        <w:rPr>
          <w:sz w:val="20"/>
          <w:szCs w:val="20"/>
          <w:color w:val="auto"/>
        </w:rPr>
      </w:pPr>
    </w:p>
    <w:p>
      <w:pPr>
        <w:jc w:val="right"/>
        <w:ind w:right="879"/>
        <w:spacing w:after="0"/>
        <w:rPr>
          <w:sz w:val="20"/>
          <w:szCs w:val="20"/>
          <w:color w:val="auto"/>
        </w:rPr>
      </w:pPr>
      <w:r>
        <w:rPr>
          <w:rFonts w:ascii="Arial" w:cs="Arial" w:eastAsia="Arial" w:hAnsi="Arial"/>
          <w:sz w:val="21"/>
          <w:szCs w:val="21"/>
          <w:color w:val="auto"/>
        </w:rPr>
        <w:t>Interim Chief Financial Officer</w:t>
      </w:r>
    </w:p>
    <w:p>
      <w:pPr>
        <w:ind w:left="6580"/>
        <w:spacing w:after="0"/>
        <w:rPr>
          <w:sz w:val="20"/>
          <w:szCs w:val="20"/>
          <w:color w:val="auto"/>
        </w:rPr>
      </w:pPr>
      <w:r>
        <w:rPr>
          <w:rFonts w:ascii="Arial" w:cs="Arial" w:eastAsia="Arial" w:hAnsi="Arial"/>
          <w:sz w:val="21"/>
          <w:szCs w:val="21"/>
          <w:color w:val="auto"/>
        </w:rPr>
        <w:t>(Principal Financial Officer)</w:t>
      </w:r>
    </w:p>
    <w:p>
      <w:pPr>
        <w:sectPr>
          <w:pgSz w:w="11900" w:h="16838" w:orient="portrait"/>
          <w:cols w:equalWidth="0" w:num="1">
            <w:col w:w="10119"/>
          </w:cols>
          <w:pgMar w:left="340" w:top="1440"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21"/>
          <w:szCs w:val="21"/>
          <w:b w:val="1"/>
          <w:bCs w:val="1"/>
          <w:color w:val="auto"/>
        </w:rPr>
        <w:t>Exhibit 32.1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ADDED BY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81" w:lineRule="exact"/>
        <w:rPr>
          <w:sz w:val="20"/>
          <w:szCs w:val="20"/>
          <w:color w:val="auto"/>
        </w:rPr>
      </w:pPr>
    </w:p>
    <w:p>
      <w:pPr>
        <w:spacing w:after="0" w:line="290" w:lineRule="auto"/>
        <w:rPr>
          <w:sz w:val="20"/>
          <w:szCs w:val="20"/>
          <w:color w:val="auto"/>
        </w:rPr>
      </w:pPr>
      <w:r>
        <w:rPr>
          <w:rFonts w:ascii="Arial" w:cs="Arial" w:eastAsia="Arial" w:hAnsi="Arial"/>
          <w:sz w:val="20"/>
          <w:szCs w:val="20"/>
          <w:color w:val="auto"/>
        </w:rPr>
        <w:t>In connection with the Quarterly Report of Sema4 Holdings Corp. (the “registrant”) on Form 10-Q for the quarterly period ended June 30, 2022, as filed with the Securities and Exchange Commission (the “Report”), I, Katherine Stueland, Chief Executive Officer of the registrant, certify, pursuant to 18 U.S.C. §1350, as added by §906 of the Sarbanes-Oxley Act of 2002, that:</w:t>
      </w:r>
    </w:p>
    <w:p>
      <w:pPr>
        <w:spacing w:after="0" w:line="1"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7"/>
          <w:szCs w:val="17"/>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73" w:lineRule="exact"/>
        <w:rPr>
          <w:rFonts w:ascii="Arial" w:cs="Arial" w:eastAsia="Arial" w:hAnsi="Arial"/>
          <w:sz w:val="17"/>
          <w:szCs w:val="17"/>
          <w:color w:val="auto"/>
        </w:rPr>
      </w:pPr>
    </w:p>
    <w:p>
      <w:pPr>
        <w:ind w:left="640" w:right="320" w:hanging="316"/>
        <w:spacing w:after="0" w:line="305" w:lineRule="auto"/>
        <w:tabs>
          <w:tab w:leader="none" w:pos="640" w:val="left"/>
        </w:tabs>
        <w:numPr>
          <w:ilvl w:val="0"/>
          <w:numId w:val="81"/>
        </w:numPr>
        <w:rPr>
          <w:rFonts w:ascii="Arial" w:cs="Arial" w:eastAsia="Arial" w:hAnsi="Arial"/>
          <w:sz w:val="18"/>
          <w:szCs w:val="18"/>
          <w:color w:val="auto"/>
        </w:rPr>
      </w:pPr>
      <w:r>
        <w:rPr>
          <w:rFonts w:ascii="Arial" w:cs="Arial" w:eastAsia="Arial" w:hAnsi="Arial"/>
          <w:sz w:val="21"/>
          <w:szCs w:val="21"/>
          <w:color w:val="auto"/>
        </w:rPr>
        <w:t>To my knowledge, the information contained in the Report fairly presents, in all material respects, the financial condition and results of operations of the registrant as of and for the period covered by the Report.</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72"/>
        </w:trPr>
        <w:tc>
          <w:tcPr>
            <w:tcW w:w="3900" w:type="dxa"/>
            <w:vAlign w:val="bottom"/>
          </w:tcPr>
          <w:p>
            <w:pPr>
              <w:spacing w:after="0"/>
              <w:rPr>
                <w:sz w:val="20"/>
                <w:szCs w:val="20"/>
                <w:color w:val="auto"/>
              </w:rPr>
            </w:pPr>
            <w:r>
              <w:rPr>
                <w:rFonts w:ascii="Arial" w:cs="Arial" w:eastAsia="Arial" w:hAnsi="Arial"/>
                <w:sz w:val="21"/>
                <w:szCs w:val="21"/>
                <w:color w:val="auto"/>
              </w:rPr>
              <w:t>Date: August 15, 2022</w:t>
            </w:r>
          </w:p>
        </w:tc>
        <w:tc>
          <w:tcPr>
            <w:tcW w:w="6900" w:type="dxa"/>
            <w:vAlign w:val="bottom"/>
            <w:gridSpan w:val="2"/>
          </w:tcPr>
          <w:p>
            <w:pPr>
              <w:ind w:left="1980"/>
              <w:spacing w:after="0"/>
              <w:rPr>
                <w:sz w:val="20"/>
                <w:szCs w:val="20"/>
                <w:color w:val="auto"/>
              </w:rPr>
            </w:pPr>
            <w:r>
              <w:rPr>
                <w:rFonts w:ascii="Arial" w:cs="Arial" w:eastAsia="Arial" w:hAnsi="Arial"/>
                <w:sz w:val="21"/>
                <w:szCs w:val="21"/>
                <w:color w:val="auto"/>
              </w:rPr>
              <w:t>By:  /s/ Katherine Stueland</w:t>
            </w:r>
          </w:p>
        </w:tc>
      </w:tr>
      <w:tr>
        <w:trPr>
          <w:trHeight w:val="265"/>
        </w:trPr>
        <w:tc>
          <w:tcPr>
            <w:tcW w:w="39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Katherine Stueland</w:t>
            </w:r>
          </w:p>
        </w:tc>
      </w:tr>
      <w:tr>
        <w:trPr>
          <w:trHeight w:val="251"/>
        </w:trPr>
        <w:tc>
          <w:tcPr>
            <w:tcW w:w="39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Chief Executive Officer</w:t>
            </w:r>
          </w:p>
        </w:tc>
      </w:tr>
      <w:tr>
        <w:trPr>
          <w:trHeight w:val="271"/>
        </w:trPr>
        <w:tc>
          <w:tcPr>
            <w:tcW w:w="39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(Principal Executive Officer)</w:t>
            </w:r>
          </w:p>
        </w:tc>
      </w:tr>
    </w:tbl>
    <w:p>
      <w:pPr>
        <w:sectPr>
          <w:pgSz w:w="11900" w:h="16838" w:orient="portrait"/>
          <w:cols w:equalWidth="0" w:num="1">
            <w:col w:w="11240"/>
          </w:cols>
          <w:pgMar w:left="320" w:top="93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1"/>
          <w:szCs w:val="21"/>
          <w:b w:val="1"/>
          <w:bCs w:val="1"/>
          <w:color w:val="auto"/>
        </w:rPr>
        <w:t>Exhibit 32.2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18 U.S.C. SECTION 1350,</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ADDED BY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906 OF THE SARBANES-OXLEY ACT OF 2002</w:t>
      </w:r>
    </w:p>
    <w:p>
      <w:pPr>
        <w:spacing w:after="0" w:line="281" w:lineRule="exact"/>
        <w:rPr>
          <w:sz w:val="20"/>
          <w:szCs w:val="20"/>
          <w:color w:val="auto"/>
        </w:rPr>
      </w:pPr>
    </w:p>
    <w:p>
      <w:pPr>
        <w:ind w:right="280"/>
        <w:spacing w:after="0" w:line="305" w:lineRule="auto"/>
        <w:rPr>
          <w:sz w:val="20"/>
          <w:szCs w:val="20"/>
          <w:color w:val="auto"/>
        </w:rPr>
      </w:pPr>
      <w:r>
        <w:rPr>
          <w:rFonts w:ascii="Arial" w:cs="Arial" w:eastAsia="Arial" w:hAnsi="Arial"/>
          <w:sz w:val="19"/>
          <w:szCs w:val="19"/>
          <w:color w:val="auto"/>
        </w:rPr>
        <w:t>In connection with the Quarterly Report of Sema4 Holdings Corp. (the “registrant”) on Form 10-Q for the quarterly period ended June 30, 2022, as filed with the Securities and Exchange Commission (the “Report”), I, Richard Miao, Interim Chief Financial Officer of the registrant, certify, pursuant to 18 U.S.C. §1350, as added by §906 of the Sarbanes-Oxley Act of 2002, that:</w:t>
      </w:r>
    </w:p>
    <w:p>
      <w:pPr>
        <w:spacing w:after="0" w:line="2" w:lineRule="exact"/>
        <w:rPr>
          <w:sz w:val="20"/>
          <w:szCs w:val="20"/>
          <w:color w:val="auto"/>
        </w:rPr>
      </w:pPr>
    </w:p>
    <w:p>
      <w:pPr>
        <w:ind w:left="640" w:hanging="316"/>
        <w:spacing w:after="0"/>
        <w:tabs>
          <w:tab w:leader="none" w:pos="640" w:val="left"/>
        </w:tabs>
        <w:numPr>
          <w:ilvl w:val="0"/>
          <w:numId w:val="82"/>
        </w:numPr>
        <w:rPr>
          <w:rFonts w:ascii="Arial" w:cs="Arial" w:eastAsia="Arial" w:hAnsi="Arial"/>
          <w:sz w:val="17"/>
          <w:szCs w:val="17"/>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73" w:lineRule="exact"/>
        <w:rPr>
          <w:rFonts w:ascii="Arial" w:cs="Arial" w:eastAsia="Arial" w:hAnsi="Arial"/>
          <w:sz w:val="17"/>
          <w:szCs w:val="17"/>
          <w:color w:val="auto"/>
        </w:rPr>
      </w:pPr>
    </w:p>
    <w:p>
      <w:pPr>
        <w:ind w:left="640" w:right="320" w:hanging="316"/>
        <w:spacing w:after="0" w:line="305" w:lineRule="auto"/>
        <w:tabs>
          <w:tab w:leader="none" w:pos="640" w:val="left"/>
        </w:tabs>
        <w:numPr>
          <w:ilvl w:val="0"/>
          <w:numId w:val="82"/>
        </w:numPr>
        <w:rPr>
          <w:rFonts w:ascii="Arial" w:cs="Arial" w:eastAsia="Arial" w:hAnsi="Arial"/>
          <w:sz w:val="18"/>
          <w:szCs w:val="18"/>
          <w:color w:val="auto"/>
        </w:rPr>
      </w:pPr>
      <w:r>
        <w:rPr>
          <w:rFonts w:ascii="Arial" w:cs="Arial" w:eastAsia="Arial" w:hAnsi="Arial"/>
          <w:sz w:val="21"/>
          <w:szCs w:val="21"/>
          <w:color w:val="auto"/>
        </w:rPr>
        <w:t>To my knowledge, the information contained in the Report fairly presents, in all material respects, the financial condition and results of operations of the registrant as of and for the period covered by the Report.</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72"/>
        </w:trPr>
        <w:tc>
          <w:tcPr>
            <w:tcW w:w="3900" w:type="dxa"/>
            <w:vAlign w:val="bottom"/>
          </w:tcPr>
          <w:p>
            <w:pPr>
              <w:spacing w:after="0"/>
              <w:rPr>
                <w:sz w:val="20"/>
                <w:szCs w:val="20"/>
                <w:color w:val="auto"/>
              </w:rPr>
            </w:pPr>
            <w:r>
              <w:rPr>
                <w:rFonts w:ascii="Arial" w:cs="Arial" w:eastAsia="Arial" w:hAnsi="Arial"/>
                <w:sz w:val="21"/>
                <w:szCs w:val="21"/>
                <w:color w:val="auto"/>
              </w:rPr>
              <w:t>Date: August 15, 2022</w:t>
            </w:r>
          </w:p>
        </w:tc>
        <w:tc>
          <w:tcPr>
            <w:tcW w:w="6900" w:type="dxa"/>
            <w:vAlign w:val="bottom"/>
            <w:gridSpan w:val="2"/>
          </w:tcPr>
          <w:p>
            <w:pPr>
              <w:ind w:left="1980"/>
              <w:spacing w:after="0"/>
              <w:rPr>
                <w:sz w:val="20"/>
                <w:szCs w:val="20"/>
                <w:color w:val="auto"/>
              </w:rPr>
            </w:pPr>
            <w:r>
              <w:rPr>
                <w:rFonts w:ascii="Arial" w:cs="Arial" w:eastAsia="Arial" w:hAnsi="Arial"/>
                <w:sz w:val="21"/>
                <w:szCs w:val="21"/>
                <w:color w:val="auto"/>
              </w:rPr>
              <w:t>By:  /s/ Richard Miao</w:t>
            </w:r>
          </w:p>
        </w:tc>
      </w:tr>
      <w:tr>
        <w:trPr>
          <w:trHeight w:val="265"/>
        </w:trPr>
        <w:tc>
          <w:tcPr>
            <w:tcW w:w="39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48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Richard Miao</w:t>
            </w:r>
          </w:p>
        </w:tc>
      </w:tr>
      <w:tr>
        <w:trPr>
          <w:trHeight w:val="251"/>
        </w:trPr>
        <w:tc>
          <w:tcPr>
            <w:tcW w:w="39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Interim Chief Financial Officer</w:t>
            </w:r>
          </w:p>
        </w:tc>
      </w:tr>
      <w:tr>
        <w:trPr>
          <w:trHeight w:val="271"/>
        </w:trPr>
        <w:tc>
          <w:tcPr>
            <w:tcW w:w="39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4480" w:type="dxa"/>
            <w:vAlign w:val="bottom"/>
          </w:tcPr>
          <w:p>
            <w:pPr>
              <w:ind w:left="20"/>
              <w:spacing w:after="0"/>
              <w:rPr>
                <w:sz w:val="20"/>
                <w:szCs w:val="20"/>
                <w:color w:val="auto"/>
              </w:rPr>
            </w:pPr>
            <w:r>
              <w:rPr>
                <w:rFonts w:ascii="Arial" w:cs="Arial" w:eastAsia="Arial" w:hAnsi="Arial"/>
                <w:sz w:val="21"/>
                <w:szCs w:val="2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9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x"/>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1)"/>
      <w:numFmt w:val="decimal"/>
      <w:start w:val="1"/>
    </w:lvl>
  </w:abstractNum>
  <w:abstractNum w:abstractNumId="7">
    <w:nsid w:val="57E4CCAF"/>
    <w:multiLevelType w:val="hybridMultilevel"/>
    <w:lvl w:ilvl="0">
      <w:lvlJc w:val="left"/>
      <w:lvlText w:val="(%1)"/>
      <w:numFmt w:val="decimal"/>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1)"/>
      <w:numFmt w:val="lowerRoman"/>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1)"/>
      <w:numFmt w:val="decimal"/>
      <w:start w:val="1"/>
    </w:lvl>
  </w:abstractNum>
  <w:abstractNum w:abstractNumId="27">
    <w:nsid w:val="23F9C13C"/>
    <w:multiLevelType w:val="hybridMultilevel"/>
    <w:lvl w:ilvl="0">
      <w:lvlJc w:val="left"/>
      <w:lvlText w:val="(%1)"/>
      <w:numFmt w:val="decimal"/>
      <w:start w:val="5"/>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1"/>
    </w:lvl>
    <w:lvl w:ilvl="1">
      <w:lvlJc w:val="left"/>
      <w:lvlText w:val="(%2)"/>
      <w:numFmt w:val="lowerLetter"/>
      <w:start w:val="1"/>
    </w:lvl>
  </w:abstractNum>
  <w:abstractNum w:abstractNumId="55">
    <w:nsid w:val="6590700B"/>
    <w:multiLevelType w:val="hybridMultilevel"/>
    <w:lvl w:ilvl="0">
      <w:lvlJc w:val="left"/>
      <w:lvlText w:val="%1"/>
      <w:numFmt w:val="decimal"/>
      <w:start w:val="1"/>
    </w:lvl>
    <w:lvl w:ilvl="1">
      <w:lvlJc w:val="left"/>
      <w:lvlText w:val="(%2)"/>
      <w:numFmt w:val="lowerLetter"/>
      <w:start w:val="2"/>
    </w:lvl>
  </w:abstractNum>
  <w:abstractNum w:abstractNumId="56">
    <w:nsid w:val="15014ACB"/>
    <w:multiLevelType w:val="hybridMultilevel"/>
    <w:lvl w:ilvl="0">
      <w:lvlJc w:val="left"/>
      <w:lvlText w:val="%1."/>
      <w:numFmt w:val="decimal"/>
      <w:start w:val="3"/>
    </w:lvl>
    <w:lvl w:ilvl="1">
      <w:lvlJc w:val="left"/>
      <w:lvlText w:val="(%2)"/>
      <w:numFmt w:val="lowerLetter"/>
      <w:start w:val="3"/>
    </w:lvl>
  </w:abstractNum>
  <w:abstractNum w:abstractNumId="57">
    <w:nsid w:val="5F5E7FD0"/>
    <w:multiLevelType w:val="hybridMultilevel"/>
    <w:lvl w:ilvl="0">
      <w:lvlJc w:val="left"/>
      <w:lvlText w:val="(%1)"/>
      <w:numFmt w:val="lowerLetter"/>
      <w:start w:val="4"/>
    </w:lvl>
  </w:abstractNum>
  <w:abstractNum w:abstractNumId="58">
    <w:nsid w:val="98A3148"/>
    <w:multiLevelType w:val="hybridMultilevel"/>
    <w:lvl w:ilvl="0">
      <w:lvlJc w:val="left"/>
      <w:lvlText w:val="%1."/>
      <w:numFmt w:val="decimal"/>
      <w:start w:val="6"/>
    </w:lvl>
  </w:abstractNum>
  <w:abstractNum w:abstractNumId="59">
    <w:nsid w:val="799D0247"/>
    <w:multiLevelType w:val="hybridMultilevel"/>
    <w:lvl w:ilvl="0">
      <w:lvlJc w:val="left"/>
      <w:lvlText w:val="(%1)"/>
      <w:numFmt w:val="lowerLetter"/>
      <w:start w:val="5"/>
    </w:lvl>
  </w:abstractNum>
  <w:abstractNum w:abstractNumId="60">
    <w:nsid w:val="6B94764"/>
    <w:multiLevelType w:val="hybridMultilevel"/>
    <w:lvl w:ilvl="0">
      <w:lvlJc w:val="left"/>
      <w:lvlText w:val="%1."/>
      <w:numFmt w:val="decimal"/>
      <w:start w:val="7"/>
    </w:lvl>
    <w:lvl w:ilvl="1">
      <w:lvlJc w:val="left"/>
      <w:lvlText w:val="(%2)"/>
      <w:numFmt w:val="lowerLetter"/>
      <w:start w:val="10"/>
    </w:lvl>
  </w:abstractNum>
  <w:abstractNum w:abstractNumId="61">
    <w:nsid w:val="42C296BD"/>
    <w:multiLevelType w:val="hybridMultilevel"/>
    <w:lvl w:ilvl="0">
      <w:lvlJc w:val="left"/>
      <w:lvlText w:val="%1"/>
      <w:numFmt w:val="decimal"/>
      <w:start w:val="1"/>
    </w:lvl>
    <w:lvl w:ilvl="1">
      <w:lvlJc w:val="left"/>
      <w:lvlText w:val="(%2)"/>
      <w:numFmt w:val="lowerLetter"/>
      <w:start w:val="12"/>
    </w:lvl>
  </w:abstractNum>
  <w:abstractNum w:abstractNumId="62">
    <w:nsid w:val="168E121F"/>
    <w:multiLevelType w:val="hybridMultilevel"/>
    <w:lvl w:ilvl="0">
      <w:lvlJc w:val="left"/>
      <w:lvlText w:val="%1."/>
      <w:numFmt w:val="decimal"/>
      <w:start w:val="10"/>
    </w:lvl>
    <w:lvl w:ilvl="1">
      <w:lvlJc w:val="left"/>
      <w:lvlText w:val="(%2)"/>
      <w:numFmt w:val="lowerLetter"/>
      <w:start w:val="15"/>
    </w:lvl>
  </w:abstractNum>
  <w:abstractNum w:abstractNumId="63">
    <w:nsid w:val="1EBA5D23"/>
    <w:multiLevelType w:val="hybridMultilevel"/>
    <w:lvl w:ilvl="0">
      <w:lvlJc w:val="left"/>
      <w:lvlText w:val="%1"/>
      <w:numFmt w:val="decimal"/>
      <w:start w:val="1"/>
    </w:lvl>
    <w:lvl w:ilvl="1">
      <w:lvlJc w:val="left"/>
      <w:lvlText w:val="(%2)"/>
      <w:numFmt w:val="lowerLetter"/>
      <w:start w:val="18"/>
    </w:lvl>
  </w:abstractNum>
  <w:abstractNum w:abstractNumId="64">
    <w:nsid w:val="661E3F1E"/>
    <w:multiLevelType w:val="hybridMultilevel"/>
    <w:lvl w:ilvl="0">
      <w:lvlJc w:val="left"/>
      <w:lvlText w:val="%1."/>
      <w:numFmt w:val="decimal"/>
      <w:start w:val="13"/>
    </w:lvl>
    <w:lvl w:ilvl="1">
      <w:lvlJc w:val="left"/>
      <w:lvlText w:val="%2"/>
      <w:numFmt w:val="lowerLetter"/>
      <w:start w:val="1"/>
    </w:lvl>
  </w:abstractNum>
  <w:abstractNum w:abstractNumId="65">
    <w:nsid w:val="5DC79EA8"/>
    <w:multiLevelType w:val="hybridMultilevel"/>
    <w:lvl w:ilvl="0">
      <w:lvlJc w:val="left"/>
      <w:lvlText w:val="%1."/>
      <w:numFmt w:val="decimal"/>
      <w:start w:val="16"/>
    </w:lvl>
  </w:abstractNum>
  <w:abstractNum w:abstractNumId="66">
    <w:nsid w:val="540A471C"/>
    <w:multiLevelType w:val="hybridMultilevel"/>
    <w:lvl w:ilvl="0">
      <w:lvlJc w:val="left"/>
      <w:lvlText w:val="%1."/>
      <w:numFmt w:val="decimal"/>
      <w:start w:val="1"/>
    </w:lvl>
    <w:lvl w:ilvl="1">
      <w:lvlJc w:val="left"/>
      <w:lvlText w:val="(%2)"/>
      <w:numFmt w:val="low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2"/>
    </w:lvl>
  </w:abstractNum>
  <w:abstractNum w:abstractNumId="68">
    <w:nsid w:val="51D9C564"/>
    <w:multiLevelType w:val="hybridMultilevel"/>
    <w:lvl w:ilvl="0">
      <w:lvlJc w:val="left"/>
      <w:lvlText w:val="%1."/>
      <w:numFmt w:val="decimal"/>
      <w:start w:val="3"/>
    </w:lvl>
    <w:lvl w:ilvl="1">
      <w:lvlJc w:val="left"/>
      <w:lvlText w:val="(%2)"/>
      <w:numFmt w:val="lowerLetter"/>
      <w:start w:val="6"/>
    </w:lvl>
  </w:abstractNum>
  <w:abstractNum w:abstractNumId="69">
    <w:nsid w:val="613EFDC5"/>
    <w:multiLevelType w:val="hybridMultilevel"/>
    <w:lvl w:ilvl="0">
      <w:lvlJc w:val="left"/>
      <w:lvlText w:val="(%1)"/>
      <w:numFmt w:val="decimal"/>
      <w:start w:val="24"/>
    </w:lvl>
    <w:lvl w:ilvl="1">
      <w:lvlJc w:val="left"/>
      <w:lvlText w:val="%2."/>
      <w:numFmt w:val="decimal"/>
      <w:start w:val="3"/>
    </w:lvl>
    <w:lvl w:ilvl="2">
      <w:lvlJc w:val="left"/>
      <w:lvlText w:val="(%3)"/>
      <w:numFmt w:val="lowerLetter"/>
      <w:start w:val="8"/>
    </w:lvl>
  </w:abstractNum>
  <w:abstractNum w:abstractNumId="70">
    <w:nsid w:val="BF72B14"/>
    <w:multiLevelType w:val="hybridMultilevel"/>
    <w:lvl w:ilvl="0">
      <w:lvlJc w:val="left"/>
      <w:lvlText w:val="%1"/>
      <w:numFmt w:val="decimal"/>
      <w:start w:val="1"/>
    </w:lvl>
    <w:lvl w:ilvl="1">
      <w:lvlJc w:val="left"/>
      <w:lvlText w:val="%2"/>
      <w:numFmt w:val="decimal"/>
      <w:start w:val="1"/>
    </w:lvl>
    <w:lvl w:ilvl="2">
      <w:lvlJc w:val="left"/>
      <w:lvlText w:val="(%3)"/>
      <w:numFmt w:val="lowerLetter"/>
      <w:start w:val="9"/>
    </w:lvl>
  </w:abstractNum>
  <w:abstractNum w:abstractNumId="71">
    <w:nsid w:val="11447B73"/>
    <w:multiLevelType w:val="hybridMultilevel"/>
    <w:lvl w:ilvl="0">
      <w:lvlJc w:val="left"/>
      <w:lvlText w:val="(%1)"/>
      <w:numFmt w:val="lowerLetter"/>
      <w:start w:val="10"/>
    </w:lvl>
  </w:abstractNum>
  <w:abstractNum w:abstractNumId="72">
    <w:nsid w:val="42963E5A"/>
    <w:multiLevelType w:val="hybridMultilevel"/>
    <w:lvl w:ilvl="0">
      <w:lvlJc w:val="left"/>
      <w:lvlText w:val="%1."/>
      <w:numFmt w:val="decimal"/>
      <w:start w:val="7"/>
    </w:lvl>
    <w:lvl w:ilvl="1">
      <w:lvlJc w:val="left"/>
      <w:lvlText w:val="(%2)"/>
      <w:numFmt w:val="lowerLetter"/>
      <w:start w:val="11"/>
    </w:lvl>
  </w:abstractNum>
  <w:abstractNum w:abstractNumId="73">
    <w:nsid w:val="A0382C5"/>
    <w:multiLevelType w:val="hybridMultilevel"/>
    <w:lvl w:ilvl="0">
      <w:lvlJc w:val="left"/>
      <w:lvlText w:val="%1"/>
      <w:numFmt w:val="decimal"/>
      <w:start w:val="1"/>
    </w:lvl>
    <w:lvl w:ilvl="1">
      <w:lvlJc w:val="left"/>
      <w:lvlText w:val="(%2)"/>
      <w:numFmt w:val="lowerLetter"/>
      <w:start w:val="16"/>
    </w:lvl>
  </w:abstractNum>
  <w:abstractNum w:abstractNumId="74">
    <w:nsid w:val="8F2B15E"/>
    <w:multiLevelType w:val="hybridMultilevel"/>
    <w:lvl w:ilvl="0">
      <w:lvlJc w:val="left"/>
      <w:lvlText w:val="%1."/>
      <w:numFmt w:val="decimal"/>
      <w:start w:val="9"/>
    </w:lvl>
    <w:lvl w:ilvl="1">
      <w:lvlJc w:val="left"/>
      <w:lvlText w:val="(%2)"/>
      <w:numFmt w:val="lowerLetter"/>
      <w:start w:val="18"/>
    </w:lvl>
  </w:abstractNum>
  <w:abstractNum w:abstractNumId="75">
    <w:nsid w:val="1A32234B"/>
    <w:multiLevelType w:val="hybridMultilevel"/>
    <w:lvl w:ilvl="0">
      <w:lvlJc w:val="left"/>
      <w:lvlText w:val="%1"/>
      <w:numFmt w:val="decimal"/>
      <w:start w:val="1"/>
    </w:lvl>
    <w:lvl w:ilvl="1">
      <w:lvlJc w:val="left"/>
      <w:lvlText w:val="(%2)"/>
      <w:numFmt w:val="lowerLetter"/>
      <w:start w:val="20"/>
    </w:lvl>
  </w:abstractNum>
  <w:abstractNum w:abstractNumId="76">
    <w:nsid w:val="3B0FD379"/>
    <w:multiLevelType w:val="hybridMultilevel"/>
    <w:lvl w:ilvl="0">
      <w:lvlJc w:val="left"/>
      <w:lvlText w:val="%1."/>
      <w:numFmt w:val="decimal"/>
      <w:start w:val="13"/>
    </w:lvl>
    <w:lvl w:ilvl="1">
      <w:lvlJc w:val="left"/>
      <w:lvlText w:val="%2"/>
      <w:numFmt w:val="lowerLetter"/>
      <w:start w:val="1"/>
    </w:lvl>
  </w:abstractNum>
  <w:abstractNum w:abstractNumId="77">
    <w:nsid w:val="68EB2F63"/>
    <w:multiLevelType w:val="hybridMultilevel"/>
    <w:lvl w:ilvl="0">
      <w:lvlJc w:val="left"/>
      <w:lvlText w:val="%1."/>
      <w:numFmt w:val="decimal"/>
      <w:start w:val="16"/>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42" Type="http://schemas.openxmlformats.org/officeDocument/2006/relationships/hyperlink" Target="https://www.sec.gov/Archives/edgar/data/1818331/000162828022011605/exhibit31-closing8xk.htm" TargetMode="External"/><Relationship Id="rId143" Type="http://schemas.openxmlformats.org/officeDocument/2006/relationships/hyperlink" Target="https://www.sec.gov/Archives/edgar/data/1818331/000162828022011605/exhibit101closing8-k.htm" TargetMode="External"/><Relationship Id="rId144" Type="http://schemas.openxmlformats.org/officeDocument/2006/relationships/hyperlink" Target="https://www.sec.gov/Archives/edgar/data/1818331/000162828022011605/exhibit102-closing8xk.htm" TargetMode="External"/><Relationship Id="rId145" Type="http://schemas.openxmlformats.org/officeDocument/2006/relationships/hyperlink" Target="https://www.sec.gov/Archives/edgar/data/1818331/000181833122000053/amendmentno1toeschadtaremp.htm" TargetMode="External"/><Relationship Id="rId146" Type="http://schemas.openxmlformats.org/officeDocument/2006/relationships/hyperlink" Target="https://www.sec.gov/Archives/edgar/data/1818331/000181833122000053/iroconsulting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2022-08-15T16:25:49Z</dcterms:created>
  <dcterms:modified xsi:type="dcterms:W3CDTF">2022-08-15T16:25:49Z</dcterms:modified>
</cp:coreProperties>
</file>