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86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vMerge w:val="restart"/>
          </w:tcPr>
          <w:p>
            <w:pPr>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RUCH JOSHUA</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Sema4 Holdings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SMFR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FF"/>
              </w:rPr>
              <w:t>10/15/2022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4,278</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17,114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5"/>
          </w:tcPr>
          <w:p>
            <w:pPr>
              <w:jc w:val="right"/>
              <w:ind w:right="18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4,278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10/15/2022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4,278</w:t>
            </w:r>
          </w:p>
        </w:tc>
        <w:tc>
          <w:tcPr>
            <w:tcW w:w="5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8,558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annual installments over the three-year period following the grant date of October 15, 2021, subject to the Reporting Person continuing to provide services to the Issuer through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Joshua Ruch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2022-10-18T17:37:50Z</dcterms:created>
  <dcterms:modified xsi:type="dcterms:W3CDTF">2022-10-18T17:37:50Z</dcterms:modified>
</cp:coreProperties>
</file>