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25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GENEDX HOLDINGS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8"/>
          <w:szCs w:val="18"/>
          <w:color w:val="auto"/>
        </w:rPr>
        <w:t>Class A common stock, par value $0.0001 per share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81663L200</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33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ind w:right="18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84" w:lineRule="exact"/>
        <w:rPr>
          <w:sz w:val="24"/>
          <w:szCs w:val="24"/>
          <w:color w:val="auto"/>
        </w:rPr>
      </w:pPr>
    </w:p>
    <w:p>
      <w:pPr>
        <w:jc w:val="both"/>
        <w:ind w:right="18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11</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81663L200</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139"/>
          </w:cols>
          <w:pgMar w:left="320" w:top="825" w:right="1440" w:bottom="25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1,337,105</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1,337,105</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3179" w:hanging="1047"/>
        <w:spacing w:after="0" w:line="696" w:lineRule="auto"/>
        <w:tabs>
          <w:tab w:leader="none" w:pos="63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1,337,105</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160" w:right="2659" w:hanging="7152"/>
        <w:spacing w:after="0" w:line="443" w:lineRule="auto"/>
        <w:tabs>
          <w:tab w:leader="none" w:pos="63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11</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81663L200</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640" w:hanging="527"/>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1,337,105</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1,337,105</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3179" w:hanging="1047"/>
        <w:spacing w:after="0" w:line="696" w:lineRule="auto"/>
        <w:tabs>
          <w:tab w:leader="none" w:pos="63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1,337,105</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169"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BD-OO-IA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89" w:right="1440" w:bottom="4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3 of 11</w:t>
      </w:r>
    </w:p>
    <w:p>
      <w:pPr>
        <w:sectPr>
          <w:pgSz w:w="11900" w:h="16838" w:orient="portrait"/>
          <w:cols w:equalWidth="0" w:num="1">
            <w:col w:w="10139"/>
          </w:cols>
          <w:pgMar w:left="320" w:top="689" w:right="1440" w:bottom="417" w:gutter="0" w:footer="0" w:header="0"/>
          <w:type w:val="continuous"/>
        </w:sectPr>
      </w:pPr>
    </w:p>
    <w:bookmarkStart w:id="3" w:name="page4"/>
    <w:bookmarkEnd w:id="3"/>
    <w:p>
      <w:pPr>
        <w:spacing w:after="0"/>
        <w:tabs>
          <w:tab w:leader="none" w:pos="19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GENEDX HOLDINGS CORP.</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333 Ludlow Street, North Tower, 6th Floor</w:t>
      </w:r>
    </w:p>
    <w:p>
      <w:pPr>
        <w:ind w:left="2000"/>
        <w:spacing w:after="0"/>
        <w:rPr>
          <w:sz w:val="20"/>
          <w:szCs w:val="20"/>
          <w:color w:val="auto"/>
        </w:rPr>
      </w:pPr>
      <w:r>
        <w:rPr>
          <w:rFonts w:ascii="Courier New" w:cs="Courier New" w:eastAsia="Courier New" w:hAnsi="Courier New"/>
          <w:sz w:val="18"/>
          <w:szCs w:val="18"/>
          <w:color w:val="auto"/>
        </w:rPr>
        <w:t>Stamford, Connecticut 06902</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 - Delaware</w:t>
      </w:r>
    </w:p>
    <w:p>
      <w:pPr>
        <w:ind w:left="2000"/>
        <w:spacing w:after="0"/>
        <w:rPr>
          <w:sz w:val="20"/>
          <w:szCs w:val="20"/>
          <w:color w:val="auto"/>
        </w:rPr>
      </w:pPr>
      <w:r>
        <w:rPr>
          <w:rFonts w:ascii="Courier New" w:cs="Courier New" w:eastAsia="Courier New" w:hAnsi="Courier New"/>
          <w:sz w:val="18"/>
          <w:szCs w:val="18"/>
          <w:color w:val="auto"/>
        </w:rPr>
        <w:t>GOLDMAN SACHS &amp; CO. LLC - New York</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Class A common stock, par value $0.0001 per share</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81663L200</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(a).[X]</w:t>
      </w:r>
      <w:r>
        <w:rPr>
          <w:sz w:val="20"/>
          <w:szCs w:val="20"/>
          <w:color w:val="auto"/>
        </w:rPr>
        <w:tab/>
      </w:r>
      <w:r>
        <w:rPr>
          <w:rFonts w:ascii="Courier New" w:cs="Courier New" w:eastAsia="Courier New" w:hAnsi="Courier New"/>
          <w:sz w:val="16"/>
          <w:szCs w:val="16"/>
          <w:color w:val="auto"/>
        </w:rPr>
        <w:t>Broker or dealer registered under Section 15 of the Act</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78o).</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(b).[_]</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(c).[_]</w:t>
      </w:r>
      <w:r>
        <w:rPr>
          <w:sz w:val="20"/>
          <w:szCs w:val="20"/>
          <w:color w:val="auto"/>
        </w:rPr>
        <w:tab/>
      </w:r>
      <w:r>
        <w:rPr>
          <w:rFonts w:ascii="Courier New" w:cs="Courier New" w:eastAsia="Courier New" w:hAnsi="Courier New"/>
          <w:sz w:val="16"/>
          <w:szCs w:val="16"/>
          <w:color w:val="auto"/>
        </w:rPr>
        <w:t>Insurance company as defined in Section 3(a)(19)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(d).[_]</w:t>
      </w:r>
      <w:r>
        <w:rPr>
          <w:sz w:val="20"/>
          <w:szCs w:val="20"/>
          <w:color w:val="auto"/>
        </w:rPr>
        <w:tab/>
      </w:r>
      <w:r>
        <w:rPr>
          <w:rFonts w:ascii="Courier New" w:cs="Courier New" w:eastAsia="Courier New" w:hAnsi="Courier New"/>
          <w:sz w:val="16"/>
          <w:szCs w:val="16"/>
          <w:color w:val="auto"/>
        </w:rPr>
        <w:t>Investment company registered under Section 8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Act of 1940 (15 U.S.C. 80a-8).</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(e).[X]</w:t>
      </w:r>
      <w:r>
        <w:rPr>
          <w:sz w:val="20"/>
          <w:szCs w:val="20"/>
          <w:color w:val="auto"/>
        </w:rPr>
        <w:tab/>
      </w:r>
      <w:r>
        <w:rPr>
          <w:rFonts w:ascii="Courier New" w:cs="Courier New" w:eastAsia="Courier New" w:hAnsi="Courier New"/>
          <w:sz w:val="16"/>
          <w:szCs w:val="16"/>
          <w:color w:val="auto"/>
        </w:rPr>
        <w:t>An investment adviser in accordance with</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13d-1(b)(1)(ii)(E);</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(f).[_]</w:t>
      </w:r>
      <w:r>
        <w:rPr>
          <w:sz w:val="20"/>
          <w:szCs w:val="20"/>
          <w:color w:val="auto"/>
        </w:rPr>
        <w:tab/>
      </w:r>
      <w:r>
        <w:rPr>
          <w:rFonts w:ascii="Courier New" w:cs="Courier New" w:eastAsia="Courier New" w:hAnsi="Courier New"/>
          <w:sz w:val="16"/>
          <w:szCs w:val="16"/>
          <w:color w:val="auto"/>
        </w:rPr>
        <w:t>An employee benefit plan or endowment fund in accordance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13d-1(b)(1)(ii)(F);</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(g).[X]</w:t>
      </w:r>
      <w:r>
        <w:rPr>
          <w:sz w:val="20"/>
          <w:szCs w:val="20"/>
          <w:color w:val="auto"/>
        </w:rPr>
        <w:tab/>
      </w:r>
      <w:r>
        <w:rPr>
          <w:rFonts w:ascii="Courier New" w:cs="Courier New" w:eastAsia="Courier New" w:hAnsi="Courier New"/>
          <w:sz w:val="16"/>
          <w:szCs w:val="16"/>
          <w:color w:val="auto"/>
        </w:rPr>
        <w:t>A parent holding company or control person in accordance</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13d-1(b)(1)(ii)(G);</w:t>
      </w:r>
    </w:p>
    <w:p>
      <w:pPr>
        <w:ind w:left="3160"/>
        <w:spacing w:after="0"/>
        <w:rPr>
          <w:sz w:val="20"/>
          <w:szCs w:val="20"/>
          <w:color w:val="auto"/>
        </w:rPr>
      </w:pPr>
      <w:r>
        <w:rPr>
          <w:rFonts w:ascii="Courier New" w:cs="Courier New" w:eastAsia="Courier New" w:hAnsi="Courier New"/>
          <w:sz w:val="18"/>
          <w:szCs w:val="18"/>
          <w:color w:val="auto"/>
        </w:rPr>
        <w:t>The Goldman Sachs Group, Inc.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(h).[_]</w:t>
      </w:r>
      <w:r>
        <w:rPr>
          <w:sz w:val="20"/>
          <w:szCs w:val="20"/>
          <w:color w:val="auto"/>
        </w:rPr>
        <w:tab/>
      </w:r>
      <w:r>
        <w:rPr>
          <w:rFonts w:ascii="Courier New" w:cs="Courier New" w:eastAsia="Courier New" w:hAnsi="Courier New"/>
          <w:sz w:val="16"/>
          <w:szCs w:val="16"/>
          <w:color w:val="auto"/>
        </w:rPr>
        <w:t>A savings association as defined in Section 3(b)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Federal Deposit Insurance Act (12 U.S.C. 1813);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(i).[_]</w:t>
      </w:r>
      <w:r>
        <w:rPr>
          <w:sz w:val="20"/>
          <w:szCs w:val="20"/>
          <w:color w:val="auto"/>
        </w:rPr>
        <w:tab/>
      </w:r>
      <w:r>
        <w:rPr>
          <w:rFonts w:ascii="Courier New" w:cs="Courier New" w:eastAsia="Courier New" w:hAnsi="Courier New"/>
          <w:sz w:val="16"/>
          <w:szCs w:val="16"/>
          <w:color w:val="auto"/>
        </w:rPr>
        <w:t>A church plan that is excluded from the definition of an</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under Section 3(c)(14) of the</w:t>
      </w:r>
    </w:p>
    <w:p>
      <w:pPr>
        <w:ind w:left="2000"/>
        <w:spacing w:after="0"/>
        <w:rPr>
          <w:sz w:val="20"/>
          <w:szCs w:val="20"/>
          <w:color w:val="auto"/>
        </w:rPr>
      </w:pPr>
      <w:r>
        <w:rPr>
          <w:rFonts w:ascii="Courier New" w:cs="Courier New" w:eastAsia="Courier New" w:hAnsi="Courier New"/>
          <w:sz w:val="18"/>
          <w:szCs w:val="18"/>
          <w:color w:val="auto"/>
        </w:rPr>
        <w:t>Investment Company Act of 1940 (15 U.S.C. 80a-3);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(j).[_]</w:t>
      </w:r>
      <w:r>
        <w:rPr>
          <w:sz w:val="20"/>
          <w:szCs w:val="20"/>
          <w:color w:val="auto"/>
        </w:rPr>
        <w:tab/>
      </w:r>
      <w:r>
        <w:rPr>
          <w:rFonts w:ascii="Courier New" w:cs="Courier New" w:eastAsia="Courier New" w:hAnsi="Courier New"/>
          <w:sz w:val="16"/>
          <w:szCs w:val="16"/>
          <w:color w:val="auto"/>
        </w:rPr>
        <w:t>A non-U.S. institution in accordance with</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13d-1(b)(1)(ii)(J);</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(k).[_]</w:t>
      </w:r>
      <w:r>
        <w:rPr>
          <w:sz w:val="20"/>
          <w:szCs w:val="20"/>
          <w:color w:val="auto"/>
        </w:rPr>
        <w:tab/>
      </w:r>
      <w:r>
        <w:rPr>
          <w:rFonts w:ascii="Courier New" w:cs="Courier New" w:eastAsia="Courier New" w:hAnsi="Courier New"/>
          <w:sz w:val="16"/>
          <w:szCs w:val="16"/>
          <w:color w:val="auto"/>
        </w:rPr>
        <w:t>A group, in accordance with Rule 13d-1(b)(1)(ii)</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 through (K).</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filing as a non-U.S. institution in accordance with Rule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13d-1(b)(1)(ii)(J), please specify the type of institution:</w:t>
      </w:r>
    </w:p>
    <w:p>
      <w:pPr>
        <w:sectPr>
          <w:pgSz w:w="11900" w:h="16838" w:orient="portrait"/>
          <w:cols w:equalWidth="0" w:num="1">
            <w:col w:w="10139"/>
          </w:cols>
          <w:pgMar w:left="320" w:top="690"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4 of 11</w:t>
      </w:r>
    </w:p>
    <w:p>
      <w:pPr>
        <w:sectPr>
          <w:pgSz w:w="11900" w:h="16838" w:orient="portrait"/>
          <w:cols w:equalWidth="0" w:num="1">
            <w:col w:w="10139"/>
          </w:cols>
          <w:pgMar w:left="320" w:top="690" w:right="1440" w:bottom="0" w:gutter="0" w:footer="0" w:header="0"/>
          <w:type w:val="continuous"/>
        </w:sectPr>
      </w:pPr>
    </w:p>
    <w:bookmarkStart w:id="4" w:name="page5"/>
    <w:bookmarkEnd w:id="4"/>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See the 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9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060" w:type="dxa"/>
            <w:vAlign w:val="bottom"/>
          </w:tcPr>
          <w:p>
            <w:pPr>
              <w:spacing w:after="0"/>
              <w:rPr>
                <w:sz w:val="24"/>
                <w:szCs w:val="24"/>
                <w:color w:val="auto"/>
              </w:rPr>
            </w:pP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8"/>
              </w:rPr>
              <w:t>See the response(s)to Item 11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Number of shares as to</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which such person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has:</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Sole power to vote or 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the vote:  See the</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5 on</w:t>
            </w:r>
          </w:p>
        </w:tc>
        <w:tc>
          <w:tcPr>
            <w:tcW w:w="2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right"/>
        <w:ind w:left="2000" w:right="1819"/>
        <w:spacing w:after="0" w:line="346" w:lineRule="auto"/>
        <w:rPr>
          <w:sz w:val="20"/>
          <w:szCs w:val="20"/>
          <w:color w:val="auto"/>
        </w:rPr>
      </w:pPr>
      <w:r>
        <w:rPr>
          <w:rFonts w:ascii="Courier New" w:cs="Courier New" w:eastAsia="Courier New" w:hAnsi="Courier New"/>
          <w:sz w:val="18"/>
          <w:szCs w:val="18"/>
          <w:color w:val="auto"/>
        </w:rPr>
        <w:t>(ii).   Shared power to vote or to direct the vote:  See the response(s) to Item 6 on the attached cover page(s).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220" w:type="dxa"/>
            <w:vAlign w:val="bottom"/>
          </w:tcPr>
          <w:p>
            <w:pPr>
              <w:ind w:left="580"/>
              <w:spacing w:after="0"/>
              <w:rPr>
                <w:sz w:val="20"/>
                <w:szCs w:val="20"/>
                <w:color w:val="auto"/>
              </w:rPr>
            </w:pPr>
            <w:r>
              <w:rPr>
                <w:rFonts w:ascii="Courier New" w:cs="Courier New" w:eastAsia="Courier New" w:hAnsi="Courier New"/>
                <w:sz w:val="18"/>
                <w:szCs w:val="18"/>
                <w:color w:val="auto"/>
                <w:w w:val="95"/>
              </w:rPr>
              <w:t>(iii).</w:t>
            </w:r>
          </w:p>
        </w:tc>
        <w:tc>
          <w:tcPr>
            <w:tcW w:w="100" w:type="dxa"/>
            <w:vAlign w:val="bottom"/>
          </w:tcPr>
          <w:p>
            <w:pPr>
              <w:spacing w:after="0"/>
              <w:rPr>
                <w:sz w:val="17"/>
                <w:szCs w:val="17"/>
                <w:color w:val="auto"/>
              </w:rPr>
            </w:pPr>
          </w:p>
        </w:tc>
        <w:tc>
          <w:tcPr>
            <w:tcW w:w="148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5"/>
              </w:rPr>
              <w:t>Sole power to</w:t>
            </w:r>
          </w:p>
        </w:tc>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w w:val="99"/>
              </w:rPr>
              <w:t>dispose or to</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the disposition</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of:</w:t>
            </w:r>
          </w:p>
        </w:tc>
        <w:tc>
          <w:tcPr>
            <w:tcW w:w="2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See the response(s) to</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7</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on the attached</w:t>
            </w: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cover page(s).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4"/>
                <w:szCs w:val="24"/>
                <w:color w:val="auto"/>
              </w:rPr>
            </w:pPr>
          </w:p>
        </w:tc>
        <w:tc>
          <w:tcPr>
            <w:tcW w:w="1220" w:type="dxa"/>
            <w:vAlign w:val="bottom"/>
          </w:tcPr>
          <w:p>
            <w:pPr>
              <w:ind w:left="580"/>
              <w:spacing w:after="0"/>
              <w:rPr>
                <w:sz w:val="20"/>
                <w:szCs w:val="20"/>
                <w:color w:val="auto"/>
              </w:rPr>
            </w:pPr>
            <w:r>
              <w:rPr>
                <w:rFonts w:ascii="Courier New" w:cs="Courier New" w:eastAsia="Courier New" w:hAnsi="Courier New"/>
                <w:sz w:val="18"/>
                <w:szCs w:val="18"/>
                <w:color w:val="auto"/>
              </w:rPr>
              <w:t>(iv).</w:t>
            </w:r>
          </w:p>
        </w:tc>
        <w:tc>
          <w:tcPr>
            <w:tcW w:w="4100" w:type="dxa"/>
            <w:vAlign w:val="bottom"/>
            <w:gridSpan w:val="6"/>
          </w:tcPr>
          <w:p>
            <w:pPr>
              <w:ind w:left="220"/>
              <w:spacing w:after="0"/>
              <w:rPr>
                <w:sz w:val="20"/>
                <w:szCs w:val="20"/>
                <w:color w:val="auto"/>
              </w:rPr>
            </w:pPr>
            <w:r>
              <w:rPr>
                <w:rFonts w:ascii="Courier New" w:cs="Courier New" w:eastAsia="Courier New" w:hAnsi="Courier New"/>
                <w:sz w:val="18"/>
                <w:szCs w:val="18"/>
                <w:color w:val="auto"/>
                <w:w w:val="99"/>
              </w:rPr>
              <w:t>Shared power to dispose or to direct</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the disposition</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of:</w:t>
            </w:r>
          </w:p>
        </w:tc>
        <w:tc>
          <w:tcPr>
            <w:tcW w:w="2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See the response(s) to</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8</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on the attached</w:t>
            </w: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cover page(s).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5320" w:type="dxa"/>
            <w:vAlign w:val="bottom"/>
            <w:gridSpan w:val="7"/>
          </w:tcPr>
          <w:p>
            <w:pPr>
              <w:ind w:left="580"/>
              <w:spacing w:after="0"/>
              <w:rPr>
                <w:sz w:val="20"/>
                <w:szCs w:val="20"/>
                <w:color w:val="auto"/>
              </w:rPr>
            </w:pPr>
            <w:r>
              <w:rPr>
                <w:rFonts w:ascii="Courier New" w:cs="Courier New" w:eastAsia="Courier New" w:hAnsi="Courier New"/>
                <w:sz w:val="18"/>
                <w:szCs w:val="18"/>
                <w:color w:val="auto"/>
                <w:w w:val="97"/>
              </w:rPr>
              <w:t>Ownership of Five Percent or Less of a Class.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8"/>
              </w:rPr>
              <w:t>If this statement is being filed to report the fact that as</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of the date hereof the reporting persons have ceased to be</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the beneficial owners of more than five percent of the class</w:t>
            </w:r>
          </w:p>
        </w:tc>
      </w:tr>
      <w:tr>
        <w:trPr>
          <w:trHeight w:val="296"/>
        </w:trPr>
        <w:tc>
          <w:tcPr>
            <w:tcW w:w="1420" w:type="dxa"/>
            <w:vAlign w:val="bottom"/>
          </w:tcPr>
          <w:p>
            <w:pPr>
              <w:spacing w:after="0"/>
              <w:rPr>
                <w:sz w:val="24"/>
                <w:szCs w:val="24"/>
                <w:color w:val="auto"/>
              </w:rPr>
            </w:pPr>
          </w:p>
        </w:tc>
        <w:tc>
          <w:tcPr>
            <w:tcW w:w="5320" w:type="dxa"/>
            <w:vAlign w:val="bottom"/>
            <w:gridSpan w:val="7"/>
          </w:tcPr>
          <w:p>
            <w:pPr>
              <w:ind w:left="580"/>
              <w:spacing w:after="0"/>
              <w:rPr>
                <w:sz w:val="20"/>
                <w:szCs w:val="20"/>
                <w:color w:val="auto"/>
              </w:rPr>
            </w:pPr>
            <w:r>
              <w:rPr>
                <w:rFonts w:ascii="Courier New" w:cs="Courier New" w:eastAsia="Courier New" w:hAnsi="Courier New"/>
                <w:sz w:val="18"/>
                <w:szCs w:val="18"/>
                <w:color w:val="auto"/>
              </w:rPr>
              <w:t>of securities, check the following [X].</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rPr>
              <w:t>Ownership of More than Five Percent on Behalf of Another</w:t>
            </w:r>
          </w:p>
        </w:tc>
      </w:tr>
      <w:tr>
        <w:trPr>
          <w:trHeight w:val="296"/>
        </w:trPr>
        <w:tc>
          <w:tcPr>
            <w:tcW w:w="1420" w:type="dxa"/>
            <w:vAlign w:val="bottom"/>
          </w:tcPr>
          <w:p>
            <w:pPr>
              <w:spacing w:after="0"/>
              <w:rPr>
                <w:sz w:val="24"/>
                <w:szCs w:val="24"/>
                <w:color w:val="auto"/>
              </w:rPr>
            </w:pPr>
          </w:p>
        </w:tc>
        <w:tc>
          <w:tcPr>
            <w:tcW w:w="132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5"/>
              </w:rPr>
              <w:t>Person.</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4"/>
                <w:szCs w:val="24"/>
                <w:color w:val="auto"/>
              </w:rPr>
            </w:pPr>
          </w:p>
        </w:tc>
        <w:tc>
          <w:tcPr>
            <w:tcW w:w="132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5"/>
              </w:rPr>
              <w:t>Clients</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w w:val="83"/>
              </w:rPr>
              <w:t>of</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the</w:t>
            </w:r>
          </w:p>
        </w:tc>
        <w:tc>
          <w:tcPr>
            <w:tcW w:w="336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Reporting  Person(s) have or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5"/>
              </w:rPr>
              <w:t>may have the</w:t>
            </w:r>
          </w:p>
        </w:tc>
      </w:tr>
      <w:tr>
        <w:trPr>
          <w:trHeight w:val="203"/>
        </w:trPr>
        <w:tc>
          <w:tcPr>
            <w:tcW w:w="1420" w:type="dxa"/>
            <w:vAlign w:val="bottom"/>
          </w:tcPr>
          <w:p>
            <w:pPr>
              <w:spacing w:after="0"/>
              <w:rPr>
                <w:sz w:val="17"/>
                <w:szCs w:val="17"/>
                <w:color w:val="auto"/>
              </w:rPr>
            </w:pP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right</w:t>
            </w:r>
          </w:p>
        </w:tc>
        <w:tc>
          <w:tcPr>
            <w:tcW w:w="10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receive or</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the power  to</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direct the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receipt of</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r>
      <w:tr>
        <w:trPr>
          <w:trHeight w:val="203"/>
        </w:trPr>
        <w:tc>
          <w:tcPr>
            <w:tcW w:w="1420" w:type="dxa"/>
            <w:vAlign w:val="bottom"/>
          </w:tcPr>
          <w:p>
            <w:pPr>
              <w:spacing w:after="0"/>
              <w:rPr>
                <w:sz w:val="17"/>
                <w:szCs w:val="17"/>
                <w:color w:val="auto"/>
              </w:rPr>
            </w:pP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held</w:t>
            </w:r>
          </w:p>
        </w:tc>
        <w:tc>
          <w:tcPr>
            <w:tcW w:w="56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in their accounts. Clients known to have such right or</w:t>
            </w:r>
          </w:p>
        </w:tc>
      </w:tr>
      <w:tr>
        <w:trPr>
          <w:trHeight w:val="203"/>
        </w:trPr>
        <w:tc>
          <w:tcPr>
            <w:tcW w:w="1420" w:type="dxa"/>
            <w:vAlign w:val="bottom"/>
          </w:tcPr>
          <w:p>
            <w:pPr>
              <w:spacing w:after="0"/>
              <w:rPr>
                <w:sz w:val="17"/>
                <w:szCs w:val="17"/>
                <w:color w:val="auto"/>
              </w:rPr>
            </w:pP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power</w:t>
            </w:r>
          </w:p>
        </w:tc>
        <w:tc>
          <w:tcPr>
            <w:tcW w:w="10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with</w:t>
            </w:r>
          </w:p>
        </w:tc>
        <w:tc>
          <w:tcPr>
            <w:tcW w:w="358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9"/>
              </w:rPr>
              <w:t>respect  to  more  than 5%  of</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class  of</w:t>
            </w:r>
          </w:p>
        </w:tc>
      </w:tr>
      <w:tr>
        <w:trPr>
          <w:trHeight w:val="296"/>
        </w:trPr>
        <w:tc>
          <w:tcPr>
            <w:tcW w:w="1420" w:type="dxa"/>
            <w:vAlign w:val="bottom"/>
          </w:tcPr>
          <w:p>
            <w:pPr>
              <w:spacing w:after="0"/>
              <w:rPr>
                <w:sz w:val="24"/>
                <w:szCs w:val="24"/>
                <w:color w:val="auto"/>
              </w:rPr>
            </w:pPr>
          </w:p>
        </w:tc>
        <w:tc>
          <w:tcPr>
            <w:tcW w:w="5320" w:type="dxa"/>
            <w:vAlign w:val="bottom"/>
            <w:gridSpan w:val="7"/>
          </w:tcPr>
          <w:p>
            <w:pPr>
              <w:ind w:left="580"/>
              <w:spacing w:after="0"/>
              <w:rPr>
                <w:sz w:val="20"/>
                <w:szCs w:val="20"/>
                <w:color w:val="auto"/>
              </w:rPr>
            </w:pPr>
            <w:r>
              <w:rPr>
                <w:rFonts w:ascii="Courier New" w:cs="Courier New" w:eastAsia="Courier New" w:hAnsi="Courier New"/>
                <w:sz w:val="18"/>
                <w:szCs w:val="18"/>
                <w:color w:val="auto"/>
                <w:w w:val="99"/>
              </w:rPr>
              <w:t>securities to which this report relates are: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14"/>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80" w:type="dxa"/>
            <w:vAlign w:val="bottom"/>
            <w:gridSpan w:val="4"/>
          </w:tcPr>
          <w:p>
            <w:pPr>
              <w:ind w:left="58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and</w:t>
            </w:r>
          </w:p>
        </w:tc>
        <w:tc>
          <w:tcPr>
            <w:tcW w:w="1640" w:type="dxa"/>
            <w:vAlign w:val="bottom"/>
          </w:tcPr>
          <w:p>
            <w:pPr>
              <w:spacing w:after="0"/>
              <w:rPr>
                <w:sz w:val="20"/>
                <w:szCs w:val="20"/>
                <w:color w:val="auto"/>
              </w:rPr>
            </w:pPr>
            <w:r>
              <w:rPr>
                <w:rFonts w:ascii="Courier New" w:cs="Courier New" w:eastAsia="Courier New" w:hAnsi="Courier New"/>
                <w:sz w:val="18"/>
                <w:szCs w:val="18"/>
                <w:color w:val="auto"/>
              </w:rPr>
              <w:t>Classification</w:t>
            </w:r>
          </w:p>
        </w:tc>
        <w:tc>
          <w:tcPr>
            <w:tcW w:w="24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of the Subsidiary Which</w:t>
            </w:r>
          </w:p>
        </w:tc>
      </w:tr>
      <w:tr>
        <w:trPr>
          <w:trHeight w:val="203"/>
        </w:trPr>
        <w:tc>
          <w:tcPr>
            <w:tcW w:w="1420" w:type="dxa"/>
            <w:vAlign w:val="bottom"/>
          </w:tcPr>
          <w:p>
            <w:pPr>
              <w:spacing w:after="0"/>
              <w:rPr>
                <w:sz w:val="17"/>
                <w:szCs w:val="17"/>
                <w:color w:val="auto"/>
              </w:rPr>
            </w:pPr>
          </w:p>
        </w:tc>
        <w:tc>
          <w:tcPr>
            <w:tcW w:w="5320" w:type="dxa"/>
            <w:vAlign w:val="bottom"/>
            <w:gridSpan w:val="7"/>
          </w:tcPr>
          <w:p>
            <w:pPr>
              <w:ind w:left="580"/>
              <w:spacing w:after="0" w:line="203" w:lineRule="exact"/>
              <w:rPr>
                <w:sz w:val="20"/>
                <w:szCs w:val="20"/>
                <w:color w:val="auto"/>
              </w:rPr>
            </w:pPr>
            <w:r>
              <w:rPr>
                <w:rFonts w:ascii="Courier New" w:cs="Courier New" w:eastAsia="Courier New" w:hAnsi="Courier New"/>
                <w:sz w:val="18"/>
                <w:szCs w:val="18"/>
                <w:color w:val="auto"/>
                <w:w w:val="99"/>
              </w:rPr>
              <w:t>Acquired  the  Security  Being  Reported  on</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the  Parent</w:t>
            </w:r>
          </w:p>
        </w:tc>
      </w:tr>
      <w:tr>
        <w:trPr>
          <w:trHeight w:val="203"/>
        </w:trPr>
        <w:tc>
          <w:tcPr>
            <w:tcW w:w="1420" w:type="dxa"/>
            <w:vAlign w:val="bottom"/>
          </w:tcPr>
          <w:p>
            <w:pPr>
              <w:spacing w:after="0"/>
              <w:rPr>
                <w:sz w:val="17"/>
                <w:szCs w:val="17"/>
                <w:color w:val="auto"/>
              </w:rPr>
            </w:pPr>
          </w:p>
        </w:tc>
        <w:tc>
          <w:tcPr>
            <w:tcW w:w="228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See Exhibit (99.2)</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44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80" w:type="dxa"/>
            <w:vAlign w:val="bottom"/>
            <w:gridSpan w:val="4"/>
          </w:tcPr>
          <w:p>
            <w:pPr>
              <w:ind w:left="58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By signing below I certify that, to the best of my knowledge</w:t>
            </w:r>
          </w:p>
        </w:tc>
      </w:tr>
      <w:tr>
        <w:trPr>
          <w:trHeight w:val="235"/>
        </w:trPr>
        <w:tc>
          <w:tcPr>
            <w:tcW w:w="1420" w:type="dxa"/>
            <w:vAlign w:val="bottom"/>
          </w:tcPr>
          <w:p>
            <w:pPr>
              <w:spacing w:after="0"/>
              <w:rPr>
                <w:sz w:val="20"/>
                <w:szCs w:val="20"/>
                <w:color w:val="auto"/>
              </w:rPr>
            </w:pP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rPr>
              <w:t>and belief, the securities referred to above were acquired</w:t>
            </w:r>
          </w:p>
        </w:tc>
      </w:tr>
    </w:tbl>
    <w:p>
      <w:pPr>
        <w:ind w:left="2000" w:right="1819"/>
        <w:spacing w:after="0" w:line="286"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right="1699" w:firstLine="211"/>
        <w:spacing w:after="0" w:line="249" w:lineRule="auto"/>
        <w:rPr>
          <w:sz w:val="20"/>
          <w:szCs w:val="20"/>
          <w:color w:val="auto"/>
        </w:rPr>
      </w:pPr>
      <w:r>
        <w:rPr>
          <w:rFonts w:ascii="Courier New" w:cs="Courier New" w:eastAsia="Courier New" w:hAnsi="Courier New"/>
          <w:sz w:val="18"/>
          <w:szCs w:val="18"/>
          <w:color w:val="auto"/>
        </w:rPr>
        <w:t>*In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w:t>
      </w:r>
    </w:p>
    <w:p>
      <w:pPr>
        <w:sectPr>
          <w:pgSz w:w="11900" w:h="16988" w:orient="portrait"/>
          <w:cols w:equalWidth="0" w:num="1">
            <w:col w:w="10139"/>
          </w:cols>
          <w:pgMar w:left="320" w:top="488"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which there are limits on their voting or investment authority or both and</w:t>
      </w:r>
    </w:p>
    <w:p>
      <w:pPr>
        <w:spacing w:after="0" w:line="31" w:lineRule="exact"/>
        <w:rPr>
          <w:sz w:val="20"/>
          <w:szCs w:val="20"/>
          <w:color w:val="auto"/>
        </w:rPr>
      </w:pPr>
    </w:p>
    <w:p>
      <w:pPr>
        <w:ind w:right="2019" w:firstLine="8"/>
        <w:spacing w:after="0" w:line="261" w:lineRule="auto"/>
        <w:tabs>
          <w:tab w:leader="none" w:pos="52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investment entities of which the Goldman Sachs Reporting Units act as the general partner, managing general partner or other manager, to the extent interests in such entities are held by persons other than the Goldman Sachs Reporting Units.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11</w:t>
      </w:r>
    </w:p>
    <w:p>
      <w:pPr>
        <w:sectPr>
          <w:pgSz w:w="11900" w:h="16838" w:orient="portrait"/>
          <w:cols w:equalWidth="0" w:num="1">
            <w:col w:w="10139"/>
          </w:cols>
          <w:pgMar w:left="320" w:top="110"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both"/>
        <w:ind w:left="1280" w:right="2979"/>
        <w:spacing w:after="0" w:line="344"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November 05, 2024,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11</w:t>
      </w:r>
    </w:p>
    <w:p>
      <w:pPr>
        <w:sectPr>
          <w:pgSz w:w="11900" w:h="16838" w:orient="portrait"/>
          <w:cols w:equalWidth="0" w:num="1">
            <w:col w:w="10139"/>
          </w:cols>
          <w:pgMar w:left="320" w:top="69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1420" w:type="dxa"/>
            <w:vAlign w:val="bottom"/>
          </w:tcPr>
          <w:p>
            <w:pPr>
              <w:spacing w:after="0"/>
              <w:rPr>
                <w:sz w:val="24"/>
                <w:szCs w:val="24"/>
                <w:color w:val="auto"/>
              </w:rPr>
            </w:pPr>
          </w:p>
        </w:tc>
        <w:tc>
          <w:tcPr>
            <w:tcW w:w="3740" w:type="dxa"/>
            <w:vAlign w:val="bottom"/>
          </w:tcPr>
          <w:p>
            <w:pPr>
              <w:ind w:left="1960"/>
              <w:spacing w:after="0"/>
              <w:rPr>
                <w:sz w:val="20"/>
                <w:szCs w:val="20"/>
                <w:color w:val="auto"/>
              </w:rPr>
            </w:pPr>
            <w:r>
              <w:rPr>
                <w:rFonts w:ascii="Courier New" w:cs="Courier New" w:eastAsia="Courier New" w:hAnsi="Courier New"/>
                <w:sz w:val="18"/>
                <w:szCs w:val="18"/>
                <w:color w:val="auto"/>
                <w:w w:val="95"/>
              </w:rPr>
              <w:t>INDEX TO EXHIBITS</w:t>
            </w:r>
          </w:p>
        </w:tc>
        <w:tc>
          <w:tcPr>
            <w:tcW w:w="0" w:type="dxa"/>
            <w:vAlign w:val="bottom"/>
          </w:tcPr>
          <w:p>
            <w:pPr>
              <w:spacing w:after="0"/>
              <w:rPr>
                <w:sz w:val="1"/>
                <w:szCs w:val="1"/>
                <w:color w:val="auto"/>
              </w:rPr>
            </w:pPr>
          </w:p>
        </w:tc>
      </w:tr>
      <w:tr>
        <w:trPr>
          <w:trHeight w:val="716"/>
        </w:trPr>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 No.</w:t>
            </w:r>
          </w:p>
        </w:tc>
        <w:tc>
          <w:tcPr>
            <w:tcW w:w="3740" w:type="dxa"/>
            <w:vAlign w:val="bottom"/>
          </w:tcPr>
          <w:p>
            <w:pPr>
              <w:ind w:left="1120"/>
              <w:spacing w:after="0"/>
              <w:rPr>
                <w:sz w:val="20"/>
                <w:szCs w:val="20"/>
                <w:color w:val="auto"/>
              </w:rPr>
            </w:pPr>
            <w:r>
              <w:rPr>
                <w:rFonts w:ascii="Courier New" w:cs="Courier New" w:eastAsia="Courier New" w:hAnsi="Courier New"/>
                <w:sz w:val="18"/>
                <w:szCs w:val="18"/>
                <w:color w:val="auto"/>
              </w:rPr>
              <w:t>Exhibit</w:t>
            </w:r>
          </w:p>
        </w:tc>
        <w:tc>
          <w:tcPr>
            <w:tcW w:w="0" w:type="dxa"/>
            <w:vAlign w:val="bottom"/>
          </w:tcPr>
          <w:p>
            <w:pPr>
              <w:spacing w:after="0"/>
              <w:rPr>
                <w:sz w:val="1"/>
                <w:szCs w:val="1"/>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7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99.1</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Joint Filing Agreement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99.2</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Item 7 Information</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99.3</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03"/>
        </w:trPr>
        <w:tc>
          <w:tcPr>
            <w:tcW w:w="14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99.4</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 GOLDMAN SACHS GROUP, INC.</w:t>
            </w:r>
          </w:p>
        </w:tc>
        <w:tc>
          <w:tcPr>
            <w:tcW w:w="0" w:type="dxa"/>
            <w:vAlign w:val="bottom"/>
          </w:tcPr>
          <w:p>
            <w:pPr>
              <w:spacing w:after="0"/>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3740" w:type="dxa"/>
            <w:vAlign w:val="bottom"/>
          </w:tcPr>
          <w:p>
            <w:pPr>
              <w:ind w:left="280"/>
              <w:spacing w:after="0"/>
              <w:rPr>
                <w:sz w:val="20"/>
                <w:szCs w:val="20"/>
                <w:color w:val="auto"/>
              </w:rPr>
            </w:pPr>
            <w:r>
              <w:rPr>
                <w:rFonts w:ascii="Courier New" w:cs="Courier New" w:eastAsia="Courier New" w:hAnsi="Courier New"/>
                <w:sz w:val="18"/>
                <w:szCs w:val="18"/>
                <w:color w:val="auto"/>
              </w:rPr>
              <w:t>GOLDMAN SACHS &amp; CO. LLC</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11</w:t>
      </w:r>
    </w:p>
    <w:p>
      <w:pPr>
        <w:sectPr>
          <w:pgSz w:w="11900" w:h="16838" w:orient="portrait"/>
          <w:cols w:equalWidth="0" w:num="1">
            <w:col w:w="10139"/>
          </w:cols>
          <w:pgMar w:left="320" w:top="690" w:right="1440" w:bottom="1440" w:gutter="0" w:footer="0" w:header="0"/>
        </w:sectPr>
      </w:pPr>
    </w:p>
    <w:bookmarkStart w:id="8" w:name="page9"/>
    <w:bookmarkEnd w:id="8"/>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819" w:firstLine="421"/>
        <w:spacing w:after="0" w:line="276" w:lineRule="auto"/>
        <w:rPr>
          <w:sz w:val="20"/>
          <w:szCs w:val="20"/>
          <w:color w:val="auto"/>
        </w:rPr>
      </w:pPr>
      <w:r>
        <w:rPr>
          <w:rFonts w:ascii="Courier New" w:cs="Courier New" w:eastAsia="Courier New" w:hAnsi="Courier New"/>
          <w:sz w:val="16"/>
          <w:szCs w:val="16"/>
          <w:color w:val="auto"/>
        </w:rPr>
        <w:t>In accordance with Rule 13d-1(k)(1) promulgated under the Securities Exchange Act of 1934, the undersigned agree to the joint filing of a Statement on Schedule 13G (including any and all amendments thereto) with respect to the Class A common stock, par value $0.0001 per share, of GENEDX HOLDINGS CORP. and further agree to the filing of this agreement as an Exhibit thereto.</w:t>
      </w:r>
    </w:p>
    <w:p>
      <w:pPr>
        <w:spacing w:after="0" w:line="2"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November 05, 2024,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11</w:t>
      </w:r>
    </w:p>
    <w:p>
      <w:pPr>
        <w:sectPr>
          <w:pgSz w:w="11900" w:h="16838" w:orient="portrait"/>
          <w:cols w:equalWidth="0" w:num="1">
            <w:col w:w="10139"/>
          </w:cols>
          <w:pgMar w:left="320" w:top="488" w:right="1440" w:bottom="1440" w:gutter="0" w:footer="0" w:header="0"/>
        </w:sectPr>
      </w:pPr>
    </w:p>
    <w:bookmarkStart w:id="9" w:name="page10"/>
    <w:bookmarkEnd w:id="9"/>
    <w:p>
      <w:pPr>
        <w:ind w:left="6960"/>
        <w:spacing w:after="0"/>
        <w:rPr>
          <w:sz w:val="20"/>
          <w:szCs w:val="20"/>
          <w:color w:val="auto"/>
        </w:rPr>
      </w:pPr>
      <w:r>
        <w:rPr>
          <w:rFonts w:ascii="Courier New" w:cs="Courier New" w:eastAsia="Courier New" w:hAnsi="Courier New"/>
          <w:sz w:val="16"/>
          <w:szCs w:val="16"/>
          <w:color w:val="auto"/>
        </w:rPr>
        <w:t>EXHIBIT (99.2)</w:t>
      </w:r>
    </w:p>
    <w:p>
      <w:pPr>
        <w:spacing w:after="0" w:line="224"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ITEM 7 INFORMATION</w:t>
      </w:r>
    </w:p>
    <w:p>
      <w:pPr>
        <w:spacing w:after="0" w:line="201" w:lineRule="exact"/>
        <w:rPr>
          <w:sz w:val="20"/>
          <w:szCs w:val="20"/>
          <w:color w:val="auto"/>
        </w:rPr>
      </w:pPr>
    </w:p>
    <w:p>
      <w:pPr>
        <w:ind w:right="1699" w:firstLine="421"/>
        <w:spacing w:after="0" w:line="260" w:lineRule="auto"/>
        <w:rPr>
          <w:sz w:val="20"/>
          <w:szCs w:val="20"/>
          <w:color w:val="auto"/>
        </w:rPr>
      </w:pPr>
      <w:r>
        <w:rPr>
          <w:rFonts w:ascii="Courier New" w:cs="Courier New" w:eastAsia="Courier New" w:hAnsi="Courier New"/>
          <w:sz w:val="18"/>
          <w:szCs w:val="18"/>
          <w:color w:val="auto"/>
        </w:rPr>
        <w:t>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pacing w:after="0" w:line="9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11</w:t>
      </w:r>
    </w:p>
    <w:p>
      <w:pPr>
        <w:sectPr>
          <w:pgSz w:w="11900" w:h="16838" w:orient="portrait"/>
          <w:cols w:equalWidth="0" w:num="1">
            <w:col w:w="10139"/>
          </w:cols>
          <w:pgMar w:left="320" w:top="488" w:right="1440" w:bottom="1440" w:gutter="0" w:footer="0" w:header="0"/>
        </w:sectPr>
      </w:pPr>
    </w:p>
    <w:bookmarkStart w:id="10" w:name="page11"/>
    <w:bookmarkEnd w:id="10"/>
    <w:p>
      <w:pPr>
        <w:jc w:val="right"/>
        <w:ind w:right="169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Papa Lette, Akash Keshari, Regina Chan, Andrzej Szyszka, Ameen Soetan, Rahail Patel, Santosh Vinayagamoorthy, Sadhiya Raffique, Matthew Pomfret,</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Abhishek Vishwanathan, Mariana Audeves, Veronica Mupazviriwo, Elizabeth Novak and Sam Prashanth, acting individually, its true and lawful attorney,</w:t>
      </w:r>
    </w:p>
    <w:p>
      <w:pPr>
        <w:spacing w:after="0" w:line="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w:t>
      </w:r>
    </w:p>
    <w:p>
      <w:pPr>
        <w:spacing w:after="0" w:line="1" w:lineRule="exact"/>
        <w:rPr>
          <w:sz w:val="20"/>
          <w:szCs w:val="20"/>
          <w:color w:val="auto"/>
        </w:rPr>
      </w:pPr>
    </w:p>
    <w:p>
      <w:pPr>
        <w:ind w:right="1919"/>
        <w:spacing w:after="0" w:line="261" w:lineRule="auto"/>
        <w:rPr>
          <w:sz w:val="20"/>
          <w:szCs w:val="20"/>
          <w:color w:val="auto"/>
        </w:rPr>
      </w:pPr>
      <w:r>
        <w:rPr>
          <w:rFonts w:ascii="Courier New" w:cs="Courier New" w:eastAsia="Courier New" w:hAnsi="Courier New"/>
          <w:sz w:val="18"/>
          <w:szCs w:val="18"/>
          <w:color w:val="auto"/>
        </w:rPr>
        <w:t>and to all intents and purposes as the Company might or could do if personally present by one of its authorized signatories, hereby ratifying and confirming all that said Attorney-in-fact shall lawfully do or cause to be done by virtue hereof.</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919"/>
        <w:spacing w:after="0" w:line="248" w:lineRule="auto"/>
        <w:rPr>
          <w:sz w:val="20"/>
          <w:szCs w:val="20"/>
          <w:color w:val="auto"/>
        </w:rPr>
      </w:pPr>
      <w:r>
        <w:rPr>
          <w:rFonts w:ascii="Courier New" w:cs="Courier New" w:eastAsia="Courier New" w:hAnsi="Courier New"/>
          <w:sz w:val="18"/>
          <w:szCs w:val="18"/>
          <w:color w:val="auto"/>
        </w:rPr>
        <w:t>July 29, 2025 unless earlier revoked by written instrument, or in the event an Attorney-in-fact ceases to be an employee of The Goldman Sachs Group, Inc. or one of its affiliates or ceases to perform the function in connection with which he or she was appointed Attorney-in-fact prior to July 29, 2025,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5"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February 9, 2024.</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29, 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Richard A. Friedman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Richard A. Friedman</w:t>
      </w:r>
    </w:p>
    <w:p>
      <w:pPr>
        <w:spacing w:after="0"/>
        <w:rPr>
          <w:sz w:val="20"/>
          <w:szCs w:val="20"/>
          <w:color w:val="auto"/>
        </w:rPr>
      </w:pPr>
      <w:r>
        <w:rPr>
          <w:rFonts w:ascii="Courier New" w:cs="Courier New" w:eastAsia="Courier New" w:hAnsi="Courier New"/>
          <w:sz w:val="18"/>
          <w:szCs w:val="18"/>
          <w:color w:val="auto"/>
        </w:rPr>
        <w:t>Title: Assistant Secretary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11</w:t>
      </w:r>
    </w:p>
    <w:p>
      <w:pPr>
        <w:sectPr>
          <w:pgSz w:w="11900" w:h="16838" w:orient="portrait"/>
          <w:cols w:equalWidth="0" w:num="1">
            <w:col w:w="10139"/>
          </w:cols>
          <w:pgMar w:left="320" w:top="488" w:right="1440" w:bottom="1440" w:gutter="0" w:footer="0" w:header="0"/>
        </w:sectPr>
      </w:pPr>
    </w:p>
    <w:bookmarkStart w:id="11" w:name="page12"/>
    <w:bookmarkEnd w:id="11"/>
    <w:p>
      <w:pPr>
        <w:jc w:val="right"/>
        <w:ind w:right="1699"/>
        <w:spacing w:after="0"/>
        <w:rPr>
          <w:sz w:val="20"/>
          <w:szCs w:val="20"/>
          <w:color w:val="auto"/>
        </w:rPr>
      </w:pPr>
      <w:r>
        <w:rPr>
          <w:rFonts w:ascii="Courier New" w:cs="Courier New" w:eastAsia="Courier New" w:hAnsi="Courier New"/>
          <w:sz w:val="18"/>
          <w:szCs w:val="18"/>
          <w:color w:val="auto"/>
        </w:rPr>
        <w:t>EXHIBIT (99.4)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&amp; CO. LLC</w:t>
      </w:r>
    </w:p>
    <w:p>
      <w:pPr>
        <w:spacing w:after="0" w:line="31" w:lineRule="exact"/>
        <w:rPr>
          <w:sz w:val="20"/>
          <w:szCs w:val="20"/>
          <w:color w:val="auto"/>
        </w:rPr>
      </w:pPr>
    </w:p>
    <w:p>
      <w:pPr>
        <w:jc w:val="both"/>
        <w:ind w:right="2439"/>
        <w:spacing w:after="0" w:line="268" w:lineRule="auto"/>
        <w:rPr>
          <w:sz w:val="20"/>
          <w:szCs w:val="20"/>
          <w:color w:val="auto"/>
        </w:rPr>
      </w:pPr>
      <w:r>
        <w:rPr>
          <w:rFonts w:ascii="Courier New" w:cs="Courier New" w:eastAsia="Courier New" w:hAnsi="Courier New"/>
          <w:sz w:val="16"/>
          <w:szCs w:val="16"/>
          <w:color w:val="auto"/>
        </w:rPr>
        <w:t>(the "Company") does hereby make, constitute and appoint each Papa Lette, Akash Keshari, Regina Chan, Andrzej Szyszka, Ameen Soetan, Rahail Patel, Santosh Vinayagamoorthy, Sadhiya Raffique, Matthew Pomfret,</w:t>
      </w:r>
    </w:p>
    <w:p>
      <w:pPr>
        <w:ind w:right="1819"/>
        <w:spacing w:after="0" w:line="244" w:lineRule="auto"/>
        <w:rPr>
          <w:sz w:val="20"/>
          <w:szCs w:val="20"/>
          <w:color w:val="auto"/>
        </w:rPr>
      </w:pPr>
      <w:r>
        <w:rPr>
          <w:rFonts w:ascii="Courier New" w:cs="Courier New" w:eastAsia="Courier New" w:hAnsi="Courier New"/>
          <w:sz w:val="18"/>
          <w:szCs w:val="18"/>
          <w:color w:val="auto"/>
        </w:rPr>
        <w:t>Abhishek Vishwanathan, Mariana Audeves Martinez, Veronica Mupazviriwo, Elizabeth Novak and Sam Prashanth,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October 1,2025 unless earlier revoked by written instrument, or in the event an Attorney-in-fact ceases to be an employee of The Goldman Sachs Group, Inc.</w:t>
      </w:r>
    </w:p>
    <w:p>
      <w:pPr>
        <w:spacing w:after="0" w:line="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or one of its affiliates or ceases to perform the function in connection with which he or she was appointed Attorney-in-fact prior to October 1,2025</w:t>
      </w:r>
    </w:p>
    <w:p>
      <w:pPr>
        <w:spacing w:after="0" w:line="1"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8"/>
          <w:szCs w:val="18"/>
          <w:color w:val="auto"/>
        </w:rPr>
        <w:t>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93"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December 1, 2023.</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1,2024.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Managing Director</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11 of 11</w:t>
      </w:r>
    </w:p>
    <w:sectPr>
      <w:pgSz w:w="11900" w:h="16838" w:orient="portrait"/>
      <w:cols w:equalWidth="0" w:num="1">
        <w:col w:w="10139"/>
      </w:cols>
      <w:pgMar w:left="32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2024-11-08T10:14:01Z</dcterms:created>
  <dcterms:modified xsi:type="dcterms:W3CDTF">2024-11-08T10:14:01Z</dcterms:modified>
</cp:coreProperties>
</file>