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108585</wp:posOffset>
            </wp:positionV>
            <wp:extent cx="144018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Up to $75,000,000</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TD Securities (USA) LLC (“TD Cowen”), relating to shares of our Class A common stock (the “Class A common stock”) offered by this prospectus supplement and the accompanying prospectus. In accordance with the terms of the Sales Agreement, we may offer and sell shares of our Class A common stock having an aggregate offering price of up to $75,000,000 from time to time through TD Cowen acting as our agent.</w:t>
      </w:r>
    </w:p>
    <w:p>
      <w:pPr>
        <w:spacing w:after="0" w:line="12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(the “Nasdaq”) under the symbol “WGS.” On April 26, 2024, the last reported sales price of our Class A common stock was $11.08 per share.</w:t>
      </w:r>
    </w:p>
    <w:p>
      <w:pPr>
        <w:spacing w:after="0" w:line="10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Class A common stock, if any, under this prospectus supplement and the accompanying prospectus may be made in sales deemed to be an “at the market offering” as defined in Rule 415(a)(4) promulgated under the Securities Act of 1933, as amended (the “Securities Act”). TD Cowen is not required to sell any specific number or dollar amount of securities, but will act as a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to TD Cowen for sales of Class A common stock sold pursuant to the Sales Agreement will be an amount up to 3.0% of the gross proceeds of any shares of Class A common stock sold under the Sales Agreement. In connection with the sale of the Class A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We are an “emerging growth company” as defined in Section 2(a) of the Securities Act of 1933, as amended, and a “smaller reporting company” as defined in Rule 12b-2 under the Securities Exchange Act of 1934, as amended, and, as such, have elected to comply with certain reduced disclosure and regulatory requirements. Investing in our securities involves a high degree of risk. You should review carefully the risks and uncertainties referenced under the heading “Risk Factors” on page </w:t>
      </w:r>
      <w:r>
        <w:rPr>
          <w:rFonts w:ascii="Times New Roman" w:cs="Times New Roman" w:eastAsia="Times New Roman" w:hAnsi="Times New Roman"/>
          <w:sz w:val="18"/>
          <w:szCs w:val="18"/>
          <w:b w:val="1"/>
          <w:bCs w:val="1"/>
          <w:u w:val="single" w:color="auto"/>
          <w:color w:val="0000FF"/>
        </w:rPr>
        <w:t>8</w:t>
      </w:r>
      <w:r>
        <w:rPr>
          <w:rFonts w:ascii="Times New Roman" w:cs="Times New Roman" w:eastAsia="Times New Roman" w:hAnsi="Times New Roman"/>
          <w:sz w:val="18"/>
          <w:szCs w:val="18"/>
          <w:b w:val="1"/>
          <w:bCs w:val="1"/>
          <w:color w:val="auto"/>
        </w:rPr>
        <w:t xml:space="preserve"> of this prospectus supplement, as well as the sections entitled “Risk Factors” beginning on page 20 of our Annual Report on Form 10-K for the year ended December 31, 2023 and beginning on page 32 of our Quarterly Report on Form 10-Q for the quarter ended March 31, 2024, which reports are incorporated by reference in this prospectus supplement and the accompanying prospectus, before investing in our securities.</w:t>
      </w:r>
    </w:p>
    <w:p>
      <w:pPr>
        <w:spacing w:after="0" w:line="13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April 29, 2024.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5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9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29"/>
        </w:trPr>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220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color w:val="0000FF"/>
              </w:rPr>
              <w:t>3</w:t>
            </w:r>
          </w:p>
        </w:tc>
        <w:tc>
          <w:tcPr>
            <w:tcW w:w="200" w:type="dxa"/>
            <w:vAlign w:val="bottom"/>
          </w:tcPr>
          <w:p>
            <w:pPr>
              <w:spacing w:after="0"/>
              <w:rPr>
                <w:sz w:val="19"/>
                <w:szCs w:val="19"/>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6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19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200" w:type="dxa"/>
            <w:vAlign w:val="bottom"/>
          </w:tcPr>
          <w:p>
            <w:pPr>
              <w:spacing w:after="0"/>
              <w:rPr>
                <w:sz w:val="21"/>
                <w:szCs w:val="21"/>
                <w:color w:val="auto"/>
              </w:rPr>
            </w:pPr>
          </w:p>
        </w:tc>
      </w:tr>
      <w:tr>
        <w:trPr>
          <w:trHeight w:val="250"/>
        </w:trPr>
        <w:tc>
          <w:tcPr>
            <w:tcW w:w="3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5340" w:type="dxa"/>
            <w:vAlign w:val="bottom"/>
            <w:gridSpan w:val="4"/>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200" w:type="dxa"/>
            <w:vAlign w:val="bottom"/>
          </w:tcPr>
          <w:p>
            <w:pPr>
              <w:spacing w:after="0"/>
              <w:rPr>
                <w:sz w:val="21"/>
                <w:szCs w:val="21"/>
                <w:color w:val="auto"/>
              </w:rPr>
            </w:pPr>
          </w:p>
        </w:tc>
      </w:tr>
      <w:tr>
        <w:trPr>
          <w:trHeight w:val="250"/>
        </w:trPr>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220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color w:val="0000FF"/>
              </w:rPr>
              <w:t>7</w:t>
            </w:r>
          </w:p>
        </w:tc>
        <w:tc>
          <w:tcPr>
            <w:tcW w:w="200" w:type="dxa"/>
            <w:vAlign w:val="bottom"/>
          </w:tcPr>
          <w:p>
            <w:pPr>
              <w:spacing w:after="0"/>
              <w:rPr>
                <w:sz w:val="21"/>
                <w:szCs w:val="21"/>
                <w:color w:val="auto"/>
              </w:rPr>
            </w:pPr>
          </w:p>
        </w:tc>
      </w:tr>
      <w:tr>
        <w:trPr>
          <w:trHeight w:val="250"/>
        </w:trPr>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tcBorders>
          </w:tcPr>
          <w:p>
            <w:pPr>
              <w:spacing w:after="0"/>
              <w:rPr>
                <w:sz w:val="21"/>
                <w:szCs w:val="21"/>
                <w:color w:val="auto"/>
              </w:rPr>
            </w:pPr>
          </w:p>
        </w:tc>
        <w:tc>
          <w:tcPr>
            <w:tcW w:w="7360" w:type="dxa"/>
            <w:vAlign w:val="bottom"/>
            <w:gridSpan w:val="8"/>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200" w:type="dxa"/>
            <w:vAlign w:val="bottom"/>
          </w:tcPr>
          <w:p>
            <w:pPr>
              <w:spacing w:after="0"/>
              <w:rPr>
                <w:sz w:val="21"/>
                <w:szCs w:val="21"/>
                <w:color w:val="auto"/>
              </w:rPr>
            </w:pPr>
          </w:p>
        </w:tc>
      </w:tr>
      <w:tr>
        <w:trPr>
          <w:trHeight w:val="250"/>
        </w:trPr>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220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color w:val="0000FF"/>
                <w:w w:val="99"/>
              </w:rPr>
              <w:t>10</w:t>
            </w:r>
          </w:p>
        </w:tc>
        <w:tc>
          <w:tcPr>
            <w:tcW w:w="200" w:type="dxa"/>
            <w:vAlign w:val="bottom"/>
          </w:tcPr>
          <w:p>
            <w:pPr>
              <w:spacing w:after="0"/>
              <w:rPr>
                <w:sz w:val="21"/>
                <w:szCs w:val="21"/>
                <w:color w:val="auto"/>
              </w:rPr>
            </w:pPr>
          </w:p>
        </w:tc>
      </w:tr>
      <w:tr>
        <w:trPr>
          <w:trHeight w:val="250"/>
        </w:trPr>
        <w:tc>
          <w:tcPr>
            <w:tcW w:w="5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2860" w:type="dxa"/>
            <w:vAlign w:val="bottom"/>
            <w:gridSpan w:val="2"/>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200" w:type="dxa"/>
            <w:vAlign w:val="bottom"/>
          </w:tcPr>
          <w:p>
            <w:pPr>
              <w:spacing w:after="0"/>
              <w:rPr>
                <w:sz w:val="21"/>
                <w:szCs w:val="2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DILUTION</w:t>
            </w:r>
          </w:p>
        </w:tc>
        <w:tc>
          <w:tcPr>
            <w:tcW w:w="7060" w:type="dxa"/>
            <w:vAlign w:val="bottom"/>
            <w:gridSpan w:val="6"/>
          </w:tcPr>
          <w:p>
            <w:pPr>
              <w:spacing w:after="0"/>
              <w:rPr>
                <w:sz w:val="21"/>
                <w:szCs w:val="21"/>
                <w:color w:val="auto"/>
              </w:rPr>
            </w:pPr>
          </w:p>
        </w:tc>
        <w:tc>
          <w:tcPr>
            <w:tcW w:w="220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color w:val="0000FF"/>
                <w:w w:val="99"/>
              </w:rPr>
              <w:t>12</w:t>
            </w:r>
          </w:p>
        </w:tc>
        <w:tc>
          <w:tcPr>
            <w:tcW w:w="200" w:type="dxa"/>
            <w:vAlign w:val="bottom"/>
          </w:tcPr>
          <w:p>
            <w:pPr>
              <w:spacing w:after="0"/>
              <w:rPr>
                <w:sz w:val="21"/>
                <w:szCs w:val="2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6580" w:type="dxa"/>
            <w:vAlign w:val="bottom"/>
            <w:gridSpan w:val="5"/>
          </w:tcPr>
          <w:p>
            <w:pPr>
              <w:spacing w:after="0"/>
              <w:rPr>
                <w:sz w:val="21"/>
                <w:szCs w:val="21"/>
                <w:color w:val="auto"/>
              </w:rPr>
            </w:pPr>
          </w:p>
        </w:tc>
        <w:tc>
          <w:tcPr>
            <w:tcW w:w="220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color w:val="0000FF"/>
                <w:w w:val="99"/>
              </w:rPr>
              <w:t>13</w:t>
            </w:r>
          </w:p>
        </w:tc>
        <w:tc>
          <w:tcPr>
            <w:tcW w:w="200" w:type="dxa"/>
            <w:vAlign w:val="bottom"/>
          </w:tcPr>
          <w:p>
            <w:pPr>
              <w:spacing w:after="0"/>
              <w:rPr>
                <w:sz w:val="21"/>
                <w:szCs w:val="2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6580" w:type="dxa"/>
            <w:vAlign w:val="bottom"/>
            <w:gridSpan w:val="5"/>
          </w:tcPr>
          <w:p>
            <w:pPr>
              <w:spacing w:after="0"/>
              <w:rPr>
                <w:sz w:val="21"/>
                <w:szCs w:val="21"/>
                <w:color w:val="auto"/>
              </w:rPr>
            </w:pPr>
          </w:p>
        </w:tc>
        <w:tc>
          <w:tcPr>
            <w:tcW w:w="220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color w:val="0000FF"/>
                <w:w w:val="99"/>
              </w:rPr>
              <w:t>14</w:t>
            </w:r>
          </w:p>
        </w:tc>
        <w:tc>
          <w:tcPr>
            <w:tcW w:w="200" w:type="dxa"/>
            <w:vAlign w:val="bottom"/>
          </w:tcPr>
          <w:p>
            <w:pPr>
              <w:spacing w:after="0"/>
              <w:rPr>
                <w:sz w:val="21"/>
                <w:szCs w:val="2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180" w:type="dxa"/>
            <w:vAlign w:val="bottom"/>
            <w:gridSpan w:val="7"/>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21"/>
                <w:szCs w:val="21"/>
                <w:color w:val="auto"/>
              </w:rPr>
            </w:pPr>
          </w:p>
        </w:tc>
        <w:tc>
          <w:tcPr>
            <w:tcW w:w="7180" w:type="dxa"/>
            <w:vAlign w:val="bottom"/>
            <w:gridSpan w:val="7"/>
          </w:tcPr>
          <w:p>
            <w:pPr>
              <w:spacing w:after="0"/>
              <w:rPr>
                <w:sz w:val="21"/>
                <w:szCs w:val="21"/>
                <w:color w:val="auto"/>
              </w:rPr>
            </w:pPr>
          </w:p>
        </w:tc>
        <w:tc>
          <w:tcPr>
            <w:tcW w:w="220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color w:val="0000FF"/>
                <w:w w:val="99"/>
              </w:rPr>
              <w:t>14</w:t>
            </w:r>
          </w:p>
        </w:tc>
        <w:tc>
          <w:tcPr>
            <w:tcW w:w="200" w:type="dxa"/>
            <w:vAlign w:val="bottom"/>
          </w:tcPr>
          <w:p>
            <w:pPr>
              <w:spacing w:after="0"/>
              <w:rPr>
                <w:sz w:val="21"/>
                <w:szCs w:val="2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40" w:top="1251"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September 7, 2022 are part of a registration statement that we filed with the Securities and Exchange Commission (the “SEC”) using a “shelf” registration process. Under this shelf registration process, we may from time to time sell any combination of the securities described in the accompanying prospectus in one or more offerings having an aggregate offering price of up to $300,000,000. Under this prospectus supplement, we may from time to time sell shares of our Class A common stock having an aggregate offering price of up to $75,000,000, at prices and on terms to be determined by market conditions at the time of the offering.</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Class A common stock and also adds to and updates information contained in the accompanying prospectus and the documents incorporated by reference into this prospectus supplement and the accompanying prospectus. To the extent there is a conflict between the information contained in this prospectus supplement, on the one hand, and the information contained in the accompanying prospectus and any document incorporated by reference into this prospectus supplement and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we nor TD Cowen has authorized anyone to provide you with any information other than that contained or incorporated by reference in this prospectus supplement and the accompanying prospectus or, if permitted, any related free writing prospectus to which we have referred you. Neither we nor TD Cowen takes any responsibility for, and can provide no assurance as to the reliability of, any other information others may give you. Neither we nor TD Cowen is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and the accompanying prospectus, the documents incorporated by reference herein and therein and, if permitted,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and the accompanying prospectus, the documents incorporated by reference herein and therein and, if permitted, any free writing prospectus that we have authorized for use in connection with this offering, in their entirety before making an investment decision.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prospectus supplement to:</w:t>
      </w:r>
    </w:p>
    <w:p>
      <w:pPr>
        <w:spacing w:after="0" w:line="17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refers to GeneDx Holdings Corp., a Delaware corporation (f/k/a Sema4 Holdings Corp.);</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refers to GeneDx, LLC, a Delaware limited liability company (formerly, GeneDx, Inc., a New Jersey corporation), which we acquired on April 29, 2022 (the “Acquisition”);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refers to Mount Sinai Genomics, Inc. d/b/a as Sema4, a Delaware corporation, which consummated the business combination with CM Life Sciences, Inc. (“CMLS”) on July 22, 2021 (the “Business Combination”);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w:t>
      </w:r>
    </w:p>
    <w:p>
      <w:pPr>
        <w:spacing w:after="0" w:line="171" w:lineRule="exact"/>
        <w:rPr>
          <w:sz w:val="20"/>
          <w:szCs w:val="20"/>
          <w:color w:val="auto"/>
        </w:rPr>
      </w:pPr>
    </w:p>
    <w:p>
      <w:pPr>
        <w:ind w:left="1300" w:hanging="320"/>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prior to the Business Combination, and GeneDx Holdings and its consolidated subsidiaries following the consummation of the Business Combination;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prior to the Acquisition, and GeneDx Holdings and its consolidated subsidiaries following the consummation of the Acquisition.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0000FF"/>
        </w:rPr>
        <w:t>http://www.genedx.com</w:t>
      </w:r>
      <w:r>
        <w:rPr>
          <w:rFonts w:ascii="Times New Roman" w:cs="Times New Roman" w:eastAsia="Times New Roman" w:hAnsi="Times New Roman"/>
          <w:sz w:val="18"/>
          <w:szCs w:val="18"/>
          <w:color w:val="auto"/>
        </w:rPr>
        <w:t>. The information on our website, however, is not, and should not be deemed to be, a part of this prospectus supplement.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and the accompanying prospectus or a previously filed document incorporated by reference will be deemed to be modified or superseded for purposes of this prospectus supplement and the accompanying prospectus to the extent that a statement contained in this prospectus supplement and the accompanying prospectus or a subsequently filed document incorporated by reference modifies or replaces that statement.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12">
        <w:r>
          <w:rPr>
            <w:rFonts w:ascii="Times New Roman" w:cs="Times New Roman" w:eastAsia="Times New Roman" w:hAnsi="Times New Roman"/>
            <w:sz w:val="18"/>
            <w:szCs w:val="18"/>
            <w:u w:val="single" w:color="auto"/>
            <w:color w:val="0000FF"/>
          </w:rPr>
          <w:t>February 23,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2024, filed with the SEC on </w:t>
      </w:r>
      <w:hyperlink r:id="rId13">
        <w:r>
          <w:rPr>
            <w:rFonts w:ascii="Times New Roman" w:cs="Times New Roman" w:eastAsia="Times New Roman" w:hAnsi="Times New Roman"/>
            <w:sz w:val="18"/>
            <w:szCs w:val="18"/>
            <w:u w:val="single" w:color="auto"/>
            <w:color w:val="0000FF"/>
          </w:rPr>
          <w:t>April 29,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14">
        <w:r>
          <w:rPr>
            <w:rFonts w:ascii="Times New Roman" w:cs="Times New Roman" w:eastAsia="Times New Roman" w:hAnsi="Times New Roman"/>
            <w:sz w:val="18"/>
            <w:szCs w:val="18"/>
            <w:u w:val="single" w:color="auto"/>
            <w:color w:val="0000FF"/>
          </w:rPr>
          <w:t>April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(but only with respect to information required by Part III of our Annual Report on Form 10-K for the year ended December 31, 2023); and</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description of our Class A common stock contained in our Registration Statement on Form 8-A filed with the SEC on </w:t>
      </w:r>
      <w:hyperlink r:id="rId15">
        <w:r>
          <w:rPr>
            <w:rFonts w:ascii="Times New Roman" w:cs="Times New Roman" w:eastAsia="Times New Roman" w:hAnsi="Times New Roman"/>
            <w:sz w:val="18"/>
            <w:szCs w:val="18"/>
            <w:u w:val="single" w:color="auto"/>
            <w:color w:val="0000FF"/>
          </w:rPr>
          <w:t>August 31, 2020</w:t>
        </w:r>
      </w:hyperlink>
      <w:r>
        <w:rPr>
          <w:rFonts w:ascii="Times New Roman" w:cs="Times New Roman" w:eastAsia="Times New Roman" w:hAnsi="Times New Roman"/>
          <w:sz w:val="18"/>
          <w:szCs w:val="18"/>
          <w:color w:val="auto"/>
        </w:rPr>
        <w:t xml:space="preserve">, as updated by the description of our Class A common stock contained in Exhibit 4.5 to our Annual Report on Form 10-K for the year ended </w:t>
      </w:r>
      <w:hyperlink r:id="rId12">
        <w:r>
          <w:rPr>
            <w:rFonts w:ascii="Times New Roman" w:cs="Times New Roman" w:eastAsia="Times New Roman" w:hAnsi="Times New Roman"/>
            <w:sz w:val="18"/>
            <w:szCs w:val="18"/>
            <w:u w:val="single" w:color="auto"/>
            <w:color w:val="0000FF"/>
          </w:rPr>
          <w:t>December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pursuant to this prospectus supplement and the accompanying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129"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1 (888) 729-1206, or by sending a written request to GeneDx Holdings Corp., 333 Ludlow Street, North Tower, 6th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51" w:right="339" w:bottom="1440" w:gutter="0" w:footer="0" w:header="0"/>
        </w:sectPr>
      </w:pPr>
    </w:p>
    <w:bookmarkStart w:id="4" w:name="page5"/>
    <w:bookmarkEnd w:id="4"/>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676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supplement and the accompanying prospectus, or incorporated by reference herein and therein from our filings with the SEC listed under the heading “Where You Can Find More Information; Incorporation by Reference.” This summary may not contain all the information that you should consider before investing in our Class A common stock. You should read the entire prospectus supplement, the accompanying prospectus and the information incorporated by reference herein and therein, including “Risk Factors” and the financial data and related notes and other information incorporated by reference, before making an investment decision. See “Cautionary Note Regarding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GeneDx sits at the intersection of diagnostics and data science, pairing decades of genomic expertise with an ability to interpret clinical data at scale. We believe we are well-positioned to accelerate the use of genomics to enable precision medicine as the standard of care. Our initial focus is in pediatric and rare diseases, two areas in which we believe we have competitive advantages and can deliver on our vision today.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we believe exome and genome testing will become the standard for diagnosis of genetic disease, with the potential to transform healthcare and improve patients’ quality of life.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On September 4, 2020, CMLS completed its initial public offering. On July 22, 2021, CMLS consummated the Business Combination with Legacy Sema4. In connection with the Business Combination, CMLS changed its name to Sema4 Holdings Corp. On April 29, 2022 Sema4 Holdings Corp. acquired Legacy GeneDx and on January 9, 2023, Sema4 Holdings Corp. changed its name to GeneDx Holdings Corp. following the exits from the Legacy Sema4 somatic tumor testing and the reproductive and women’s health testing businesses during the fourth quarter of 2022 and the first quarter of 2023, respectively.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6th Floor, Stamford, Connecticut 06902. Our telephone number is 1 (888) 729-1206. Our website address is http://www.genedx.com. Information contained on our website or connected thereto does not constitute part of, and is not incorporated by reference into, this prospectus supplement or the registration statement of which it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spacing w:after="0" w:line="122" w:lineRule="exact"/>
        <w:rPr>
          <w:sz w:val="20"/>
          <w:szCs w:val="20"/>
          <w:color w:val="auto"/>
        </w:rPr>
      </w:pPr>
    </w:p>
    <w:p>
      <w:pPr>
        <w:ind w:left="640" w:hanging="326"/>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on the effectiveness of our internal controls over financial reporting;</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and proxy statements; and</w:t>
      </w:r>
    </w:p>
    <w:p>
      <w:pPr>
        <w:spacing w:after="0" w:line="171"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2025.</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540"/>
          </w:cols>
          <w:pgMar w:left="680" w:top="1440" w:right="679" w:bottom="1440" w:gutter="0" w:footer="0" w:header="0"/>
          <w:type w:val="continuous"/>
        </w:sectPr>
      </w:pPr>
    </w:p>
    <w:bookmarkStart w:id="5" w:name="page6"/>
    <w:bookmarkEnd w:id="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2361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documents incorporated by reference in this prospectus supplement. As a result, the information that we provide to our stockholders may be different than you might receive from other public reporting companies in which you hold equity interests.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was less than $250.0 million as of June 30, 2023.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have presented only the two most recent fiscal years of audited financial statements in our Annual Report on Form 10-K for the fiscal year ended December 31, 2023 incorporated by reference in this prospectus supplement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680" w:top="1440" w:right="679" w:bottom="1440" w:gutter="0" w:footer="0" w:header="0"/>
        </w:sectPr>
      </w:pPr>
    </w:p>
    <w:bookmarkStart w:id="6" w:name="page7"/>
    <w:bookmarkEnd w:id="6"/>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650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8"/>
          <w:szCs w:val="18"/>
          <w:color w:val="auto"/>
        </w:rPr>
        <w:t>Shares of our Class A common stock having an aggregate offering price of up to</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$75,000,000.</w:t>
      </w:r>
    </w:p>
    <w:p>
      <w:pPr>
        <w:spacing w:after="0" w:line="301"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18"/>
          <w:szCs w:val="18"/>
          <w:color w:val="auto"/>
        </w:rPr>
        <w:t>Class A common stock to be outstanding immediately</w:t>
        <w:tab/>
        <w:t>Up to 19,353,395 shares (as more fully described in the notes following this table),</w:t>
      </w:r>
    </w:p>
    <w:p>
      <w:pPr>
        <w:spacing w:after="0" w:line="27"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18"/>
          <w:szCs w:val="18"/>
          <w:color w:val="auto"/>
        </w:rPr>
        <w:t>after this offering</w:t>
      </w:r>
      <w:r>
        <w:rPr>
          <w:sz w:val="20"/>
          <w:szCs w:val="20"/>
          <w:color w:val="auto"/>
        </w:rPr>
        <w:tab/>
      </w:r>
      <w:r>
        <w:rPr>
          <w:rFonts w:ascii="Times New Roman" w:cs="Times New Roman" w:eastAsia="Times New Roman" w:hAnsi="Times New Roman"/>
          <w:sz w:val="18"/>
          <w:szCs w:val="18"/>
          <w:color w:val="auto"/>
        </w:rPr>
        <w:t>assuming sales of 6,768,953 shares of our Class A common stock in this offering at an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offering price of $11.08 per share, which was the last reported sale price of our common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shares on The Nasdaq Global Select Market on April 26, 2024. The actual number of</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shares issued will vary depending on the sales price under this offering.</w:t>
      </w:r>
    </w:p>
    <w:p>
      <w:pPr>
        <w:spacing w:after="0" w:line="301"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18"/>
          <w:szCs w:val="18"/>
          <w:color w:val="auto"/>
        </w:rPr>
        <w:t>Plan of distribution</w:t>
      </w:r>
      <w:r>
        <w:rPr>
          <w:sz w:val="20"/>
          <w:szCs w:val="20"/>
          <w:color w:val="auto"/>
        </w:rPr>
        <w:tab/>
      </w:r>
      <w:r>
        <w:rPr>
          <w:rFonts w:ascii="Times New Roman" w:cs="Times New Roman" w:eastAsia="Times New Roman" w:hAnsi="Times New Roman"/>
          <w:sz w:val="17"/>
          <w:szCs w:val="17"/>
          <w:color w:val="auto"/>
        </w:rPr>
        <w:t>“At the market offering” that may be made from time to time through our sales agent, TD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Cowen. See “Plan of Distribution.”</w:t>
      </w:r>
    </w:p>
    <w:p>
      <w:pPr>
        <w:spacing w:after="0" w:line="301"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currently intend to use the net proceeds of this offering primarily for general</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corporate purposes. General corporate purposes may include additions to working</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capital,  financing  of  capital  expenditures,  repayment  or  redemption  of  existing</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indebtedness, and future acquisitions and strategic investment opportunities. See “Use of</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Proceeds.”</w:t>
      </w:r>
    </w:p>
    <w:p>
      <w:pPr>
        <w:spacing w:after="0" w:line="301"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Investing in our Class A common stock involves significant risks. See the disclosure</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under the heading “Risk Factors” in this prospectus supplement and under similar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headings in other documents incorporated by reference into this prospectus supplement</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and the accompanying prospectus.</w:t>
      </w:r>
    </w:p>
    <w:p>
      <w:pPr>
        <w:spacing w:after="0" w:line="301"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18"/>
          <w:szCs w:val="18"/>
          <w:color w:val="auto"/>
        </w:rPr>
        <w:t>Nasdaq Global Select Market symbol</w:t>
      </w:r>
      <w:r>
        <w:rPr>
          <w:sz w:val="20"/>
          <w:szCs w:val="20"/>
          <w:color w:val="auto"/>
        </w:rPr>
        <w:tab/>
      </w:r>
      <w:r>
        <w:rPr>
          <w:rFonts w:ascii="Times New Roman" w:cs="Times New Roman" w:eastAsia="Times New Roman" w:hAnsi="Times New Roman"/>
          <w:sz w:val="18"/>
          <w:szCs w:val="18"/>
          <w:color w:val="auto"/>
        </w:rPr>
        <w:t>“WGS”</w:t>
      </w:r>
    </w:p>
    <w:p>
      <w:pPr>
        <w:spacing w:after="0" w:line="200" w:lineRule="exact"/>
        <w:rPr>
          <w:sz w:val="20"/>
          <w:szCs w:val="20"/>
          <w:color w:val="auto"/>
        </w:rPr>
      </w:pPr>
    </w:p>
    <w:p>
      <w:pPr>
        <w:spacing w:after="0" w:line="3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shown above to be outstanding after this offering is based on 26,122,348 shares of our Class A common stock outstanding as of March 31, 2024, and excludes:</w:t>
      </w:r>
    </w:p>
    <w:p>
      <w:pPr>
        <w:spacing w:after="0" w:line="108" w:lineRule="exact"/>
        <w:rPr>
          <w:sz w:val="20"/>
          <w:szCs w:val="20"/>
          <w:color w:val="auto"/>
        </w:rPr>
      </w:pPr>
    </w:p>
    <w:p>
      <w:pPr>
        <w:ind w:left="64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1,466,515 shares of Class A common stock issuable upon exercise of warrants outstanding as of March 31, 2024, with a weighted average exercise price of $174.21 per share;</w:t>
      </w:r>
    </w:p>
    <w:p>
      <w:pPr>
        <w:spacing w:after="0" w:line="107" w:lineRule="exact"/>
        <w:rPr>
          <w:rFonts w:ascii="Times New Roman" w:cs="Times New Roman" w:eastAsia="Times New Roman" w:hAnsi="Times New Roman"/>
          <w:sz w:val="18"/>
          <w:szCs w:val="18"/>
          <w:color w:val="auto"/>
        </w:rPr>
      </w:pPr>
    </w:p>
    <w:p>
      <w:pPr>
        <w:ind w:left="64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429,793 shares of Class A common stock issuable upon exercise of options outstanding as of March 31, 2024, with a weighted average exercise price of $41.20 per share;</w:t>
      </w:r>
    </w:p>
    <w:p>
      <w:pPr>
        <w:spacing w:after="0" w:line="107" w:lineRule="exact"/>
        <w:rPr>
          <w:rFonts w:ascii="Times New Roman" w:cs="Times New Roman" w:eastAsia="Times New Roman" w:hAnsi="Times New Roman"/>
          <w:sz w:val="18"/>
          <w:szCs w:val="18"/>
          <w:color w:val="auto"/>
        </w:rPr>
      </w:pPr>
    </w:p>
    <w:p>
      <w:pPr>
        <w:ind w:left="64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2,156,250 shares of common stock issuable upon vesting and settlement of restricted stock units (“RSUs”) outstanding as of March 31, 2024; and</w:t>
      </w:r>
    </w:p>
    <w:p>
      <w:pPr>
        <w:spacing w:after="0" w:line="107" w:lineRule="exact"/>
        <w:rPr>
          <w:rFonts w:ascii="Times New Roman" w:cs="Times New Roman" w:eastAsia="Times New Roman" w:hAnsi="Times New Roman"/>
          <w:sz w:val="18"/>
          <w:szCs w:val="18"/>
          <w:color w:val="auto"/>
        </w:rPr>
      </w:pPr>
    </w:p>
    <w:p>
      <w:pPr>
        <w:jc w:val="both"/>
        <w:ind w:left="640" w:hanging="326"/>
        <w:spacing w:after="0" w:line="25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2,475,940 shares of Class A common stock reserved and available for future issuance as of March 31, 2024, under our equity incentive plans, consisting of (1) 1,658,606 shares of Class A common stock reserved and available for issuance under our Amended and Restated 2021 Equity Incentive Plan (the “2021 Plan”), (2) 596,604 shares of Class A common stock reserved for issuance under our 2021 Employee Stock Purchase Plan (the “2021 ESPP”), and (3) 220,730 shares of Class A common stock reserved for issuance under our 2023 Equity Inducement Plan (the “2023 Plan”).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highlight w:val="white"/>
        </w:rPr>
        <w:t>Except as otherwise indicated, the information in this prospectus supplement assumes no equity awards were issued under our equity incentive plans after March 31, 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that no outstanding warrants or options were exercised or terminated, and no outstanding RSUs vested and settled or were terminated, after March 31, 2024.</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40"/>
          </w:cols>
          <w:pgMar w:left="680" w:top="1440" w:right="6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 investment in our securities involves a high degree of risk. You should consider the risk factors described in the “Risk Factors” sections of our Annual Report on Form 10-K for the fiscal year ended December 31, 2023 and our Quarterly Report on Form 10-Q for the quarter ended March 31, 2024, which reports are incorporated herein by reference, in addition to the factors set forth below and other information contained in or incorporated by reference in this prospectus supplement and the accompanying prospectus before purchasing any shares of our Class A common stock.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8"/>
          <w:szCs w:val="18"/>
          <w:i w:val="1"/>
          <w:iCs w:val="1"/>
          <w:color w:val="auto"/>
        </w:rPr>
        <w:t xml:space="preserve">“Where You Can Find More Information; Incorporation by Reference”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“Cautionary Note Regarding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Class A common stock sold in this offering, you may experience immediate and substantial dilution in the net tangible book value of your shares. In addition, we may issue additional equity or convertible debt securities in the future, which may result in additional dilution to you.</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price per share of our Class A common stock being offered may be higher than the net tangible book value per share of our outstanding Class A common stock prior to this offering. Assuming that an aggregate of 6,768,953 shares of our Class A common stock are sold at a price of $11.08 per share, the last reported sale price of our Class A common stock on The Nasdaq Global Select Market on April 26, 2024, for aggregate gross proceeds of approximately $72.6 million, and after deducting commissions and estimated offering expenses payable by us, new investors in this offering will incur immediate dilution of $6.84 per share. For a more detailed discussion of the foregoing, see the section entitled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To the extent outstanding stock options or warrants are exercised, there will be further dilution to new investors. In addition, to the extent we need to raise additional capital in the future and we issue additional shares of Class A common stock or securities convertible or exchangeable for our Class A common stock, our then existing stockholders may experience dilution and the new securities may have rights senior to those of our Class A common stock offered in this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general corporate purposes.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at any one time or in total, is uncertain.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shares of Class A common stock during the sales period and limits we set with TD Cowen. Because the price per share of each share sold will fluctuate based on the market price of our Class A common stock during the sales period, it is not possible at this stage to predict the number of shares that will be ultimately issued.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common stock offered hereby will be sold in “at the market offerings,” and investors who buy shares at different times will likely pay different prices.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51"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and expansion of our business and have no current plans to pay any cash dividends for the foreseeable future. The declaration, amount and payment of any future dividends on shares of Class A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Class A common stock unless you sell our Class A common stock for a price greater than that which you paid for it.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supplement, the accompanying prospectus and the documents incorporated by reference herein and therein, may constitute forward-looking statements for purposes of the Securities Act and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supplement, the accompanying prospectus and the documents incorporated by reference herein and therein, as well as other factors which may be identified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application of the net proceeds from this offering;</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and future capital requirements to finance our operating requirements, and capital expenditures;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incurring losses, and becoming profitable on a sustained basis;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general economic and political conditions such as recessions, rising inflation and interest rates, supply chain interruptions and manufacturing constraints, public health emergencies such as but not limited to the COVID-19 pandemic, natural disasters, acts of terrorism or other uncontrollable events;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or other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our data programs;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the adequacy of our reserves for third party payor claims and our conclusions regarding the appropriateness of the carrying value of intangible assets;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the accompanying prospectus and the documents incorporated by reference herein and therein reflect our views and assumptions only as of the date of this prospectus supplement, the accompanying prospectus or such document as applicable. Except as required by law, we assume no responsibility for updating any forward-looking statements.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5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Class A common stock having aggregate sales proceeds of up to $75,000,000 from time to time. Because there is no minimum offering amount required pursuant to the Sales Agreement, the actual total public offering amount, commissions and proceeds to us, if any, are not determinable at this time. There can be no assurance that we will sell any shares under or fully utilize the Sales Agreement with TD Cowen as a source of financing.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Class A common stock under this prospectus supplement and the accompanying prospectus. General corporate purposes may include additions to working capital, financing of capital expenditures, repayment or redemption of existing indebtedness, and future acquisitions and strategic investment opportunities. Pending the application of net proceeds, we expect to invest the net proceeds in investment 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5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invest in our Class A common stock, your interest may be diluted to the extent of the difference between the price per share you pay in this offering and the net tangible book value per share of our Class A common stock immediately after this offering. Our net tangible book value of our Class A common stock as of March 31, 2024 was approximately $38.1 million, or approximately $1.46 per share of Class A common stock based upon 26,122,348 shares outstanding as of March 31, 2024. Net tangible book value per share is equal to our total tangible assets, less our total liabilities, divided by the total number of shares outstanding as of March 31, 2024.</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Class A common stock in the aggregate amount of $75,000,000 at an assumed offering price of $11.08 per share, the last reported sale price of our Class A common stock on The Nasdaq Global Select Market on April 26, 2024, and after deducting commissions and estimated offering expenses payable by us, our as adjusted net tangible book value as of March 31, 2024 would have been approximately $110.7 million, or $4.24 per share of Class A common stock. This represents an immediate increase in net tangible book value of $2.78 per share to our existing stockholders and an immediate dilution in net tangible book value of $6.84 per share to new investors in this offering.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illustrates this calculation on a per share basis. The as-adjusted information is illustrative only and will adjust based on the actual price to the public, the actual number of shares sold and other terms of the offering determined at the time shares of our Class A common stock are sold pursuant to this prospectus supplement and the accompanying prospectus. The as-adjusted information assumes that all of our Class A common stock in the aggregate amount of $75,000,000 is sold at the assumed offering price of $11.08 per share, the last reported sale price of our Class A common stock on The Nasdaq Global Select Market on April 26, 2024. The shares sold in this offering, if any, will be sold from time to time at various prices.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840" w:type="dxa"/>
            <w:vAlign w:val="bottom"/>
            <w:shd w:val="clear" w:color="auto" w:fill="CCEEFF"/>
          </w:tcPr>
          <w:p>
            <w:pPr>
              <w:spacing w:after="0"/>
              <w:rPr>
                <w:sz w:val="23"/>
                <w:szCs w:val="23"/>
                <w:color w:val="auto"/>
              </w:rPr>
            </w:pPr>
          </w:p>
        </w:tc>
        <w:tc>
          <w:tcPr>
            <w:tcW w:w="19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43"/>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March 31, 2024</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8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w:t>
            </w:r>
          </w:p>
        </w:tc>
        <w:tc>
          <w:tcPr>
            <w:tcW w:w="8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7"/>
        </w:trPr>
        <w:tc>
          <w:tcPr>
            <w:tcW w:w="7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Dilution per share to new investors participating in the offering</w:t>
            </w:r>
          </w:p>
        </w:tc>
        <w:tc>
          <w:tcPr>
            <w:tcW w:w="8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7"/>
        </w:trPr>
        <w:tc>
          <w:tcPr>
            <w:tcW w:w="7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shown above to be outstanding after this offering is based on 26,122,348 shares of our Class A common stock outstanding as of March 31, 2024, and excludes:</w:t>
      </w:r>
    </w:p>
    <w:p>
      <w:pPr>
        <w:spacing w:after="0" w:line="108"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1,466,515 shares of Class A common stock issuable upon exercise of warrants outstanding as of March 31, 2024, with a weighted average exercise price of $174.21 per share;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429,793 shares of Class A common stock issuable upon exercise of options outstanding as of March 31, 2024, with a weighted average exercise price of $41.20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2,156,250 shares of common stock issuable upon vesting and settlement of RSUs outstanding as of March 31, 2024;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2,475,940 shares of Class A common stock reserved and available for future issuance as of March 31, 2024, under our equity incentive plans, consisting of (1) 1,658,606 shares of Class A common stock reserved and available for issuance under the 2021 Plan, (2) 596,604 shares of Class A common stock reserved for issuance under the 2021 ESPP, and (3) 220,730 shares of Class A common stock reserved for issuance under the 2023 Plan.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information in this prospectus supplement assumes no equity awards were issued under our equity incentive plans after March 31, 2024, that no outstanding warrants or options were exercised or terminated, and no outstanding RSUs vested and settled or were terminated, after March 31,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5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TD Cowen, under which we may issue and sell from time to time up to $75,000,000 of our Class A common stock through or to TD Cowen as our sales agent. Sales of our Class A common stock, if any, will be made at market prices by any method that is deemed to be an “at the market offering” as defined in Rule 415 under the Securities Act. Sales pursuant to the Sales Agreement may be made through an affiliate of TD Cowen.</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TD Cowen will offer our Class A common stock subject to the terms and conditions of the Sales Agreement on a daily basis or as otherwise agreed upon by us and TD Cowen. We will designate the maximum amount of Class A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Class A common stock requested to be sold by us. We may instruct TD Cowen not to sell Class A common stock if the sales cannot be effected at or above the price designated by us in any such instruction. TD Cowen or we may suspend the offering of our Class A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$0.3 million.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Class A common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Nasdaq on each day in which Class A common stock is sold through it as sales agent under the Sales Agreement. Each confirmation will include the number of shares of Class A common stock sold through it as sales agent on that day, the volume weighted average price of the shares sold, the percentage of the daily trading volume and the net proceeds to us.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Class A common stock sold through TD Cowen under the Sales Agreement, the net proceeds to us and the compensation paid by us to TD Cowen in connection with the sales of Class A common stock.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May 28, 2024, settlement for sales of Class A common stock will occur, unless the parties agree otherwise, on the second business day that is also a trading day following the date on which any sales were made in return for payment of the net proceeds to us. After May 28, 2024, settlement for sales of Class A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Class A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Class A common stock.</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and trades under the symbol “WGS.” The transfer agent of our Class A common stock is Continental Stock Transfer &amp; Trust Company.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Fenwick &amp; West LLP, New York, New York, will pass upon certain legal matters relating to the issuance and sale of the shares of Class A common stock offered hereby on behalf of GeneDx Holdings Corp. TD Cowen is being represented in connection with this offering by DLA Piper LLP (US), San Diego, California.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GeneDx Holdings Corp. appearing in GeneDx Holdings Corp.’s Annual Report on Form 10-K for the year ended December 31, 2023, have been audited by Ernst &amp; Young LLP, an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51"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3054350</wp:posOffset>
            </wp:positionH>
            <wp:positionV relativeFrom="page">
              <wp:posOffset>1494790</wp:posOffset>
            </wp:positionV>
            <wp:extent cx="144018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 to $75,000,000</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1230630</wp:posOffset>
            </wp:positionV>
            <wp:extent cx="1354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180975</wp:posOffset>
            </wp:positionV>
            <wp:extent cx="1354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208280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jpe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s://www.sec.gov/Archives/edgar/data/1818331/000181833124000008/wgs-20231231.htm" TargetMode="External"/><Relationship Id="rId13" Type="http://schemas.openxmlformats.org/officeDocument/2006/relationships/hyperlink" Target="https://www.sec.gov/Archives/edgar/data/1818331/000181833124000023/wgs-20240331.htm" TargetMode="External"/><Relationship Id="rId14" Type="http://schemas.openxmlformats.org/officeDocument/2006/relationships/hyperlink" Target="https://www.sec.gov/Archives/edgar/data/1818331/000181833124000025/genedx-2024annualmeetingxd.htm" TargetMode="External"/><Relationship Id="rId15" Type="http://schemas.openxmlformats.org/officeDocument/2006/relationships/hyperlink" Target="https://www.sec.gov/Archives/edgar/data/1818331/000121390020024549/ea126225-8a12b_cmlifescie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2024-04-29T16:23:18Z</dcterms:created>
  <dcterms:modified xsi:type="dcterms:W3CDTF">2024-04-29T16:23:18Z</dcterms:modified>
</cp:coreProperties>
</file>