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0001944119</w:t>
            </w:r>
          </w:p>
        </w:tc>
        <w:tc>
          <w:tcPr>
            <w:tcW w:w="35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52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7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5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78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78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8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78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835"/>
        </w:trPr>
        <w:tc>
          <w:tcPr>
            <w:tcW w:w="678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52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780" w:type="dxa"/>
            <w:vAlign w:val="bottom"/>
          </w:tcPr>
          <w:p>
            <w:pPr>
              <w:spacing w:after="0"/>
              <w:rPr>
                <w:sz w:val="24"/>
                <w:szCs w:val="24"/>
                <w:color w:val="auto"/>
              </w:rPr>
            </w:pPr>
          </w:p>
        </w:tc>
        <w:tc>
          <w:tcPr>
            <w:tcW w:w="3520" w:type="dxa"/>
            <w:vAlign w:val="bottom"/>
          </w:tcPr>
          <w:p>
            <w:pPr>
              <w:ind w:left="1020"/>
              <w:spacing w:after="0"/>
              <w:rPr>
                <w:sz w:val="20"/>
                <w:szCs w:val="20"/>
                <w:color w:val="auto"/>
              </w:rPr>
            </w:pPr>
            <w:r>
              <w:rPr>
                <w:rFonts w:ascii="Times New Roman" w:cs="Times New Roman" w:eastAsia="Times New Roman" w:hAnsi="Times New Roman"/>
                <w:sz w:val="22"/>
                <w:szCs w:val="22"/>
                <w:color w:val="auto"/>
              </w:rPr>
              <w:t>GeneDx Holdings Corp.</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780" w:type="dxa"/>
            <w:vAlign w:val="bottom"/>
          </w:tcPr>
          <w:p>
            <w:pPr>
              <w:spacing w:after="0"/>
              <w:rPr>
                <w:sz w:val="24"/>
                <w:szCs w:val="24"/>
                <w:color w:val="auto"/>
              </w:rPr>
            </w:pPr>
          </w:p>
        </w:tc>
        <w:tc>
          <w:tcPr>
            <w:tcW w:w="3520" w:type="dxa"/>
            <w:vAlign w:val="bottom"/>
          </w:tcPr>
          <w:p>
            <w:pPr>
              <w:ind w:left="1020"/>
              <w:spacing w:after="0"/>
              <w:rPr>
                <w:sz w:val="20"/>
                <w:szCs w:val="20"/>
                <w:color w:val="auto"/>
              </w:rPr>
            </w:pPr>
            <w:r>
              <w:rPr>
                <w:rFonts w:ascii="Times New Roman" w:cs="Times New Roman" w:eastAsia="Times New Roman" w:hAnsi="Times New Roman"/>
                <w:sz w:val="22"/>
                <w:szCs w:val="22"/>
                <w:color w:val="auto"/>
              </w:rPr>
              <w:t>001-39482</w:t>
            </w:r>
          </w:p>
        </w:tc>
      </w:tr>
      <w:tr>
        <w:trPr>
          <w:trHeight w:val="258"/>
        </w:trPr>
        <w:tc>
          <w:tcPr>
            <w:tcW w:w="3000" w:type="dxa"/>
            <w:vAlign w:val="bottom"/>
          </w:tcPr>
          <w:p>
            <w:pPr>
              <w:spacing w:after="0"/>
              <w:rPr>
                <w:sz w:val="22"/>
                <w:szCs w:val="22"/>
                <w:color w:val="auto"/>
              </w:rPr>
            </w:pPr>
          </w:p>
        </w:tc>
        <w:tc>
          <w:tcPr>
            <w:tcW w:w="3780" w:type="dxa"/>
            <w:vAlign w:val="bottom"/>
          </w:tcPr>
          <w:p>
            <w:pPr>
              <w:spacing w:after="0"/>
              <w:rPr>
                <w:sz w:val="22"/>
                <w:szCs w:val="22"/>
                <w:color w:val="auto"/>
              </w:rPr>
            </w:pPr>
          </w:p>
        </w:tc>
        <w:tc>
          <w:tcPr>
            <w:tcW w:w="3520" w:type="dxa"/>
            <w:vAlign w:val="bottom"/>
          </w:tcPr>
          <w:p>
            <w:pPr>
              <w:ind w:left="1020"/>
              <w:spacing w:after="0"/>
              <w:rPr>
                <w:sz w:val="20"/>
                <w:szCs w:val="20"/>
                <w:color w:val="auto"/>
              </w:rPr>
            </w:pPr>
            <w:r>
              <w:rPr>
                <w:rFonts w:ascii="Times New Roman" w:cs="Times New Roman" w:eastAsia="Times New Roman" w:hAnsi="Times New Roman"/>
                <w:sz w:val="22"/>
                <w:szCs w:val="22"/>
                <w:color w:val="auto"/>
                <w:w w:val="96"/>
              </w:rPr>
              <w:t>333 Ludlow St, North Tower</w:t>
            </w:r>
          </w:p>
        </w:tc>
      </w:tr>
      <w:tr>
        <w:trPr>
          <w:trHeight w:val="243"/>
        </w:trPr>
        <w:tc>
          <w:tcPr>
            <w:tcW w:w="3000" w:type="dxa"/>
            <w:vAlign w:val="bottom"/>
          </w:tcPr>
          <w:p>
            <w:pPr>
              <w:spacing w:after="0"/>
              <w:rPr>
                <w:sz w:val="21"/>
                <w:szCs w:val="21"/>
                <w:color w:val="auto"/>
              </w:rPr>
            </w:pPr>
          </w:p>
        </w:tc>
        <w:tc>
          <w:tcPr>
            <w:tcW w:w="3780" w:type="dxa"/>
            <w:vAlign w:val="bottom"/>
          </w:tcPr>
          <w:p>
            <w:pPr>
              <w:spacing w:after="0"/>
              <w:rPr>
                <w:sz w:val="21"/>
                <w:szCs w:val="21"/>
                <w:color w:val="auto"/>
              </w:rPr>
            </w:pPr>
          </w:p>
        </w:tc>
        <w:tc>
          <w:tcPr>
            <w:tcW w:w="3520" w:type="dxa"/>
            <w:vAlign w:val="bottom"/>
          </w:tcPr>
          <w:p>
            <w:pPr>
              <w:ind w:left="1020"/>
              <w:spacing w:after="0" w:line="243" w:lineRule="exact"/>
              <w:rPr>
                <w:sz w:val="20"/>
                <w:szCs w:val="20"/>
                <w:color w:val="auto"/>
              </w:rPr>
            </w:pPr>
            <w:r>
              <w:rPr>
                <w:rFonts w:ascii="Times New Roman" w:cs="Times New Roman" w:eastAsia="Times New Roman" w:hAnsi="Times New Roman"/>
                <w:sz w:val="22"/>
                <w:szCs w:val="22"/>
                <w:color w:val="auto"/>
              </w:rPr>
              <w:t>6th Floor</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780" w:type="dxa"/>
            <w:vAlign w:val="bottom"/>
          </w:tcPr>
          <w:p>
            <w:pPr>
              <w:spacing w:after="0"/>
              <w:rPr>
                <w:sz w:val="21"/>
                <w:szCs w:val="21"/>
                <w:color w:val="auto"/>
              </w:rPr>
            </w:pPr>
          </w:p>
        </w:tc>
        <w:tc>
          <w:tcPr>
            <w:tcW w:w="3520" w:type="dxa"/>
            <w:vAlign w:val="bottom"/>
          </w:tcPr>
          <w:p>
            <w:pPr>
              <w:ind w:left="1020"/>
              <w:spacing w:after="0" w:line="243" w:lineRule="exact"/>
              <w:rPr>
                <w:sz w:val="20"/>
                <w:szCs w:val="20"/>
                <w:color w:val="auto"/>
              </w:rPr>
            </w:pPr>
            <w:r>
              <w:rPr>
                <w:rFonts w:ascii="Times New Roman" w:cs="Times New Roman" w:eastAsia="Times New Roman" w:hAnsi="Times New Roman"/>
                <w:sz w:val="22"/>
                <w:szCs w:val="22"/>
                <w:color w:val="auto"/>
              </w:rPr>
              <w:t>Stamford</w:t>
            </w:r>
          </w:p>
        </w:tc>
      </w:tr>
      <w:tr>
        <w:trPr>
          <w:trHeight w:val="243"/>
        </w:trPr>
        <w:tc>
          <w:tcPr>
            <w:tcW w:w="3000" w:type="dxa"/>
            <w:vAlign w:val="bottom"/>
          </w:tcPr>
          <w:p>
            <w:pPr>
              <w:spacing w:after="0"/>
              <w:rPr>
                <w:sz w:val="21"/>
                <w:szCs w:val="21"/>
                <w:color w:val="auto"/>
              </w:rPr>
            </w:pPr>
          </w:p>
        </w:tc>
        <w:tc>
          <w:tcPr>
            <w:tcW w:w="3780" w:type="dxa"/>
            <w:vAlign w:val="bottom"/>
          </w:tcPr>
          <w:p>
            <w:pPr>
              <w:spacing w:after="0"/>
              <w:rPr>
                <w:sz w:val="21"/>
                <w:szCs w:val="21"/>
                <w:color w:val="auto"/>
              </w:rPr>
            </w:pPr>
          </w:p>
        </w:tc>
        <w:tc>
          <w:tcPr>
            <w:tcW w:w="3520" w:type="dxa"/>
            <w:vAlign w:val="bottom"/>
          </w:tcPr>
          <w:p>
            <w:pPr>
              <w:ind w:left="1020"/>
              <w:spacing w:after="0" w:line="243" w:lineRule="exact"/>
              <w:rPr>
                <w:sz w:val="20"/>
                <w:szCs w:val="20"/>
                <w:color w:val="auto"/>
              </w:rPr>
            </w:pPr>
            <w:r>
              <w:rPr>
                <w:rFonts w:ascii="Times New Roman" w:cs="Times New Roman" w:eastAsia="Times New Roman" w:hAnsi="Times New Roman"/>
                <w:sz w:val="22"/>
                <w:szCs w:val="22"/>
                <w:color w:val="auto"/>
              </w:rPr>
              <w:t>CONNECTICUT</w:t>
            </w:r>
          </w:p>
        </w:tc>
      </w:tr>
      <w:tr>
        <w:trPr>
          <w:trHeight w:val="282"/>
        </w:trPr>
        <w:tc>
          <w:tcPr>
            <w:tcW w:w="300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3520" w:type="dxa"/>
            <w:vAlign w:val="bottom"/>
          </w:tcPr>
          <w:p>
            <w:pPr>
              <w:ind w:left="1020"/>
              <w:spacing w:after="0"/>
              <w:rPr>
                <w:sz w:val="20"/>
                <w:szCs w:val="20"/>
                <w:color w:val="auto"/>
              </w:rPr>
            </w:pPr>
            <w:r>
              <w:rPr>
                <w:rFonts w:ascii="Times New Roman" w:cs="Times New Roman" w:eastAsia="Times New Roman" w:hAnsi="Times New Roman"/>
                <w:sz w:val="22"/>
                <w:szCs w:val="22"/>
                <w:color w:val="auto"/>
              </w:rPr>
              <w:t>06902</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80" w:type="dxa"/>
            <w:vAlign w:val="bottom"/>
          </w:tcPr>
          <w:p>
            <w:pPr>
              <w:spacing w:after="0"/>
              <w:rPr>
                <w:sz w:val="24"/>
                <w:szCs w:val="24"/>
                <w:color w:val="auto"/>
              </w:rPr>
            </w:pPr>
          </w:p>
        </w:tc>
        <w:tc>
          <w:tcPr>
            <w:tcW w:w="3520" w:type="dxa"/>
            <w:vAlign w:val="bottom"/>
          </w:tcPr>
          <w:p>
            <w:pPr>
              <w:ind w:left="1020"/>
              <w:spacing w:after="0"/>
              <w:rPr>
                <w:sz w:val="20"/>
                <w:szCs w:val="20"/>
                <w:color w:val="auto"/>
              </w:rPr>
            </w:pPr>
            <w:r>
              <w:rPr>
                <w:rFonts w:ascii="Times New Roman" w:cs="Times New Roman" w:eastAsia="Times New Roman" w:hAnsi="Times New Roman"/>
                <w:sz w:val="22"/>
                <w:szCs w:val="22"/>
                <w:color w:val="auto"/>
              </w:rPr>
              <w:t>8887291206</w:t>
            </w:r>
          </w:p>
        </w:tc>
      </w:tr>
      <w:tr>
        <w:trPr>
          <w:trHeight w:val="297"/>
        </w:trPr>
        <w:tc>
          <w:tcPr>
            <w:tcW w:w="67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520" w:type="dxa"/>
            <w:vAlign w:val="bottom"/>
          </w:tcPr>
          <w:p>
            <w:pPr>
              <w:ind w:left="1020"/>
              <w:spacing w:after="0"/>
              <w:rPr>
                <w:sz w:val="20"/>
                <w:szCs w:val="20"/>
                <w:color w:val="auto"/>
              </w:rPr>
            </w:pPr>
            <w:r>
              <w:rPr>
                <w:rFonts w:ascii="Times New Roman" w:cs="Times New Roman" w:eastAsia="Times New Roman" w:hAnsi="Times New Roman"/>
                <w:sz w:val="22"/>
                <w:szCs w:val="22"/>
                <w:color w:val="auto"/>
              </w:rPr>
              <w:t>Kevin Feeley</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7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280" w:type="dxa"/>
        <w:tblCellMar>
          <w:top w:w="0" w:type="dxa"/>
          <w:left w:w="0" w:type="dxa"/>
          <w:bottom w:w="0" w:type="dxa"/>
          <w:right w:w="0" w:type="dxa"/>
        </w:tblCellMar>
      </w:tblPr>
      <w:tr>
        <w:trPr>
          <w:trHeight w:val="253"/>
        </w:trPr>
        <w:tc>
          <w:tcPr>
            <w:tcW w:w="2160" w:type="dxa"/>
            <w:vAlign w:val="bottom"/>
          </w:tcPr>
          <w:p>
            <w:pPr>
              <w:spacing w:after="0"/>
              <w:rPr>
                <w:sz w:val="21"/>
                <w:szCs w:val="21"/>
                <w:color w:val="auto"/>
              </w:rPr>
            </w:pPr>
          </w:p>
        </w:tc>
        <w:tc>
          <w:tcPr>
            <w:tcW w:w="234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060" w:type="dxa"/>
            <w:vAlign w:val="bottom"/>
            <w:vMerge w:val="restart"/>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160" w:type="dxa"/>
            <w:vAlign w:val="bottom"/>
            <w:vMerge w:val="restart"/>
          </w:tcPr>
          <w:p>
            <w:pPr>
              <w:jc w:val="center"/>
              <w:ind w:righ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4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13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160" w:type="dxa"/>
            <w:vAlign w:val="bottom"/>
            <w:vMerge w:val="continue"/>
          </w:tcPr>
          <w:p>
            <w:pPr>
              <w:spacing w:after="0"/>
              <w:rPr>
                <w:sz w:val="10"/>
                <w:szCs w:val="10"/>
                <w:color w:val="auto"/>
              </w:rPr>
            </w:pPr>
          </w:p>
        </w:tc>
        <w:tc>
          <w:tcPr>
            <w:tcW w:w="2340" w:type="dxa"/>
            <w:vAlign w:val="bottom"/>
            <w:vMerge w:val="continue"/>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160" w:type="dxa"/>
            <w:vAlign w:val="bottom"/>
            <w:vMerge w:val="restart"/>
          </w:tcPr>
          <w:p>
            <w:pPr>
              <w:jc w:val="center"/>
              <w:ind w:righ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the Broker</w:t>
            </w:r>
          </w:p>
        </w:tc>
        <w:tc>
          <w:tcPr>
            <w:tcW w:w="13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160" w:type="dxa"/>
            <w:vAlign w:val="bottom"/>
            <w:vMerge w:val="continue"/>
          </w:tcPr>
          <w:p>
            <w:pPr>
              <w:spacing w:after="0"/>
              <w:rPr>
                <w:sz w:val="10"/>
                <w:szCs w:val="10"/>
                <w:color w:val="auto"/>
              </w:rPr>
            </w:pPr>
          </w:p>
        </w:tc>
        <w:tc>
          <w:tcPr>
            <w:tcW w:w="2340" w:type="dxa"/>
            <w:vAlign w:val="bottom"/>
            <w:vMerge w:val="continue"/>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vMerge w:val="restart"/>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16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16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5"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Morgan Stanley Smith</w:t>
      </w:r>
    </w:p>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Barney</w:t>
      </w:r>
    </w:p>
    <w:p>
      <w:pPr>
        <w:ind w:left="40"/>
        <w:spacing w:after="0"/>
        <w:tabs>
          <w:tab w:leader="none" w:pos="2480" w:val="left"/>
          <w:tab w:leader="none" w:pos="6080" w:val="left"/>
        </w:tabs>
        <w:rPr>
          <w:sz w:val="20"/>
          <w:szCs w:val="20"/>
          <w:color w:val="auto"/>
        </w:rPr>
      </w:pPr>
      <w:r>
        <w:rPr>
          <w:rFonts w:ascii="Times New Roman" w:cs="Times New Roman" w:eastAsia="Times New Roman" w:hAnsi="Times New Roman"/>
          <w:sz w:val="22"/>
          <w:szCs w:val="22"/>
          <w:color w:val="auto"/>
        </w:rPr>
        <w:t>Class A Common Stock</w:t>
      </w:r>
      <w:r>
        <w:rPr>
          <w:sz w:val="20"/>
          <w:szCs w:val="20"/>
          <w:color w:val="auto"/>
        </w:rPr>
        <w:tab/>
      </w:r>
      <w:r>
        <w:rPr>
          <w:rFonts w:ascii="Times New Roman" w:cs="Times New Roman" w:eastAsia="Times New Roman" w:hAnsi="Times New Roman"/>
          <w:sz w:val="22"/>
          <w:szCs w:val="22"/>
          <w:color w:val="auto"/>
        </w:rPr>
        <w:t>2000 Westchester Avenue 274</w:t>
      </w:r>
      <w:r>
        <w:rPr>
          <w:sz w:val="20"/>
          <w:szCs w:val="20"/>
          <w:color w:val="auto"/>
        </w:rPr>
        <w:tab/>
      </w:r>
      <w:r>
        <w:rPr>
          <w:rFonts w:ascii="Times New Roman" w:cs="Times New Roman" w:eastAsia="Times New Roman" w:hAnsi="Times New Roman"/>
          <w:sz w:val="21"/>
          <w:szCs w:val="21"/>
          <w:color w:val="auto"/>
        </w:rPr>
        <w:t>18248.4</w:t>
      </w:r>
    </w:p>
    <w:p>
      <w:pPr>
        <w:ind w:left="2500"/>
        <w:spacing w:after="0" w:line="231" w:lineRule="auto"/>
        <w:rPr>
          <w:sz w:val="20"/>
          <w:szCs w:val="20"/>
          <w:color w:val="auto"/>
        </w:rPr>
      </w:pPr>
      <w:r>
        <w:rPr>
          <w:rFonts w:ascii="Times New Roman" w:cs="Times New Roman" w:eastAsia="Times New Roman" w:hAnsi="Times New Roman"/>
          <w:sz w:val="22"/>
          <w:szCs w:val="22"/>
          <w:color w:val="auto"/>
        </w:rPr>
        <w:t>Purchase  NY  10577-</w:t>
      </w:r>
    </w:p>
    <w:p>
      <w:pPr>
        <w:ind w:left="2500"/>
        <w:spacing w:after="0"/>
        <w:rPr>
          <w:sz w:val="20"/>
          <w:szCs w:val="20"/>
          <w:color w:val="auto"/>
        </w:rPr>
      </w:pPr>
      <w:r>
        <w:rPr>
          <w:rFonts w:ascii="Times New Roman" w:cs="Times New Roman" w:eastAsia="Times New Roman" w:hAnsi="Times New Roman"/>
          <w:sz w:val="22"/>
          <w:szCs w:val="22"/>
          <w:color w:val="auto"/>
        </w:rPr>
        <w:t>2530</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27471397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10/29/2024   NASDAQ</w:t>
            </w:r>
          </w:p>
        </w:tc>
        <w:tc>
          <w:tcPr>
            <w:tcW w:w="0" w:type="dxa"/>
            <w:vAlign w:val="bottom"/>
          </w:tcPr>
          <w:p>
            <w:pPr>
              <w:spacing w:after="0"/>
              <w:rPr>
                <w:sz w:val="1"/>
                <w:szCs w:val="1"/>
                <w:color w:val="auto"/>
              </w:rPr>
            </w:pPr>
          </w:p>
        </w:tc>
      </w:tr>
    </w:tbl>
    <w:p>
      <w:pPr>
        <w:spacing w:after="0" w:line="680"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4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0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10/29/2024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772"/>
              <w:spacing w:after="0"/>
              <w:rPr>
                <w:sz w:val="20"/>
                <w:szCs w:val="20"/>
                <w:color w:val="auto"/>
              </w:rPr>
            </w:pPr>
            <w:r>
              <w:rPr>
                <w:rFonts w:ascii="Times New Roman" w:cs="Times New Roman" w:eastAsia="Times New Roman" w:hAnsi="Times New Roman"/>
                <w:sz w:val="22"/>
                <w:szCs w:val="22"/>
                <w:color w:val="auto"/>
              </w:rPr>
              <w:t>274</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10/29/2024 N/A</w:t>
            </w: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0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 Vest</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3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1"/>
          <w:szCs w:val="21"/>
          <w:b w:val="1"/>
          <w:bCs w:val="1"/>
          <w:color w:val="auto"/>
        </w:rPr>
        <w:t>Name and Address of Seller</w:t>
      </w: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Kevin Feeley</w:t>
      </w:r>
    </w:p>
    <w:p>
      <w:pPr>
        <w:spacing w:after="0" w:line="14" w:lineRule="exact"/>
        <w:rPr>
          <w:sz w:val="20"/>
          <w:szCs w:val="20"/>
          <w:color w:val="auto"/>
        </w:rPr>
      </w:pPr>
    </w:p>
    <w:p>
      <w:pPr>
        <w:ind w:left="40" w:right="580"/>
        <w:spacing w:after="0" w:line="230" w:lineRule="auto"/>
        <w:rPr>
          <w:sz w:val="20"/>
          <w:szCs w:val="20"/>
          <w:color w:val="auto"/>
        </w:rPr>
      </w:pPr>
      <w:r>
        <w:rPr>
          <w:rFonts w:ascii="Times New Roman" w:cs="Times New Roman" w:eastAsia="Times New Roman" w:hAnsi="Times New Roman"/>
          <w:sz w:val="22"/>
          <w:szCs w:val="22"/>
          <w:color w:val="auto"/>
        </w:rPr>
        <w:t>333 Ludlow St, North Tower 6th Floor</w:t>
      </w:r>
    </w:p>
    <w:p>
      <w:pPr>
        <w:spacing w:after="0" w:line="1" w:lineRule="exact"/>
        <w:rPr>
          <w:sz w:val="20"/>
          <w:szCs w:val="20"/>
          <w:color w:val="auto"/>
        </w:rPr>
      </w:pPr>
    </w:p>
    <w:p>
      <w:pPr>
        <w:ind w:left="40" w:right="1120"/>
        <w:spacing w:after="0" w:line="256" w:lineRule="auto"/>
        <w:rPr>
          <w:sz w:val="20"/>
          <w:szCs w:val="20"/>
          <w:color w:val="auto"/>
        </w:rPr>
      </w:pPr>
      <w:r>
        <w:rPr>
          <w:rFonts w:ascii="Times New Roman" w:cs="Times New Roman" w:eastAsia="Times New Roman" w:hAnsi="Times New Roman"/>
          <w:sz w:val="22"/>
          <w:szCs w:val="22"/>
          <w:color w:val="auto"/>
        </w:rPr>
        <w:t>Stamford CT 06902 Kevin Feeley</w:t>
      </w:r>
    </w:p>
    <w:p>
      <w:pPr>
        <w:ind w:left="40" w:right="580"/>
        <w:spacing w:after="0" w:line="230" w:lineRule="auto"/>
        <w:rPr>
          <w:sz w:val="20"/>
          <w:szCs w:val="20"/>
          <w:color w:val="auto"/>
        </w:rPr>
      </w:pPr>
      <w:r>
        <w:rPr>
          <w:rFonts w:ascii="Times New Roman" w:cs="Times New Roman" w:eastAsia="Times New Roman" w:hAnsi="Times New Roman"/>
          <w:sz w:val="22"/>
          <w:szCs w:val="22"/>
          <w:color w:val="auto"/>
        </w:rPr>
        <w:t>333 Ludlow St, North Tower 6th Floor</w:t>
      </w:r>
    </w:p>
    <w:p>
      <w:pPr>
        <w:spacing w:after="0" w:line="1" w:lineRule="exact"/>
        <w:rPr>
          <w:sz w:val="20"/>
          <w:szCs w:val="20"/>
          <w:color w:val="auto"/>
        </w:rPr>
      </w:pPr>
    </w:p>
    <w:p>
      <w:pPr>
        <w:ind w:left="40" w:right="1120"/>
        <w:spacing w:after="0" w:line="256" w:lineRule="auto"/>
        <w:rPr>
          <w:sz w:val="20"/>
          <w:szCs w:val="20"/>
          <w:color w:val="auto"/>
        </w:rPr>
      </w:pPr>
      <w:r>
        <w:rPr>
          <w:rFonts w:ascii="Times New Roman" w:cs="Times New Roman" w:eastAsia="Times New Roman" w:hAnsi="Times New Roman"/>
          <w:sz w:val="22"/>
          <w:szCs w:val="22"/>
          <w:color w:val="auto"/>
        </w:rPr>
        <w:t>Stamford CT 06902 Kevin Feeley</w:t>
      </w:r>
    </w:p>
    <w:p>
      <w:pPr>
        <w:ind w:left="40" w:right="580"/>
        <w:spacing w:after="0" w:line="230" w:lineRule="auto"/>
        <w:rPr>
          <w:sz w:val="20"/>
          <w:szCs w:val="20"/>
          <w:color w:val="auto"/>
        </w:rPr>
      </w:pPr>
      <w:r>
        <w:rPr>
          <w:rFonts w:ascii="Times New Roman" w:cs="Times New Roman" w:eastAsia="Times New Roman" w:hAnsi="Times New Roman"/>
          <w:sz w:val="22"/>
          <w:szCs w:val="22"/>
          <w:color w:val="auto"/>
        </w:rPr>
        <w:t>333 Ludlow St, North Tower 6th Floor</w:t>
      </w:r>
    </w:p>
    <w:p>
      <w:pPr>
        <w:spacing w:after="0" w:line="1" w:lineRule="exact"/>
        <w:rPr>
          <w:sz w:val="20"/>
          <w:szCs w:val="20"/>
          <w:color w:val="auto"/>
        </w:rPr>
      </w:pPr>
    </w:p>
    <w:p>
      <w:pPr>
        <w:ind w:left="40" w:right="1120"/>
        <w:spacing w:after="0" w:line="256" w:lineRule="auto"/>
        <w:rPr>
          <w:sz w:val="20"/>
          <w:szCs w:val="20"/>
          <w:color w:val="auto"/>
        </w:rPr>
      </w:pPr>
      <w:r>
        <w:rPr>
          <w:rFonts w:ascii="Times New Roman" w:cs="Times New Roman" w:eastAsia="Times New Roman" w:hAnsi="Times New Roman"/>
          <w:sz w:val="22"/>
          <w:szCs w:val="22"/>
          <w:color w:val="auto"/>
        </w:rPr>
        <w:t>Stamford CT 06902 Kevin Feeley</w:t>
      </w:r>
    </w:p>
    <w:p>
      <w:pPr>
        <w:ind w:left="40" w:right="580"/>
        <w:spacing w:after="0" w:line="230" w:lineRule="auto"/>
        <w:rPr>
          <w:sz w:val="20"/>
          <w:szCs w:val="20"/>
          <w:color w:val="auto"/>
        </w:rPr>
      </w:pPr>
      <w:r>
        <w:rPr>
          <w:rFonts w:ascii="Times New Roman" w:cs="Times New Roman" w:eastAsia="Times New Roman" w:hAnsi="Times New Roman"/>
          <w:sz w:val="22"/>
          <w:szCs w:val="22"/>
          <w:color w:val="auto"/>
        </w:rPr>
        <w:t>333 Ludlow St, North Tower 6th Floor</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Stamford  CT  06902</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4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24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24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tcPr>
          <w:p>
            <w:pPr>
              <w:jc w:val="right"/>
              <w:ind w:right="712"/>
              <w:spacing w:after="0"/>
              <w:rPr>
                <w:sz w:val="20"/>
                <w:szCs w:val="20"/>
                <w:color w:val="auto"/>
              </w:rPr>
            </w:pPr>
            <w:r>
              <w:rPr>
                <w:rFonts w:ascii="Times New Roman" w:cs="Times New Roman" w:eastAsia="Times New Roman" w:hAnsi="Times New Roman"/>
                <w:sz w:val="22"/>
                <w:szCs w:val="22"/>
                <w:color w:val="auto"/>
              </w:rPr>
              <w:t>09/16/2024 2635</w:t>
            </w:r>
          </w:p>
        </w:tc>
        <w:tc>
          <w:tcPr>
            <w:tcW w:w="1580" w:type="dxa"/>
            <w:vAlign w:val="bottom"/>
          </w:tcPr>
          <w:p>
            <w:pPr>
              <w:jc w:val="right"/>
              <w:ind w:right="552"/>
              <w:spacing w:after="0"/>
              <w:rPr>
                <w:sz w:val="20"/>
                <w:szCs w:val="20"/>
                <w:color w:val="auto"/>
              </w:rPr>
            </w:pPr>
            <w:r>
              <w:rPr>
                <w:rFonts w:ascii="Times New Roman" w:cs="Times New Roman" w:eastAsia="Times New Roman" w:hAnsi="Times New Roman"/>
                <w:sz w:val="22"/>
                <w:szCs w:val="22"/>
                <w:color w:val="auto"/>
              </w:rPr>
              <w:t>99049.65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660" w:type="dxa"/>
            <w:vAlign w:val="bottom"/>
          </w:tcPr>
          <w:p>
            <w:pPr>
              <w:jc w:val="right"/>
              <w:ind w:right="412"/>
              <w:spacing w:after="0"/>
              <w:rPr>
                <w:sz w:val="20"/>
                <w:szCs w:val="20"/>
                <w:color w:val="auto"/>
              </w:rPr>
            </w:pPr>
            <w:r>
              <w:rPr>
                <w:rFonts w:ascii="Times New Roman" w:cs="Times New Roman" w:eastAsia="Times New Roman" w:hAnsi="Times New Roman"/>
                <w:sz w:val="22"/>
                <w:szCs w:val="22"/>
                <w:color w:val="auto"/>
              </w:rPr>
              <w:t>09/09/2024 895</w:t>
            </w:r>
          </w:p>
        </w:tc>
        <w:tc>
          <w:tcPr>
            <w:tcW w:w="1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29830.35</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660" w:type="dxa"/>
            <w:vAlign w:val="bottom"/>
          </w:tcPr>
          <w:p>
            <w:pPr>
              <w:jc w:val="right"/>
              <w:ind w:right="412"/>
              <w:spacing w:after="0"/>
              <w:rPr>
                <w:sz w:val="20"/>
                <w:szCs w:val="20"/>
                <w:color w:val="auto"/>
              </w:rPr>
            </w:pPr>
            <w:r>
              <w:rPr>
                <w:rFonts w:ascii="Times New Roman" w:cs="Times New Roman" w:eastAsia="Times New Roman" w:hAnsi="Times New Roman"/>
                <w:sz w:val="22"/>
                <w:szCs w:val="22"/>
                <w:color w:val="auto"/>
              </w:rPr>
              <w:t>09/03/2024 262</w:t>
            </w:r>
          </w:p>
        </w:tc>
        <w:tc>
          <w:tcPr>
            <w:tcW w:w="12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8307.92</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660" w:type="dxa"/>
            <w:vAlign w:val="bottom"/>
          </w:tcPr>
          <w:p>
            <w:pPr>
              <w:jc w:val="right"/>
              <w:ind w:right="412"/>
              <w:spacing w:after="0"/>
              <w:rPr>
                <w:sz w:val="20"/>
                <w:szCs w:val="20"/>
                <w:color w:val="auto"/>
              </w:rPr>
            </w:pPr>
            <w:r>
              <w:rPr>
                <w:rFonts w:ascii="Times New Roman" w:cs="Times New Roman" w:eastAsia="Times New Roman" w:hAnsi="Times New Roman"/>
                <w:sz w:val="22"/>
                <w:szCs w:val="22"/>
                <w:color w:val="auto"/>
              </w:rPr>
              <w:t>07/29/2024 274</w:t>
            </w:r>
          </w:p>
        </w:tc>
        <w:tc>
          <w:tcPr>
            <w:tcW w:w="12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9189.96</w:t>
            </w:r>
          </w:p>
        </w:tc>
      </w:tr>
    </w:tbl>
    <w:p>
      <w:pPr>
        <w:spacing w:after="0" w:line="559" w:lineRule="exact"/>
        <w:rPr>
          <w:sz w:val="20"/>
          <w:szCs w:val="20"/>
          <w:color w:val="auto"/>
        </w:rPr>
      </w:pPr>
    </w:p>
    <w:p>
      <w:pPr>
        <w:sectPr>
          <w:pgSz w:w="11900" w:h="16838" w:orient="portrait"/>
          <w:cols w:equalWidth="0" w:num="2">
            <w:col w:w="3120" w:space="540"/>
            <w:col w:w="7580"/>
          </w:cols>
          <w:pgMar w:left="320" w:top="98" w:right="339" w:bottom="1440" w:gutter="0" w:footer="0" w:header="0"/>
          <w:type w:val="continuous"/>
        </w:sectPr>
      </w:pP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994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Represents shares to be sold on behalf of the Reporting Person to cover tax withholding obligations in connection</w:t>
            </w:r>
          </w:p>
        </w:tc>
        <w:tc>
          <w:tcPr>
            <w:tcW w:w="0" w:type="dxa"/>
            <w:vAlign w:val="bottom"/>
          </w:tcPr>
          <w:p>
            <w:pPr>
              <w:spacing w:after="0"/>
              <w:rPr>
                <w:sz w:val="1"/>
                <w:szCs w:val="1"/>
                <w:color w:val="auto"/>
              </w:rPr>
            </w:pPr>
          </w:p>
        </w:tc>
      </w:tr>
      <w:tr>
        <w:trPr>
          <w:trHeight w:val="161"/>
        </w:trPr>
        <w:tc>
          <w:tcPr>
            <w:tcW w:w="900" w:type="dxa"/>
            <w:vAlign w:val="bottom"/>
            <w:vMerge w:val="continue"/>
          </w:tcPr>
          <w:p>
            <w:pPr>
              <w:spacing w:after="0"/>
              <w:rPr>
                <w:sz w:val="13"/>
                <w:szCs w:val="13"/>
                <w:color w:val="auto"/>
              </w:rPr>
            </w:pPr>
          </w:p>
        </w:tc>
        <w:tc>
          <w:tcPr>
            <w:tcW w:w="994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with the vesting of restricted stock units.</w:t>
            </w:r>
          </w:p>
        </w:tc>
        <w:tc>
          <w:tcPr>
            <w:tcW w:w="0" w:type="dxa"/>
            <w:vAlign w:val="bottom"/>
          </w:tcPr>
          <w:p>
            <w:pPr>
              <w:spacing w:after="0"/>
              <w:rPr>
                <w:sz w:val="1"/>
                <w:szCs w:val="1"/>
                <w:color w:val="auto"/>
              </w:rPr>
            </w:pPr>
          </w:p>
        </w:tc>
      </w:tr>
      <w:tr>
        <w:trPr>
          <w:trHeight w:val="121"/>
        </w:trPr>
        <w:tc>
          <w:tcPr>
            <w:tcW w:w="900" w:type="dxa"/>
            <w:vAlign w:val="bottom"/>
          </w:tcPr>
          <w:p>
            <w:pPr>
              <w:spacing w:after="0"/>
              <w:rPr>
                <w:sz w:val="10"/>
                <w:szCs w:val="10"/>
                <w:color w:val="auto"/>
              </w:rPr>
            </w:pPr>
          </w:p>
        </w:tc>
        <w:tc>
          <w:tcPr>
            <w:tcW w:w="99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84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10/29/2024</w:t>
            </w:r>
          </w:p>
        </w:tc>
        <w:tc>
          <w:tcPr>
            <w:tcW w:w="0" w:type="dxa"/>
            <w:vAlign w:val="bottom"/>
          </w:tcPr>
          <w:p>
            <w:pPr>
              <w:spacing w:after="0"/>
              <w:rPr>
                <w:sz w:val="1"/>
                <w:szCs w:val="1"/>
                <w:color w:val="auto"/>
              </w:rPr>
            </w:pPr>
          </w:p>
        </w:tc>
      </w:tr>
      <w:tr>
        <w:trPr>
          <w:trHeight w:val="161"/>
        </w:trPr>
        <w:tc>
          <w:tcPr>
            <w:tcW w:w="8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1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840" w:type="dxa"/>
            <w:vAlign w:val="bottom"/>
            <w:vMerge w:val="continue"/>
          </w:tcPr>
          <w:p>
            <w:pPr>
              <w:spacing w:after="0"/>
              <w:rPr>
                <w:sz w:val="10"/>
                <w:szCs w:val="10"/>
                <w:color w:val="auto"/>
              </w:rPr>
            </w:pPr>
          </w:p>
        </w:tc>
        <w:tc>
          <w:tcPr>
            <w:tcW w:w="1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200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0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Kevin Feeley</w:t>
      </w:r>
    </w:p>
    <w:p>
      <w:pPr>
        <w:sectPr>
          <w:pgSz w:w="11900" w:h="16838" w:orient="portrait"/>
          <w:cols w:equalWidth="0" w:num="1">
            <w:col w:w="11240"/>
          </w:cols>
          <w:pgMar w:left="320" w:top="98" w:right="339" w:bottom="1440" w:gutter="0" w:footer="0" w:header="0"/>
          <w:type w:val="continuous"/>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2024-10-29T18:52:47Z</dcterms:created>
  <dcterms:modified xsi:type="dcterms:W3CDTF">2024-10-29T18:52:47Z</dcterms:modified>
</cp:coreProperties>
</file>