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5"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2" w:lineRule="exact"/>
        <w:rPr>
          <w:sz w:val="24"/>
          <w:szCs w:val="24"/>
          <w:color w:val="auto"/>
        </w:rPr>
      </w:pPr>
    </w:p>
    <w:p>
      <w:pPr>
        <w:ind w:left="36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-237490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40" w:type="dxa"/>
            <w:vAlign w:val="bottom"/>
          </w:tcPr>
          <w:p>
            <w:pPr>
              <w:jc w:val="center"/>
              <w:ind w:right="15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40" w:type="dxa"/>
            <w:vAlign w:val="bottom"/>
            <w:vMerge w:val="restart"/>
          </w:tcPr>
          <w:p>
            <w:pPr>
              <w:jc w:val="center"/>
              <w:ind w:right="155"/>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40" w:type="dxa"/>
            <w:vAlign w:val="bottom"/>
            <w:vMerge w:val="restart"/>
          </w:tcPr>
          <w:p>
            <w:pPr>
              <w:jc w:val="center"/>
              <w:ind w:right="15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40" w:type="dxa"/>
            <w:vAlign w:val="bottom"/>
            <w:vMerge w:val="restart"/>
          </w:tcPr>
          <w:p>
            <w:pPr>
              <w:jc w:val="center"/>
              <w:ind w:right="15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-632460</wp:posOffset>
            </wp:positionV>
            <wp:extent cx="58420" cy="6457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579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-632460</wp:posOffset>
            </wp:positionV>
            <wp:extent cx="58420" cy="645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79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24765</wp:posOffset>
            </wp:positionV>
            <wp:extent cx="6992620" cy="51803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5180330"/>
                    </a:xfrm>
                    <a:prstGeom prst="rect">
                      <a:avLst/>
                    </a:prstGeom>
                    <a:noFill/>
                  </pic:spPr>
                </pic:pic>
              </a:graphicData>
            </a:graphic>
          </wp:anchor>
        </w:drawing>
      </w:r>
    </w:p>
    <w:p>
      <w:pPr>
        <w:spacing w:after="0" w:line="105" w:lineRule="exact"/>
        <w:rPr>
          <w:sz w:val="24"/>
          <w:szCs w:val="24"/>
          <w:color w:val="auto"/>
        </w:rPr>
      </w:pPr>
    </w:p>
    <w:p>
      <w:pPr>
        <w:sectPr>
          <w:pgSz w:w="11900" w:h="16838" w:orient="portrait"/>
          <w:cols w:equalWidth="0" w:num="2">
            <w:col w:w="2280" w:space="240"/>
            <w:col w:w="8560"/>
          </w:cols>
          <w:pgMar w:left="460" w:top="216" w:right="359" w:bottom="1440" w:gutter="0" w:footer="0" w:header="0"/>
        </w:sectPr>
      </w:pPr>
    </w:p>
    <w:p>
      <w:pPr>
        <w:spacing w:after="0" w:line="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PFENNIGER RICHARD C JR</w:t>
        </w:r>
      </w:hyperlink>
    </w:p>
    <w:p>
      <w:pPr>
        <w:spacing w:after="0" w:line="296" w:lineRule="exact"/>
        <w:rPr>
          <w:sz w:val="24"/>
          <w:szCs w:val="24"/>
          <w:color w:val="auto"/>
        </w:rPr>
      </w:pPr>
    </w:p>
    <w:p>
      <w:pPr>
        <w:ind w:left="120"/>
        <w:spacing w:after="0"/>
        <w:tabs>
          <w:tab w:leader="none" w:pos="1320" w:val="left"/>
          <w:tab w:leader="none" w:pos="25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2" w:lineRule="exact"/>
        <w:rPr>
          <w:sz w:val="24"/>
          <w:szCs w:val="24"/>
          <w:color w:val="auto"/>
        </w:rPr>
      </w:pPr>
    </w:p>
    <w:p>
      <w:pPr>
        <w:ind w:left="120" w:right="1080"/>
        <w:spacing w:after="0" w:line="385" w:lineRule="auto"/>
        <w:rPr>
          <w:sz w:val="20"/>
          <w:szCs w:val="20"/>
          <w:color w:val="auto"/>
        </w:rPr>
      </w:pPr>
      <w:r>
        <w:rPr>
          <w:rFonts w:ascii="Times New Roman" w:cs="Times New Roman" w:eastAsia="Times New Roman" w:hAnsi="Times New Roman"/>
          <w:sz w:val="16"/>
          <w:szCs w:val="16"/>
          <w:color w:val="0000FF"/>
        </w:rPr>
        <w:t>C/O GENEDX HOLDINGS CORP. 333 LUDLOW ST, NORTH TOWER</w:t>
      </w:r>
    </w:p>
    <w:p>
      <w:pPr>
        <w:spacing w:after="0" w:line="152"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30"/>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STAMFORD</w:t>
            </w:r>
          </w:p>
        </w:tc>
        <w:tc>
          <w:tcPr>
            <w:tcW w:w="98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CT</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06902</w:t>
            </w:r>
          </w:p>
        </w:tc>
      </w:tr>
      <w:tr>
        <w:trPr>
          <w:trHeight w:val="152"/>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3"/>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8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080" w:type="dxa"/>
            <w:vAlign w:val="bottom"/>
            <w:gridSpan w:val="2"/>
          </w:tcPr>
          <w:p>
            <w:pPr>
              <w:spacing w:after="0"/>
              <w:rPr>
                <w:sz w:val="20"/>
                <w:szCs w:val="20"/>
                <w:color w:val="auto"/>
              </w:rPr>
            </w:pPr>
            <w:r>
              <w:rPr>
                <w:rFonts w:ascii="Arial" w:cs="Arial" w:eastAsia="Arial" w:hAnsi="Arial"/>
                <w:sz w:val="13"/>
                <w:szCs w:val="13"/>
                <w:color w:val="auto"/>
              </w:rPr>
              <w:t>Relationship of Reporting Person(s) to Issuer</w:t>
            </w:r>
          </w:p>
        </w:tc>
      </w:tr>
      <w:tr>
        <w:trPr>
          <w:trHeight w:val="215"/>
        </w:trPr>
        <w:tc>
          <w:tcPr>
            <w:tcW w:w="80" w:type="dxa"/>
            <w:vAlign w:val="bottom"/>
          </w:tcPr>
          <w:p>
            <w:pPr>
              <w:spacing w:after="0"/>
              <w:rPr>
                <w:sz w:val="18"/>
                <w:szCs w:val="18"/>
                <w:color w:val="auto"/>
              </w:rPr>
            </w:pPr>
          </w:p>
        </w:tc>
        <w:tc>
          <w:tcPr>
            <w:tcW w:w="3760" w:type="dxa"/>
            <w:vAlign w:val="bottom"/>
            <w:gridSpan w:val="3"/>
          </w:tcPr>
          <w:p>
            <w:pPr>
              <w:spacing w:after="0" w:line="209"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GeneDx Holdings Corp.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WGS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4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8"/>
                <w:szCs w:val="18"/>
                <w:color w:val="auto"/>
              </w:rPr>
            </w:pPr>
          </w:p>
        </w:tc>
      </w:tr>
      <w:tr>
        <w:trPr>
          <w:trHeight w:val="136"/>
        </w:trPr>
        <w:tc>
          <w:tcPr>
            <w:tcW w:w="80" w:type="dxa"/>
            <w:vAlign w:val="bottom"/>
            <w:tcBorders>
              <w:bottom w:val="single" w:sz="8" w:color="2C2C2C"/>
            </w:tcBorders>
          </w:tcPr>
          <w:p>
            <w:pPr>
              <w:spacing w:after="0"/>
              <w:rPr>
                <w:sz w:val="11"/>
                <w:szCs w:val="11"/>
                <w:color w:val="auto"/>
              </w:rPr>
            </w:pPr>
          </w:p>
        </w:tc>
        <w:tc>
          <w:tcPr>
            <w:tcW w:w="120" w:type="dxa"/>
            <w:vAlign w:val="bottom"/>
            <w:tcBorders>
              <w:top w:val="single" w:sz="8" w:color="0000EE"/>
              <w:bottom w:val="single" w:sz="8" w:color="2C2C2C"/>
            </w:tcBorders>
          </w:tcPr>
          <w:p>
            <w:pPr>
              <w:spacing w:after="0"/>
              <w:rPr>
                <w:sz w:val="11"/>
                <w:szCs w:val="11"/>
                <w:color w:val="auto"/>
              </w:rPr>
            </w:pPr>
          </w:p>
        </w:tc>
        <w:tc>
          <w:tcPr>
            <w:tcW w:w="1900" w:type="dxa"/>
            <w:vAlign w:val="bottom"/>
            <w:tcBorders>
              <w:top w:val="single" w:sz="8" w:color="0000EE"/>
              <w:bottom w:val="single" w:sz="8" w:color="2C2C2C"/>
            </w:tcBorders>
          </w:tcPr>
          <w:p>
            <w:pPr>
              <w:spacing w:after="0"/>
              <w:rPr>
                <w:sz w:val="11"/>
                <w:szCs w:val="11"/>
                <w:color w:val="auto"/>
              </w:rPr>
            </w:pPr>
          </w:p>
        </w:tc>
        <w:tc>
          <w:tcPr>
            <w:tcW w:w="174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640" w:type="dxa"/>
            <w:vAlign w:val="bottom"/>
          </w:tcPr>
          <w:p>
            <w:pPr>
              <w:ind w:left="60"/>
              <w:spacing w:after="0" w:line="110" w:lineRule="exact"/>
              <w:rPr>
                <w:sz w:val="20"/>
                <w:szCs w:val="20"/>
                <w:color w:val="auto"/>
              </w:rPr>
            </w:pPr>
            <w:r>
              <w:rPr>
                <w:rFonts w:ascii="Times New Roman" w:cs="Times New Roman" w:eastAsia="Times New Roman" w:hAnsi="Times New Roman"/>
                <w:sz w:val="12"/>
                <w:szCs w:val="12"/>
                <w:color w:val="0000FF"/>
              </w:rPr>
              <w:t xml:space="preserve">X   </w:t>
            </w:r>
            <w:r>
              <w:rPr>
                <w:rFonts w:ascii="Arial" w:cs="Arial" w:eastAsia="Arial" w:hAnsi="Arial"/>
                <w:sz w:val="9"/>
                <w:szCs w:val="9"/>
                <w:color w:val="000000"/>
              </w:rPr>
              <w:t>Director</w:t>
            </w:r>
          </w:p>
        </w:tc>
        <w:tc>
          <w:tcPr>
            <w:tcW w:w="1440" w:type="dxa"/>
            <w:vAlign w:val="bottom"/>
          </w:tcPr>
          <w:p>
            <w:pPr>
              <w:ind w:left="300"/>
              <w:spacing w:after="0" w:line="110" w:lineRule="exact"/>
              <w:rPr>
                <w:sz w:val="20"/>
                <w:szCs w:val="20"/>
                <w:color w:val="auto"/>
              </w:rPr>
            </w:pPr>
            <w:r>
              <w:rPr>
                <w:rFonts w:ascii="Arial" w:cs="Arial" w:eastAsia="Arial" w:hAnsi="Arial"/>
                <w:sz w:val="12"/>
                <w:szCs w:val="12"/>
                <w:color w:val="auto"/>
              </w:rPr>
              <w:t>10% Owner</w:t>
            </w:r>
          </w:p>
        </w:tc>
      </w:tr>
      <w:tr>
        <w:trPr>
          <w:trHeight w:val="195"/>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6"/>
                <w:szCs w:val="16"/>
                <w:color w:val="auto"/>
              </w:rPr>
            </w:pPr>
          </w:p>
        </w:tc>
        <w:tc>
          <w:tcPr>
            <w:tcW w:w="1640" w:type="dxa"/>
            <w:vAlign w:val="bottom"/>
          </w:tcPr>
          <w:p>
            <w:pPr>
              <w:ind w:left="38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r>
      <w:tr>
        <w:trPr>
          <w:trHeight w:val="219"/>
        </w:trPr>
        <w:tc>
          <w:tcPr>
            <w:tcW w:w="21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05/02/2024</w:t>
            </w:r>
          </w:p>
        </w:tc>
        <w:tc>
          <w:tcPr>
            <w:tcW w:w="1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40" w:type="dxa"/>
            <w:vAlign w:val="bottom"/>
          </w:tcPr>
          <w:p>
            <w:pPr>
              <w:ind w:left="38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r>
      <w:tr>
        <w:trPr>
          <w:trHeight w:val="100"/>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900" w:type="dxa"/>
            <w:vAlign w:val="bottom"/>
            <w:tcBorders>
              <w:bottom w:val="single" w:sz="8" w:color="2C2C2C"/>
            </w:tcBorders>
          </w:tcPr>
          <w:p>
            <w:pPr>
              <w:spacing w:after="0"/>
              <w:rPr>
                <w:sz w:val="8"/>
                <w:szCs w:val="8"/>
                <w:color w:val="auto"/>
              </w:rPr>
            </w:pPr>
          </w:p>
        </w:tc>
        <w:tc>
          <w:tcPr>
            <w:tcW w:w="174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080" w:type="dxa"/>
            <w:vAlign w:val="bottom"/>
            <w:tcBorders>
              <w:bottom w:val="single" w:sz="8" w:color="2C2C2C"/>
            </w:tcBorders>
            <w:gridSpan w:val="2"/>
          </w:tcPr>
          <w:p>
            <w:pPr>
              <w:spacing w:after="0"/>
              <w:rPr>
                <w:sz w:val="8"/>
                <w:szCs w:val="8"/>
                <w:color w:val="auto"/>
              </w:rPr>
            </w:pPr>
          </w:p>
        </w:tc>
      </w:tr>
      <w:tr>
        <w:trPr>
          <w:trHeight w:val="195"/>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080" w:type="dxa"/>
            <w:vAlign w:val="bottom"/>
            <w:gridSpan w:val="2"/>
          </w:tcPr>
          <w:p>
            <w:pPr>
              <w:spacing w:after="0"/>
              <w:rPr>
                <w:sz w:val="20"/>
                <w:szCs w:val="20"/>
                <w:color w:val="auto"/>
              </w:rPr>
            </w:pPr>
            <w:r>
              <w:rPr>
                <w:rFonts w:ascii="Arial" w:cs="Arial" w:eastAsia="Arial" w:hAnsi="Arial"/>
                <w:sz w:val="13"/>
                <w:szCs w:val="13"/>
                <w:color w:val="auto"/>
              </w:rPr>
              <w:t>Individual or Joint/Group Filing (Check Applicable</w:t>
            </w: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6" w:lineRule="auto"/>
        <w:tabs>
          <w:tab w:leader="none" w:pos="44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9"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138"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16" w:lineRule="exact"/>
        <w:rPr>
          <w:sz w:val="24"/>
          <w:szCs w:val="24"/>
          <w:color w:val="auto"/>
        </w:rPr>
      </w:pPr>
    </w:p>
    <w:p>
      <w:pPr>
        <w:ind w:left="340" w:right="580"/>
        <w:spacing w:after="0" w:line="251"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2" w:lineRule="exact"/>
        <w:rPr>
          <w:sz w:val="24"/>
          <w:szCs w:val="24"/>
          <w:color w:val="auto"/>
        </w:rPr>
      </w:pPr>
    </w:p>
    <w:p>
      <w:pPr>
        <w:sectPr>
          <w:pgSz w:w="11900" w:h="16838" w:orient="portrait"/>
          <w:cols w:equalWidth="0" w:num="2">
            <w:col w:w="3760" w:space="8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gridSpan w:val="2"/>
          </w:tcPr>
          <w:p>
            <w:pPr>
              <w:ind w:left="68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3"/>
                <w:szCs w:val="13"/>
                <w:color w:val="auto"/>
              </w:rPr>
            </w:pPr>
          </w:p>
        </w:tc>
        <w:tc>
          <w:tcPr>
            <w:tcW w:w="17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ind w:left="680"/>
              <w:spacing w:after="0" w:line="130"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7"/>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w w:val="96"/>
              </w:rPr>
              <w:t>Disposed Of (D) (Instr. 3, 4 and</w:t>
            </w:r>
          </w:p>
        </w:tc>
        <w:tc>
          <w:tcPr>
            <w:tcW w:w="1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720" w:type="dxa"/>
            <w:vAlign w:val="bottom"/>
            <w:gridSpan w:val="2"/>
          </w:tcPr>
          <w:p>
            <w:pPr>
              <w:ind w:left="68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2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300"/>
              <w:spacing w:after="0" w:line="130"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66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580" w:type="dxa"/>
            <w:vAlign w:val="bottom"/>
            <w:tcBorders>
              <w:bottom w:val="single" w:sz="8" w:color="2C2C2C"/>
            </w:tcBorders>
            <w:gridSpan w:val="3"/>
          </w:tcPr>
          <w:p>
            <w:pPr>
              <w:spacing w:after="0"/>
              <w:rPr>
                <w:sz w:val="3"/>
                <w:szCs w:val="3"/>
                <w:color w:val="auto"/>
              </w:rPr>
            </w:pPr>
          </w:p>
        </w:tc>
        <w:tc>
          <w:tcPr>
            <w:tcW w:w="172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9"/>
        </w:trPr>
        <w:tc>
          <w:tcPr>
            <w:tcW w:w="20" w:type="dxa"/>
            <w:vAlign w:val="bottom"/>
            <w:tcBorders>
              <w:bottom w:val="single" w:sz="8" w:color="2C2C2C"/>
            </w:tcBorders>
          </w:tcPr>
          <w:p>
            <w:pPr>
              <w:spacing w:after="0"/>
              <w:rPr>
                <w:sz w:val="24"/>
                <w:szCs w:val="24"/>
                <w:color w:val="auto"/>
              </w:rPr>
            </w:pPr>
          </w:p>
        </w:tc>
        <w:tc>
          <w:tcPr>
            <w:tcW w:w="2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20" w:type="dxa"/>
            <w:vAlign w:val="bottom"/>
            <w:tcBorders>
              <w:bottom w:val="single" w:sz="8" w:color="2C2C2C"/>
            </w:tcBorders>
            <w:gridSpan w:val="2"/>
          </w:tcPr>
          <w:p>
            <w:pPr>
              <w:ind w:left="780"/>
              <w:spacing w:after="0"/>
              <w:rPr>
                <w:sz w:val="20"/>
                <w:szCs w:val="20"/>
                <w:color w:val="auto"/>
              </w:rPr>
            </w:pPr>
            <w:r>
              <w:rPr>
                <w:rFonts w:ascii="Times New Roman" w:cs="Times New Roman" w:eastAsia="Times New Roman" w:hAnsi="Times New Roman"/>
                <w:sz w:val="17"/>
                <w:szCs w:val="17"/>
                <w:color w:val="0000FF"/>
              </w:rPr>
              <w:t>05/02/2024</w:t>
            </w:r>
          </w:p>
        </w:tc>
        <w:tc>
          <w:tcPr>
            <w:tcW w:w="1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20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918</w:t>
            </w:r>
          </w:p>
        </w:tc>
        <w:tc>
          <w:tcPr>
            <w:tcW w:w="66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7"/>
                <w:szCs w:val="17"/>
                <w:color w:val="0000FF"/>
              </w:rPr>
              <w:t>A</w:t>
            </w:r>
          </w:p>
        </w:tc>
        <w:tc>
          <w:tcPr>
            <w:tcW w:w="560" w:type="dxa"/>
            <w:vAlign w:val="bottom"/>
            <w:tcBorders>
              <w:bottom w:val="single" w:sz="8" w:color="2C2C2C"/>
            </w:tcBorders>
            <w:gridSpan w:val="2"/>
          </w:tcPr>
          <w:p>
            <w:pPr>
              <w:ind w:left="240"/>
              <w:spacing w:after="0" w:line="313" w:lineRule="exact"/>
              <w:rPr>
                <w:sz w:val="20"/>
                <w:szCs w:val="20"/>
                <w:color w:val="auto"/>
              </w:rPr>
            </w:pPr>
            <w:r>
              <w:rPr>
                <w:rFonts w:ascii="Arial" w:cs="Arial" w:eastAsia="Arial" w:hAnsi="Arial"/>
                <w:sz w:val="33"/>
                <w:szCs w:val="33"/>
                <w:color w:val="000000"/>
                <w:w w:val="83"/>
                <w:vertAlign w:val="subscript"/>
              </w:rPr>
              <w:t>$</w:t>
            </w:r>
            <w:r>
              <w:rPr>
                <w:rFonts w:ascii="Times New Roman" w:cs="Times New Roman" w:eastAsia="Times New Roman" w:hAnsi="Times New Roman"/>
                <w:sz w:val="33"/>
                <w:szCs w:val="33"/>
                <w:color w:val="0000FF"/>
                <w:w w:val="83"/>
                <w:vertAlign w:val="subscript"/>
              </w:rPr>
              <w:t>0</w:t>
            </w:r>
            <w:r>
              <w:rPr>
                <w:rFonts w:ascii="Times New Roman" w:cs="Times New Roman" w:eastAsia="Times New Roman" w:hAnsi="Times New Roman"/>
                <w:sz w:val="11"/>
                <w:szCs w:val="11"/>
                <w:color w:val="008000"/>
                <w:w w:val="83"/>
              </w:rPr>
              <w:t>(1)</w:t>
            </w:r>
          </w:p>
        </w:tc>
        <w:tc>
          <w:tcPr>
            <w:tcW w:w="1320" w:type="dxa"/>
            <w:vAlign w:val="bottom"/>
            <w:tcBorders>
              <w:bottom w:val="single" w:sz="8" w:color="2C2C2C"/>
            </w:tcBorders>
            <w:gridSpan w:val="3"/>
          </w:tcPr>
          <w:p>
            <w:pPr>
              <w:ind w:left="460"/>
              <w:spacing w:after="0"/>
              <w:rPr>
                <w:sz w:val="20"/>
                <w:szCs w:val="20"/>
                <w:color w:val="auto"/>
              </w:rPr>
            </w:pPr>
            <w:r>
              <w:rPr>
                <w:rFonts w:ascii="Times New Roman" w:cs="Times New Roman" w:eastAsia="Times New Roman" w:hAnsi="Times New Roman"/>
                <w:sz w:val="17"/>
                <w:szCs w:val="17"/>
                <w:color w:val="0000FF"/>
              </w:rPr>
              <w:t>21,836</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4"/>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380" w:type="dxa"/>
            <w:vAlign w:val="bottom"/>
            <w:gridSpan w:val="11"/>
          </w:tcPr>
          <w:p>
            <w:pPr>
              <w:ind w:left="6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4"/>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2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2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2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200" w:type="dxa"/>
            <w:vAlign w:val="bottom"/>
          </w:tcPr>
          <w:p>
            <w:pPr>
              <w:spacing w:after="0"/>
              <w:rPr>
                <w:sz w:val="15"/>
                <w:szCs w:val="15"/>
                <w:color w:val="auto"/>
              </w:rPr>
            </w:pPr>
          </w:p>
        </w:tc>
        <w:tc>
          <w:tcPr>
            <w:tcW w:w="520" w:type="dxa"/>
            <w:vAlign w:val="bottom"/>
            <w:vMerge w:val="restart"/>
          </w:tcPr>
          <w:p>
            <w:pPr>
              <w:ind w:left="60"/>
              <w:spacing w:after="0"/>
              <w:rPr>
                <w:sz w:val="20"/>
                <w:szCs w:val="20"/>
                <w:color w:val="auto"/>
              </w:rPr>
            </w:pPr>
            <w:r>
              <w:rPr>
                <w:rFonts w:ascii="Times New Roman" w:cs="Times New Roman" w:eastAsia="Times New Roman" w:hAnsi="Times New Roman"/>
                <w:sz w:val="11"/>
                <w:szCs w:val="11"/>
                <w:color w:val="008000"/>
              </w:rPr>
              <w:t>(2)</w:t>
            </w:r>
          </w:p>
        </w:tc>
        <w:tc>
          <w:tcPr>
            <w:tcW w:w="66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Class A</w:t>
            </w:r>
          </w:p>
        </w:tc>
        <w:tc>
          <w:tcPr>
            <w:tcW w:w="52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918</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1100" w:type="dxa"/>
            <w:vAlign w:val="bottom"/>
            <w:vMerge w:val="restart"/>
          </w:tcPr>
          <w:p>
            <w:pPr>
              <w:ind w:left="260"/>
              <w:spacing w:after="0" w:line="144" w:lineRule="exact"/>
              <w:rPr>
                <w:sz w:val="20"/>
                <w:szCs w:val="20"/>
                <w:color w:val="auto"/>
              </w:rPr>
            </w:pPr>
            <w:r>
              <w:rPr>
                <w:rFonts w:ascii="Times New Roman" w:cs="Times New Roman" w:eastAsia="Times New Roman" w:hAnsi="Times New Roman"/>
                <w:sz w:val="13"/>
                <w:szCs w:val="13"/>
                <w:color w:val="0000FF"/>
              </w:rPr>
              <w:t>05/02/2024</w:t>
            </w:r>
          </w:p>
        </w:tc>
        <w:tc>
          <w:tcPr>
            <w:tcW w:w="1100" w:type="dxa"/>
            <w:vAlign w:val="bottom"/>
          </w:tcPr>
          <w:p>
            <w:pPr>
              <w:spacing w:after="0"/>
              <w:rPr>
                <w:sz w:val="5"/>
                <w:szCs w:val="5"/>
                <w:color w:val="auto"/>
              </w:rPr>
            </w:pPr>
          </w:p>
        </w:tc>
        <w:tc>
          <w:tcPr>
            <w:tcW w:w="620" w:type="dxa"/>
            <w:vAlign w:val="bottom"/>
            <w:vMerge w:val="restart"/>
          </w:tcPr>
          <w:p>
            <w:pPr>
              <w:ind w:left="140"/>
              <w:spacing w:after="0" w:line="144" w:lineRule="exact"/>
              <w:rPr>
                <w:sz w:val="20"/>
                <w:szCs w:val="20"/>
                <w:color w:val="auto"/>
              </w:rPr>
            </w:pPr>
            <w:r>
              <w:rPr>
                <w:rFonts w:ascii="Times New Roman" w:cs="Times New Roman" w:eastAsia="Times New Roman" w:hAnsi="Times New Roman"/>
                <w:sz w:val="13"/>
                <w:szCs w:val="13"/>
                <w:color w:val="0000FF"/>
              </w:rPr>
              <w:t>M</w:t>
            </w:r>
          </w:p>
        </w:tc>
        <w:tc>
          <w:tcPr>
            <w:tcW w:w="180" w:type="dxa"/>
            <w:vAlign w:val="bottom"/>
          </w:tcPr>
          <w:p>
            <w:pPr>
              <w:spacing w:after="0"/>
              <w:rPr>
                <w:sz w:val="5"/>
                <w:szCs w:val="5"/>
                <w:color w:val="auto"/>
              </w:rPr>
            </w:pPr>
          </w:p>
        </w:tc>
        <w:tc>
          <w:tcPr>
            <w:tcW w:w="780" w:type="dxa"/>
            <w:vAlign w:val="bottom"/>
            <w:vMerge w:val="restart"/>
          </w:tcPr>
          <w:p>
            <w:pPr>
              <w:ind w:left="440"/>
              <w:spacing w:after="0" w:line="144" w:lineRule="exact"/>
              <w:rPr>
                <w:sz w:val="20"/>
                <w:szCs w:val="20"/>
                <w:color w:val="auto"/>
              </w:rPr>
            </w:pPr>
            <w:r>
              <w:rPr>
                <w:rFonts w:ascii="Times New Roman" w:cs="Times New Roman" w:eastAsia="Times New Roman" w:hAnsi="Times New Roman"/>
                <w:sz w:val="13"/>
                <w:szCs w:val="13"/>
                <w:color w:val="0000FF"/>
              </w:rPr>
              <w:t>918</w:t>
            </w:r>
          </w:p>
        </w:tc>
        <w:tc>
          <w:tcPr>
            <w:tcW w:w="76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60" w:type="dxa"/>
            <w:vAlign w:val="bottom"/>
            <w:vMerge w:val="restart"/>
          </w:tcPr>
          <w:p>
            <w:pPr>
              <w:ind w:left="40"/>
              <w:spacing w:after="0" w:line="144"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gridSpan w:val="2"/>
            <w:vMerge w:val="restart"/>
          </w:tcPr>
          <w:p>
            <w:pPr>
              <w:ind w:left="240"/>
              <w:spacing w:after="0" w:line="144"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600" w:type="dxa"/>
            <w:vAlign w:val="bottom"/>
            <w:vMerge w:val="restart"/>
          </w:tcPr>
          <w:p>
            <w:pPr>
              <w:ind w:left="320"/>
              <w:spacing w:after="0" w:line="144" w:lineRule="exact"/>
              <w:rPr>
                <w:sz w:val="20"/>
                <w:szCs w:val="20"/>
                <w:color w:val="auto"/>
              </w:rPr>
            </w:pPr>
            <w:r>
              <w:rPr>
                <w:rFonts w:ascii="Times New Roman" w:cs="Times New Roman" w:eastAsia="Times New Roman" w:hAnsi="Times New Roman"/>
                <w:sz w:val="13"/>
                <w:szCs w:val="13"/>
                <w:color w:val="0000FF"/>
              </w:rPr>
              <w:t>918</w:t>
            </w:r>
          </w:p>
        </w:tc>
        <w:tc>
          <w:tcPr>
            <w:tcW w:w="280" w:type="dxa"/>
            <w:vAlign w:val="bottom"/>
          </w:tcPr>
          <w:p>
            <w:pPr>
              <w:spacing w:after="0"/>
              <w:rPr>
                <w:sz w:val="5"/>
                <w:szCs w:val="5"/>
                <w:color w:val="auto"/>
              </w:rPr>
            </w:pPr>
          </w:p>
        </w:tc>
        <w:tc>
          <w:tcPr>
            <w:tcW w:w="680" w:type="dxa"/>
            <w:vAlign w:val="bottom"/>
            <w:vMerge w:val="restart"/>
          </w:tcPr>
          <w:p>
            <w:pPr>
              <w:ind w:left="320"/>
              <w:spacing w:after="0" w:line="144"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78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20" w:type="dxa"/>
            <w:vAlign w:val="bottom"/>
          </w:tcPr>
          <w:p>
            <w:pPr>
              <w:spacing w:after="0"/>
              <w:rPr>
                <w:sz w:val="7"/>
                <w:szCs w:val="7"/>
                <w:color w:val="auto"/>
              </w:rPr>
            </w:pPr>
          </w:p>
        </w:tc>
        <w:tc>
          <w:tcPr>
            <w:tcW w:w="66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-2113915</wp:posOffset>
            </wp:positionV>
            <wp:extent cx="29210" cy="21189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11899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4"/>
          <w:szCs w:val="24"/>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a contingent right to receive 1 share of the Issuer's Class A Common Stock upon settlement for no consideration.</w:t>
      </w:r>
    </w:p>
    <w:p>
      <w:pPr>
        <w:spacing w:after="0" w:line="45" w:lineRule="exact"/>
        <w:rPr>
          <w:rFonts w:ascii="Times New Roman" w:cs="Times New Roman" w:eastAsia="Times New Roman" w:hAnsi="Times New Roman"/>
          <w:sz w:val="13"/>
          <w:szCs w:val="13"/>
          <w:color w:val="008000"/>
        </w:rPr>
      </w:pPr>
    </w:p>
    <w:p>
      <w:pPr>
        <w:ind w:left="40" w:right="360" w:firstLine="3"/>
        <w:spacing w:after="0" w:line="260"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1/3 of the total RSUs shall vest annually of the total RSUs monthly annually beginning on May 2, 2023 until fully vested, subject to the Reporting Person's continued service to the Issuer on each vesting date.</w:t>
      </w:r>
    </w:p>
    <w:p>
      <w:pPr>
        <w:spacing w:after="0" w:line="2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Devin Schaffer, Attorney-</w:t>
            </w:r>
          </w:p>
        </w:tc>
        <w:tc>
          <w:tcPr>
            <w:tcW w:w="9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w w:val="98"/>
              </w:rPr>
              <w:t>05/03/2024</w:t>
            </w:r>
          </w:p>
        </w:tc>
        <w:tc>
          <w:tcPr>
            <w:tcW w:w="0" w:type="dxa"/>
            <w:vAlign w:val="bottom"/>
          </w:tcPr>
          <w:p>
            <w:pPr>
              <w:spacing w:after="0"/>
              <w:rPr>
                <w:sz w:val="1"/>
                <w:szCs w:val="1"/>
                <w:color w:val="auto"/>
              </w:rPr>
            </w:pPr>
          </w:p>
        </w:tc>
      </w:tr>
      <w:tr>
        <w:trPr>
          <w:trHeight w:val="84"/>
        </w:trPr>
        <w:tc>
          <w:tcPr>
            <w:tcW w:w="480" w:type="dxa"/>
            <w:vAlign w:val="bottom"/>
            <w:tcBorders>
              <w:top w:val="single" w:sz="8" w:color="auto"/>
            </w:tcBorders>
            <w:vMerge w:val="restart"/>
          </w:tcPr>
          <w:p>
            <w:pPr>
              <w:spacing w:after="0" w:line="189" w:lineRule="exact"/>
              <w:rPr>
                <w:sz w:val="20"/>
                <w:szCs w:val="20"/>
                <w:color w:val="auto"/>
              </w:rPr>
            </w:pPr>
            <w:r>
              <w:rPr>
                <w:rFonts w:ascii="Times New Roman" w:cs="Times New Roman" w:eastAsia="Times New Roman" w:hAnsi="Times New Roman"/>
                <w:sz w:val="17"/>
                <w:szCs w:val="17"/>
                <w:color w:val="0000FF"/>
                <w:w w:val="95"/>
              </w:rPr>
              <w:t>in-Fact</w:t>
            </w:r>
          </w:p>
        </w:tc>
        <w:tc>
          <w:tcPr>
            <w:tcW w:w="1480" w:type="dxa"/>
            <w:vAlign w:val="bottom"/>
            <w:tcBorders>
              <w:top w:val="single" w:sz="8" w:color="auto"/>
            </w:tcBorders>
            <w:vMerge w:val="restart"/>
          </w:tcPr>
          <w:p>
            <w:pPr>
              <w:spacing w:after="0"/>
              <w:rPr>
                <w:sz w:val="7"/>
                <w:szCs w:val="7"/>
                <w:color w:val="auto"/>
              </w:rPr>
            </w:pPr>
          </w:p>
        </w:tc>
        <w:tc>
          <w:tcPr>
            <w:tcW w:w="12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480" w:type="dxa"/>
            <w:vAlign w:val="bottom"/>
            <w:tcBorders>
              <w:top w:val="single" w:sz="8" w:color="auto"/>
              <w:bottom w:val="single" w:sz="8" w:color="auto"/>
            </w:tcBorders>
            <w:vMerge w:val="continue"/>
          </w:tcPr>
          <w:p>
            <w:pPr>
              <w:spacing w:after="0"/>
              <w:rPr>
                <w:sz w:val="7"/>
                <w:szCs w:val="7"/>
                <w:color w:val="auto"/>
              </w:rPr>
            </w:pPr>
          </w:p>
        </w:tc>
        <w:tc>
          <w:tcPr>
            <w:tcW w:w="1480" w:type="dxa"/>
            <w:vAlign w:val="bottom"/>
            <w:tcBorders>
              <w:top w:val="single" w:sz="8" w:color="auto"/>
            </w:tcBorders>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3" w:lineRule="auto"/>
        <w:tabs>
          <w:tab w:leader="none" w:pos="178"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200796" TargetMode="External"/><Relationship Id="rId13" Type="http://schemas.openxmlformats.org/officeDocument/2006/relationships/hyperlink" Target="http://www.sec.gov/cgi-bin/browse-edgar?action=getcompany&amp;CIK=00018183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2024-05-03T15:15:08Z</dcterms:created>
  <dcterms:modified xsi:type="dcterms:W3CDTF">2024-05-03T15:15:08Z</dcterms:modified>
</cp:coreProperties>
</file>