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April 30, 2025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89" w:right="299" w:bottom="1440" w:gutter="0" w:footer="0" w:header="0"/>
        </w:sectPr>
      </w:pPr>
    </w:p>
    <w:p>
      <w:pPr>
        <w:spacing w:after="0" w:line="18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20"/>
          </w:cols>
          <w:pgMar w:left="300" w:top="889" w:right="29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76" w:lineRule="exact"/>
        <w:rPr>
          <w:sz w:val="24"/>
          <w:szCs w:val="24"/>
          <w:color w:val="auto"/>
        </w:rPr>
      </w:pPr>
    </w:p>
    <w:p>
      <w:pPr>
        <w:sectPr>
          <w:pgSz w:w="11900" w:h="16838" w:orient="portrait"/>
          <w:cols w:equalWidth="0" w:num="2">
            <w:col w:w="6880" w:space="720"/>
            <w:col w:w="3700"/>
          </w:cols>
          <w:pgMar w:left="300" w:top="889" w:right="2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300"/>
          </w:cols>
          <w:pgMar w:left="300" w:top="889" w:right="299" w:bottom="1440" w:gutter="0" w:footer="0" w:header="0"/>
          <w:type w:val="continuous"/>
        </w:sectPr>
      </w:pP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07"/>
        </w:trPr>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9" w:right="29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April 30, 2025, GeneDx Holdings Corp. (the “Company”) issued a press release (the “Press Release”) and will hold a conference call announcing the Company's financial results for the quarter ended March 31, 2025. Copies of the Press Release and Earnings Presentation are furnished as Exhibits 99.1 and 99.2, respectively, to this Current Report on Form 8-K.</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vMerge w:val="restart"/>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80" w:type="dxa"/>
            <w:vAlign w:val="bottom"/>
            <w:vMerge w:val="restart"/>
          </w:tcPr>
          <w:p>
            <w:pPr>
              <w:spacing w:after="0"/>
              <w:rPr>
                <w:sz w:val="13"/>
                <w:szCs w:val="13"/>
                <w:color w:val="auto"/>
              </w:rPr>
            </w:pPr>
          </w:p>
        </w:tc>
        <w:tc>
          <w:tcPr>
            <w:tcW w:w="100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5"/>
              </w:rPr>
              <w:t>99.1</w:t>
            </w:r>
          </w:p>
        </w:tc>
        <w:tc>
          <w:tcPr>
            <w:tcW w:w="380" w:type="dxa"/>
            <w:vAlign w:val="bottom"/>
          </w:tcPr>
          <w:p>
            <w:pPr>
              <w:spacing w:after="0"/>
              <w:rPr>
                <w:sz w:val="15"/>
                <w:szCs w:val="15"/>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April 30, 2025, regarding the registrant’s results for the quarter ended March 31, 2025</w:t>
            </w:r>
          </w:p>
        </w:tc>
        <w:tc>
          <w:tcPr>
            <w:tcW w:w="0" w:type="dxa"/>
            <w:vAlign w:val="bottom"/>
          </w:tcPr>
          <w:p>
            <w:pPr>
              <w:spacing w:after="0"/>
              <w:rPr>
                <w:sz w:val="1"/>
                <w:szCs w:val="1"/>
                <w:color w:val="auto"/>
              </w:rPr>
            </w:pPr>
          </w:p>
        </w:tc>
      </w:tr>
      <w:tr>
        <w:trPr>
          <w:trHeight w:val="223"/>
        </w:trPr>
        <w:tc>
          <w:tcPr>
            <w:tcW w:w="920" w:type="dxa"/>
            <w:vAlign w:val="bottom"/>
            <w:gridSpan w:val="2"/>
            <w:vMerge w:val="restart"/>
          </w:tcPr>
          <w:p>
            <w:pPr>
              <w:jc w:val="center"/>
              <w:ind w:left="300"/>
              <w:spacing w:after="0"/>
              <w:rPr>
                <w:sz w:val="20"/>
                <w:szCs w:val="20"/>
                <w:color w:val="auto"/>
              </w:rPr>
            </w:pPr>
            <w:r>
              <w:rPr>
                <w:rFonts w:ascii="Times New Roman" w:cs="Times New Roman" w:eastAsia="Times New Roman" w:hAnsi="Times New Roman"/>
                <w:sz w:val="12"/>
                <w:szCs w:val="12"/>
                <w:color w:val="auto"/>
                <w:w w:val="95"/>
              </w:rPr>
              <w:t>99.2</w:t>
            </w:r>
          </w:p>
        </w:tc>
        <w:tc>
          <w:tcPr>
            <w:tcW w:w="380" w:type="dxa"/>
            <w:vAlign w:val="bottom"/>
          </w:tcPr>
          <w:p>
            <w:pPr>
              <w:spacing w:after="0"/>
              <w:rPr>
                <w:sz w:val="19"/>
                <w:szCs w:val="19"/>
                <w:color w:val="auto"/>
              </w:rPr>
            </w:pPr>
          </w:p>
        </w:tc>
        <w:tc>
          <w:tcPr>
            <w:tcW w:w="21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Earnings Presentation, dated April 30, 2025</w:t>
            </w:r>
          </w:p>
        </w:tc>
        <w:tc>
          <w:tcPr>
            <w:tcW w:w="3020" w:type="dxa"/>
            <w:vAlign w:val="bottom"/>
            <w:tcBorders>
              <w:top w:val="single" w:sz="8" w:color="0000FF"/>
              <w:bottom w:val="single" w:sz="8" w:color="0000FF"/>
            </w:tcBorders>
            <w:vMerge w:val="restart"/>
          </w:tcPr>
          <w:p>
            <w:pPr>
              <w:spacing w:after="0"/>
              <w:rPr>
                <w:sz w:val="19"/>
                <w:szCs w:val="19"/>
                <w:color w:val="auto"/>
              </w:rPr>
            </w:pPr>
          </w:p>
        </w:tc>
        <w:tc>
          <w:tcPr>
            <w:tcW w:w="48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9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120" w:type="dxa"/>
            <w:vAlign w:val="bottom"/>
            <w:gridSpan w:val="2"/>
          </w:tcPr>
          <w:p>
            <w:pPr>
              <w:spacing w:after="0"/>
              <w:rPr>
                <w:sz w:val="3"/>
                <w:szCs w:val="3"/>
                <w:color w:val="auto"/>
              </w:rPr>
            </w:pPr>
          </w:p>
        </w:tc>
        <w:tc>
          <w:tcPr>
            <w:tcW w:w="3020" w:type="dxa"/>
            <w:vAlign w:val="bottom"/>
            <w:vMerge w:val="continue"/>
          </w:tcPr>
          <w:p>
            <w:pPr>
              <w:spacing w:after="0"/>
              <w:rPr>
                <w:sz w:val="3"/>
                <w:szCs w:val="3"/>
                <w:color w:val="auto"/>
              </w:rPr>
            </w:pPr>
          </w:p>
        </w:tc>
        <w:tc>
          <w:tcPr>
            <w:tcW w:w="4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5"/>
        </w:trPr>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000" w:type="dxa"/>
            <w:vAlign w:val="bottom"/>
            <w:gridSpan w:val="2"/>
          </w:tcPr>
          <w:p>
            <w:pPr>
              <w:ind w:left="182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April 30, 2025</w:t>
            </w:r>
          </w:p>
        </w:tc>
        <w:tc>
          <w:tcPr>
            <w:tcW w:w="2660" w:type="dxa"/>
            <w:vAlign w:val="bottom"/>
          </w:tcPr>
          <w:p>
            <w:pPr>
              <w:ind w:left="1820"/>
              <w:spacing w:after="0"/>
              <w:rPr>
                <w:sz w:val="20"/>
                <w:szCs w:val="20"/>
                <w:color w:val="auto"/>
              </w:rPr>
            </w:pPr>
            <w:r>
              <w:rPr>
                <w:rFonts w:ascii="Times New Roman" w:cs="Times New Roman" w:eastAsia="Times New Roman" w:hAnsi="Times New Roman"/>
                <w:sz w:val="12"/>
                <w:szCs w:val="12"/>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2"/>
                <w:szCs w:val="12"/>
                <w:color w:val="auto"/>
              </w:rPr>
              <w:t>Name: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2"/>
                <w:szCs w:val="12"/>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80"/>
          </w:cols>
          <w:pgMar w:left="300" w:top="665"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81915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First Quarter 2025 Financial Results and Business Highlights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Reported first quarter 2025 revenues of $87.1 million with 62% year-over-year growth of exome and genome test revenue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Generated first quarter 2025 adjusted net income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$7.7 million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Announced plans to acquire Fabric Genomics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Raised guidance to deliver between $360 and $375 million in revenue and reaffirmed outlook to deliver exome/genome volume and revenue growth of at least 30% in FY 2025</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GeneDx to host conference call today at 8:30 a.m. ET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GAITHERSBURG, Md., April 30, 2025 — </w:t>
      </w:r>
      <w:r>
        <w:rPr>
          <w:rFonts w:ascii="Times New Roman" w:cs="Times New Roman" w:eastAsia="Times New Roman" w:hAnsi="Times New Roman"/>
          <w:sz w:val="12"/>
          <w:szCs w:val="12"/>
          <w:color w:val="auto"/>
        </w:rPr>
        <w:t>GeneDx Holdings Corp. (Nasdaq: WGS), a leader in delivering improved health outcomes through genomic insights, today reported its financial results for the first quarter of 2025.</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“Healthcare is at an inflection point where integrating genomic insights into standard care is becoming essential – both for better clinical outcomes and for saving the healthcare system valuable dollars,” said Katherine Stueland, CEO of GeneDx. “The first quarter exceeded our expectations across all measures, headlined by 62% revenue growth in exome/genome and our third consecutive quarter of profitability, demonstrating the leverage in our business model to drive sustained, profitable growth. We are well positioned to transform access to genomic testing globally, driving improved outcomes on an even larger scale.”</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business continued to exceed expectations, with volume growth accelerating throughout the quarter,” said Kevin Feeley, CFO of GeneDx. “Looking forward, the combination of continued core momentum, the rolling expansion of new indications in the outpatient setting, and the recent launch of a new ultraRapid genome product are expected to drive incremental volume growth opportunities throughout the remainder of 2025 and beyond.”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2025 Financial Results (Unaudited)</w:t>
      </w:r>
      <w:r>
        <w:rPr>
          <w:rFonts w:ascii="Times New Roman" w:cs="Times New Roman" w:eastAsia="Times New Roman" w:hAnsi="Times New Roman"/>
          <w:sz w:val="15"/>
          <w:szCs w:val="15"/>
          <w:b w:val="1"/>
          <w:bCs w:val="1"/>
          <w:color w:val="auto"/>
          <w:vertAlign w:val="superscript"/>
        </w:rPr>
        <w:t>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8" w:lineRule="exact"/>
        <w:rPr>
          <w:sz w:val="20"/>
          <w:szCs w:val="20"/>
          <w:color w:val="auto"/>
        </w:rPr>
      </w:pPr>
    </w:p>
    <w:p>
      <w:pPr>
        <w:ind w:left="200" w:hanging="100"/>
        <w:spacing w:after="0"/>
        <w:tabs>
          <w:tab w:leader="none" w:pos="2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grew to $87.1 million, an increase of 42% year-over-year</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$71.4 million, an increase of 62% year-over-year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results volume grew to 20,562, an increase of 24% year-over-year</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represented 40% of all test results, up from 30% in the first quarter of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8" w:lineRule="exact"/>
        <w:rPr>
          <w:sz w:val="20"/>
          <w:szCs w:val="20"/>
          <w:color w:val="auto"/>
        </w:rPr>
      </w:pPr>
    </w:p>
    <w:p>
      <w:pPr>
        <w:ind w:left="200" w:hanging="10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was 69%, compared to 61% in the first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gross margin was 67%.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8" w:lineRule="exact"/>
        <w:rPr>
          <w:sz w:val="20"/>
          <w:szCs w:val="20"/>
          <w:color w:val="auto"/>
        </w:rPr>
      </w:pPr>
    </w:p>
    <w:p>
      <w:pPr>
        <w:ind w:left="200" w:hanging="100"/>
        <w:spacing w:after="0"/>
        <w:tabs>
          <w:tab w:leader="none" w:pos="2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$52.3 million, or 60% of revenues in the first quarter of 2025, compared to 74% in the first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$63.0 million.</w:t>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118" w:lineRule="exact"/>
        <w:rPr>
          <w:sz w:val="20"/>
          <w:szCs w:val="20"/>
          <w:color w:val="auto"/>
        </w:rPr>
      </w:pPr>
    </w:p>
    <w:p>
      <w:pPr>
        <w:ind w:left="200" w:hanging="100"/>
        <w:spacing w:after="0"/>
        <w:tabs>
          <w:tab w:leader="none" w:pos="2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was $7.7 million compared to an adjusted net loss of $8.0 million in the first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$6.5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18" w:lineRule="exact"/>
        <w:rPr>
          <w:sz w:val="20"/>
          <w:szCs w:val="20"/>
          <w:color w:val="auto"/>
        </w:rPr>
      </w:pPr>
    </w:p>
    <w:p>
      <w:pPr>
        <w:ind w:left="200" w:hanging="100"/>
        <w:spacing w:after="0"/>
        <w:tabs>
          <w:tab w:leader="none" w:pos="2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$160.2 million as of March 31, 2025.</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for the first quarter 2025 included:</w:t>
      </w:r>
    </w:p>
    <w:p>
      <w:pPr>
        <w:spacing w:after="0" w:line="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$4.1 million in cash generated from ordinary operations; and</w:t>
      </w:r>
    </w:p>
    <w:p>
      <w:pPr>
        <w:spacing w:after="0" w:line="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$13.9 million in proceeds, net of fees, from the issuance of 150,000 shares of Class A common stock in connection with sales pursuant to our “at-the-market” offering.</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0"/>
          <w:szCs w:val="10"/>
          <w:color w:val="auto"/>
        </w:rPr>
        <w:t>1 Adjusted gross margin, adjusted total operating expenses and adjusted net income/(loss) are non-GAAP financial measures. See appendix for a reconciliation of GAAP to Non-GAAP figures presented.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GeneDx Full Year 2025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GeneDx has updated its full year 2025 guidance. Management expects GeneDx to deliver:</w:t>
      </w:r>
    </w:p>
    <w:p>
      <w:pPr>
        <w:spacing w:after="0" w:line="114" w:lineRule="exact"/>
        <w:rPr>
          <w:sz w:val="20"/>
          <w:szCs w:val="20"/>
          <w:color w:val="auto"/>
        </w:rPr>
      </w:pPr>
    </w:p>
    <w:p>
      <w:pPr>
        <w:ind w:left="200" w:right="20" w:hanging="100"/>
        <w:spacing w:after="0" w:line="259" w:lineRule="auto"/>
        <w:tabs>
          <w:tab w:leader="none" w:pos="19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between $360 to $375 million for full year 2025, inclusive of $3 to $5 million in post-close revenue contribution from the planned acquisition of Fabric Genomics, assuming a second quarter 2025 close (previous guidance was revenues between $350 to $360 million);</w:t>
      </w:r>
    </w:p>
    <w:p>
      <w:pPr>
        <w:spacing w:after="0" w:line="1"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Growth in exome/genome volume and revenue of at least 30% (unchanged);</w:t>
      </w:r>
    </w:p>
    <w:p>
      <w:pPr>
        <w:spacing w:after="0" w:line="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margins between 66%-68% (previous guidance was between 65%-67%); and</w:t>
      </w:r>
    </w:p>
    <w:p>
      <w:pPr>
        <w:spacing w:after="0" w:line="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Profitability with adjusted net income each quarter and for full year 2025 (unchanged).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2025 Business Highlights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Driving sustainable growth and market leadership</w:t>
      </w:r>
    </w:p>
    <w:p>
      <w:pPr>
        <w:spacing w:after="0" w:line="116" w:lineRule="exact"/>
        <w:rPr>
          <w:sz w:val="20"/>
          <w:szCs w:val="20"/>
          <w:color w:val="auto"/>
        </w:rPr>
      </w:pPr>
    </w:p>
    <w:p>
      <w:pPr>
        <w:ind w:left="200" w:hanging="100"/>
        <w:spacing w:after="0"/>
        <w:tabs>
          <w:tab w:leader="none" w:pos="2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plans to acquire Fabric Genomics, which will accelerate GeneDx’s entry into a supplemental market of genomic medicine: decentralized testing with centralized intelligence.</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ultraRapid Whole Genome Sequencing, offering accelerated, comprehensive and actionable genomic insights for neonatal and pediatric patients in the NICU and PICU in as soon as 48 hours.</w:t>
      </w:r>
    </w:p>
    <w:p>
      <w:pPr>
        <w:spacing w:after="0" w:line="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Launched Epic Aura, which seamlessly integrates GeneDx exome and genome testing into the native ordering and resulting workflows of many of the largest health systems across the country.</w:t>
      </w:r>
    </w:p>
    <w:p>
      <w:pPr>
        <w:spacing w:after="0" w:line="6" w:lineRule="exact"/>
        <w:rPr>
          <w:rFonts w:ascii="Times New Roman" w:cs="Times New Roman" w:eastAsia="Times New Roman" w:hAnsi="Times New Roman"/>
          <w:sz w:val="12"/>
          <w:szCs w:val="12"/>
          <w:color w:val="auto"/>
        </w:rPr>
      </w:pPr>
    </w:p>
    <w:p>
      <w:pPr>
        <w:ind w:left="200" w:hanging="100"/>
        <w:spacing w:after="0" w:line="250" w:lineRule="auto"/>
        <w:tabs>
          <w:tab w:leader="none" w:pos="19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commercial footprint for exome and genome testing with cerebral palsy (CP) as a new indication, underscoring the importance of improving access to exome and genome testing for patients with CP to shorten the diagnostic odyssey and accelerate the path to treatment.</w:t>
      </w:r>
    </w:p>
    <w:p>
      <w:pPr>
        <w:ind w:left="200" w:hanging="100"/>
        <w:spacing w:after="0" w:line="250" w:lineRule="auto"/>
        <w:tabs>
          <w:tab w:leader="none" w:pos="19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commercial footprint for exome and genome testing with Inborn Errors of Immunity (IEIs) as a new indication, empowering ordering clinicians with more accurate and comprehensive genetic insights to better treat this patient population.</w:t>
      </w:r>
    </w:p>
    <w:p>
      <w:pPr>
        <w:ind w:left="200" w:right="20" w:hanging="100"/>
        <w:spacing w:after="0" w:line="250" w:lineRule="auto"/>
        <w:tabs>
          <w:tab w:leader="none" w:pos="19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Accelerated adoption of exome and genome sequencing coverage by state Medicaid programs, bringing the total states covering exome or genome sequencing in the pediatric outpatient setting to 33 (New Mexico announced April 2025) and the total states covering rapid genome sequencing in the neonatal intensive care unit (NICU) to 14.</w:t>
      </w:r>
    </w:p>
    <w:p>
      <w:pPr>
        <w:ind w:left="200" w:hanging="100"/>
        <w:spacing w:after="0"/>
        <w:tabs>
          <w:tab w:leader="none" w:pos="2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Recognized by Fast Company as one of the world’s most innovative companies, honoring GeneDx’s innovative approach to accelerating genetic diagnosis and transforming the future of healthcare by ending the diagnostic odyssey.</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Advancing the field to accelerate market expansion</w:t>
      </w:r>
    </w:p>
    <w:p>
      <w:pPr>
        <w:spacing w:after="0" w:line="170" w:lineRule="exact"/>
        <w:rPr>
          <w:sz w:val="20"/>
          <w:szCs w:val="20"/>
          <w:color w:val="auto"/>
        </w:rPr>
      </w:pPr>
    </w:p>
    <w:p>
      <w:pPr>
        <w:ind w:left="200" w:hanging="100"/>
        <w:spacing w:after="0" w:line="259"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Published data from the Seqfirst-neo study, a pioneering study conducted in partnership with Seattle Children’s and the University of Washington, revealing that widespread use of rapid genome sequencing (rGS) demonstrates that at least 60% of level IV NICU infants should be receiving rGS.</w:t>
      </w:r>
    </w:p>
    <w:p>
      <w:pPr>
        <w:spacing w:after="0" w:line="1" w:lineRule="exact"/>
        <w:rPr>
          <w:rFonts w:ascii="Times New Roman" w:cs="Times New Roman" w:eastAsia="Times New Roman" w:hAnsi="Times New Roman"/>
          <w:sz w:val="12"/>
          <w:szCs w:val="12"/>
          <w:color w:val="auto"/>
        </w:rPr>
      </w:pPr>
    </w:p>
    <w:p>
      <w:pPr>
        <w:ind w:left="420" w:right="20" w:hanging="104"/>
        <w:spacing w:after="0" w:line="250" w:lineRule="auto"/>
        <w:tabs>
          <w:tab w:leader="none" w:pos="426"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Seqfirst-neo is the first study to use exclusion, rather than inclusion, criteria for which infants should receive genomic testing in the NICU, setting a new standard of care by enabling neonatologists to more easily identify patients to receive testing, and expanding access to patients who previously would not have been offered testing.</w:t>
      </w:r>
    </w:p>
    <w:p>
      <w:pPr>
        <w:ind w:left="420" w:hanging="104"/>
        <w:spacing w:after="0"/>
        <w:tabs>
          <w:tab w:leader="none" w:pos="42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 of diagnosed infants would have been missed using conventional NICU protocols (69% of whom were non-white), highlighting the limitations of current diagnostic approaches and the correlated inequity of care.</w:t>
      </w:r>
    </w:p>
    <w:p>
      <w:pPr>
        <w:sectPr>
          <w:pgSz w:w="11900" w:h="16838" w:orient="portrait"/>
          <w:cols w:equalWidth="0" w:num="1">
            <w:col w:w="11300"/>
          </w:cols>
          <w:pgMar w:left="300" w:top="773" w:right="299" w:bottom="1440" w:gutter="0" w:footer="0" w:header="0"/>
        </w:sectPr>
      </w:pPr>
    </w:p>
    <w:bookmarkStart w:id="5" w:name="page6"/>
    <w:bookmarkEnd w:id="5"/>
    <w:p>
      <w:pPr>
        <w:ind w:left="100" w:hanging="100"/>
        <w:spacing w:after="0"/>
        <w:tabs>
          <w:tab w:leader="none" w:pos="1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Showcased key research and innovation at the 2025 American College of Medical Genetics (ACMG) Annual Meeting that demonstrated:</w:t>
      </w:r>
    </w:p>
    <w:p>
      <w:pPr>
        <w:spacing w:after="0" w:line="16" w:lineRule="exact"/>
        <w:rPr>
          <w:rFonts w:ascii="Times New Roman" w:cs="Times New Roman" w:eastAsia="Times New Roman" w:hAnsi="Times New Roman"/>
          <w:sz w:val="12"/>
          <w:szCs w:val="12"/>
          <w:color w:val="auto"/>
        </w:rPr>
      </w:pPr>
    </w:p>
    <w:p>
      <w:pPr>
        <w:ind w:left="320" w:hanging="104"/>
        <w:spacing w:after="0" w:line="250" w:lineRule="auto"/>
        <w:tabs>
          <w:tab w:leader="none" w:pos="326"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impact of RNAseq across a large cohort of clinically diverse patients receiving exome-based testing for rare diseases was low, and for most patients the key factors in clinically impactful VUS resolution are providing detailed and accurate clinical information, trio-based testing, and selecting a laboratory with an extensive clinical and genomic database.</w:t>
      </w:r>
    </w:p>
    <w:p>
      <w:pPr>
        <w:jc w:val="both"/>
        <w:ind w:left="320" w:hanging="104"/>
        <w:spacing w:after="0" w:line="250" w:lineRule="auto"/>
        <w:tabs>
          <w:tab w:leader="none" w:pos="317"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Parental needs during whole genome sequencing (WGS) are multifaceted and interconnected, with parents’ informational, emotional, and logistical needs all suggesting the importance of ongoing, empathetic engagement with healthcare providers. Parental feedback also highlighted the need for peer support from families either similar genetic or clinical diagnoses or those similarly navigating the WGS process, emphasizing the role of patient advocacy in the diagnostic and treatment journey for children with developmental disorders.</w:t>
      </w:r>
    </w:p>
    <w:p>
      <w:pPr>
        <w:ind w:left="320" w:hanging="104"/>
        <w:spacing w:after="0" w:line="250" w:lineRule="auto"/>
        <w:tabs>
          <w:tab w:leader="none" w:pos="317"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the first 10,000 participants enrolled in the GUARDIAN study demonstrate the feasibility of screening for a targeted set of genes in a diverse newborn population with genomic newborn screening (gNBS). 74.0% of parents consented for their newborn to participate, highlighting the wide acceptance of more advanced and modernized newborn screening with gNBS.</w:t>
      </w:r>
    </w:p>
    <w:p>
      <w:pPr>
        <w:ind w:left="100" w:hanging="100"/>
        <w:spacing w:after="0"/>
        <w:tabs>
          <w:tab w:leader="none" w:pos="1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Multiscore, an advanced AI-powered decision support tool designed to revolutionize genetic analysis by improving diagnostic efficiency, streamlining workflows, and enhancing clinical insights.</w:t>
      </w:r>
    </w:p>
    <w:p>
      <w:pPr>
        <w:spacing w:after="0" w:line="6" w:lineRule="exact"/>
        <w:rPr>
          <w:rFonts w:ascii="Times New Roman" w:cs="Times New Roman" w:eastAsia="Times New Roman" w:hAnsi="Times New Roman"/>
          <w:sz w:val="12"/>
          <w:szCs w:val="12"/>
          <w:color w:val="auto"/>
        </w:rPr>
      </w:pPr>
    </w:p>
    <w:p>
      <w:pPr>
        <w:ind w:left="320" w:hanging="104"/>
        <w:spacing w:after="0" w:line="260" w:lineRule="auto"/>
        <w:tabs>
          <w:tab w:leader="none" w:pos="326"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the combination of GeneDx’s industry leading proprietary dataset, publicly available data, and the power of AI, Multiscore enables faster, more accurate identification of genetic conditions, providing a scalable solution for clinical interpretation embedded directly within GeneDx’s platform, and reducing the time required for manual review by analysts, ultimately shortening the overall turnaround time for delivering results.</w:t>
      </w:r>
    </w:p>
    <w:p>
      <w:pPr>
        <w:sectPr>
          <w:pgSz w:w="11900" w:h="16838" w:orient="portrait"/>
          <w:cols w:equalWidth="0" w:num="1">
            <w:col w:w="11200"/>
          </w:cols>
          <w:pgMar w:left="400" w:top="77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April 30, 2025, at 8:30 a.m.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federal securities laws, including statements regarding our future performance and our market opportunity, including our expected full year 2025 reported revenue and volume guidance, adjusted gross margin and our adjusted net income in 2025.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2024, filed with the U.S. Securities and Exchange Commission (the “SEC”) on February 20, 2025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For more information, please visit genedx.com and connect with us on LinkedIn, Facebook, and Instagram.</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773"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9"/>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Volume &amp; Revenue</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1Q25</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4Q24</w:t>
            </w:r>
          </w:p>
        </w:tc>
        <w:tc>
          <w:tcPr>
            <w:tcW w:w="2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3Q24</w:t>
            </w:r>
          </w:p>
        </w:tc>
        <w:tc>
          <w:tcPr>
            <w:tcW w:w="30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2Q24</w:t>
            </w:r>
          </w:p>
        </w:tc>
        <w:tc>
          <w:tcPr>
            <w:tcW w:w="380" w:type="dxa"/>
            <w:vAlign w:val="bottom"/>
          </w:tcPr>
          <w:p>
            <w:pPr>
              <w:spacing w:after="0"/>
              <w:rPr>
                <w:sz w:val="24"/>
                <w:szCs w:val="24"/>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4"/>
              </w:rPr>
              <w:t>1Q24</w:t>
            </w:r>
          </w:p>
        </w:tc>
        <w:tc>
          <w:tcPr>
            <w:tcW w:w="0" w:type="dxa"/>
            <w:vAlign w:val="bottom"/>
          </w:tcPr>
          <w:p>
            <w:pPr>
              <w:spacing w:after="0"/>
              <w:rPr>
                <w:sz w:val="1"/>
                <w:szCs w:val="1"/>
                <w:color w:val="auto"/>
              </w:rPr>
            </w:pPr>
          </w:p>
        </w:tc>
      </w:tr>
      <w:tr>
        <w:trPr>
          <w:trHeight w:val="169"/>
        </w:trPr>
        <w:tc>
          <w:tcPr>
            <w:tcW w:w="2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Volumes</w:t>
            </w:r>
          </w:p>
        </w:tc>
        <w:tc>
          <w:tcPr>
            <w:tcW w:w="10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20,676</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16,592</w:t>
            </w:r>
          </w:p>
        </w:tc>
        <w:tc>
          <w:tcPr>
            <w:tcW w:w="0" w:type="dxa"/>
            <w:vAlign w:val="bottom"/>
          </w:tcPr>
          <w:p>
            <w:pPr>
              <w:spacing w:after="0"/>
              <w:rPr>
                <w:sz w:val="1"/>
                <w:szCs w:val="1"/>
                <w:color w:val="auto"/>
              </w:rPr>
            </w:pPr>
          </w:p>
        </w:tc>
      </w:tr>
      <w:tr>
        <w:trPr>
          <w:trHeight w:val="18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3,486</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6,868</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10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28,228</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30,115</w:t>
            </w: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34,204</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31,763</w:t>
            </w:r>
          </w:p>
        </w:tc>
        <w:tc>
          <w:tcPr>
            <w:tcW w:w="0" w:type="dxa"/>
            <w:vAlign w:val="bottom"/>
          </w:tcPr>
          <w:p>
            <w:pPr>
              <w:spacing w:after="0"/>
              <w:rPr>
                <w:sz w:val="1"/>
                <w:szCs w:val="1"/>
                <w:color w:val="auto"/>
              </w:rPr>
            </w:pPr>
          </w:p>
        </w:tc>
      </w:tr>
      <w:tr>
        <w:trPr>
          <w:trHeight w:val="194"/>
        </w:trPr>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51,515</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54,277</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59,029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57,703</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55,223</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78.8</w:t>
            </w:r>
          </w:p>
        </w:tc>
        <w:tc>
          <w:tcPr>
            <w:tcW w:w="4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6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0" w:type="dxa"/>
            <w:vAlign w:val="bottom"/>
          </w:tcPr>
          <w:p>
            <w:pPr>
              <w:spacing w:after="0"/>
              <w:rPr>
                <w:sz w:val="1"/>
                <w:szCs w:val="1"/>
                <w:color w:val="auto"/>
              </w:rPr>
            </w:pPr>
          </w:p>
        </w:tc>
      </w:tr>
      <w:tr>
        <w:trPr>
          <w:trHeight w:val="18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80"/>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w:t>
            </w: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78"/>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95.3</w:t>
            </w:r>
          </w:p>
        </w:tc>
        <w:tc>
          <w:tcPr>
            <w:tcW w:w="40" w:type="dxa"/>
            <w:vAlign w:val="bottom"/>
          </w:tcPr>
          <w:p>
            <w:pPr>
              <w:spacing w:after="0"/>
              <w:rPr>
                <w:sz w:val="15"/>
                <w:szCs w:val="15"/>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8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6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0" w:type="dxa"/>
            <w:vAlign w:val="bottom"/>
          </w:tcPr>
          <w:p>
            <w:pPr>
              <w:spacing w:after="0"/>
              <w:rPr>
                <w:sz w:val="1"/>
                <w:szCs w:val="1"/>
                <w:color w:val="auto"/>
              </w:rPr>
            </w:pPr>
          </w:p>
        </w:tc>
      </w:tr>
      <w:tr>
        <w:trPr>
          <w:trHeight w:val="20"/>
        </w:trPr>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88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Three months ended December 31, 2024</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gridSpan w:val="2"/>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Other</w:t>
            </w:r>
            <w:r>
              <w:rPr>
                <w:rFonts w:ascii="Times New Roman" w:cs="Times New Roman" w:eastAsia="Times New Roman" w:hAnsi="Times New Roman"/>
                <w:sz w:val="15"/>
                <w:szCs w:val="15"/>
                <w:b w:val="1"/>
                <w:bCs w:val="1"/>
                <w:color w:val="auto"/>
                <w:vertAlign w:val="superscript"/>
              </w:rPr>
              <w:t>1</w:t>
            </w:r>
          </w:p>
        </w:tc>
        <w:tc>
          <w:tcPr>
            <w:tcW w:w="6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Other</w:t>
            </w:r>
            <w:r>
              <w:rPr>
                <w:rFonts w:ascii="Times New Roman" w:cs="Times New Roman" w:eastAsia="Times New Roman" w:hAnsi="Times New Roman"/>
                <w:sz w:val="15"/>
                <w:szCs w:val="15"/>
                <w:b w:val="1"/>
                <w:bCs w:val="1"/>
                <w:color w:val="auto"/>
                <w:vertAlign w:val="superscript"/>
              </w:rPr>
              <w:t>1</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0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$87,115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7"/>
              </w:rPr>
              <w:t>$87,115</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$95,286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$354</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7"/>
              </w:rPr>
              <w:t>$95,640</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420" w:type="dxa"/>
            <w:vAlign w:val="bottom"/>
            <w:tcBorders>
              <w:bottom w:val="single" w:sz="8" w:color="auto"/>
            </w:tcBorders>
            <w:gridSpan w:val="2"/>
          </w:tcPr>
          <w:p>
            <w:pPr>
              <w:spacing w:after="0"/>
              <w:rPr>
                <w:sz w:val="14"/>
                <w:szCs w:val="14"/>
                <w:color w:val="auto"/>
              </w:rPr>
            </w:pPr>
          </w:p>
        </w:tc>
        <w:tc>
          <w:tcPr>
            <w:tcW w:w="1000" w:type="dxa"/>
            <w:vAlign w:val="bottom"/>
            <w:tcBorders>
              <w:bottom w:val="single" w:sz="8" w:color="auto"/>
            </w:tcBorders>
          </w:tcPr>
          <w:p>
            <w:pPr>
              <w:jc w:val="center"/>
              <w:ind w:right="360"/>
              <w:spacing w:after="0"/>
              <w:rPr>
                <w:sz w:val="20"/>
                <w:szCs w:val="20"/>
                <w:color w:val="auto"/>
              </w:rPr>
            </w:pPr>
            <w:r>
              <w:rPr>
                <w:rFonts w:ascii="Times New Roman" w:cs="Times New Roman" w:eastAsia="Times New Roman" w:hAnsi="Times New Roman"/>
                <w:sz w:val="12"/>
                <w:szCs w:val="12"/>
                <w:color w:val="auto"/>
              </w:rPr>
              <w:t>27,396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2"/>
                <w:szCs w:val="12"/>
                <w:color w:val="auto"/>
              </w:rPr>
              <w:t>27,396</w:t>
            </w: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color w:val="auto"/>
                <w:w w:val="96"/>
              </w:rPr>
              <w:t>28,384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2"/>
                <w:szCs w:val="12"/>
                <w:color w:val="auto"/>
              </w:rPr>
              <w:t>28,384</w:t>
            </w:r>
          </w:p>
        </w:tc>
        <w:tc>
          <w:tcPr>
            <w:tcW w:w="0" w:type="dxa"/>
            <w:vAlign w:val="bottom"/>
          </w:tcPr>
          <w:p>
            <w:pPr>
              <w:spacing w:after="0"/>
              <w:rPr>
                <w:sz w:val="1"/>
                <w:szCs w:val="1"/>
                <w:color w:val="auto"/>
              </w:rPr>
            </w:pPr>
          </w:p>
        </w:tc>
      </w:tr>
      <w:tr>
        <w:trPr>
          <w:trHeight w:val="178"/>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 (loss)</w:t>
            </w:r>
          </w:p>
        </w:tc>
        <w:tc>
          <w:tcPr>
            <w:tcW w:w="100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$59,719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7"/>
              </w:rPr>
              <w:t>$59,719</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$66,902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$354</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7"/>
              </w:rPr>
              <w:t>$67,256</w:t>
            </w:r>
          </w:p>
        </w:tc>
        <w:tc>
          <w:tcPr>
            <w:tcW w:w="0" w:type="dxa"/>
            <w:vAlign w:val="bottom"/>
          </w:tcPr>
          <w:p>
            <w:pPr>
              <w:spacing w:after="0"/>
              <w:rPr>
                <w:sz w:val="1"/>
                <w:szCs w:val="1"/>
                <w:color w:val="auto"/>
              </w:rPr>
            </w:pPr>
          </w:p>
        </w:tc>
      </w:tr>
      <w:tr>
        <w:trPr>
          <w:trHeight w:val="162"/>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100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6"/>
              </w:rPr>
              <w:t>68.6%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6"/>
              </w:rPr>
              <w:t>68.6%</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rPr>
              <w:t>70.2%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6"/>
              </w:rPr>
              <w:t>70.3%</w:t>
            </w:r>
          </w:p>
        </w:tc>
        <w:tc>
          <w:tcPr>
            <w:tcW w:w="0" w:type="dxa"/>
            <w:vAlign w:val="bottom"/>
          </w:tcPr>
          <w:p>
            <w:pPr>
              <w:spacing w:after="0"/>
              <w:rPr>
                <w:sz w:val="1"/>
                <w:szCs w:val="1"/>
                <w:color w:val="auto"/>
              </w:rPr>
            </w:pPr>
          </w:p>
        </w:tc>
      </w:tr>
      <w:tr>
        <w:trPr>
          <w:trHeight w:val="369"/>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2024</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80" w:type="dxa"/>
            <w:vAlign w:val="bottom"/>
            <w:tcBorders>
              <w:bottom w:val="single" w:sz="8" w:color="CCEEFF"/>
            </w:tcBorders>
            <w:gridSpan w:val="2"/>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0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7"/>
              </w:rPr>
              <w:t>$61,461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$961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7"/>
              </w:rPr>
              <w:t>$62,422</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2"/>
                <w:szCs w:val="12"/>
                <w:color w:val="auto"/>
              </w:rPr>
              <w:t>24,099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2"/>
                <w:szCs w:val="12"/>
                <w:color w:val="auto"/>
              </w:rPr>
              <w:t>24,099</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 (loss)</w:t>
            </w:r>
          </w:p>
        </w:tc>
        <w:tc>
          <w:tcPr>
            <w:tcW w:w="1000" w:type="dxa"/>
            <w:vAlign w:val="bottom"/>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7"/>
              </w:rPr>
              <w:t>$37,362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$961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7"/>
              </w:rPr>
              <w:t>$38,323</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100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6"/>
              </w:rPr>
              <w:t>60.8%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6"/>
              </w:rPr>
              <w:t>61.4%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Other represents revenue and costs in 2024 associated with the shut down Legacy Sema4 diagnostic testing business.</w:t>
      </w:r>
    </w:p>
    <w:p>
      <w:pPr>
        <w:sectPr>
          <w:pgSz w:w="11900" w:h="16838" w:orient="portrait"/>
          <w:cols w:equalWidth="0" w:num="1">
            <w:col w:w="11300"/>
          </w:cols>
          <w:pgMar w:left="300" w:top="1043"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5"/>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40" w:type="dxa"/>
            <w:vAlign w:val="bottom"/>
            <w:gridSpan w:val="6"/>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 2025</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8"/>
              </w:rPr>
              <w:t>Change in FV of warrants</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85,759</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85,759</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1,356</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87,115</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87,115</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27,396</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58,476</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59,719</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67.1 %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68.6 %</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11,758</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18,316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16,529</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32,134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23,980</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profit from operations</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7,452</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(891)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239</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expense</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(6,529)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2,901</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7,691</w:t>
            </w:r>
          </w:p>
        </w:tc>
        <w:tc>
          <w:tcPr>
            <w:tcW w:w="0" w:type="dxa"/>
            <w:vAlign w:val="bottom"/>
          </w:tcPr>
          <w:p>
            <w:pPr>
              <w:spacing w:after="0"/>
              <w:rPr>
                <w:sz w:val="1"/>
                <w:szCs w:val="1"/>
                <w:color w:val="auto"/>
              </w:rPr>
            </w:pPr>
          </w:p>
        </w:tc>
      </w:tr>
      <w:tr>
        <w:trPr>
          <w:trHeight w:val="586"/>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5"/>
              </w:rPr>
              <w:t>Three months ended March 31, 2024</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8"/>
              </w:rPr>
              <w:t>Change in FV of warrants</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61,104</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61,104</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1,318</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62,422</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62,422</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25,011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24,099</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37,411</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816</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38,323</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59.9 %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61.4 %</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11,455</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16,085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14,480</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20,408</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87"/>
              </w:rPr>
              <w:t>(13,660)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(6,064)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6,101</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87"/>
              </w:rPr>
              <w:t>(20,239)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6,101</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515</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(7,983)</w:t>
            </w:r>
          </w:p>
        </w:tc>
        <w:tc>
          <w:tcPr>
            <w:tcW w:w="0" w:type="dxa"/>
            <w:vAlign w:val="bottom"/>
          </w:tcPr>
          <w:p>
            <w:pPr>
              <w:spacing w:after="0"/>
              <w:rPr>
                <w:sz w:val="1"/>
                <w:szCs w:val="1"/>
                <w:color w:val="auto"/>
              </w:rPr>
            </w:pPr>
          </w:p>
        </w:tc>
      </w:tr>
    </w:tbl>
    <w:p>
      <w:pPr>
        <w:sectPr>
          <w:pgSz w:w="11900" w:h="16838" w:orient="portrait"/>
          <w:cols w:equalWidth="0" w:num="1">
            <w:col w:w="11300"/>
          </w:cols>
          <w:pgMar w:left="300" w:top="807" w:right="299" w:bottom="1440" w:gutter="0" w:footer="0" w:header="0"/>
        </w:sectPr>
      </w:pPr>
    </w:p>
    <w:bookmarkStart w:id="9" w:name="page10"/>
    <w:bookmarkEnd w:id="9"/>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2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80" w:type="dxa"/>
            <w:vAlign w:val="bottom"/>
            <w:gridSpan w:val="6"/>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Three months ended December 31, 2024</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0"/>
                <w:szCs w:val="10"/>
                <w:b w:val="1"/>
                <w:bCs w:val="1"/>
                <w:color w:val="auto"/>
              </w:rPr>
              <w:t>Depreciation and</w:t>
            </w:r>
          </w:p>
        </w:tc>
        <w:tc>
          <w:tcPr>
            <w:tcW w:w="124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0"/>
                <w:szCs w:val="10"/>
                <w:b w:val="1"/>
                <w:bCs w:val="1"/>
                <w:color w:val="auto"/>
              </w:rPr>
              <w:t>Stock-based compensation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Restructuring costs</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8"/>
              </w:rPr>
              <w:t>Change in FV of warrants</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8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4"/>
              </w:rPr>
              <w:t>94,196</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94,196</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40" w:type="dxa"/>
            <w:vAlign w:val="bottom"/>
          </w:tcPr>
          <w:p>
            <w:pPr>
              <w:spacing w:after="0"/>
              <w:rPr>
                <w:sz w:val="11"/>
                <w:szCs w:val="11"/>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8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4"/>
              </w:rPr>
              <w:t>95,640</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95,640</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40" w:type="dxa"/>
            <w:vAlign w:val="bottom"/>
          </w:tcPr>
          <w:p>
            <w:pPr>
              <w:spacing w:after="0"/>
              <w:rPr>
                <w:sz w:val="11"/>
                <w:szCs w:val="11"/>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4"/>
              </w:rPr>
              <w:t>29,435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28,384</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w:t>
            </w:r>
          </w:p>
        </w:tc>
        <w:tc>
          <w:tcPr>
            <w:tcW w:w="8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4"/>
              </w:rPr>
              <w:t>66,205</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67,256</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69.2 %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70.3 %</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40" w:type="dxa"/>
            <w:vAlign w:val="bottom"/>
          </w:tcPr>
          <w:p>
            <w:pPr>
              <w:spacing w:after="0"/>
              <w:rPr>
                <w:sz w:val="11"/>
                <w:szCs w:val="11"/>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4"/>
              </w:rPr>
              <w:t>11,588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4"/>
              </w:rPr>
              <w:t>17,676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16,074</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40" w:type="dxa"/>
            <w:vAlign w:val="bottom"/>
          </w:tcPr>
          <w:p>
            <w:pPr>
              <w:spacing w:after="0"/>
              <w:rPr>
                <w:sz w:val="11"/>
                <w:szCs w:val="11"/>
                <w:color w:val="auto"/>
              </w:rPr>
            </w:pP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4"/>
              </w:rPr>
              <w:t>27,350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22,110</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net</w:t>
            </w:r>
          </w:p>
        </w:tc>
        <w:tc>
          <w:tcPr>
            <w:tcW w:w="8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785</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Profit from operations</w:t>
            </w:r>
          </w:p>
        </w:tc>
        <w:tc>
          <w:tcPr>
            <w:tcW w:w="8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8,806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5,558</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17,501</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(698)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840" w:type="dxa"/>
            <w:vAlign w:val="bottom"/>
          </w:tcPr>
          <w:p>
            <w:pPr>
              <w:spacing w:after="0"/>
              <w:rPr>
                <w:sz w:val="11"/>
                <w:szCs w:val="11"/>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5"/>
              </w:rPr>
              <w:t>(2,694)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1,980</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5,438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5,558</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1,980</w:t>
            </w:r>
          </w:p>
        </w:tc>
        <w:tc>
          <w:tcPr>
            <w:tcW w:w="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17,453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08" w:right="20" w:hanging="208"/>
        <w:spacing w:after="0" w:line="243" w:lineRule="auto"/>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interest expense, net, income tax (expense) benefit for all periods presented. Other for the three months ended March 31, 2025 includes transaction costs related to the planned acquisition of Fabric Genomics. Other for the three months ended December 31, 2024 includes legal costs related to a legal settlement.</w:t>
      </w:r>
    </w:p>
    <w:p>
      <w:pPr>
        <w:sectPr>
          <w:pgSz w:w="11900" w:h="16838" w:orient="portrait"/>
          <w:cols w:equalWidth="0" w:num="1">
            <w:col w:w="11308"/>
          </w:cols>
          <w:pgMar w:left="292" w:top="807" w:right="299" w:bottom="1440" w:gutter="0" w:footer="0" w:header="0"/>
        </w:sectPr>
      </w:pPr>
    </w:p>
    <w:bookmarkStart w:id="10" w:name="page11"/>
    <w:bookmarkEnd w:id="1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March 31, 2025 (Unaudited)</w:t>
            </w:r>
          </w:p>
        </w:tc>
        <w:tc>
          <w:tcPr>
            <w:tcW w:w="280" w:type="dxa"/>
            <w:vAlign w:val="bottom"/>
          </w:tcPr>
          <w:p>
            <w:pPr>
              <w:spacing w:after="0"/>
              <w:rPr>
                <w:sz w:val="14"/>
                <w:szCs w:val="1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6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99,704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85,212</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59,456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55,973</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45,983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37,426</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10,650</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8,011</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8,707</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225,816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197,968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24,883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155,094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158,600</w:t>
            </w:r>
          </w:p>
        </w:tc>
      </w:tr>
      <w:tr>
        <w:trPr>
          <w:trHeight w:val="18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Other assets </w:t>
            </w:r>
            <w:r>
              <w:rPr>
                <w:rFonts w:ascii="Times New Roman" w:cs="Times New Roman" w:eastAsia="Times New Roman" w:hAnsi="Times New Roman"/>
                <w:sz w:val="15"/>
                <w:szCs w:val="15"/>
                <w:color w:val="auto"/>
                <w:vertAlign w:val="superscript"/>
              </w:rPr>
              <w:t>1</w:t>
            </w: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4,254</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4,306</w:t>
            </w:r>
          </w:p>
        </w:tc>
      </w:tr>
      <w:tr>
        <w:trPr>
          <w:trHeight w:val="18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446,430</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419,380</w:t>
            </w:r>
          </w:p>
        </w:tc>
      </w:tr>
      <w:tr>
        <w:trPr>
          <w:trHeight w:val="149"/>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41,862</w:t>
            </w:r>
          </w:p>
        </w:tc>
        <w:tc>
          <w:tcPr>
            <w:tcW w:w="6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30,044</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3,124</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w:t>
            </w:r>
          </w:p>
        </w:tc>
      </w:tr>
      <w:tr>
        <w:trPr>
          <w:trHeight w:val="171"/>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24,555</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21,437</w:t>
            </w:r>
          </w:p>
        </w:tc>
      </w:tr>
      <w:tr>
        <w:trPr>
          <w:trHeight w:val="17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69,541</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54,817</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51,794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51,913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59,918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60,919</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5,519</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16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w:t>
            </w:r>
          </w:p>
        </w:tc>
      </w:tr>
      <w:tr>
        <w:trPr>
          <w:trHeight w:val="16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189,025</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174,133</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160" w:type="dxa"/>
            <w:vAlign w:val="bottom"/>
          </w:tcPr>
          <w:p>
            <w:pPr>
              <w:spacing w:after="0"/>
              <w:rPr>
                <w:sz w:val="14"/>
                <w:szCs w:val="14"/>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1,615,501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1,596,889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(1,359,003)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(1,352,474)</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830</w:t>
            </w:r>
          </w:p>
        </w:tc>
      </w:tr>
      <w:tr>
        <w:trPr>
          <w:trHeight w:val="16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257,405</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245,247</w:t>
            </w:r>
          </w:p>
        </w:tc>
      </w:tr>
      <w:tr>
        <w:trPr>
          <w:trHeight w:val="178"/>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446,430</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419,380</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assets includes $990 thousand of restricted cash as of both March 31, 2025 and December 31, 2024.</w:t>
      </w:r>
    </w:p>
    <w:p>
      <w:pPr>
        <w:sectPr>
          <w:pgSz w:w="11900" w:h="16838" w:orient="portrait"/>
          <w:cols w:equalWidth="0" w:num="1">
            <w:col w:w="11308"/>
          </w:cols>
          <w:pgMar w:left="292" w:top="773"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120" w:type="dxa"/>
            <w:vAlign w:val="bottom"/>
            <w:tcBorders>
              <w:bottom w:val="single" w:sz="8" w:color="auto"/>
            </w:tcBorders>
          </w:tcPr>
          <w:p>
            <w:pPr>
              <w:spacing w:after="0"/>
              <w:rPr>
                <w:sz w:val="14"/>
                <w:szCs w:val="14"/>
                <w:color w:val="auto"/>
              </w:rPr>
            </w:pPr>
          </w:p>
        </w:tc>
      </w:tr>
      <w:tr>
        <w:trPr>
          <w:trHeight w:val="169"/>
        </w:trPr>
        <w:tc>
          <w:tcPr>
            <w:tcW w:w="73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7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112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85,759</w:t>
            </w:r>
          </w:p>
        </w:tc>
        <w:tc>
          <w:tcPr>
            <w:tcW w:w="8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61,104</w:t>
            </w:r>
          </w:p>
        </w:tc>
      </w:tr>
      <w:tr>
        <w:trPr>
          <w:trHeight w:val="180"/>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1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1,318</w:t>
            </w:r>
          </w:p>
        </w:tc>
      </w:tr>
      <w:tr>
        <w:trPr>
          <w:trHeight w:val="169"/>
        </w:trPr>
        <w:tc>
          <w:tcPr>
            <w:tcW w:w="7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1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87,115</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62,422</w:t>
            </w:r>
          </w:p>
        </w:tc>
      </w:tr>
      <w:tr>
        <w:trPr>
          <w:trHeight w:val="16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1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28,639</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25,011</w:t>
            </w:r>
          </w:p>
        </w:tc>
      </w:tr>
      <w:tr>
        <w:trPr>
          <w:trHeight w:val="169"/>
        </w:trPr>
        <w:tc>
          <w:tcPr>
            <w:tcW w:w="7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1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58,476</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37,411</w:t>
            </w:r>
          </w:p>
        </w:tc>
      </w:tr>
      <w:tr>
        <w:trPr>
          <w:trHeight w:val="17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12,577</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11,567</w:t>
            </w:r>
          </w:p>
        </w:tc>
      </w:tr>
      <w:tr>
        <w:trPr>
          <w:trHeight w:val="171"/>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1120" w:type="dxa"/>
            <w:vAlign w:val="bottom"/>
          </w:tcPr>
          <w:p>
            <w:pPr>
              <w:spacing w:after="0"/>
              <w:rPr>
                <w:sz w:val="14"/>
                <w:szCs w:val="14"/>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18,316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16,085</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32,134</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23,419</w:t>
            </w:r>
          </w:p>
        </w:tc>
      </w:tr>
      <w:tr>
        <w:trPr>
          <w:trHeight w:val="169"/>
        </w:trPr>
        <w:tc>
          <w:tcPr>
            <w:tcW w:w="7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1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w w:val="97"/>
              </w:rPr>
              <w:t>(4,551)</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(13,660)</w:t>
            </w:r>
          </w:p>
        </w:tc>
      </w:tr>
      <w:tr>
        <w:trPr>
          <w:trHeight w:val="160"/>
        </w:trPr>
        <w:tc>
          <w:tcPr>
            <w:tcW w:w="7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income (expenses), net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warrants</w:t>
            </w:r>
          </w:p>
        </w:tc>
        <w:tc>
          <w:tcPr>
            <w:tcW w:w="1120" w:type="dxa"/>
            <w:vAlign w:val="bottom"/>
            <w:shd w:val="clear" w:color="auto" w:fill="CCEEFF"/>
          </w:tcPr>
          <w:p>
            <w:pPr>
              <w:spacing w:after="0"/>
              <w:rPr>
                <w:sz w:val="16"/>
                <w:szCs w:val="16"/>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w w:val="97"/>
              </w:rPr>
              <w:t>(1,100)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(6,101)</w:t>
            </w:r>
          </w:p>
        </w:tc>
      </w:tr>
      <w:tr>
        <w:trPr>
          <w:trHeight w:val="171"/>
        </w:trPr>
        <w:tc>
          <w:tcPr>
            <w:tcW w:w="7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1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w:t>
            </w:r>
          </w:p>
        </w:tc>
      </w:tr>
      <w:tr>
        <w:trPr>
          <w:trHeight w:val="180"/>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net</w:t>
            </w:r>
          </w:p>
        </w:tc>
        <w:tc>
          <w:tcPr>
            <w:tcW w:w="1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69"/>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non-operating expenses, net</w:t>
            </w:r>
          </w:p>
        </w:tc>
        <w:tc>
          <w:tcPr>
            <w:tcW w:w="1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w w:val="97"/>
              </w:rPr>
              <w:t>(1,531)</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(6,661)</w:t>
            </w:r>
          </w:p>
        </w:tc>
      </w:tr>
      <w:tr>
        <w:trPr>
          <w:trHeight w:val="17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w w:val="97"/>
              </w:rPr>
              <w:t>(6,082)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(20,321)</w:t>
            </w:r>
          </w:p>
        </w:tc>
      </w:tr>
      <w:tr>
        <w:trPr>
          <w:trHeight w:val="171"/>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94"/>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120" w:type="dxa"/>
            <w:vAlign w:val="bottom"/>
            <w:tcBorders>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w w:val="97"/>
              </w:rPr>
              <w:t>(6,529)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(20,239)</w:t>
            </w:r>
          </w:p>
        </w:tc>
      </w:tr>
      <w:tr>
        <w:trPr>
          <w:trHeight w:val="153"/>
        </w:trPr>
        <w:tc>
          <w:tcPr>
            <w:tcW w:w="7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w w:val="96"/>
              </w:rPr>
              <w:t>28,147,948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26,062,170</w:t>
            </w:r>
          </w:p>
        </w:tc>
      </w:tr>
      <w:tr>
        <w:trPr>
          <w:trHeight w:val="162"/>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loss per share, Class A common stock</w:t>
            </w:r>
          </w:p>
        </w:tc>
        <w:tc>
          <w:tcPr>
            <w:tcW w:w="112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(0.78)</w:t>
            </w:r>
          </w:p>
        </w:tc>
      </w:tr>
    </w:tbl>
    <w:p>
      <w:pPr>
        <w:sectPr>
          <w:pgSz w:w="11900" w:h="16838" w:orient="portrait"/>
          <w:cols w:equalWidth="0" w:num="1">
            <w:col w:w="11300"/>
          </w:cols>
          <w:pgMar w:left="300" w:top="773" w:right="299" w:bottom="1440" w:gutter="0" w:footer="0" w:header="0"/>
        </w:sectPr>
      </w:pPr>
    </w:p>
    <w:bookmarkStart w:id="12" w:name="page13"/>
    <w:bookmarkEnd w:id="1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180" w:type="dxa"/>
            <w:vAlign w:val="bottom"/>
            <w:tcBorders>
              <w:bottom w:val="single" w:sz="8" w:color="auto"/>
            </w:tcBorders>
          </w:tcPr>
          <w:p>
            <w:pPr>
              <w:spacing w:after="0"/>
              <w:rPr>
                <w:sz w:val="12"/>
                <w:szCs w:val="12"/>
                <w:color w:val="auto"/>
              </w:rPr>
            </w:pPr>
          </w:p>
        </w:tc>
      </w:tr>
      <w:tr>
        <w:trPr>
          <w:trHeight w:val="167"/>
        </w:trPr>
        <w:tc>
          <w:tcPr>
            <w:tcW w:w="73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1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180" w:type="dxa"/>
            <w:vAlign w:val="bottom"/>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(6,529)</w:t>
            </w:r>
          </w:p>
        </w:tc>
        <w:tc>
          <w:tcPr>
            <w:tcW w:w="60" w:type="dxa"/>
            <w:vAlign w:val="bottom"/>
          </w:tcPr>
          <w:p>
            <w:pPr>
              <w:spacing w:after="0"/>
              <w:rPr>
                <w:sz w:val="14"/>
                <w:szCs w:val="14"/>
                <w:color w:val="auto"/>
              </w:rPr>
            </w:pPr>
          </w:p>
        </w:tc>
        <w:tc>
          <w:tcPr>
            <w:tcW w:w="78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0"/>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5,678</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5,248</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3,983</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warrants</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6,101</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expense</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75"/>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Change in third party payor reserves</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1,395</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185"/>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Other</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4,220</w:t>
            </w:r>
          </w:p>
        </w:tc>
      </w:tr>
      <w:tr>
        <w:trPr>
          <w:trHeight w:val="171"/>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(2,032)</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(2,877)</w:t>
            </w:r>
          </w:p>
        </w:tc>
      </w:tr>
      <w:tr>
        <w:trPr>
          <w:trHeight w:val="18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10,824</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(4,733)</w:t>
            </w:r>
          </w:p>
        </w:tc>
      </w:tr>
      <w:tr>
        <w:trPr>
          <w:trHeight w:val="171"/>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3,116</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(4,293)</w:t>
            </w:r>
          </w:p>
        </w:tc>
      </w:tr>
      <w:tr>
        <w:trPr>
          <w:trHeight w:val="17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10,182</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(6,129)</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(17,209)</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(5,167)</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1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13,930</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5,855</w:t>
            </w:r>
          </w:p>
        </w:tc>
      </w:tr>
      <w:tr>
        <w:trPr>
          <w:trHeight w:val="17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provided by investing activities</w:t>
            </w:r>
          </w:p>
        </w:tc>
        <w:tc>
          <w:tcPr>
            <w:tcW w:w="1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(9,408)</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offerings, net of issuance costs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13,894</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Finance lease payoff and principal payments</w:t>
            </w: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13,718</w:t>
            </w:r>
          </w:p>
        </w:tc>
        <w:tc>
          <w:tcPr>
            <w:tcW w:w="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14,492</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(16,008)</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1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86,202</w:t>
            </w:r>
          </w:p>
        </w:tc>
        <w:tc>
          <w:tcPr>
            <w:tcW w:w="6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100,668</w:t>
            </w:r>
          </w:p>
        </w:tc>
      </w:tr>
      <w:tr>
        <w:trPr>
          <w:trHeight w:val="194"/>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Cash, cash equivalents and restricted cash, at end of period </w:t>
            </w:r>
            <w:r>
              <w:rPr>
                <w:rFonts w:ascii="Times New Roman" w:cs="Times New Roman" w:eastAsia="Times New Roman" w:hAnsi="Times New Roman"/>
                <w:sz w:val="15"/>
                <w:szCs w:val="15"/>
                <w:color w:val="auto"/>
                <w:vertAlign w:val="superscript"/>
              </w:rPr>
              <w:t>(1)</w:t>
            </w:r>
          </w:p>
        </w:tc>
        <w:tc>
          <w:tcPr>
            <w:tcW w:w="118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100,694</w:t>
            </w: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84,660</w:t>
            </w:r>
          </w:p>
        </w:tc>
      </w:tr>
      <w:tr>
        <w:trPr>
          <w:trHeight w:val="162"/>
        </w:trPr>
        <w:tc>
          <w:tcPr>
            <w:tcW w:w="7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taxes</w:t>
            </w:r>
          </w:p>
        </w:tc>
        <w:tc>
          <w:tcPr>
            <w:tcW w:w="1180" w:type="dxa"/>
            <w:vAlign w:val="bottom"/>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60" w:type="dxa"/>
            <w:vAlign w:val="bottom"/>
          </w:tcPr>
          <w:p>
            <w:pPr>
              <w:spacing w:after="0"/>
              <w:rPr>
                <w:sz w:val="14"/>
                <w:szCs w:val="14"/>
                <w:color w:val="auto"/>
              </w:rPr>
            </w:pPr>
          </w:p>
        </w:tc>
        <w:tc>
          <w:tcPr>
            <w:tcW w:w="78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 and accrued expenses</w:t>
            </w: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r>
    </w:tbl>
    <w:p>
      <w:pPr>
        <w:spacing w:after="0" w:line="157"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Cash, cash equivalents and restricted cash at March 31, 2025 excludes marketable securities of $59.5 million.</w:t>
      </w:r>
    </w:p>
    <w:p>
      <w:pPr>
        <w:sectPr>
          <w:pgSz w:w="11900" w:h="16838" w:orient="portrait"/>
          <w:cols w:equalWidth="0" w:num="1">
            <w:col w:w="11308"/>
          </w:cols>
          <w:pgMar w:left="292" w:top="773" w:right="299" w:bottom="1440" w:gutter="0" w:footer="0" w:header="0"/>
        </w:sectPr>
      </w:pPr>
    </w:p>
    <w:bookmarkStart w:id="13" w:name="page14"/>
    <w:bookmarkEnd w:id="1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
      <w:numFmt w:val="bullet"/>
      <w:start w:val="1"/>
    </w:lvl>
  </w:abstractNum>
  <w:abstractNum w:abstractNumId="10">
    <w:nsid w:val="140E0F76"/>
    <w:multiLevelType w:val="hybridMultilevel"/>
    <w:lvl w:ilvl="0">
      <w:lvlJc w:val="left"/>
      <w:lvlText w:val="•"/>
      <w:numFmt w:val="bullet"/>
      <w:start w:val="1"/>
    </w:lvl>
    <w:lvl w:ilvl="1">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2025-04-30T06:10:33Z</dcterms:created>
  <dcterms:modified xsi:type="dcterms:W3CDTF">2025-04-30T06:10:33Z</dcterms:modified>
</cp:coreProperties>
</file>