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Commission file number 001-39482</w:t>
      </w:r>
    </w:p>
    <w:p>
      <w:pPr>
        <w:pStyle w:val="TextBody"/>
        <w:bidi w:val="0"/>
        <w:spacing w:before="0" w:after="180"/>
        <w:jc w:val="center"/>
        <w:rPr/>
      </w:pPr>
      <w:r>
        <w:rPr/>
        <w:drawing>
          <wp:inline distT="0" distB="0" distL="0" distR="0">
            <wp:extent cx="18288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191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GeneDx Holdings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8055" w:type="dxa"/>
        <w:jc w:val="left"/>
        <w:tblInd w:w="0" w:type="dxa"/>
        <w:tblLayout w:type="fixed"/>
        <w:tblCellMar>
          <w:top w:w="28" w:type="dxa"/>
          <w:left w:w="28" w:type="dxa"/>
          <w:bottom w:w="28" w:type="dxa"/>
          <w:right w:w="28" w:type="dxa"/>
        </w:tblCellMar>
      </w:tblPr>
      <w:tblGrid>
        <w:gridCol w:w="1818"/>
        <w:gridCol w:w="1596"/>
        <w:gridCol w:w="1611"/>
        <w:gridCol w:w="805"/>
        <w:gridCol w:w="805"/>
        <w:gridCol w:w="1420"/>
      </w:tblGrid>
      <w:tr>
        <w:trPr/>
        <w:tc>
          <w:tcPr>
            <w:tcW w:w="1818"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ind w:left="0" w:right="0" w:firstLine="60"/>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3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85-1966622</w:t>
            </w:r>
          </w:p>
        </w:tc>
      </w:tr>
      <w:tr>
        <w:trPr/>
        <w:tc>
          <w:tcPr>
            <w:tcW w:w="502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 xml:space="preserve">333 Ludlow Street, North Tower; 6th Floor </w:t>
            </w:r>
          </w:p>
          <w:p>
            <w:pPr>
              <w:pStyle w:val="TableContents"/>
              <w:bidi w:val="0"/>
              <w:spacing w:lineRule="auto" w:line="268"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Stamford, Connecticut 06902</w:t>
            </w:r>
          </w:p>
        </w:tc>
      </w:tr>
      <w:tr>
        <w:trPr/>
        <w:tc>
          <w:tcPr>
            <w:tcW w:w="805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bl>
    <w:p>
      <w:pPr>
        <w:pStyle w:val="TextBody"/>
        <w:bidi w:val="0"/>
        <w:spacing w:lineRule="auto" w:line="288" w:before="0" w:after="12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(888) 729-1206</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40"/>
        <w:gridCol w:w="1351"/>
        <w:gridCol w:w="1367"/>
        <w:gridCol w:w="109"/>
        <w:gridCol w:w="109"/>
        <w:gridCol w:w="109"/>
        <w:gridCol w:w="496"/>
        <w:gridCol w:w="496"/>
        <w:gridCol w:w="498"/>
        <w:gridCol w:w="109"/>
        <w:gridCol w:w="109"/>
        <w:gridCol w:w="109"/>
        <w:gridCol w:w="1110"/>
        <w:gridCol w:w="1110"/>
        <w:gridCol w:w="1583"/>
      </w:tblGrid>
      <w:tr>
        <w:trPr/>
        <w:tc>
          <w:tcPr>
            <w:tcW w:w="154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77" w:type="dxa"/>
        <w:jc w:val="left"/>
        <w:tblInd w:w="0" w:type="dxa"/>
        <w:tblLayout w:type="fixed"/>
        <w:tblCellMar>
          <w:top w:w="28" w:type="dxa"/>
          <w:left w:w="28" w:type="dxa"/>
          <w:bottom w:w="28" w:type="dxa"/>
          <w:right w:w="28" w:type="dxa"/>
        </w:tblCellMar>
      </w:tblPr>
      <w:tblGrid>
        <w:gridCol w:w="695"/>
        <w:gridCol w:w="611"/>
        <w:gridCol w:w="613"/>
        <w:gridCol w:w="125"/>
        <w:gridCol w:w="125"/>
        <w:gridCol w:w="126"/>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18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jc w:val="both"/>
        <w:rPr/>
      </w:pPr>
      <w:r>
        <w:rPr>
          <w:rFonts w:ascii="Times New Roman;serif" w:hAnsi="Times New Roman;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registrant had 29,822,541 shares of Class A common stock, par value $0.0001, outstanding at July 27,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21"/>
        <w:gridCol w:w="714"/>
        <w:gridCol w:w="714"/>
        <w:gridCol w:w="2481"/>
        <w:gridCol w:w="2426"/>
        <w:gridCol w:w="2474"/>
        <w:gridCol w:w="167"/>
        <w:gridCol w:w="167"/>
        <w:gridCol w:w="241"/>
      </w:tblGrid>
      <w:tr>
        <w:trPr/>
        <w:tc>
          <w:tcPr>
            <w:tcW w:w="82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Cautionary Note Regarding Forward Looking Statements</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8ea7eed042c47b8b41d36794c3946fe_10">
              <w:r>
                <w:rPr>
                  <w:rStyle w:val="InternetLink"/>
                  <w:rFonts w:ascii="Times New Roman;serif" w:hAnsi="Times New Roman;serif"/>
                  <w:b w:val="false"/>
                  <w:strike w:val="false"/>
                  <w:dstrike w:val="false"/>
                  <w:color w:val="000000"/>
                  <w:sz w:val="20"/>
                  <w:u w:val="none"/>
                  <w:effect w:val="none"/>
                </w:rPr>
                <w:t>3</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3">
              <w:r>
                <w:rPr>
                  <w:rStyle w:val="InternetLink"/>
                  <w:rFonts w:ascii="Times New Roman;serif" w:hAnsi="Times New Roman;serif"/>
                  <w:b w:val="false"/>
                  <w:color w:val="0000FF"/>
                  <w:sz w:val="20"/>
                  <w:u w:val="single"/>
                </w:rPr>
                <w:t>Part I. 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6">
              <w:r>
                <w:rPr>
                  <w:rStyle w:val="InternetLink"/>
                  <w:rFonts w:ascii="Times New Roman;serif" w:hAnsi="Times New Roman;serif"/>
                  <w:b w:val="false"/>
                  <w:color w:val="0000FF"/>
                  <w:sz w:val="20"/>
                  <w:u w:val="single"/>
                </w:rPr>
                <w:t>Item 1.</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6">
              <w:r>
                <w:rPr>
                  <w:rStyle w:val="InternetLink"/>
                  <w:rFonts w:ascii="Times New Roman;serif" w:hAnsi="Times New Roman;serif"/>
                  <w:b w:val="false"/>
                  <w:color w:val="0000FF"/>
                  <w:sz w:val="20"/>
                  <w:u w:val="single"/>
                </w:rPr>
                <w:t>Condensed Consolidated Financial Statements (Unaudited)</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8ea7eed042c47b8b41d36794c3946fe_16">
              <w:r>
                <w:rPr>
                  <w:rStyle w:val="InternetLink"/>
                  <w:rFonts w:ascii="Times New Roman;serif" w:hAnsi="Times New Roman;serif"/>
                  <w:b w:val="false"/>
                  <w:strike w:val="false"/>
                  <w:dstrike w:val="false"/>
                  <w:color w:val="000000"/>
                  <w:sz w:val="20"/>
                  <w:u w:val="none"/>
                  <w:effect w:val="none"/>
                </w:rPr>
                <w:t>4</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82">
              <w:r>
                <w:rPr>
                  <w:rStyle w:val="InternetLink"/>
                  <w:rFonts w:ascii="Times New Roman;serif" w:hAnsi="Times New Roman;serif"/>
                  <w:b w:val="false"/>
                  <w:color w:val="0000FF"/>
                  <w:sz w:val="20"/>
                  <w:u w:val="single"/>
                </w:rPr>
                <w:t>Item 2.</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8ea7eed042c47b8b41d36794c3946fe_82">
              <w:r>
                <w:rPr>
                  <w:rStyle w:val="InternetLink"/>
                  <w:rFonts w:ascii="Times New Roman;serif" w:hAnsi="Times New Roman;serif"/>
                  <w:b w:val="false"/>
                  <w:strike w:val="false"/>
                  <w:dstrike w:val="false"/>
                  <w:color w:val="000000"/>
                  <w:sz w:val="20"/>
                  <w:u w:val="none"/>
                  <w:effect w:val="none"/>
                </w:rPr>
                <w:t>25</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15">
              <w:r>
                <w:rPr>
                  <w:rStyle w:val="InternetLink"/>
                  <w:rFonts w:ascii="Times New Roman;serif" w:hAnsi="Times New Roman;serif"/>
                  <w:b w:val="false"/>
                  <w:color w:val="0000FF"/>
                  <w:sz w:val="20"/>
                  <w:u w:val="single"/>
                </w:rPr>
                <w:t>Item 3.</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15">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8ea7eed042c47b8b41d36794c3946fe_115">
              <w:r>
                <w:rPr>
                  <w:rStyle w:val="InternetLink"/>
                  <w:rFonts w:ascii="Times New Roman;serif" w:hAnsi="Times New Roman;serif"/>
                  <w:b w:val="false"/>
                  <w:strike w:val="false"/>
                  <w:dstrike w:val="false"/>
                  <w:color w:val="000000"/>
                  <w:sz w:val="20"/>
                  <w:u w:val="none"/>
                  <w:effect w:val="none"/>
                </w:rPr>
                <w:t>34</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18">
              <w:r>
                <w:rPr>
                  <w:rStyle w:val="InternetLink"/>
                  <w:rFonts w:ascii="Times New Roman;serif" w:hAnsi="Times New Roman;serif"/>
                  <w:b w:val="false"/>
                  <w:color w:val="0000FF"/>
                  <w:sz w:val="20"/>
                  <w:u w:val="single"/>
                </w:rPr>
                <w:t>Item 4.</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18">
              <w:r>
                <w:rPr>
                  <w:rStyle w:val="InternetLink"/>
                  <w:rFonts w:ascii="Times New Roman;serif" w:hAnsi="Times New Roman;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8ea7eed042c47b8b41d36794c3946fe_118">
              <w:r>
                <w:rPr>
                  <w:rStyle w:val="InternetLink"/>
                  <w:rFonts w:ascii="Times New Roman;serif" w:hAnsi="Times New Roman;serif"/>
                  <w:b w:val="false"/>
                  <w:strike w:val="false"/>
                  <w:dstrike w:val="false"/>
                  <w:color w:val="000000"/>
                  <w:sz w:val="20"/>
                  <w:u w:val="none"/>
                  <w:effect w:val="none"/>
                </w:rPr>
                <w:t>34</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21">
              <w:r>
                <w:rPr>
                  <w:rStyle w:val="InternetLink"/>
                  <w:rFonts w:ascii="Times New Roman;serif" w:hAnsi="Times New Roman;serif"/>
                  <w:b w:val="false"/>
                  <w:color w:val="0000FF"/>
                  <w:sz w:val="20"/>
                  <w:u w:val="single"/>
                </w:rPr>
                <w:t>Part II.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24">
              <w:r>
                <w:rPr>
                  <w:rStyle w:val="InternetLink"/>
                  <w:rFonts w:ascii="Times New Roman;serif" w:hAnsi="Times New Roman;serif"/>
                  <w:b w:val="false"/>
                  <w:color w:val="0000FF"/>
                  <w:sz w:val="20"/>
                  <w:u w:val="single"/>
                </w:rPr>
                <w:t>Item 1.</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24">
              <w:r>
                <w:rPr>
                  <w:rStyle w:val="InternetLink"/>
                  <w:rFonts w:ascii="Times New Roman;serif" w:hAnsi="Times New Roman;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8ea7eed042c47b8b41d36794c3946fe_124">
              <w:r>
                <w:rPr>
                  <w:rStyle w:val="InternetLink"/>
                  <w:rFonts w:ascii="Times New Roman;serif" w:hAnsi="Times New Roman;serif"/>
                  <w:b w:val="false"/>
                  <w:strike w:val="false"/>
                  <w:dstrike w:val="false"/>
                  <w:color w:val="000000"/>
                  <w:sz w:val="20"/>
                  <w:u w:val="none"/>
                  <w:effect w:val="none"/>
                </w:rPr>
                <w:t>36</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27">
              <w:r>
                <w:rPr>
                  <w:rStyle w:val="InternetLink"/>
                  <w:rFonts w:ascii="Times New Roman;serif" w:hAnsi="Times New Roman;serif"/>
                  <w:b w:val="false"/>
                  <w:color w:val="0000FF"/>
                  <w:sz w:val="20"/>
                  <w:u w:val="single"/>
                </w:rPr>
                <w:t>Item 1A.</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27">
              <w:r>
                <w:rPr>
                  <w:rStyle w:val="InternetLink"/>
                  <w:rFonts w:ascii="Times New Roman;serif" w:hAnsi="Times New Roman;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8ea7eed042c47b8b41d36794c3946fe_127">
              <w:r>
                <w:rPr>
                  <w:rStyle w:val="InternetLink"/>
                  <w:rFonts w:ascii="Times New Roman;serif" w:hAnsi="Times New Roman;serif"/>
                  <w:b w:val="false"/>
                  <w:strike w:val="false"/>
                  <w:dstrike w:val="false"/>
                  <w:color w:val="000000"/>
                  <w:sz w:val="20"/>
                  <w:u w:val="none"/>
                  <w:effect w:val="none"/>
                </w:rPr>
                <w:t>36</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30">
              <w:r>
                <w:rPr>
                  <w:rStyle w:val="InternetLink"/>
                  <w:rFonts w:ascii="Times New Roman;serif" w:hAnsi="Times New Roman;serif"/>
                  <w:b w:val="false"/>
                  <w:color w:val="0000FF"/>
                  <w:sz w:val="20"/>
                  <w:u w:val="single"/>
                </w:rPr>
                <w:t>Item 2.</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30">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8ea7eed042c47b8b41d36794c3946fe_130">
              <w:r>
                <w:rPr>
                  <w:rStyle w:val="InternetLink"/>
                  <w:rFonts w:ascii="Times New Roman;serif" w:hAnsi="Times New Roman;serif"/>
                  <w:b w:val="false"/>
                  <w:strike w:val="false"/>
                  <w:dstrike w:val="false"/>
                  <w:color w:val="000000"/>
                  <w:sz w:val="20"/>
                  <w:u w:val="none"/>
                  <w:effect w:val="none"/>
                </w:rPr>
                <w:t>36</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33">
              <w:r>
                <w:rPr>
                  <w:rStyle w:val="InternetLink"/>
                  <w:rFonts w:ascii="Times New Roman;serif" w:hAnsi="Times New Roman;serif"/>
                  <w:b w:val="false"/>
                  <w:color w:val="0000FF"/>
                  <w:sz w:val="20"/>
                  <w:u w:val="single"/>
                </w:rPr>
                <w:t>Item 3.</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33">
              <w:r>
                <w:rPr>
                  <w:rStyle w:val="InternetLink"/>
                  <w:rFonts w:ascii="Times New Roman;serif" w:hAnsi="Times New Roman;serif"/>
                  <w:b w:val="false"/>
                  <w:color w:val="0000FF"/>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8ea7eed042c47b8b41d36794c3946fe_133">
              <w:r>
                <w:rPr>
                  <w:rStyle w:val="InternetLink"/>
                  <w:rFonts w:ascii="Times New Roman;serif" w:hAnsi="Times New Roman;serif"/>
                  <w:b w:val="false"/>
                  <w:strike w:val="false"/>
                  <w:dstrike w:val="false"/>
                  <w:color w:val="000000"/>
                  <w:sz w:val="20"/>
                  <w:u w:val="none"/>
                  <w:effect w:val="none"/>
                </w:rPr>
                <w:t>36</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36">
              <w:r>
                <w:rPr>
                  <w:rStyle w:val="InternetLink"/>
                  <w:rFonts w:ascii="Times New Roman;serif" w:hAnsi="Times New Roman;serif"/>
                  <w:b w:val="false"/>
                  <w:color w:val="0000FF"/>
                  <w:sz w:val="20"/>
                  <w:u w:val="single"/>
                </w:rPr>
                <w:t>Item 4.</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36">
              <w:r>
                <w:rPr>
                  <w:rStyle w:val="InternetLink"/>
                  <w:rFonts w:ascii="Times New Roman;serif" w:hAnsi="Times New Roman;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8ea7eed042c47b8b41d36794c3946fe_136">
              <w:r>
                <w:rPr>
                  <w:rStyle w:val="InternetLink"/>
                  <w:rFonts w:ascii="Times New Roman;serif" w:hAnsi="Times New Roman;serif"/>
                  <w:b w:val="false"/>
                  <w:strike w:val="false"/>
                  <w:dstrike w:val="false"/>
                  <w:color w:val="000000"/>
                  <w:sz w:val="20"/>
                  <w:u w:val="none"/>
                  <w:effect w:val="none"/>
                </w:rPr>
                <w:t>36</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39">
              <w:r>
                <w:rPr>
                  <w:rStyle w:val="InternetLink"/>
                  <w:rFonts w:ascii="Times New Roman;serif" w:hAnsi="Times New Roman;serif"/>
                  <w:b w:val="false"/>
                  <w:color w:val="0000FF"/>
                  <w:sz w:val="20"/>
                  <w:u w:val="single"/>
                </w:rPr>
                <w:t>Item 5.</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39">
              <w:r>
                <w:rPr>
                  <w:rStyle w:val="InternetLink"/>
                  <w:rFonts w:ascii="Times New Roman;serif" w:hAnsi="Times New Roman;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8ea7eed042c47b8b41d36794c3946fe_139">
              <w:r>
                <w:rPr>
                  <w:rStyle w:val="InternetLink"/>
                  <w:rFonts w:ascii="Times New Roman;serif" w:hAnsi="Times New Roman;serif"/>
                  <w:b w:val="false"/>
                  <w:strike w:val="false"/>
                  <w:dstrike w:val="false"/>
                  <w:color w:val="000000"/>
                  <w:sz w:val="20"/>
                  <w:u w:val="none"/>
                  <w:effect w:val="none"/>
                </w:rPr>
                <w:t>37</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48">
              <w:r>
                <w:rPr>
                  <w:rStyle w:val="InternetLink"/>
                  <w:rFonts w:ascii="Times New Roman;serif" w:hAnsi="Times New Roman;serif"/>
                  <w:b w:val="false"/>
                  <w:color w:val="0000FF"/>
                  <w:sz w:val="20"/>
                  <w:u w:val="single"/>
                </w:rPr>
                <w:t>Item 6.</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48">
              <w:r>
                <w:rPr>
                  <w:rStyle w:val="InternetLink"/>
                  <w:rFonts w:ascii="Times New Roman;serif" w:hAnsi="Times New Roman;serif"/>
                  <w:b w:val="false"/>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8ea7eed042c47b8b41d36794c3946fe_148">
              <w:r>
                <w:rPr>
                  <w:rStyle w:val="InternetLink"/>
                  <w:rFonts w:ascii="Times New Roman;serif" w:hAnsi="Times New Roman;serif"/>
                  <w:b w:val="false"/>
                  <w:strike w:val="false"/>
                  <w:dstrike w:val="false"/>
                  <w:color w:val="000000"/>
                  <w:sz w:val="20"/>
                  <w:u w:val="none"/>
                  <w:effect w:val="none"/>
                </w:rPr>
                <w:t>39</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58ea7eed042c47b8b41d36794c3946fe_151">
              <w:r>
                <w:rPr>
                  <w:rStyle w:val="InternetLink"/>
                  <w:rFonts w:ascii="Times New Roman;serif" w:hAnsi="Times New Roman;serif"/>
                  <w:b w:val="false"/>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58ea7eed042c47b8b41d36794c3946fe_151">
              <w:r>
                <w:rPr>
                  <w:rStyle w:val="InternetLink"/>
                  <w:rFonts w:ascii="Times New Roman;serif" w:hAnsi="Times New Roman;serif"/>
                  <w:b w:val="false"/>
                  <w:strike w:val="false"/>
                  <w:dstrike w:val="false"/>
                  <w:color w:val="000000"/>
                  <w:sz w:val="20"/>
                  <w:u w:val="none"/>
                  <w:effect w:val="non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matters discussed in this report, including matters discussed under the caption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estimates of the sufficiency of our existing capital resources combined with future anticipated cash flows and future capital requirements to finance our operating requirements, and capital expenditures;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expectations for generating revenue, incurring losses, and profitability on a sustained basis;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unforeseen circumstances or other disruptions to normal business operations arising from general economic and political conditions such as recessions, fluctuating inflation, interest rates and tariff rates, government budget cuts and government shut downs, supply chain interruptions, manufacturing constraints, public health emergencies, natural disasters, armed conflict, acts of terrorism or other uncontrollable events;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successfully implement our business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or ability to enter into service, collaboration and other partnership agreements;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or ability to build our own commercial infrastructure to scale, market and sell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about the reliability, accuracy or performance of our tests;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estimates of the total addressable market for our current and potential product offerings;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realize the expected benefits of our acquisition of Fabric Genomics, Inc. (“Fabric Genomics”) and the use of artificial intelligence (“AI”);</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actions or authorizations by the U.S. Food and Drug Administration (“FDA”), or other regulatory authorities;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governmental regulation and other legal obligations, including privacy, data protection, information security, consumer protection, and anti-corruption and anti-bribery;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obtain and maintain intellectual property protection for our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compete against existing and emerging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third-party payor reimbursement and coverage decisions, negotiations and settlements;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third-party service providers for our data programs;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accounting estimates and judgments, including our expectations regarding the adequacy of our reserves for third party payor claims, and the fair value of the contingent consideration liability and our conclusions regarding the appropriateness of the carrying value of intangible assets and goodwill for the Fabric Genomics acquisition;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stock price and its volatility;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and retain key personnel.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report reflect our views and assumptions only as of the date that this report is signed. Except as required by law, we assume no responsibility for updating any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635"/>
        <w:gridCol w:w="2139"/>
        <w:gridCol w:w="2087"/>
        <w:gridCol w:w="294"/>
        <w:gridCol w:w="1152"/>
        <w:gridCol w:w="151"/>
        <w:gridCol w:w="109"/>
        <w:gridCol w:w="109"/>
        <w:gridCol w:w="109"/>
        <w:gridCol w:w="250"/>
        <w:gridCol w:w="982"/>
        <w:gridCol w:w="188"/>
      </w:tblGrid>
      <w:tr>
        <w:trPr/>
        <w:tc>
          <w:tcPr>
            <w:tcW w:w="2635"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104,997 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246,360 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268,288 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168,481 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481,486 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523,710 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5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liabilities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108,908 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96,836 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237,265 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215,528 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commitments and contingencies (Note 9)</w:t>
            </w:r>
          </w:p>
        </w:tc>
        <w:tc>
          <w:tcPr>
            <w:tcW w:w="1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 shares authorized, 0 shares issued and outstanding at June 30, 2026 and December 31, 2025, respectively</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1,000,000,000 shares authorized, 29,803,164 and 29,245,296 shares issued and outstanding at June 30, 2026 and December 31, 2025, respectively</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1,698,427 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1,680,738 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(1,454,551)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(1,373,495)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244,221 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308,182 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481,486 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523,710 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 Income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735"/>
        <w:gridCol w:w="1335"/>
        <w:gridCol w:w="1348"/>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5"/>
      </w:tblGrid>
      <w:tr>
        <w:trPr/>
        <w:tc>
          <w:tcPr>
            <w:tcW w:w="17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Diagnostic test revenue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income,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financial liabilities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income,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related to available for sale securities,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of Class A common stock -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28,579,704 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28,365,018 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(loss) earnings per share, Class A common stock </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of Class A common stock -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29,642,555 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bookmarkStart w:id="1" w:name="i4dcb2584749546d1b5416fd4382a23a0_31-0-1"/>
            <w:bookmarkEnd w:id="1"/>
            <w:r>
              <w:rPr>
                <w:rFonts w:ascii="Times New Roman;serif" w:hAnsi="Times New Roman;serif"/>
                <w:b w:val="false"/>
                <w:color w:val="000000"/>
                <w:sz w:val="20"/>
              </w:rPr>
              <w:t>Diluted (loss) earnings per share, Class A common stock</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05" w:type="dxa"/>
        <w:jc w:val="center"/>
        <w:tblInd w:w="0" w:type="dxa"/>
        <w:tblLayout w:type="fixed"/>
        <w:tblCellMar>
          <w:top w:w="28" w:type="dxa"/>
          <w:left w:w="28" w:type="dxa"/>
          <w:bottom w:w="28" w:type="dxa"/>
          <w:right w:w="28" w:type="dxa"/>
        </w:tblCellMar>
      </w:tblPr>
      <w:tblGrid>
        <w:gridCol w:w="914"/>
        <w:gridCol w:w="442"/>
        <w:gridCol w:w="444"/>
        <w:gridCol w:w="323"/>
        <w:gridCol w:w="323"/>
        <w:gridCol w:w="308"/>
        <w:gridCol w:w="116"/>
        <w:gridCol w:w="116"/>
        <w:gridCol w:w="116"/>
        <w:gridCol w:w="209"/>
        <w:gridCol w:w="273"/>
        <w:gridCol w:w="116"/>
        <w:gridCol w:w="109"/>
        <w:gridCol w:w="109"/>
        <w:gridCol w:w="109"/>
        <w:gridCol w:w="213"/>
        <w:gridCol w:w="967"/>
        <w:gridCol w:w="118"/>
        <w:gridCol w:w="109"/>
        <w:gridCol w:w="109"/>
        <w:gridCol w:w="109"/>
        <w:gridCol w:w="196"/>
        <w:gridCol w:w="894"/>
        <w:gridCol w:w="109"/>
        <w:gridCol w:w="109"/>
        <w:gridCol w:w="109"/>
        <w:gridCol w:w="109"/>
        <w:gridCol w:w="382"/>
        <w:gridCol w:w="853"/>
        <w:gridCol w:w="214"/>
        <w:gridCol w:w="109"/>
        <w:gridCol w:w="109"/>
        <w:gridCol w:w="109"/>
        <w:gridCol w:w="220"/>
        <w:gridCol w:w="846"/>
        <w:gridCol w:w="185"/>
      </w:tblGrid>
      <w:tr>
        <w:trPr/>
        <w:tc>
          <w:tcPr>
            <w:tcW w:w="91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29,666,318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1,690,249</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(1,436,811)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683</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254,124</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 converted to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96,928 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employee stock purchase plan and other</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39,918 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9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29,803,164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1,698,427</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(1,454,551)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342</w:t>
            </w:r>
            <w:r>
              <w:rPr>
                <w:color w:val="000000"/>
              </w:rPr>
              <w:t>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244,221</w:t>
            </w:r>
            <w:r>
              <w:rPr>
                <w:color w:val="000000"/>
              </w:rPr>
              <w:t>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17"/>
        <w:gridCol w:w="468"/>
        <w:gridCol w:w="469"/>
        <w:gridCol w:w="368"/>
        <w:gridCol w:w="368"/>
        <w:gridCol w:w="308"/>
        <w:gridCol w:w="115"/>
        <w:gridCol w:w="115"/>
        <w:gridCol w:w="115"/>
        <w:gridCol w:w="208"/>
        <w:gridCol w:w="272"/>
        <w:gridCol w:w="115"/>
        <w:gridCol w:w="109"/>
        <w:gridCol w:w="109"/>
        <w:gridCol w:w="109"/>
        <w:gridCol w:w="212"/>
        <w:gridCol w:w="961"/>
        <w:gridCol w:w="118"/>
        <w:gridCol w:w="109"/>
        <w:gridCol w:w="109"/>
        <w:gridCol w:w="109"/>
        <w:gridCol w:w="196"/>
        <w:gridCol w:w="893"/>
        <w:gridCol w:w="109"/>
        <w:gridCol w:w="109"/>
        <w:gridCol w:w="109"/>
        <w:gridCol w:w="109"/>
        <w:gridCol w:w="377"/>
        <w:gridCol w:w="841"/>
        <w:gridCol w:w="211"/>
        <w:gridCol w:w="109"/>
        <w:gridCol w:w="109"/>
        <w:gridCol w:w="109"/>
        <w:gridCol w:w="218"/>
        <w:gridCol w:w="839"/>
        <w:gridCol w:w="184"/>
      </w:tblGrid>
      <w:tr>
        <w:trPr/>
        <w:tc>
          <w:tcPr>
            <w:tcW w:w="81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29,245,296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1,680,738</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(1,373,495)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936</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308,182</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(81,056)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pursuant to stock option exercises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 converted to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510,246 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employee stock purchase plan and other</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39,918 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from subscription agreements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10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29,803,164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1,698,427</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(1,454,551)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342</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244,221</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79"/>
        <w:gridCol w:w="412"/>
        <w:gridCol w:w="414"/>
        <w:gridCol w:w="368"/>
        <w:gridCol w:w="368"/>
        <w:gridCol w:w="308"/>
        <w:gridCol w:w="116"/>
        <w:gridCol w:w="116"/>
        <w:gridCol w:w="116"/>
        <w:gridCol w:w="209"/>
        <w:gridCol w:w="273"/>
        <w:gridCol w:w="116"/>
        <w:gridCol w:w="109"/>
        <w:gridCol w:w="109"/>
        <w:gridCol w:w="109"/>
        <w:gridCol w:w="214"/>
        <w:gridCol w:w="968"/>
        <w:gridCol w:w="118"/>
        <w:gridCol w:w="109"/>
        <w:gridCol w:w="109"/>
        <w:gridCol w:w="109"/>
        <w:gridCol w:w="196"/>
        <w:gridCol w:w="894"/>
        <w:gridCol w:w="109"/>
        <w:gridCol w:w="109"/>
        <w:gridCol w:w="109"/>
        <w:gridCol w:w="109"/>
        <w:gridCol w:w="383"/>
        <w:gridCol w:w="855"/>
        <w:gridCol w:w="214"/>
        <w:gridCol w:w="109"/>
        <w:gridCol w:w="109"/>
        <w:gridCol w:w="109"/>
        <w:gridCol w:w="220"/>
        <w:gridCol w:w="847"/>
        <w:gridCol w:w="184"/>
      </w:tblGrid>
      <w:tr>
        <w:trPr/>
        <w:tc>
          <w:tcPr>
            <w:tcW w:w="8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28,530,337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1,615,501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(1,359,003)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905</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257,405</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pursuant to stock option exercises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 converted to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153,057 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ATM offering, net of issuance costs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28,708,058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1,624,513</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(1,348,194)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812</w:t>
            </w:r>
            <w:r>
              <w:rPr>
                <w:color w:val="000000"/>
              </w:rPr>
              <w:t>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277,133</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97"/>
        <w:gridCol w:w="453"/>
        <w:gridCol w:w="455"/>
        <w:gridCol w:w="368"/>
        <w:gridCol w:w="368"/>
        <w:gridCol w:w="308"/>
        <w:gridCol w:w="116"/>
        <w:gridCol w:w="116"/>
        <w:gridCol w:w="116"/>
        <w:gridCol w:w="209"/>
        <w:gridCol w:w="273"/>
        <w:gridCol w:w="116"/>
        <w:gridCol w:w="109"/>
        <w:gridCol w:w="109"/>
        <w:gridCol w:w="109"/>
        <w:gridCol w:w="214"/>
        <w:gridCol w:w="968"/>
        <w:gridCol w:w="118"/>
        <w:gridCol w:w="109"/>
        <w:gridCol w:w="109"/>
        <w:gridCol w:w="109"/>
        <w:gridCol w:w="196"/>
        <w:gridCol w:w="894"/>
        <w:gridCol w:w="109"/>
        <w:gridCol w:w="109"/>
        <w:gridCol w:w="109"/>
        <w:gridCol w:w="109"/>
        <w:gridCol w:w="383"/>
        <w:gridCol w:w="855"/>
        <w:gridCol w:w="214"/>
        <w:gridCol w:w="109"/>
        <w:gridCol w:w="109"/>
        <w:gridCol w:w="109"/>
        <w:gridCol w:w="220"/>
        <w:gridCol w:w="847"/>
        <w:gridCol w:w="184"/>
      </w:tblGrid>
      <w:tr>
        <w:trPr/>
        <w:tc>
          <w:tcPr>
            <w:tcW w:w="79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28,016,545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1,596,889</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(1,352,474)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830</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245,247</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pursuant to stock option exercises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 converted to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483,407 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ATM offering, net of issuance costs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28,708,058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1,624,513</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(1,348,194)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812</w:t>
            </w:r>
            <w:r>
              <w:rPr>
                <w:color w:val="000000"/>
              </w:rPr>
              <w:t>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277,133</w:t>
            </w: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w:t>
      </w:r>
    </w:p>
    <w:tbl>
      <w:tblPr>
        <w:tblW w:w="9713" w:type="dxa"/>
        <w:jc w:val="center"/>
        <w:tblInd w:w="0" w:type="dxa"/>
        <w:tblLayout w:type="fixed"/>
        <w:tblCellMar>
          <w:top w:w="28" w:type="dxa"/>
          <w:left w:w="28" w:type="dxa"/>
          <w:bottom w:w="28" w:type="dxa"/>
          <w:right w:w="28" w:type="dxa"/>
        </w:tblCellMar>
      </w:tblPr>
      <w:tblGrid>
        <w:gridCol w:w="2602"/>
        <w:gridCol w:w="2283"/>
        <w:gridCol w:w="2299"/>
        <w:gridCol w:w="211"/>
        <w:gridCol w:w="796"/>
        <w:gridCol w:w="109"/>
        <w:gridCol w:w="109"/>
        <w:gridCol w:w="109"/>
        <w:gridCol w:w="109"/>
        <w:gridCol w:w="211"/>
        <w:gridCol w:w="721"/>
        <w:gridCol w:w="154"/>
      </w:tblGrid>
      <w:tr>
        <w:trPr/>
        <w:tc>
          <w:tcPr>
            <w:tcW w:w="2602"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financial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2B2A29"/>
                <w:sz w:val="20"/>
              </w:rPr>
            </w:pPr>
            <w:r>
              <w:rPr>
                <w:rFonts w:ascii="Times New Roman;serif" w:hAnsi="Times New Roman;serif"/>
                <w:b w:val="false"/>
                <w:color w:val="2B2A29"/>
                <w:sz w:val="20"/>
              </w:rPr>
              <w:t>Change in third party payor reserves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2B2A29"/>
                <w:sz w:val="20"/>
              </w:rPr>
            </w:pPr>
            <w:r>
              <w:rPr>
                <w:rFonts w:ascii="Times New Roman;serif" w:hAnsi="Times New Roman;serif"/>
                <w:b w:val="false"/>
                <w:color w:val="2B2A29"/>
                <w:sz w:val="20"/>
              </w:rPr>
              <w:t>Loss on extinguishment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2B2A29"/>
                <w:sz w:val="20"/>
              </w:rPr>
            </w:pPr>
            <w:r>
              <w:rPr>
                <w:rFonts w:ascii="Times New Roman;serif" w:hAnsi="Times New Roman;serif"/>
                <w:b w:val="false"/>
                <w:color w:val="2B2A29"/>
                <w:sz w:val="20"/>
              </w:rPr>
              <w:t>Impairment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2B2A29"/>
                <w:sz w:val="20"/>
              </w:rPr>
            </w:pPr>
            <w:r>
              <w:rPr>
                <w:rFonts w:ascii="Times New Roman;serif" w:hAnsi="Times New Roman;serif"/>
                <w:b w:val="false"/>
                <w:color w:val="2B2A29"/>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 net of cash acquired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development of internal-use software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Financing activities </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 term debt, net of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offerings, net of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from subscription agreements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pursuant to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 including prepayment penalty - Perceptive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and principal payments for long-term debt - DECD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principal payments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 cash, cash equivalents and restricted cash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Supplemental disclosures of cash flow information </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from obtaining right-of-use asset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 Organization and Description of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GeneDx Holdings Corp., through its subsidiary GeneDx, LLC, is a leading genomics company—one that sits at the intersection of diagnostics and data science, pairing decades of genomic expertise with an ability to interpret clinical data at scale. The Company believes that everyone deserves personalized, targeted medical care—and that it all begins with a genetic diagnosis. Fueled by one of the world’s largest rare disease data sets, the Company’s industry-leading exome and genome tests translate complex genomic data into clinical answers that unlock personalized health plans, accelerate drug discovery, and improve health system efficiencies. The Company operates with conviction that what is best for patients must be embedded in every aspect of our work. In support of these beliefs, we value equitability, simplicity and transparency.</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Unless otherwise stated </w:t>
      </w:r>
      <w:r>
        <w:rPr>
          <w:rFonts w:ascii="Times New Roman;serif" w:hAnsi="Times New Roman;serif"/>
          <w:b w:val="false"/>
          <w:color w:val="000000"/>
          <w:sz w:val="20"/>
        </w:rPr>
        <w:t>herein or unless the context otherwise requires, references in these notes to</w:t>
      </w:r>
      <w:r>
        <w:rPr>
          <w:rFonts w:ascii="Times New Roman;serif" w:hAnsi="Times New Roman;serif"/>
          <w:b w:val="false"/>
          <w:color w:val="000000"/>
          <w:sz w:val="20"/>
          <w:shd w:fill="FFFFFF" w:val="clear"/>
        </w:rPr>
        <w:t xml:space="preserve">: </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GeneDx Holdings” refer to GeneDx Holdings Corp., a Delaware corporation;</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Legacy GeneDx” refer to GeneDx, LLC, a Delaware limited liability company, which we acquired on April 29, 2022 (the “Acquisition”);</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Legacy Sema4” refer to Sema4 OpCo Inc., a Delaware corporation, which consummated the business combination with CM Life Sciences, Inc. (“CMLS”) on July 22, 2021 (the “Business Combination”); </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Fabric Genomics” refer to Fabric Genomics, Inc., a Delaware Corporation, which we acquired on May 5, 2025 (the “Merger”); and</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we,” “us” and “our,” the “Company” and “GeneDx” refer, as the context requires, to GeneDx Holdings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jc w:val="both"/>
        <w:rPr/>
      </w:pPr>
      <w:r>
        <w:rPr>
          <w:rFonts w:ascii="Times New Roman;serif" w:hAnsi="Times New Roman;serif"/>
          <w:b w:val="false"/>
          <w:color w:val="000000"/>
          <w:sz w:val="20"/>
        </w:rPr>
        <w:t>The accompanying condensed consolidated financial statements have been prepared in conformity with accounting principles generally accepted in the United States of America (“U.S. GAAP”) for interim financial information and pursuant to the accounting disclosure rules and regulations of the SEC regarding interim financial reporting. Accordingly, the condensed consolidated financial statements do not include all of the information and footnotes required by U.S. GAAP. These condensed financial statements consolidate the operations and accounts of the Company and its wholly-owned subsidiaries. All intercompany accounts and transactions have been eliminated. Unless otherwise noted, all tabular dollars are in thousands, except per share amounts. Certain reclassifications have been made to the prior year condensed consolidated financial statements in order to conform to the current year’s presentation including the consolidation of the former Fabric Genomics and Legacy Sema4 operating segments into the GeneDx reportable segment effective in the second quarter of 2026. See Note 15,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condensed consolidated financial statements reflect all normal recurring adjustments considered necessary for a fair statement of the financial position and the results of operations of the Company for the interim periods presented. Interim results are not necessarily indicative of the results of operations or cash flows for a full year or any subsequent interim period. The accompanying condensed consolidated financial statements should be read in conjunction with the consolidated financial statements and notes thereto included in the Company’s Annual Report on Form 10-K for the year ended December 31, 2025, filed with the SEC on February 23, 2026 (the “2025 Form 10-K”).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the Company’s condensed consolidated financial statements in conformity with U.S. GAAP requires management to make certain estimates, judgments and assumptions that affect the reported amounts of assets and liabilities and the related disclosures at the date of the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valuation of stock-based awards, the valuation of financial liabilities, the valuation of goodwill and intangible assets, and income taxes. Changes in estimates are recorded in the period in which they become known. Actual results could differ materially from those estimates, judgments and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0" w:after="180"/>
        <w:jc w:val="both"/>
        <w:rPr/>
      </w:pPr>
      <w:r>
        <w:rPr>
          <w:rFonts w:ascii="Times New Roman;serif" w:hAnsi="Times New Roman;serif"/>
          <w:b w:val="false"/>
          <w:color w:val="000000"/>
          <w:sz w:val="20"/>
        </w:rPr>
        <w:t>The Company’s significant accounting policies are described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to the consolidated financial statements included in the 2025 Form 10-K. Except as disclosed below, there have been no material changes to the Company’s critical accounting policies and estimates in the current period.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Capitalized Software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capitalizes certain costs incurred to develop internal-use software. Capitalization begins when management has authorized and committed to funding the software project and it is probable that the project will be completed and the software will be used to perform the function intended. In evaluating the probability of completion, the Company considers whether significant development uncertainty exists, including whether the software contains novel or unproven functions that have not been resolved through testing or whether significant performance requirements remain substantially undefined.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Costs incurred prior to meeting these capitalization criteria, as well as costs for training and maintenance, are expensed as incurred. Capitalization ceases when the software project is substantially complete and ready for its intended use. Capitalized software costs are amortized using the straight-line method over an estimated useful life of three to five years. The Company reviews capitalized software for impairment whenever events or changes in circumstances indicate that the carrying amount may not be recoverable.</w:t>
      </w:r>
    </w:p>
    <w:p>
      <w:pPr>
        <w:pStyle w:val="TextBody"/>
        <w:bidi w:val="0"/>
        <w:spacing w:lineRule="auto" w:line="288" w:before="0" w:after="180"/>
        <w:jc w:val="both"/>
        <w:rPr/>
      </w:pPr>
      <w:r>
        <w:rPr>
          <w:rFonts w:ascii="Times New Roman;serif" w:hAnsi="Times New Roman;serif"/>
          <w:b w:val="false"/>
          <w:color w:val="000000"/>
          <w:sz w:val="20"/>
        </w:rPr>
        <w:t>See Note 5, “</w:t>
      </w:r>
      <w:r>
        <w:rPr>
          <w:rFonts w:ascii="Times New Roman;serif" w:hAnsi="Times New Roman;serif"/>
          <w:b w:val="false"/>
          <w:i/>
          <w:color w:val="000000"/>
          <w:sz w:val="20"/>
        </w:rPr>
        <w:t>Property and Equipment, net</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assesses both the self-pay patient and, if applicable, the third-party payor groups that reimburses the Company on the patient’s behalf when evaluating concentration of credit risk. Significant patients and payor groups are those that represent more than 10% of the Company’s total revenues for the period or accounts receivable balance at each respective balance sheet date. The significant concentrations of accounts receivable as of June 30, 2026 and December 31, 2025 were primarily from large managed care insurance companies, institutional billed accounts, and data arrangements. The Company does not require collateral as a means to mitigate customer credit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each significant payor group, revenue as a percentage of total revenues and accounts receivable as a percentage of total accounts receivable are as follows:</w:t>
      </w:r>
    </w:p>
    <w:tbl>
      <w:tblPr>
        <w:tblW w:w="9145" w:type="dxa"/>
        <w:jc w:val="left"/>
        <w:tblInd w:w="0" w:type="dxa"/>
        <w:tblLayout w:type="fixed"/>
        <w:tblCellMar>
          <w:top w:w="28" w:type="dxa"/>
          <w:left w:w="28" w:type="dxa"/>
          <w:bottom w:w="28" w:type="dxa"/>
          <w:right w:w="28" w:type="dxa"/>
        </w:tblCellMar>
      </w:tblPr>
      <w:tblGrid>
        <w:gridCol w:w="525"/>
        <w:gridCol w:w="462"/>
        <w:gridCol w:w="467"/>
        <w:gridCol w:w="265"/>
        <w:gridCol w:w="265"/>
        <w:gridCol w:w="265"/>
        <w:gridCol w:w="265"/>
        <w:gridCol w:w="265"/>
        <w:gridCol w:w="265"/>
        <w:gridCol w:w="265"/>
        <w:gridCol w:w="265"/>
        <w:gridCol w:w="265"/>
        <w:gridCol w:w="109"/>
        <w:gridCol w:w="109"/>
        <w:gridCol w:w="109"/>
        <w:gridCol w:w="241"/>
        <w:gridCol w:w="241"/>
        <w:gridCol w:w="241"/>
        <w:gridCol w:w="241"/>
        <w:gridCol w:w="241"/>
        <w:gridCol w:w="241"/>
        <w:gridCol w:w="241"/>
        <w:gridCol w:w="241"/>
        <w:gridCol w:w="241"/>
        <w:gridCol w:w="109"/>
        <w:gridCol w:w="109"/>
        <w:gridCol w:w="109"/>
        <w:gridCol w:w="249"/>
        <w:gridCol w:w="249"/>
        <w:gridCol w:w="251"/>
        <w:gridCol w:w="183"/>
        <w:gridCol w:w="183"/>
        <w:gridCol w:w="183"/>
        <w:gridCol w:w="347"/>
        <w:gridCol w:w="347"/>
        <w:gridCol w:w="491"/>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Accounts Receivable</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Payor group A</w:t>
            </w:r>
            <w:r>
              <w:rPr>
                <w:rFonts w:ascii="Times New Roman;serif" w:hAnsi="Times New Roman;serif"/>
                <w:b w:val="false"/>
                <w:color w:val="000000"/>
                <w:sz w:val="13"/>
              </w:rPr>
              <w:t>(1)</w:t>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Payor group B</w:t>
            </w:r>
            <w:r>
              <w:rPr>
                <w:rFonts w:ascii="Times New Roman;serif" w:hAnsi="Times New Roman;serif"/>
                <w:b w:val="false"/>
                <w:color w:val="000000"/>
                <w:sz w:val="13"/>
              </w:rPr>
              <w:t>(1)</w:t>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significant payor groups identified in the table above represent multiple payors aggregated based on similar contract terms and reimbursement patterns. No single payor or individual client accounted for more than 10% of revenue or receivables for the current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concentration of risk from a limited number of suppliers for certain reagents, laboratory equipment and laboratory supplies. One supplier accounted for approximately 14% and 20% of spend for the three months ended June 30, 2026 and 2025, respectively, and 23% and 22% for the six months ended June 30, 2026 and 2025, respectively. This risk is managed by maintaining a target quantity of surplus stock. Alternative suppliers are available for the majority of these reagents and supplies.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 xml:space="preserve">(“ASU 2024-03”). The standard requires public business entities to disclose additional information about specific expense categories in the notes to financial statements at interim and annual reporting periods. As revised by the issuance of ASU 2025-01, </w:t>
      </w:r>
      <w:r>
        <w:rPr>
          <w:rFonts w:ascii="Times New Roman;serif" w:hAnsi="Times New Roman;serif"/>
          <w:b w:val="false"/>
          <w:i/>
          <w:color w:val="000000"/>
          <w:sz w:val="20"/>
        </w:rPr>
        <w:t>Disaggregation of Income Statement Expenses: Clarifying the Effective Date</w:t>
      </w:r>
      <w:r>
        <w:rPr>
          <w:color w:val="000000"/>
        </w:rPr>
        <w:t xml:space="preserve"> </w:t>
      </w:r>
      <w:r>
        <w:rPr>
          <w:rFonts w:ascii="Times New Roman;serif" w:hAnsi="Times New Roman;serif"/>
          <w:b w:val="false"/>
          <w:color w:val="000000"/>
          <w:sz w:val="20"/>
        </w:rPr>
        <w:t>(“ASU 2025-01”) in January 2025, the provisions of ASU 2024-03 will be effective for annual periods beginning after December 15, 2026, and interim periods beginning after December 15, 2027, with early adoption permitted. The guidance will be applied on a prospective basis with the option to apply the standard retrospectively. The Company is currently evaluating the impact of the new guidance on its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Codification Improvements</w:t>
      </w:r>
      <w:r>
        <w:rPr>
          <w:color w:val="000000"/>
        </w:rPr>
        <w:t xml:space="preserve"> </w:t>
      </w:r>
      <w:r>
        <w:rPr>
          <w:rFonts w:ascii="Times New Roman;serif" w:hAnsi="Times New Roman;serif"/>
          <w:b w:val="false"/>
          <w:color w:val="000000"/>
          <w:sz w:val="20"/>
        </w:rPr>
        <w:t>(“ASU 2025-12”). The standard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ASU 2025-12 will be effective for annual reporting periods beginning after December 15, 2026, and interim reporting periods within those annual reporting periods, with early adoption permitted. Entities are required to apply the amendments to ASC 260 retrospectively. All other amendments may be applied prospectively or retrospectively. The Company is currently evaluating the impact of ASU 2025-12 on its consolidated financial statements and related disclosures.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w:t>
      </w:r>
      <w:r>
        <w:rPr>
          <w:rFonts w:ascii="Times New Roman;serif" w:hAnsi="Times New Roman;serif"/>
          <w:b w:val="false"/>
          <w:color w:val="000000"/>
          <w:sz w:val="20"/>
        </w:rPr>
        <w:t>(“ASU 2025-06”). The standard establishes targeted enhancements to Subtopic 350-40 improving the operability of the recognition guidance considering different methods of software development. The update is effective for annual reporting periods beginning after December 15, 2027, with early adoption permitted. The Company early adopted this pronouncement on a prospective basis effective January 1, 2026, and the adoption did not have a material impact on its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Disaggregated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disaggregated revenue by payor category:</w:t>
      </w:r>
    </w:p>
    <w:tbl>
      <w:tblPr>
        <w:tblW w:w="8520" w:type="dxa"/>
        <w:jc w:val="left"/>
        <w:tblInd w:w="0" w:type="dxa"/>
        <w:tblLayout w:type="fixed"/>
        <w:tblCellMar>
          <w:top w:w="28" w:type="dxa"/>
          <w:left w:w="28" w:type="dxa"/>
          <w:bottom w:w="28" w:type="dxa"/>
          <w:right w:w="28" w:type="dxa"/>
        </w:tblCellMar>
      </w:tblPr>
      <w:tblGrid>
        <w:gridCol w:w="1053"/>
        <w:gridCol w:w="926"/>
        <w:gridCol w:w="93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Diagnostic test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 customers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Self-pay patients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diagnostic test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Reassessment of Variable Consideration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Subsequent changes to the estimate of the transaction price, determined on a portfolio basis when applicable, are generally recorded as adjustments to revenue in the period of the change. The Company updates estimated variable consideration quarterly.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total change in estimate resulted in a net increase to revenue of $7.3 million and $5.6 million, respectively, resulting from changes in the estimated transaction price due to contractual adjustments, obtaining updated information from payors and patients that was unknown at the time the performance obligations were met, and potential and actual settlements with third party payors.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Certain Payor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 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third-party payor reserves were $1.9 million and $5.0 million, respectively, and were recorded in accounts payable and accrued expenses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fair value of financial instruments that were measured at fair value on a recurring basis:</w:t>
      </w:r>
    </w:p>
    <w:tbl>
      <w:tblPr>
        <w:tblW w:w="7672" w:type="dxa"/>
        <w:jc w:val="left"/>
        <w:tblInd w:w="0" w:type="dxa"/>
        <w:tblLayout w:type="fixed"/>
        <w:tblCellMar>
          <w:top w:w="28" w:type="dxa"/>
          <w:left w:w="28" w:type="dxa"/>
          <w:bottom w:w="28" w:type="dxa"/>
          <w:right w:w="28" w:type="dxa"/>
        </w:tblCellMar>
      </w:tblPr>
      <w:tblGrid>
        <w:gridCol w:w="972"/>
        <w:gridCol w:w="853"/>
        <w:gridCol w:w="85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3"/>
        <w:gridCol w:w="411"/>
        <w:gridCol w:w="155"/>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tbl>
      <w:tblPr>
        <w:tblW w:w="7874" w:type="dxa"/>
        <w:jc w:val="left"/>
        <w:tblInd w:w="0" w:type="dxa"/>
        <w:tblLayout w:type="fixed"/>
        <w:tblCellMar>
          <w:top w:w="28" w:type="dxa"/>
          <w:left w:w="28" w:type="dxa"/>
          <w:bottom w:w="28" w:type="dxa"/>
          <w:right w:w="28" w:type="dxa"/>
        </w:tblCellMar>
      </w:tblPr>
      <w:tblGrid>
        <w:gridCol w:w="972"/>
        <w:gridCol w:w="853"/>
        <w:gridCol w:w="85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 financial liabilities that were measured at fair value on a recurring basis were valued at zero.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and Level 3 during the three and six months ended June 30, 2026 and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include investments in money market funds, U.S. treasury bonds, and corporate and municipal bonds. Investments in money market funds are classified within Level 1 of the fair value hierarchy as they are based on quoted prices in active markets. Investments in U.S. treasury bonds and corporate and municipal bonds are classified within Level 2 of the fair value hierarchy as they are based on quoted bid prices for comparable securities in the marketplace and broker/dealer quotes in active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marketable securities presented in the condensed consolidated balance sheet as of June 30, 2026 have maturity dates ranging from 2026 through 2029 and are classified as current assets as these investments are intended to be readily available to fund current operations. The differences between the fair value and amortized cost basis of each security are the unrealized gains or losses recorded in accumulated other comprehensive income. As of June 30, 2026, the amortized cost for maturities less than one year and greater than one year were $38.2 million and $33.3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Public and Private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the consummation of the merger in July 2021 in connection with the Business Combination, there were 666,516 warrants to purchase shares of Class A common stock outstanding, including 447,223 public warrants and 219,293 private placement warrants. As of June 30, 2026, there were 666,515 warrants to purchase shares of Class A common stock outstanding, including 457,323 public warrants and 209,192 private placement warrants outstanding. Each warrant expires five years after the Business Combination or earlier upon redemption or liquidation, and entitles the holder to purchase one share of Class A common stock at an exercise price of $379.50 per share, subject to adjustment, at any time commencing on September 4, 2021. The public and private warrants expired on July 22,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the right to redeem the outstanding public warrants if the price per share of the Class A common stock equaled or exceeded $594.00 as described below: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whole and not in part;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 a price of $0.33 per public warrant;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upon not less than 30 days’ prior written notice of redemption to each warrant holder;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and only if, the closing price of the Class A common stock equals or exceeds $594.00 per share (as adjusted) for any 20 trading days within a 30-trading day period ending three trading days before sending the notice of redemption to warrant 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the right to redeem the outstanding warrants if the price per share of the Class A common stock equaled or exceeded $330.00 as described below: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whole and not in part;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closing price of the Class A common stock for any 20 trading days within a 30-trading day period ending three trading days before the Company sends notice of redemption to the warrant holders is less than $594.00 per share (as adjusted), the private placement warrants must also be concurrently called for redemption on the same terms as the outstanding public warrants, as described above.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private placement warrants were issued to CMLS Holdings, LLC, Mr. Munib Islam, Dr. Emily Leproust, and Mr. Nat Turner, and are identical to the public warrants underlying the units sold in the initial public offering, except that (1) the private placement warrants and the Class A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Class A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public warrants are classified within Level 1 of the fair value hierarchy as they are traded in active markets and the fair value is determined on the basis of quoted market prices. The private placement warrants are classified within Level 2 of the fair value hierarchy as management determined the fair value of each private placement warrant is the same as that of a public warrant because the terms are substantially the same.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 gain of $0.2 million and $1.1 million, respectively, was recorded within the change in fair value of financial liabilities in the condensed consolidated statements of operations and comprehensive (loss) income. The change in fair value of the warrants for the three and six months ended June 30, 2025 was a gain of $3.1 million and $2.0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Contingent Consideration</w:t>
      </w:r>
    </w:p>
    <w:p>
      <w:pPr>
        <w:pStyle w:val="TextBody"/>
        <w:bidi w:val="0"/>
        <w:spacing w:lineRule="auto" w:line="288" w:before="0" w:after="180"/>
        <w:jc w:val="both"/>
        <w:rPr/>
      </w:pPr>
      <w:r>
        <w:rPr>
          <w:rFonts w:ascii="Times New Roman;serif" w:hAnsi="Times New Roman;serif"/>
          <w:b w:val="false"/>
          <w:color w:val="000000"/>
          <w:sz w:val="20"/>
        </w:rPr>
        <w:t>Pursuant to the</w:t>
      </w:r>
      <w:r>
        <w:rPr>
          <w:color w:val="000000"/>
          <w:shd w:fill="FFFFFF" w:val="clear"/>
        </w:rPr>
        <w:t xml:space="preserve"> </w:t>
      </w:r>
      <w:r>
        <w:rPr>
          <w:rFonts w:ascii="Times New Roman;serif" w:hAnsi="Times New Roman;serif"/>
          <w:b w:val="false"/>
          <w:color w:val="000000"/>
          <w:sz w:val="20"/>
          <w:shd w:fill="FFFFFF" w:val="clear"/>
        </w:rPr>
        <w:t xml:space="preserve">Merger Agreement, the Company agreed to pay up to (i) </w:t>
      </w:r>
      <w:r>
        <w:rPr>
          <w:rFonts w:ascii="Times New Roman;serif" w:hAnsi="Times New Roman;serif"/>
          <w:b w:val="false"/>
          <w:color w:val="000000"/>
          <w:sz w:val="20"/>
        </w:rPr>
        <w:t>$10.5 million</w:t>
      </w:r>
      <w:r>
        <w:rPr>
          <w:color w:val="000000"/>
          <w:shd w:fill="FFFFFF" w:val="clear"/>
        </w:rPr>
        <w:t xml:space="preserve"> </w:t>
      </w:r>
      <w:r>
        <w:rPr>
          <w:rFonts w:ascii="Times New Roman;serif" w:hAnsi="Times New Roman;serif"/>
          <w:b w:val="false"/>
          <w:color w:val="000000"/>
          <w:sz w:val="20"/>
          <w:shd w:fill="FFFFFF" w:val="clear"/>
        </w:rPr>
        <w:t xml:space="preserve">in cash, shares of Class A common stock or a combination thereof, subject to Fabric Genomics achieving gross revenue equal to or above </w:t>
      </w:r>
      <w:r>
        <w:rPr>
          <w:rFonts w:ascii="Times New Roman;serif" w:hAnsi="Times New Roman;serif"/>
          <w:b w:val="false"/>
          <w:color w:val="000000"/>
          <w:sz w:val="20"/>
        </w:rPr>
        <w:t>$6.0 million</w:t>
      </w:r>
      <w:r>
        <w:rPr>
          <w:color w:val="000000"/>
          <w:shd w:fill="FFFFFF" w:val="clear"/>
        </w:rPr>
        <w:t xml:space="preserve"> </w:t>
      </w:r>
      <w:r>
        <w:rPr>
          <w:rFonts w:ascii="Times New Roman;serif" w:hAnsi="Times New Roman;serif"/>
          <w:b w:val="false"/>
          <w:color w:val="000000"/>
          <w:sz w:val="20"/>
          <w:shd w:fill="FFFFFF" w:val="clear"/>
        </w:rPr>
        <w:t xml:space="preserve">and a gross margin equal to or above </w:t>
      </w:r>
      <w:r>
        <w:rPr>
          <w:rFonts w:ascii="Times New Roman;serif" w:hAnsi="Times New Roman;serif"/>
          <w:b w:val="false"/>
          <w:color w:val="000000"/>
          <w:sz w:val="20"/>
        </w:rPr>
        <w:t>69%</w:t>
      </w:r>
      <w:r>
        <w:rPr>
          <w:color w:val="000000"/>
          <w:shd w:fill="FFFFFF" w:val="clear"/>
        </w:rPr>
        <w:t xml:space="preserve"> </w:t>
      </w:r>
      <w:r>
        <w:rPr>
          <w:rFonts w:ascii="Times New Roman;serif" w:hAnsi="Times New Roman;serif"/>
          <w:b w:val="false"/>
          <w:color w:val="000000"/>
          <w:sz w:val="20"/>
          <w:shd w:fill="FFFFFF" w:val="clear"/>
        </w:rPr>
        <w:t xml:space="preserve">for the fiscal year ending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(the “First Milestone Payment”), with the amount of the First Milestone Payment determined by multiplying </w:t>
      </w:r>
      <w:r>
        <w:rPr>
          <w:rFonts w:ascii="Times New Roman;serif" w:hAnsi="Times New Roman;serif"/>
          <w:b w:val="false"/>
          <w:color w:val="000000"/>
          <w:sz w:val="20"/>
        </w:rPr>
        <w:t>$7.0 million</w:t>
      </w:r>
      <w:r>
        <w:rPr>
          <w:color w:val="000000"/>
          <w:shd w:fill="FFFFFF" w:val="clear"/>
        </w:rPr>
        <w:t xml:space="preserve"> </w:t>
      </w:r>
      <w:r>
        <w:rPr>
          <w:rFonts w:ascii="Times New Roman;serif" w:hAnsi="Times New Roman;serif"/>
          <w:b w:val="false"/>
          <w:color w:val="000000"/>
          <w:sz w:val="20"/>
          <w:shd w:fill="FFFFFF" w:val="clear"/>
        </w:rPr>
        <w:t xml:space="preserve">by the quotient obtained by dividing Fabric Genomics’ gross revenue for the fiscal year ending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$8.0 million</w:t>
      </w:r>
      <w:r>
        <w:rPr>
          <w:rFonts w:ascii="Times New Roman;serif" w:hAnsi="Times New Roman;serif"/>
          <w:b w:val="false"/>
          <w:color w:val="000000"/>
          <w:sz w:val="20"/>
          <w:shd w:fill="FFFFFF" w:val="clear"/>
        </w:rPr>
        <w:t xml:space="preserve">, and (ii) </w:t>
      </w:r>
      <w:r>
        <w:rPr>
          <w:rFonts w:ascii="Times New Roman;serif" w:hAnsi="Times New Roman;serif"/>
          <w:b w:val="false"/>
          <w:color w:val="000000"/>
          <w:sz w:val="20"/>
        </w:rPr>
        <w:t>$7.5 million</w:t>
      </w:r>
      <w:r>
        <w:rPr>
          <w:color w:val="000000"/>
          <w:shd w:fill="FFFFFF" w:val="clear"/>
        </w:rPr>
        <w:t xml:space="preserve"> </w:t>
      </w:r>
      <w:r>
        <w:rPr>
          <w:rFonts w:ascii="Times New Roman;serif" w:hAnsi="Times New Roman;serif"/>
          <w:b w:val="false"/>
          <w:color w:val="000000"/>
          <w:sz w:val="20"/>
          <w:shd w:fill="FFFFFF" w:val="clear"/>
        </w:rPr>
        <w:t xml:space="preserve">in cash, shares of Class A common stock or a combination thereof, as determined by the Company in its sole discretion, on or prior to </w:t>
      </w:r>
      <w:r>
        <w:rPr>
          <w:rFonts w:ascii="Times New Roman;serif" w:hAnsi="Times New Roman;serif"/>
          <w:b w:val="false"/>
          <w:color w:val="000000"/>
          <w:sz w:val="20"/>
        </w:rPr>
        <w:t>April 30, 2027</w:t>
      </w:r>
      <w:r>
        <w:rPr>
          <w:color w:val="000000"/>
          <w:shd w:fill="FFFFFF" w:val="clear"/>
        </w:rPr>
        <w:t xml:space="preserve"> </w:t>
      </w:r>
      <w:r>
        <w:rPr>
          <w:rFonts w:ascii="Times New Roman;serif" w:hAnsi="Times New Roman;serif"/>
          <w:b w:val="false"/>
          <w:color w:val="000000"/>
          <w:sz w:val="20"/>
          <w:shd w:fill="FFFFFF" w:val="clear"/>
        </w:rPr>
        <w:t xml:space="preserve">subject to Fabric Genomics achieving gross revenue equal to or above </w:t>
      </w:r>
      <w:r>
        <w:rPr>
          <w:rFonts w:ascii="Times New Roman;serif" w:hAnsi="Times New Roman;serif"/>
          <w:b w:val="false"/>
          <w:color w:val="000000"/>
          <w:sz w:val="20"/>
        </w:rPr>
        <w:t>$9.0 million</w:t>
      </w:r>
      <w:r>
        <w:rPr>
          <w:color w:val="000000"/>
          <w:shd w:fill="FFFFFF" w:val="clear"/>
        </w:rPr>
        <w:t xml:space="preserve"> </w:t>
      </w:r>
      <w:r>
        <w:rPr>
          <w:rFonts w:ascii="Times New Roman;serif" w:hAnsi="Times New Roman;serif"/>
          <w:b w:val="false"/>
          <w:color w:val="000000"/>
          <w:sz w:val="20"/>
          <w:shd w:fill="FFFFFF" w:val="clear"/>
        </w:rPr>
        <w:t xml:space="preserve">and a gross margin equal to or above </w:t>
      </w:r>
      <w:r>
        <w:rPr>
          <w:rFonts w:ascii="Times New Roman;serif" w:hAnsi="Times New Roman;serif"/>
          <w:b w:val="false"/>
          <w:color w:val="000000"/>
          <w:sz w:val="20"/>
        </w:rPr>
        <w:t>69%</w:t>
      </w:r>
      <w:r>
        <w:rPr>
          <w:color w:val="000000"/>
          <w:shd w:fill="FFFFFF" w:val="clear"/>
        </w:rPr>
        <w:t xml:space="preserve"> </w:t>
      </w:r>
      <w:r>
        <w:rPr>
          <w:rFonts w:ascii="Times New Roman;serif" w:hAnsi="Times New Roman;serif"/>
          <w:b w:val="false"/>
          <w:color w:val="000000"/>
          <w:sz w:val="20"/>
          <w:shd w:fill="FFFFFF" w:val="clear"/>
        </w:rPr>
        <w:t xml:space="preserve">for the fiscal year ending </w:t>
      </w:r>
      <w:r>
        <w:rPr>
          <w:rFonts w:ascii="Times New Roman;serif" w:hAnsi="Times New Roman;serif"/>
          <w:b w:val="false"/>
          <w:color w:val="000000"/>
          <w:sz w:val="20"/>
        </w:rPr>
        <w:t>December 31, 2026</w:t>
      </w:r>
      <w:r>
        <w:rPr>
          <w:color w:val="000000"/>
          <w:shd w:fill="FFFFFF" w:val="clear"/>
        </w:rPr>
        <w:t xml:space="preserve"> </w:t>
      </w:r>
      <w:r>
        <w:rPr>
          <w:rFonts w:ascii="Times New Roman;serif" w:hAnsi="Times New Roman;serif"/>
          <w:b w:val="false"/>
          <w:color w:val="000000"/>
          <w:sz w:val="20"/>
          <w:shd w:fill="FFFFFF" w:val="clear"/>
        </w:rPr>
        <w:t xml:space="preserve">(the “Second Milestone Payment” and, together with the First Milestone Payment, the “Milestone Payments”), with the amount of the Second Milestone Payment determined by multiplying </w:t>
      </w:r>
      <w:r>
        <w:rPr>
          <w:rFonts w:ascii="Times New Roman;serif" w:hAnsi="Times New Roman;serif"/>
          <w:b w:val="false"/>
          <w:color w:val="000000"/>
          <w:sz w:val="20"/>
        </w:rPr>
        <w:t>$5.0 million</w:t>
      </w:r>
      <w:r>
        <w:rPr>
          <w:color w:val="000000"/>
          <w:shd w:fill="FFFFFF" w:val="clear"/>
        </w:rPr>
        <w:t xml:space="preserve"> </w:t>
      </w:r>
      <w:r>
        <w:rPr>
          <w:rFonts w:ascii="Times New Roman;serif" w:hAnsi="Times New Roman;serif"/>
          <w:b w:val="false"/>
          <w:color w:val="000000"/>
          <w:sz w:val="20"/>
          <w:shd w:fill="FFFFFF" w:val="clear"/>
        </w:rPr>
        <w:t xml:space="preserve">by the quotient obtained by dividing Fabric Genomics’ gross revenue for the fiscal year ending </w:t>
      </w:r>
      <w:r>
        <w:rPr>
          <w:rFonts w:ascii="Times New Roman;serif" w:hAnsi="Times New Roman;serif"/>
          <w:b w:val="false"/>
          <w:color w:val="000000"/>
          <w:sz w:val="20"/>
        </w:rPr>
        <w:t>December 31, 2026</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$12.0 million</w:t>
      </w:r>
      <w:r>
        <w:rPr>
          <w:rFonts w:ascii="Times New Roman;serif" w:hAnsi="Times New Roman;serif"/>
          <w:b w:val="false"/>
          <w:color w:val="000000"/>
          <w:sz w:val="20"/>
          <w:shd w:fill="FFFFFF" w:val="clear"/>
        </w:rPr>
        <w:t xml:space="preserve">. The shares of Class A common stock issued, if any, pursuant to the Milestone Payments are referred to as the “Milestone Shares.” Any Milestone Shares that are issued will be valued at </w:t>
      </w:r>
      <w:r>
        <w:rPr>
          <w:rFonts w:ascii="Times New Roman;serif" w:hAnsi="Times New Roman;serif"/>
          <w:b w:val="false"/>
          <w:color w:val="000000"/>
          <w:sz w:val="20"/>
        </w:rPr>
        <w:t>$93.0318</w:t>
      </w:r>
      <w:r>
        <w:rPr>
          <w:color w:val="000000"/>
          <w:shd w:fill="FFFFFF" w:val="clear"/>
        </w:rPr>
        <w:t xml:space="preserve"> </w:t>
      </w:r>
      <w:r>
        <w:rPr>
          <w:rFonts w:ascii="Times New Roman;serif" w:hAnsi="Times New Roman;serif"/>
          <w:b w:val="false"/>
          <w:color w:val="000000"/>
          <w:sz w:val="20"/>
          <w:shd w:fill="FFFFFF" w:val="clear"/>
        </w:rPr>
        <w:t xml:space="preserve">per share based on the average of the daily volume average weighted price of the Class A common stock over the period of </w:t>
      </w:r>
      <w:r>
        <w:rPr>
          <w:rFonts w:ascii="Times New Roman;serif" w:hAnsi="Times New Roman;serif"/>
          <w:b w:val="false"/>
          <w:color w:val="000000"/>
          <w:sz w:val="20"/>
        </w:rPr>
        <w:t>30</w:t>
      </w:r>
      <w:r>
        <w:rPr>
          <w:color w:val="000000"/>
          <w:shd w:fill="FFFFFF" w:val="clear"/>
        </w:rPr>
        <w:t xml:space="preserve"> </w:t>
      </w:r>
      <w:r>
        <w:rPr>
          <w:rFonts w:ascii="Times New Roman;serif" w:hAnsi="Times New Roman;serif"/>
          <w:b w:val="false"/>
          <w:color w:val="000000"/>
          <w:sz w:val="20"/>
          <w:shd w:fill="FFFFFF" w:val="clear"/>
        </w:rPr>
        <w:t xml:space="preserve">trading days ended </w:t>
      </w:r>
      <w:r>
        <w:rPr>
          <w:rFonts w:ascii="Times New Roman;serif" w:hAnsi="Times New Roman;serif"/>
          <w:b w:val="false"/>
          <w:color w:val="000000"/>
          <w:sz w:val="20"/>
        </w:rPr>
        <w:t>April 11,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measurement period for the First Milestone Payment was completed on December 31, 2025, and the Company determined the amount of the liability based on the gross revenue and gross margin achieved by Fabric Genomics for the year ended December 31, 2025. As of June 30, 2026 and December 31, 2025, the amount reported for the First Milestone payment in the condensed consolidated balance sheets was $5.4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the Second Milestone Payment was determined based on a Monte Carlo simulation valuation model, and is categorized as Level 3 of the fair value hierarchy as the Company utilizes unobservable inputs in estimating the fair value. Estimates and assumptions utilized in the Monte Carlo simulation model include risk-adjusted forecasted revenue and gross margin, revenue and gross profit volatility rates, expected stock price volatility, and discount rates which are based on the cost of debt and equity. As of June 30, 2026, the Company did not utilize a Monte Carlo simulation model and instead performed a probability assessment to estimate the fair value of the Second Milestone Payment. Based on this assessment, the Company determined that it was probable that the revenue target would not be achieved and accordingly, that the Second Milestone Payment would not be paid.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Level 3 inputs used in the valuation of the contingent consideration at December 31, 2025:</w:t>
      </w:r>
    </w:p>
    <w:tbl>
      <w:tblPr>
        <w:tblW w:w="4072" w:type="dxa"/>
        <w:jc w:val="left"/>
        <w:tblInd w:w="0" w:type="dxa"/>
        <w:tblLayout w:type="fixed"/>
        <w:tblCellMar>
          <w:top w:w="28" w:type="dxa"/>
          <w:left w:w="28" w:type="dxa"/>
          <w:bottom w:w="28" w:type="dxa"/>
          <w:right w:w="28" w:type="dxa"/>
        </w:tblCellMar>
      </w:tblPr>
      <w:tblGrid>
        <w:gridCol w:w="755"/>
        <w:gridCol w:w="662"/>
        <w:gridCol w:w="668"/>
        <w:gridCol w:w="109"/>
        <w:gridCol w:w="109"/>
        <w:gridCol w:w="517"/>
        <w:gridCol w:w="517"/>
        <w:gridCol w:w="735"/>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85.0%</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amount of contingent consideration reported in the condensed consolidated balance sheets for the Second Milestone Payment was zero and $1.6 million, respectively. During the six months ended June 30, 2026 and 2025, a gain of $1.6 million and loss of $0.9 million, respectively, was recorded within the change in fair value of financial liabilities in the condensed consolidated statements of operations and comprehensive (loss)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7481" w:type="dxa"/>
        <w:jc w:val="left"/>
        <w:tblInd w:w="0" w:type="dxa"/>
        <w:tblLayout w:type="fixed"/>
        <w:tblCellMar>
          <w:top w:w="28" w:type="dxa"/>
          <w:left w:w="28" w:type="dxa"/>
          <w:bottom w:w="28" w:type="dxa"/>
          <w:right w:w="28" w:type="dxa"/>
        </w:tblCellMar>
      </w:tblPr>
      <w:tblGrid>
        <w:gridCol w:w="1488"/>
        <w:gridCol w:w="1308"/>
        <w:gridCol w:w="1314"/>
        <w:gridCol w:w="258"/>
        <w:gridCol w:w="883"/>
        <w:gridCol w:w="133"/>
        <w:gridCol w:w="109"/>
        <w:gridCol w:w="109"/>
        <w:gridCol w:w="109"/>
        <w:gridCol w:w="344"/>
        <w:gridCol w:w="1175"/>
        <w:gridCol w:w="251"/>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under finance lease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under finance leases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other equipment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in-progress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depreciation and amortization expense was $3.1 million and $2.3 million, respectively. For the six months ended June 30, 2026 and 2025, depreciation and amortization expense was $5.8 million and $4.5 million,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is included within the condensed consolidated statements of operations and comprehensive (loss) income as follows:</w:t>
      </w:r>
    </w:p>
    <w:tbl>
      <w:tblPr>
        <w:tblW w:w="9005" w:type="dxa"/>
        <w:jc w:val="left"/>
        <w:tblInd w:w="0" w:type="dxa"/>
        <w:tblLayout w:type="fixed"/>
        <w:tblCellMar>
          <w:top w:w="28" w:type="dxa"/>
          <w:left w:w="28" w:type="dxa"/>
          <w:bottom w:w="28" w:type="dxa"/>
          <w:right w:w="28" w:type="dxa"/>
        </w:tblCellMar>
      </w:tblPr>
      <w:tblGrid>
        <w:gridCol w:w="1356"/>
        <w:gridCol w:w="1194"/>
        <w:gridCol w:w="1199"/>
        <w:gridCol w:w="246"/>
        <w:gridCol w:w="718"/>
        <w:gridCol w:w="127"/>
        <w:gridCol w:w="127"/>
        <w:gridCol w:w="127"/>
        <w:gridCol w:w="127"/>
        <w:gridCol w:w="246"/>
        <w:gridCol w:w="718"/>
        <w:gridCol w:w="127"/>
        <w:gridCol w:w="109"/>
        <w:gridCol w:w="109"/>
        <w:gridCol w:w="109"/>
        <w:gridCol w:w="222"/>
        <w:gridCol w:w="650"/>
        <w:gridCol w:w="115"/>
        <w:gridCol w:w="115"/>
        <w:gridCol w:w="115"/>
        <w:gridCol w:w="115"/>
        <w:gridCol w:w="222"/>
        <w:gridCol w:w="650"/>
        <w:gridCol w:w="162"/>
      </w:tblGrid>
      <w:tr>
        <w:trPr/>
        <w:tc>
          <w:tcPr>
            <w:tcW w:w="135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expense</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Goodwill and Intangible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change in the carrying amount of goodwill during the six months ended June 30, 2026 was as follows:</w:t>
      </w:r>
    </w:p>
    <w:tbl>
      <w:tblPr>
        <w:tblW w:w="3680" w:type="dxa"/>
        <w:jc w:val="left"/>
        <w:tblInd w:w="0" w:type="dxa"/>
        <w:tblLayout w:type="fixed"/>
        <w:tblCellMar>
          <w:top w:w="28" w:type="dxa"/>
          <w:left w:w="28" w:type="dxa"/>
          <w:bottom w:w="28" w:type="dxa"/>
          <w:right w:w="28" w:type="dxa"/>
        </w:tblCellMar>
      </w:tblPr>
      <w:tblGrid>
        <w:gridCol w:w="939"/>
        <w:gridCol w:w="825"/>
        <w:gridCol w:w="830"/>
        <w:gridCol w:w="211"/>
        <w:gridCol w:w="72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concluded that a triggering event had occurred during the period for the goodwill associated with the Fabric Genomics reporting unit primarily due to a downward revision of forecasted cash flows driven by changes in commercial strategy and go-to-market execution, and lower revenue and profitability expectations.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performed a quantitative analysis as of March 31, 2026 to determine the fair value of the Fabric Genomics reporting unit. The fair value was determined through estimating the reporting unit’s discounted future cash flows expected to be generated. Significant assumptions utilized in the valuation include, but are not limited to, prospective financial information, growth rates, terminal value, discount rates, and comparable market multiples. Based on the quantitative analysis, the Company concluded that the reporting unit’s carrying value was greater than the fair value and recorded a non-cash impairment charge of $11.9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as of June 30, 2026, the carrying values and remaining useful lives of acquired intangible assets:</w:t>
      </w:r>
    </w:p>
    <w:tbl>
      <w:tblPr>
        <w:tblW w:w="10205" w:type="dxa"/>
        <w:jc w:val="left"/>
        <w:tblInd w:w="0" w:type="dxa"/>
        <w:tblLayout w:type="fixed"/>
        <w:tblCellMar>
          <w:top w:w="28" w:type="dxa"/>
          <w:left w:w="28" w:type="dxa"/>
          <w:bottom w:w="28" w:type="dxa"/>
          <w:right w:w="28" w:type="dxa"/>
        </w:tblCellMar>
      </w:tblPr>
      <w:tblGrid>
        <w:gridCol w:w="596"/>
        <w:gridCol w:w="480"/>
        <w:gridCol w:w="481"/>
        <w:gridCol w:w="254"/>
        <w:gridCol w:w="996"/>
        <w:gridCol w:w="131"/>
        <w:gridCol w:w="109"/>
        <w:gridCol w:w="109"/>
        <w:gridCol w:w="109"/>
        <w:gridCol w:w="269"/>
        <w:gridCol w:w="992"/>
        <w:gridCol w:w="139"/>
        <w:gridCol w:w="109"/>
        <w:gridCol w:w="109"/>
        <w:gridCol w:w="109"/>
        <w:gridCol w:w="211"/>
        <w:gridCol w:w="755"/>
        <w:gridCol w:w="109"/>
        <w:gridCol w:w="109"/>
        <w:gridCol w:w="109"/>
        <w:gridCol w:w="109"/>
        <w:gridCol w:w="234"/>
        <w:gridCol w:w="919"/>
        <w:gridCol w:w="121"/>
        <w:gridCol w:w="109"/>
        <w:gridCol w:w="109"/>
        <w:gridCol w:w="109"/>
        <w:gridCol w:w="645"/>
        <w:gridCol w:w="645"/>
        <w:gridCol w:w="920"/>
      </w:tblGrid>
      <w:tr>
        <w:trPr/>
        <w:tc>
          <w:tcPr>
            <w:tcW w:w="5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Amortization Period (Years)</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 and trademarks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(60,742)</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141,350 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 was $3.6 million and $3.9 million for the three months ended June 30, 2026 and 2025, respectively, and $7.7 million and $7.4 million for the six months ended June 30, 2026 and 2025, respectively. Amortization expense for intangible assets was recorded in selling, general and administrative expenses within the condensed consolidated statements of operations and comprehensive (loss) income for each respective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in connection with the triggering event described above, the Company evaluated the recoverability of the long-lived assets associated with the Fabric Genomics reporting unit. The Company compared the carrying value of the asset group to the sum of its undiscounted cash flows. The Company determined that the carrying value of the asset group was not recoverable, and therefore, the asset group failed the recoverability test under ASC 360.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carrying value of the tradenames and trademarks intangible asset was not recoverable and had no remaining fair value, which resulted in a non-cash impairment charge of $4.2 million. The Company then estimated the fair value of the developed technology and customer relationship intangible assets, using the multi-period excess earnings method. Based on this analysis, the Company concluded that each respective intangible asset’s carrying value was greater than the fair value. Accordingly, the Company recorded non-cash impairment charges of $10.2 million and $5.0 million, respectively, to reduce the carrying value of the developed technology and customer relationships intangible assets to their respective estimated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Related Party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Related party expenses include the purchase of diagnostic testing kits and lab materials from Twist Biosciences (“Twist”). Transactions with Twist are at arm’s length and represent market rates. The Company incurred $1.6 million and $1.7 million in purchases, and $1.8 million and $2.2 million was recorded in cost of services in the condensed consolidated statements of operations and comprehensive (loss) income for the three months ended June 30, 2026 and 2025, respectively. T</w:t>
      </w:r>
      <w:bookmarkStart w:id="2" w:name="ibf2b0db5e1754fb18feab8f8f369e96c_507"/>
      <w:bookmarkEnd w:id="2"/>
      <w:r>
        <w:rPr>
          <w:rFonts w:ascii="Times New Roman;serif" w:hAnsi="Times New Roman;serif"/>
          <w:b w:val="false"/>
          <w:color w:val="000000"/>
          <w:sz w:val="20"/>
        </w:rPr>
        <w:t>he Company incurred $3.6 million and $4.2 million in purchases, and $3.6 million and $4.1 million was recorded in cost of services in the condensed consolidated statements of operations and comprehensive (loss) income for the six months ended June 30, 2026 and 2025, respectively. Payables due as of June 30, 2026 and December 31, 2025 were $0.3 million and $0.6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Long-Term Debt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long-term debt matures as follows:</w:t>
      </w:r>
    </w:p>
    <w:tbl>
      <w:tblPr>
        <w:tblW w:w="5136" w:type="dxa"/>
        <w:jc w:val="left"/>
        <w:tblInd w:w="0" w:type="dxa"/>
        <w:tblLayout w:type="fixed"/>
        <w:tblCellMar>
          <w:top w:w="28" w:type="dxa"/>
          <w:left w:w="28" w:type="dxa"/>
          <w:bottom w:w="28" w:type="dxa"/>
          <w:right w:w="28" w:type="dxa"/>
        </w:tblCellMar>
      </w:tblPr>
      <w:tblGrid>
        <w:gridCol w:w="1430"/>
        <w:gridCol w:w="1254"/>
        <w:gridCol w:w="1261"/>
        <w:gridCol w:w="211"/>
        <w:gridCol w:w="826"/>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2031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 of debt issuance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Blackstone Loan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27, 2026 (the “Signing Date”), the Company entered into a Loan Agreement (the “Loan Agreement”), among Blackstone Alternative Credit Advisors LP and Blackstone Life Sciences Advisors L.L.C. (collectively referred to herein as “Blackstone”), certain subsidiaries of the Company party thereto as guarantors (collectively, the “Guarantors”), Wilmington Trust, National Association, as Agent and the lenders from time to time party thereto (collectively, the “Lenders”).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Loan Agreement provides for a term loan in an aggregate principal amount of $100.0 million (the “Term Loan”), which was funded to the Company on February 27, 2026 (the “Closing Date”). The Term Loan bears interest at a rate equal to the Term SOFR adjusted secured overnight financing rate plus a margin of 4.50%. The Term Loan includes a SOFR floor of 1.50%. If an event of default occurs and is continuing, all amounts outstanding under the Loan Agreement will bear additional interest at a per annum rate equal to 2.00% plus the rate otherwise applicable to the Term Loan. The Term Loan will mature and the principal amount (including any interest and fees) must be repaid on the date that is five years from the Closing Date. The Term Loan is subject to mandatory prepayment provisions that may require prepayment upon a change of control, the incurrence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 indebtedness, certain asset sales, or an event of loss, subject to certain conditions set forth in the Loan Agreement. The Company may prepay the Term Loan in whole or in part at its option at any time. Any prepayment of the Term Loan is subject to certain yield protection premiums. The Company’s net proceeds from the Term Loan were $97.0 million, after deducting debt issuance costs and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obligations under the Loan Agreement are guaranteed by the Guarantors and secured by a first lien security interest in substantially all assets of the Company and Guarantors. The Loan Agreement contains certain customary representations and warranties, affirmative and negative covenants and events of default applicable to the Company and the Guarantors. The Loan Agreement also contains a minimum liquidity covenant of $50.0 million effective following the Closing Date. If an event of default occurs and is continuing, the Lenders may declare all amounts outstanding under the Loan Agreement to be immediately due and payable.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Amendment and Restatement of Loan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the Company entered into an Amended and Restated Loan Agreement (the “Amended Loan Agreement”) with Blackstone, the Guarantors, and the Lenders. The Amended Loan Agreement amends and restates the Company’s existing Loan Agreement and provides for an additional $50.0 million term loan facility, bringing the aggregate principal amount available under the facility to $150.0 million. The proceeds of the additional term loan are expected to be used for general corporate purposes and to pay fees and expenses associated with the financing.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Amounts outstanding under the incremental term loan facility bear interest at a rate equal to Term SOFR plus 5.50%, subject to a 1.50% SOFR floor. The term loans mature five years following the original February 2026 closing date and are subject to customary mandatory and voluntary prepayment provisions, including applicable prepayment premiums. The Company’s obligations under the Amended Loan Agreement are guaranteed by certain of its subsidiaries and secured by a first-priority lien on substantially all of the assets of the Company and the Guarantors. The Amended Loan Agreement contains customary affirmative and negative covenants, events of default and minimum liquidity requirements, including a requirement that the Company maintain minimum liquidity of $75.0 million.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Securities Purchase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3, 2026, concurrently with the execution of the Amended Loan Agreement, the Company entered into a Securities Purchase Agreement (the “Purchase Agreement”) with certain affiliates of Blackstone (collectively, the “Investors”), pursuant to which the Investors agreed to purchase approximately $5.0 million of the Company’s Class A common stock in a private placement transaction.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Purchase Agreement, the Company agreed to issue and sell to the Investors approximately 81,967 shares of Class A common stock at a purchase price of $61.00 per share, for aggregate gross proceeds of approximately $5.0 million. The closing of the private placement is subject to customary closing conditions and is expected to occur substantially concurrently with the funding of the incremental term loan facility.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Purchase Agreement contains customary representations, warranties and covenants of the parties.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Perceptive Term Loan Facility</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February 27, 2026</w:t>
      </w:r>
      <w:r>
        <w:rPr>
          <w:rFonts w:ascii="Times New Roman;serif" w:hAnsi="Times New Roman;serif"/>
          <w:b w:val="false"/>
          <w:color w:val="000000"/>
          <w:sz w:val="20"/>
          <w:shd w:fill="FFFFFF" w:val="clear"/>
        </w:rPr>
        <w:t xml:space="preserve">, the Company repaid in full all outstanding obligations under its Credit Agreement and Guaranty (the “Credit Agreement”) with Perceptive Credit Holdings IV, LP. The aggregate payoff amount of approximately </w:t>
      </w:r>
      <w:r>
        <w:rPr>
          <w:rFonts w:ascii="Times New Roman;serif" w:hAnsi="Times New Roman;serif"/>
          <w:b w:val="false"/>
          <w:color w:val="000000"/>
          <w:sz w:val="20"/>
        </w:rPr>
        <w:t>$54.5 million</w:t>
      </w:r>
      <w:r>
        <w:rPr>
          <w:color w:val="000000"/>
          <w:shd w:fill="FFFFFF" w:val="clear"/>
        </w:rPr>
        <w:t xml:space="preserve"> </w:t>
      </w:r>
      <w:r>
        <w:rPr>
          <w:rFonts w:ascii="Times New Roman;serif" w:hAnsi="Times New Roman;serif"/>
          <w:b w:val="false"/>
          <w:color w:val="000000"/>
          <w:sz w:val="20"/>
          <w:shd w:fill="FFFFFF" w:val="clear"/>
        </w:rPr>
        <w:t xml:space="preserve">included: (i) </w:t>
      </w:r>
      <w:r>
        <w:rPr>
          <w:rFonts w:ascii="Times New Roman;serif" w:hAnsi="Times New Roman;serif"/>
          <w:b w:val="false"/>
          <w:color w:val="000000"/>
          <w:sz w:val="20"/>
        </w:rPr>
        <w:t>$50.0 million</w:t>
      </w:r>
      <w:r>
        <w:rPr>
          <w:color w:val="000000"/>
          <w:shd w:fill="FFFFFF" w:val="clear"/>
        </w:rPr>
        <w:t xml:space="preserve"> </w:t>
      </w:r>
      <w:r>
        <w:rPr>
          <w:rFonts w:ascii="Times New Roman;serif" w:hAnsi="Times New Roman;serif"/>
          <w:b w:val="false"/>
          <w:color w:val="000000"/>
          <w:sz w:val="20"/>
          <w:shd w:fill="FFFFFF" w:val="clear"/>
        </w:rPr>
        <w:t xml:space="preserve">of outstanding principal, (ii) a prepayment premium of </w:t>
      </w:r>
      <w:r>
        <w:rPr>
          <w:rFonts w:ascii="Times New Roman;serif" w:hAnsi="Times New Roman;serif"/>
          <w:b w:val="false"/>
          <w:color w:val="000000"/>
          <w:sz w:val="20"/>
        </w:rPr>
        <w:t>$4.0 million</w:t>
      </w:r>
      <w:r>
        <w:rPr>
          <w:rFonts w:ascii="Times New Roman;serif" w:hAnsi="Times New Roman;serif"/>
          <w:b w:val="false"/>
          <w:color w:val="000000"/>
          <w:sz w:val="20"/>
          <w:shd w:fill="FFFFFF" w:val="clear"/>
        </w:rPr>
        <w:t xml:space="preserve">, and (iii) remaining accrued interest, legal and administrative fees of </w:t>
      </w:r>
      <w:r>
        <w:rPr>
          <w:rFonts w:ascii="Times New Roman;serif" w:hAnsi="Times New Roman;serif"/>
          <w:b w:val="false"/>
          <w:color w:val="000000"/>
          <w:sz w:val="20"/>
        </w:rPr>
        <w:t>$0.5 million</w:t>
      </w:r>
      <w:r>
        <w:rPr>
          <w:rFonts w:ascii="Times New Roman;serif" w:hAnsi="Times New Roman;serif"/>
          <w:b w:val="false"/>
          <w:color w:val="000000"/>
          <w:sz w:val="20"/>
          <w:shd w:fill="FFFFFF" w:val="clear"/>
        </w:rPr>
        <w:t>. Upon the receipt of the payoff amount, the Credit Agreement was terminated, and all security interests and liens on the Company’s assets were released.</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rPr>
        <w:t>June 30, 2026, t</w:t>
      </w:r>
      <w:r>
        <w:rPr>
          <w:rFonts w:ascii="Times New Roman;serif" w:hAnsi="Times New Roman;serif"/>
          <w:b w:val="false"/>
          <w:color w:val="000000"/>
          <w:sz w:val="20"/>
          <w:shd w:fill="FFFFFF" w:val="clear"/>
        </w:rPr>
        <w:t xml:space="preserve">he Company expensed </w:t>
      </w:r>
      <w:r>
        <w:rPr>
          <w:rFonts w:ascii="Times New Roman;serif" w:hAnsi="Times New Roman;serif"/>
          <w:b w:val="false"/>
          <w:color w:val="000000"/>
          <w:sz w:val="20"/>
        </w:rPr>
        <w:t>$6.6 million</w:t>
      </w:r>
      <w:r>
        <w:rPr>
          <w:color w:val="000000"/>
          <w:shd w:fill="FFFFFF" w:val="clear"/>
        </w:rPr>
        <w:t xml:space="preserve"> </w:t>
      </w:r>
      <w:r>
        <w:rPr>
          <w:rFonts w:ascii="Times New Roman;serif" w:hAnsi="Times New Roman;serif"/>
          <w:b w:val="false"/>
          <w:color w:val="000000"/>
          <w:sz w:val="20"/>
          <w:shd w:fill="FFFFFF" w:val="clear"/>
        </w:rPr>
        <w:t>to write off the prepayment premium and all remaining unamortized deferred financing fees associated with the Credit Agreement and reported these aggregate charges as a loss on extinguishment of debt within the condensed consolidated statement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Connecticut Department of Economic and Community Development Funding Commitment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reached an agreement with the Connecticut Department of Economic and Community Development (“DECD”) and repaid the remaining outstanding balance associated with the loan funding commitment from the DECD to the Company (the “DECD Loan Agreement”), which totaled $4.5 million. Upon the receipt of the payoff amount, the DECD Loan Agreement was terminated, and all security interests and liens on the Company’s assets were released.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Purchase Commitments and Contingencies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sets forth purchase commitments with software and equipment providers as of June 30, 2026 with a remaining term of at least one year:</w:t>
      </w:r>
    </w:p>
    <w:tbl>
      <w:tblPr>
        <w:tblW w:w="3872" w:type="dxa"/>
        <w:jc w:val="left"/>
        <w:tblInd w:w="0" w:type="dxa"/>
        <w:tblLayout w:type="fixed"/>
        <w:tblCellMar>
          <w:top w:w="28" w:type="dxa"/>
          <w:left w:w="28" w:type="dxa"/>
          <w:bottom w:w="28" w:type="dxa"/>
          <w:right w:w="28" w:type="dxa"/>
        </w:tblCellMar>
      </w:tblPr>
      <w:tblGrid>
        <w:gridCol w:w="891"/>
        <w:gridCol w:w="782"/>
        <w:gridCol w:w="786"/>
        <w:gridCol w:w="109"/>
        <w:gridCol w:w="109"/>
        <w:gridCol w:w="109"/>
        <w:gridCol w:w="211"/>
        <w:gridCol w:w="721"/>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enters into contracts with suppliers to purchase materials needed for diagnostic testing. These contracts generally do not require multi-year purchase commitments.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jc w:val="both"/>
        <w:rPr/>
      </w:pPr>
      <w:r>
        <w:rPr>
          <w:rFonts w:ascii="Times New Roman;serif" w:hAnsi="Times New Roman;serif"/>
          <w:b w:val="false"/>
          <w:color w:val="000000"/>
          <w:sz w:val="20"/>
        </w:rPr>
        <w:t>Except as disclosed below, there have been no material changes to the lease obligations from those disclosed in Note 10,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to the consolidated financial statements included in the 2025 Form 10-K.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entered into a sublease agreement for a laboratory space located in Gaithersburg, Maryland. The lease term extends through 2033 and the total minimum lease payments under the agreement are approximately $16.3 million over the lease term. The Company recognized a right-of-use asset and lease liability on the condensed consolidated balance sheet.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or may become subject to various claims and legal actions arising in the ordinary course of business. The Company does not believe that the outcome of any existing matters will have a material effect on the Company’s condensed consolidated financial statements. However, no assurance can be given that the ultimate resolution of such proceedings will not materially impact the Company’s condensed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Except as described below, the Company was not a party to any material legal proceedings as of June 30, 2026, nor is it a party to any material legal proceedings as of the date of issuance of these condensed consolidated financial statements.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Basma and Kanungo Putative Class Action Lawsuits</w:t>
      </w:r>
    </w:p>
    <w:p>
      <w:pPr>
        <w:pStyle w:val="TextBody"/>
        <w:bidi w:val="0"/>
        <w:spacing w:lineRule="auto" w:line="268" w:before="0" w:after="0"/>
        <w:jc w:val="both"/>
        <w:rPr/>
      </w:pPr>
      <w:r>
        <w:rPr>
          <w:rFonts w:ascii="Times New Roman;serif" w:hAnsi="Times New Roman;serif"/>
          <w:b w:val="false"/>
          <w:color w:val="000000"/>
          <w:sz w:val="20"/>
        </w:rPr>
        <w:t xml:space="preserve">On June 4, 2026 and July 28, 2026, putative securities class action lawsuits were filed in the United States District Court for the District of Connecticut against the Company and certain of the Company's current officers, styled </w:t>
      </w:r>
      <w:r>
        <w:rPr>
          <w:rFonts w:ascii="Times New Roman;serif" w:hAnsi="Times New Roman;serif"/>
          <w:b w:val="false"/>
          <w:i/>
          <w:color w:val="000000"/>
          <w:sz w:val="20"/>
        </w:rPr>
        <w:t>Basma v. GeneDx Holdings Corp</w:t>
      </w:r>
      <w:r>
        <w:rPr>
          <w:rFonts w:ascii="Times New Roman;serif" w:hAnsi="Times New Roman;serif"/>
          <w:b w:val="false"/>
          <w:color w:val="000000"/>
          <w:sz w:val="20"/>
        </w:rPr>
        <w:t xml:space="preserve">., et al., 3:26-cv-00880 (D. Conn.) and </w:t>
      </w:r>
      <w:r>
        <w:rPr>
          <w:rFonts w:ascii="Times New Roman;serif" w:hAnsi="Times New Roman;serif"/>
          <w:b w:val="false"/>
          <w:i/>
          <w:color w:val="000000"/>
          <w:sz w:val="20"/>
        </w:rPr>
        <w:t>Kanungo v. GeneDx Holdings Corp</w:t>
      </w:r>
      <w:r>
        <w:rPr>
          <w:rFonts w:ascii="Times New Roman;serif" w:hAnsi="Times New Roman;serif"/>
          <w:b w:val="false"/>
          <w:color w:val="000000"/>
          <w:sz w:val="20"/>
        </w:rPr>
        <w:t xml:space="preserve">., et al., 3:26-cv-01203 (D. Conn.), respectively. Both complaints purport to bring suit on behalf of stockholders who purchased the Company's publicly traded securities between April 16, 2025 and May 4, 2026, and allege that the defendants made false and misleading statements about the impact of the Fabric Genomics acquisition on the overall business of the Company, in violation of Sections 10(b) and 20(a) of the Securities Exchange Act of 1934, as amended (the "Exchange Act"), and seek unspecified compensatory damages, fees and costs. The parties in the </w:t>
      </w:r>
      <w:r>
        <w:rPr>
          <w:rFonts w:ascii="Times New Roman;serif" w:hAnsi="Times New Roman;serif"/>
          <w:b w:val="false"/>
          <w:i/>
          <w:color w:val="000000"/>
          <w:sz w:val="20"/>
        </w:rPr>
        <w:t>Basma</w:t>
      </w:r>
      <w:r>
        <w:rPr>
          <w:color w:val="000000"/>
        </w:rPr>
        <w:t xml:space="preserve"> </w:t>
      </w:r>
      <w:r>
        <w:rPr>
          <w:rFonts w:ascii="Times New Roman;serif" w:hAnsi="Times New Roman;serif"/>
          <w:b w:val="false"/>
          <w:color w:val="000000"/>
          <w:sz w:val="20"/>
        </w:rPr>
        <w:t>action have agreed to postpone the Company's response until the appointment of a lead plaintiff.</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Helo Putative Class Action</w:t>
      </w:r>
    </w:p>
    <w:p>
      <w:pPr>
        <w:pStyle w:val="TextBody"/>
        <w:bidi w:val="0"/>
        <w:spacing w:lineRule="auto" w:line="288" w:before="0" w:after="180"/>
        <w:jc w:val="both"/>
        <w:rPr/>
      </w:pPr>
      <w:r>
        <w:rPr>
          <w:rFonts w:ascii="Times New Roman;serif" w:hAnsi="Times New Roman;serif"/>
          <w:b w:val="false"/>
          <w:color w:val="000000"/>
          <w:sz w:val="20"/>
        </w:rPr>
        <w:t xml:space="preserve">On September 7, 2022, a putative securities class action lawsuit was filed in the United States District Court for the District of Connecticut, styled </w:t>
      </w:r>
      <w:r>
        <w:rPr>
          <w:rFonts w:ascii="Times New Roman;serif" w:hAnsi="Times New Roman;serif"/>
          <w:b w:val="false"/>
          <w:i/>
          <w:color w:val="000000"/>
          <w:sz w:val="20"/>
        </w:rPr>
        <w:t>Helo v. Sema4 Holdings Corp.</w:t>
      </w:r>
      <w:r>
        <w:rPr>
          <w:rFonts w:ascii="Times New Roman;serif" w:hAnsi="Times New Roman;serif"/>
          <w:b w:val="false"/>
          <w:color w:val="000000"/>
          <w:sz w:val="20"/>
        </w:rPr>
        <w:t xml:space="preserve">, et al., 3:22-cv-01131 (D. Conn.) against the Company and certain of the Company’s current and former officers. Following the appointment of a lead plaintiff, an amended complaint was filed on January 30, 2023. The defendants moved to dismiss the amended complaint on August 21, 2023, and that motion was granted on July 31, 2024. A second amended complaint was filed on September 13, 2024. As amended, the complaint purports to bring suit on behalf of the stockholders who purchased the Company’s publicly traded securities between January 18, 2022 and August 15, 2022. The second amended complaint does not reassert most of the earlier allegations, and purports to allege that the defendants made false and misleading statements about the abilities and potential of Centrellis, the Company’s proprietary intelligence platform, in violation of Sections 10(b) and 20(a) of the Exchange Act, and seeks unspecified compensatory damages, fees and costs. The Company’s motion to dismiss the second amended complaint was denied on June 23, 2025, and the parties subsequently engaged in discovery.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pPr>
      <w:r>
        <w:rPr>
          <w:rFonts w:ascii="Times New Roman;serif" w:hAnsi="Times New Roman;serif"/>
          <w:b w:val="false"/>
          <w:color w:val="000000"/>
          <w:sz w:val="20"/>
        </w:rPr>
        <w:t xml:space="preserve">During the first quarter of 2026, the parties in the </w:t>
      </w:r>
      <w:r>
        <w:rPr>
          <w:rFonts w:ascii="Times New Roman;serif" w:hAnsi="Times New Roman;serif"/>
          <w:b w:val="false"/>
          <w:i/>
          <w:color w:val="000000"/>
          <w:sz w:val="20"/>
        </w:rPr>
        <w:t>Helo</w:t>
      </w:r>
      <w:r>
        <w:rPr>
          <w:color w:val="000000"/>
        </w:rPr>
        <w:t xml:space="preserve"> </w:t>
      </w:r>
      <w:r>
        <w:rPr>
          <w:rFonts w:ascii="Times New Roman;serif" w:hAnsi="Times New Roman;serif"/>
          <w:b w:val="false"/>
          <w:color w:val="000000"/>
          <w:sz w:val="20"/>
        </w:rPr>
        <w:t>putative class action reached an agreement in principle to resolve all claims for approximately $4.8 million, and intend to execute a formal stipulation of settlement reflecting such agreement in principle. To be finalized, the settlement must first be approved by the United States District Court for the District of Connecticut. There can be no assurance that the Court will approve such settlement. During the fourth quarter of 2025, the Company reserved the aforementioned settlement and associated litigation costs, totaling approximately $6.0 million, which are reported in accounts payable and accrued expenses on the condensed consolidated balance sheet as of December 31, 2025. During the six months ended June 30, 2026, the Company incurred $0.8 million in associated litigation costs reported in accounts payable and accrued expenses on the condensed consolidated balance sheet as of June 30, 2026.</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Other Legal Proceedings</w:t>
      </w:r>
    </w:p>
    <w:p>
      <w:pPr>
        <w:pStyle w:val="TextBody"/>
        <w:bidi w:val="0"/>
        <w:spacing w:lineRule="auto" w:line="288" w:before="0" w:after="180"/>
        <w:jc w:val="both"/>
        <w:rPr/>
      </w:pPr>
      <w:r>
        <w:rPr>
          <w:rFonts w:ascii="Times New Roman;serif" w:hAnsi="Times New Roman;serif"/>
          <w:b w:val="false"/>
          <w:color w:val="000000"/>
          <w:sz w:val="20"/>
        </w:rPr>
        <w:t xml:space="preserve">On November 28, 2023, a stockholder filed a derivative suit, allegedly on behalf of the Company, based largely on the same allegations in the </w:t>
      </w:r>
      <w:r>
        <w:rPr>
          <w:rFonts w:ascii="Times New Roman;serif" w:hAnsi="Times New Roman;serif"/>
          <w:b w:val="false"/>
          <w:i/>
          <w:color w:val="000000"/>
          <w:sz w:val="20"/>
        </w:rPr>
        <w:t>Helo</w:t>
      </w:r>
      <w:r>
        <w:rPr>
          <w:color w:val="000000"/>
        </w:rPr>
        <w:t xml:space="preserve"> </w:t>
      </w:r>
      <w:r>
        <w:rPr>
          <w:rFonts w:ascii="Times New Roman;serif" w:hAnsi="Times New Roman;serif"/>
          <w:b w:val="false"/>
          <w:color w:val="000000"/>
          <w:sz w:val="20"/>
        </w:rPr>
        <w:t xml:space="preserve">securities class action referenced above. The suit was filed in federal court in the District of Delaware, styled </w:t>
      </w:r>
      <w:r>
        <w:rPr>
          <w:rFonts w:ascii="Times New Roman;serif" w:hAnsi="Times New Roman;serif"/>
          <w:b w:val="false"/>
          <w:i/>
          <w:color w:val="000000"/>
          <w:sz w:val="20"/>
        </w:rPr>
        <w:t>Ghazaleh v. Schadt</w:t>
      </w:r>
      <w:r>
        <w:rPr>
          <w:rFonts w:ascii="Times New Roman;serif" w:hAnsi="Times New Roman;serif"/>
          <w:b w:val="false"/>
          <w:color w:val="000000"/>
          <w:sz w:val="20"/>
        </w:rPr>
        <w:t xml:space="preserve">, et al., 1:23-cv-01357 (D. Del.), and purports to assert claims against certain of the Company’s former and current officers and directors under Section 10(b) of the Exchange Act, and for breach of fiduciary duty, aiding and abetting breach of fiduciary duty, unjust enrichment and corporate waste. The Company is named only as a nominal defendant. The complaint seeks damages on the Company’s behalf, and seeks corporate governance and other relief. On March 11, 2024, the Court issued an order staying this suit pending resolution of or announcement of a settlement in the </w:t>
      </w:r>
      <w:r>
        <w:rPr>
          <w:rFonts w:ascii="Times New Roman;serif" w:hAnsi="Times New Roman;serif"/>
          <w:b w:val="false"/>
          <w:i/>
          <w:color w:val="000000"/>
          <w:sz w:val="20"/>
        </w:rPr>
        <w:t>Helo</w:t>
      </w:r>
      <w:r>
        <w:rPr>
          <w:color w:val="000000"/>
        </w:rPr>
        <w:t xml:space="preserve"> </w:t>
      </w:r>
      <w:r>
        <w:rPr>
          <w:rFonts w:ascii="Times New Roman;serif" w:hAnsi="Times New Roman;serif"/>
          <w:b w:val="false"/>
          <w:color w:val="000000"/>
          <w:sz w:val="20"/>
        </w:rPr>
        <w:t>putative class action referenced above (or certain other developments).</w:t>
      </w:r>
    </w:p>
    <w:p>
      <w:pPr>
        <w:pStyle w:val="TextBody"/>
        <w:bidi w:val="0"/>
        <w:spacing w:lineRule="auto" w:line="288" w:before="0" w:after="180"/>
        <w:jc w:val="both"/>
        <w:rPr/>
      </w:pPr>
      <w:r>
        <w:rPr>
          <w:rFonts w:ascii="Times New Roman;serif" w:hAnsi="Times New Roman;serif"/>
          <w:b w:val="false"/>
          <w:color w:val="000000"/>
          <w:sz w:val="20"/>
        </w:rPr>
        <w:t xml:space="preserve">On June 25, 2024, a substantially similar stockholder derivative suit was filed in federal court in the District of Connecticut, styled </w:t>
      </w:r>
      <w:r>
        <w:rPr>
          <w:rFonts w:ascii="Times New Roman;serif" w:hAnsi="Times New Roman;serif"/>
          <w:b w:val="false"/>
          <w:i/>
          <w:color w:val="000000"/>
          <w:sz w:val="20"/>
        </w:rPr>
        <w:t>Scinto v. Schadt</w:t>
      </w:r>
      <w:r>
        <w:rPr>
          <w:rFonts w:ascii="Times New Roman;serif" w:hAnsi="Times New Roman;serif"/>
          <w:b w:val="false"/>
          <w:color w:val="000000"/>
          <w:sz w:val="20"/>
        </w:rPr>
        <w:t xml:space="preserve">, et al., 3:24-cv-01100 (D. Conn.). The suit, also purportedly brought on the Company’s behalf against certain of its former or current officers and directors, asserts claims for breach of fiduciary duty, gross mismanagement, and violations of Sections 14(a) and 10(b) of the Exchange Act. The Company is named only as a nominal defendant. The complaint seeks damages on the Company’s behalf, as well as corporate governance reforms and other relief. On September 2, 2025, the Court issued an order staying this suit until the final resolution of or announcement of settlement in the </w:t>
      </w:r>
      <w:r>
        <w:rPr>
          <w:rFonts w:ascii="Times New Roman;serif" w:hAnsi="Times New Roman;serif"/>
          <w:b w:val="false"/>
          <w:i/>
          <w:color w:val="000000"/>
          <w:sz w:val="20"/>
        </w:rPr>
        <w:t xml:space="preserve">Helo </w:t>
      </w:r>
      <w:r>
        <w:rPr>
          <w:rFonts w:ascii="Times New Roman;serif" w:hAnsi="Times New Roman;serif"/>
          <w:b w:val="false"/>
          <w:color w:val="000000"/>
          <w:sz w:val="20"/>
        </w:rPr>
        <w:t>class action referenced above.</w:t>
      </w:r>
    </w:p>
    <w:p>
      <w:pPr>
        <w:pStyle w:val="TextBody"/>
        <w:bidi w:val="0"/>
        <w:spacing w:lineRule="auto" w:line="288" w:before="0" w:after="180"/>
        <w:jc w:val="both"/>
        <w:rPr/>
      </w:pPr>
      <w:r>
        <w:rPr>
          <w:rFonts w:ascii="Times New Roman;serif" w:hAnsi="Times New Roman;serif"/>
          <w:b w:val="false"/>
          <w:color w:val="000000"/>
          <w:sz w:val="20"/>
        </w:rPr>
        <w:t xml:space="preserve">On August 15, 2025, a third, substantially similar stockholder derivative suit was filed in federal court in the District of Delaware, styled </w:t>
      </w:r>
      <w:r>
        <w:rPr>
          <w:rFonts w:ascii="Times New Roman;serif" w:hAnsi="Times New Roman;serif"/>
          <w:b w:val="false"/>
          <w:i/>
          <w:color w:val="000000"/>
          <w:sz w:val="20"/>
        </w:rPr>
        <w:t>Ingrao v. Ryan, et al.</w:t>
      </w:r>
      <w:r>
        <w:rPr>
          <w:rFonts w:ascii="Times New Roman;serif" w:hAnsi="Times New Roman;serif"/>
          <w:b w:val="false"/>
          <w:color w:val="000000"/>
          <w:sz w:val="20"/>
        </w:rPr>
        <w:t xml:space="preserve">, 1:25-cv-01027 (D. Del.). The suit, also purportedly brought on the Company’s behalf against certain of its former or current officers and directors, asserts claims for breach of fiduciary duty, unjust enrichment and violations of Section 10(b) of the Exchange Act and Rule 10b-5 promulgated thereunder. The Company is named only as a nominal defendant. The complaint seeks damages on the Company’s behalf, as well as corporate governance reforms and other relief. On October 27, 2025, the Court issued an order (1) consolidating this action with the above-referenced </w:t>
      </w:r>
      <w:r>
        <w:rPr>
          <w:rFonts w:ascii="Times New Roman;serif" w:hAnsi="Times New Roman;serif"/>
          <w:b w:val="false"/>
          <w:i/>
          <w:color w:val="000000"/>
          <w:sz w:val="20"/>
        </w:rPr>
        <w:t>Ghazaleh</w:t>
      </w:r>
      <w:r>
        <w:rPr>
          <w:color w:val="000000"/>
        </w:rPr>
        <w:t xml:space="preserve"> </w:t>
      </w:r>
      <w:r>
        <w:rPr>
          <w:rFonts w:ascii="Times New Roman;serif" w:hAnsi="Times New Roman;serif"/>
          <w:b w:val="false"/>
          <w:color w:val="000000"/>
          <w:sz w:val="20"/>
        </w:rPr>
        <w:t xml:space="preserve">derivative suit and (2) staying the consolidated suit until final resolution of or an announcement of a settlement in the </w:t>
      </w:r>
      <w:r>
        <w:rPr>
          <w:rFonts w:ascii="Times New Roman;serif" w:hAnsi="Times New Roman;serif"/>
          <w:b w:val="false"/>
          <w:i/>
          <w:color w:val="000000"/>
          <w:sz w:val="20"/>
        </w:rPr>
        <w:t>Helo</w:t>
      </w:r>
      <w:r>
        <w:rPr>
          <w:color w:val="000000"/>
        </w:rPr>
        <w:t xml:space="preserve"> </w:t>
      </w:r>
      <w:r>
        <w:rPr>
          <w:rFonts w:ascii="Times New Roman;serif" w:hAnsi="Times New Roman;serif"/>
          <w:b w:val="false"/>
          <w:color w:val="000000"/>
          <w:sz w:val="20"/>
        </w:rPr>
        <w:t xml:space="preserve">class action discussed above. The consolidated derivative suit is captioned </w:t>
      </w:r>
      <w:r>
        <w:rPr>
          <w:rFonts w:ascii="Times New Roman;serif" w:hAnsi="Times New Roman;serif"/>
          <w:b w:val="false"/>
          <w:i/>
          <w:color w:val="000000"/>
          <w:sz w:val="20"/>
        </w:rPr>
        <w:t>In re GeneDx Holdings Corp. Derivative Litigation</w:t>
      </w:r>
      <w:r>
        <w:rPr>
          <w:rFonts w:ascii="Times New Roman;serif" w:hAnsi="Times New Roman;serif"/>
          <w:b w:val="false"/>
          <w:color w:val="000000"/>
          <w:sz w:val="20"/>
        </w:rPr>
        <w:t>, Lead Case No. 1:23-cv-01357-GBW (D. Del.).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is included within the condensed consolidated statements of operations and comprehensive (loss) income as follows:</w:t>
      </w:r>
    </w:p>
    <w:tbl>
      <w:tblPr>
        <w:tblW w:w="9123" w:type="dxa"/>
        <w:jc w:val="left"/>
        <w:tblInd w:w="0" w:type="dxa"/>
        <w:tblLayout w:type="fixed"/>
        <w:tblCellMar>
          <w:top w:w="28" w:type="dxa"/>
          <w:left w:w="28" w:type="dxa"/>
          <w:bottom w:w="28" w:type="dxa"/>
          <w:right w:w="28" w:type="dxa"/>
        </w:tblCellMar>
      </w:tblPr>
      <w:tblGrid>
        <w:gridCol w:w="1366"/>
        <w:gridCol w:w="1204"/>
        <w:gridCol w:w="1209"/>
        <w:gridCol w:w="246"/>
        <w:gridCol w:w="718"/>
        <w:gridCol w:w="127"/>
        <w:gridCol w:w="127"/>
        <w:gridCol w:w="127"/>
        <w:gridCol w:w="127"/>
        <w:gridCol w:w="246"/>
        <w:gridCol w:w="718"/>
        <w:gridCol w:w="127"/>
        <w:gridCol w:w="109"/>
        <w:gridCol w:w="109"/>
        <w:gridCol w:w="109"/>
        <w:gridCol w:w="211"/>
        <w:gridCol w:w="721"/>
        <w:gridCol w:w="109"/>
        <w:gridCol w:w="109"/>
        <w:gridCol w:w="109"/>
        <w:gridCol w:w="109"/>
        <w:gridCol w:w="211"/>
        <w:gridCol w:w="721"/>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stock-based compensation expense</w:t>
            </w:r>
            <w:r>
              <w:rPr>
                <w:rFonts w:ascii="Times New Roman;serif" w:hAnsi="Times New Roman;serif"/>
                <w:b w:val="false"/>
                <w:color w:val="000000"/>
                <w:sz w:val="13"/>
              </w:rPr>
              <w:t>(1)(2)</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Company recorded an aggregate reversal of stock-based compensation of $2.4 million and $0.2 million during the three months ended June 30, 2026 and 2025, respectively, and $3.2 million and $0.8 million during the six months ended June 30, 2026 and 2025, respectively, due to forfeiture activities upon employee terminations.</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$1.1 million and $0.4 million of expenses related to the 2021 Employee Stock Purchase Plan for the three months ended June 30, 2026 and 2025, respectively, and $2.2 million and $0.7 million of expenses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Stock Incentive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maintains the Amended and Restated 2021 Equity Incentive Plan (as amended and restated, the “2021 Plan”) and the 2023 Equity Inducement Plan (the “Equity Inducement Plan”), which allow for grants of equity awards. As of June 30, 2026, there was an aggregate of 3,918,784 shares available for grants of equity awards under the 2021 Plan and Equity Inducement Plan.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stock options granted under the 2021 Plan are accounted for as service-based equity awards. The following summarizes the stock option activity during the six months ended June 30, 2026:</w:t>
      </w:r>
    </w:p>
    <w:tbl>
      <w:tblPr>
        <w:tblW w:w="10205" w:type="dxa"/>
        <w:jc w:val="left"/>
        <w:tblInd w:w="0" w:type="dxa"/>
        <w:tblLayout w:type="fixed"/>
        <w:tblCellMar>
          <w:top w:w="28" w:type="dxa"/>
          <w:left w:w="28" w:type="dxa"/>
          <w:bottom w:w="28" w:type="dxa"/>
          <w:right w:w="28" w:type="dxa"/>
        </w:tblCellMar>
      </w:tblPr>
      <w:tblGrid>
        <w:gridCol w:w="743"/>
        <w:gridCol w:w="653"/>
        <w:gridCol w:w="655"/>
        <w:gridCol w:w="509"/>
        <w:gridCol w:w="347"/>
        <w:gridCol w:w="296"/>
        <w:gridCol w:w="109"/>
        <w:gridCol w:w="109"/>
        <w:gridCol w:w="109"/>
        <w:gridCol w:w="433"/>
        <w:gridCol w:w="1268"/>
        <w:gridCol w:w="225"/>
        <w:gridCol w:w="109"/>
        <w:gridCol w:w="109"/>
        <w:gridCol w:w="109"/>
        <w:gridCol w:w="866"/>
        <w:gridCol w:w="866"/>
        <w:gridCol w:w="868"/>
        <w:gridCol w:w="109"/>
        <w:gridCol w:w="109"/>
        <w:gridCol w:w="109"/>
        <w:gridCol w:w="289"/>
        <w:gridCol w:w="988"/>
        <w:gridCol w:w="218"/>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Stock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197,140 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Options exercisable at June 30, 2026 </w:t>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195,894 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Non-vested options outstanding as of June 30, 2026 were 1,246 with a weighted-average grant-date fair value of $24.76. As of June 30, 2026, unrecognized stock-based compensation cost related to the unvested portion of the Company’s stock options was nominal, and is expected to be recognized on a graded-vesting basis over a weighted-average period of 0.2 years.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and total fair value of options with tranches vested during the six months ended June 30, 2026 was $45.37 and $0.9 million,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options granted during the six months ended June 30, 2026. The aggregate intrinsic value of options exercised during the six months ended June 30, 2026 was $0.1 million, and is calculated based on the difference between the exercise price and the fair value of the Company’s Class A common stock as of the exercise date.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Restricted stock units granted under the 2021 Plan are accounted for as either service-based restricted stock units (“RSUs”) or performance-based restricted stock units (“PRSUs”). Restricted stock units convert to Class A common stock on a one-for-one basis as the awards vest. The Company measures the value of restricted stock units at fair value based on the closing price of the underlying common stock on the grant date. The following table summarizes restricted stock unit activity during the six months ended June 30, 2026:</w:t>
      </w:r>
    </w:p>
    <w:tbl>
      <w:tblPr>
        <w:tblW w:w="8919" w:type="dxa"/>
        <w:jc w:val="left"/>
        <w:tblInd w:w="0" w:type="dxa"/>
        <w:tblLayout w:type="fixed"/>
        <w:tblCellMar>
          <w:top w:w="28" w:type="dxa"/>
          <w:left w:w="28" w:type="dxa"/>
          <w:bottom w:w="28" w:type="dxa"/>
          <w:right w:w="28" w:type="dxa"/>
        </w:tblCellMar>
      </w:tblPr>
      <w:tblGrid>
        <w:gridCol w:w="1065"/>
        <w:gridCol w:w="936"/>
        <w:gridCol w:w="938"/>
        <w:gridCol w:w="584"/>
        <w:gridCol w:w="584"/>
        <w:gridCol w:w="586"/>
        <w:gridCol w:w="109"/>
        <w:gridCol w:w="109"/>
        <w:gridCol w:w="109"/>
        <w:gridCol w:w="838"/>
        <w:gridCol w:w="2447"/>
        <w:gridCol w:w="61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Restricted Stock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Grant Date-Fair Value Per Unit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76.94 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7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124,805 PRSUs granted during the six months ended June 30, 2026 with a weighted-average grant-date fair value of $83.32.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approved awards of 87,966 PRSUs to certain executives. The grant date fair value of the PRSUs is based on the fair value of the Company’s Class A common stock on the grant date. The awards have both service-based and performance-based vesting conditions. The actual number of shares earned on vesting ranges from 0% to 200% of the target number of shares granted, depending on the attainment of specified performance goals established for the years ending December 31, 2026 and 2027. In addition, previously awarded PRSUs granted during the six months ended June 30, 2025 achieved the maximum 200% performance level, resulting in the issuance of 36,839 incremental shares during the six months ended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units vested during the six months ended June 30, 2026 was $21.2 million. As of June 30, 2026, unrecognized stock-based compensation expense related to the Company’s restricted stock units was $50.7 million, which is expected to be recognized on a graded-vesting basis over a weighted-average period of 2.1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2021 Employee Stock Purchase Plan (the “2021 ESPP”) authorizes the issuance of shares of Class A common stock pursuant to purchase rights granted to employees. Under the 2021 ESPP, eligible employees may purchase shares of the Company’s Class A common stock at a discount through payroll deductions during each discrete six-month offering period. The purchase price under each discrete offering period is equal to 85% of the lesser of the fair market value of the Class A common stock on the first and last day of the offering period.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issued 39,918 shares of Class A common stock under the 2021 ESPP during the three and six months ended June 30, 2026. As of June 30, 2026, a total of 1,051,915 shares of Class A common stock have been reserved for future issuance under the 2021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tax was a $0.5 million benefit and $0.4 million expense for the three and six months ended June 30, 2026, respectively. Income tax was a $0.2 million benefit and $0.2 million expense for the three and six months ended June 30, 2025, respectively. Income taxes for these periods are recorded at the Company’s estimated annual effective income tax rate, subject to adjustments for discrete events should they occur. The Company’s effective tax rate for the six months ended June 30, 2026 and 2025 was (0.5)% and 4.5%,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Company’s effective tax rates in 2026 and 2025 compared to the U.S. statutory tax rate of 21% is primarily due to changes in valuation allowances associated with the Company’s assessment of the likelihood of the recoverability of deferred tax assets. The Company currently has valuation allowances against a significant portion of its deferred tax assets primarily related to its net operating loss carryforwards and tax credit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12. Net (Loss) Earnings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loss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1606"/>
        <w:gridCol w:w="1391"/>
        <w:gridCol w:w="1406"/>
        <w:gridCol w:w="240"/>
        <w:gridCol w:w="841"/>
        <w:gridCol w:w="111"/>
        <w:gridCol w:w="111"/>
        <w:gridCol w:w="111"/>
        <w:gridCol w:w="111"/>
        <w:gridCol w:w="244"/>
        <w:gridCol w:w="837"/>
        <w:gridCol w:w="111"/>
        <w:gridCol w:w="109"/>
        <w:gridCol w:w="109"/>
        <w:gridCol w:w="109"/>
        <w:gridCol w:w="240"/>
        <w:gridCol w:w="841"/>
        <w:gridCol w:w="109"/>
        <w:gridCol w:w="109"/>
        <w:gridCol w:w="109"/>
        <w:gridCol w:w="109"/>
        <w:gridCol w:w="275"/>
        <w:gridCol w:w="806"/>
        <w:gridCol w:w="160"/>
      </w:tblGrid>
      <w:tr>
        <w:trPr/>
        <w:tc>
          <w:tcPr>
            <w:tcW w:w="160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29,710,139 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28,579,704 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28,365,018 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29,710,139 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29,753,933 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29,642,555 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shares of potentially dilutive securities that were excluded from the computation of diluted loss per share attributable to common stockholders for the period presented as the effect would be anti-dilutive:</w:t>
      </w:r>
    </w:p>
    <w:tbl>
      <w:tblPr>
        <w:tblW w:w="7664" w:type="dxa"/>
        <w:jc w:val="left"/>
        <w:tblInd w:w="0" w:type="dxa"/>
        <w:tblLayout w:type="fixed"/>
        <w:tblCellMar>
          <w:top w:w="28" w:type="dxa"/>
          <w:left w:w="28" w:type="dxa"/>
          <w:bottom w:w="28" w:type="dxa"/>
          <w:right w:w="28" w:type="dxa"/>
        </w:tblCellMar>
      </w:tblPr>
      <w:tblGrid>
        <w:gridCol w:w="1397"/>
        <w:gridCol w:w="1225"/>
        <w:gridCol w:w="1232"/>
        <w:gridCol w:w="720"/>
        <w:gridCol w:w="345"/>
        <w:gridCol w:w="345"/>
        <w:gridCol w:w="345"/>
        <w:gridCol w:w="345"/>
        <w:gridCol w:w="345"/>
        <w:gridCol w:w="532"/>
        <w:gridCol w:w="345"/>
        <w:gridCol w:w="488"/>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and six months ended June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options and restricted stock units</w:t>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1,720,122 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17,072 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warrants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666,515 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666,515 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2021 ESPP shares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2,425,648 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683,587 </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Restructuring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completed a reduction in workforce resulting in the elimination of approximately 75 positions. The Company expects that all remaining cash severance payments will be complete in less than one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Restructuring costs are included within the condensed consolidated statements of operations and comprehensive (loss) income as follows:</w:t>
      </w:r>
    </w:p>
    <w:tbl>
      <w:tblPr>
        <w:tblW w:w="8208" w:type="dxa"/>
        <w:jc w:val="left"/>
        <w:tblInd w:w="0" w:type="dxa"/>
        <w:tblLayout w:type="fixed"/>
        <w:tblCellMar>
          <w:top w:w="28" w:type="dxa"/>
          <w:left w:w="28" w:type="dxa"/>
          <w:bottom w:w="28" w:type="dxa"/>
          <w:right w:w="28" w:type="dxa"/>
        </w:tblCellMar>
      </w:tblPr>
      <w:tblGrid>
        <w:gridCol w:w="1068"/>
        <w:gridCol w:w="941"/>
        <w:gridCol w:w="945"/>
        <w:gridCol w:w="272"/>
        <w:gridCol w:w="794"/>
        <w:gridCol w:w="140"/>
        <w:gridCol w:w="140"/>
        <w:gridCol w:w="140"/>
        <w:gridCol w:w="140"/>
        <w:gridCol w:w="272"/>
        <w:gridCol w:w="523"/>
        <w:gridCol w:w="140"/>
        <w:gridCol w:w="109"/>
        <w:gridCol w:w="109"/>
        <w:gridCol w:w="109"/>
        <w:gridCol w:w="238"/>
        <w:gridCol w:w="697"/>
        <w:gridCol w:w="123"/>
        <w:gridCol w:w="123"/>
        <w:gridCol w:w="123"/>
        <w:gridCol w:w="123"/>
        <w:gridCol w:w="238"/>
        <w:gridCol w:w="527"/>
        <w:gridCol w:w="17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expense</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provides restructuring activity during the six months ended June 30, 2026: </w:t>
      </w:r>
    </w:p>
    <w:tbl>
      <w:tblPr>
        <w:tblW w:w="10205" w:type="dxa"/>
        <w:jc w:val="center"/>
        <w:tblInd w:w="0" w:type="dxa"/>
        <w:tblLayout w:type="fixed"/>
        <w:tblCellMar>
          <w:top w:w="28" w:type="dxa"/>
          <w:left w:w="28" w:type="dxa"/>
          <w:bottom w:w="28" w:type="dxa"/>
          <w:right w:w="28" w:type="dxa"/>
        </w:tblCellMar>
      </w:tblPr>
      <w:tblGrid>
        <w:gridCol w:w="342"/>
        <w:gridCol w:w="301"/>
        <w:gridCol w:w="303"/>
        <w:gridCol w:w="721"/>
        <w:gridCol w:w="1599"/>
        <w:gridCol w:w="379"/>
        <w:gridCol w:w="109"/>
        <w:gridCol w:w="109"/>
        <w:gridCol w:w="109"/>
        <w:gridCol w:w="489"/>
        <w:gridCol w:w="1429"/>
        <w:gridCol w:w="252"/>
        <w:gridCol w:w="109"/>
        <w:gridCol w:w="109"/>
        <w:gridCol w:w="109"/>
        <w:gridCol w:w="211"/>
        <w:gridCol w:w="674"/>
        <w:gridCol w:w="109"/>
        <w:gridCol w:w="109"/>
        <w:gridCol w:w="109"/>
        <w:gridCol w:w="109"/>
        <w:gridCol w:w="518"/>
        <w:gridCol w:w="1514"/>
        <w:gridCol w:w="38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Reserve balance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Payments </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Reserve balance at June 30, 2026</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14. Supplemental Financial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on the condensed consolidated balance sheets to the total of the same amounts shown on the condensed consolidated statements of cash flows:</w:t>
      </w:r>
    </w:p>
    <w:tbl>
      <w:tblPr>
        <w:tblW w:w="6789" w:type="dxa"/>
        <w:jc w:val="left"/>
        <w:tblInd w:w="0" w:type="dxa"/>
        <w:tblLayout w:type="fixed"/>
        <w:tblCellMar>
          <w:top w:w="28" w:type="dxa"/>
          <w:left w:w="28" w:type="dxa"/>
          <w:bottom w:w="28" w:type="dxa"/>
          <w:right w:w="28" w:type="dxa"/>
        </w:tblCellMar>
      </w:tblPr>
      <w:tblGrid>
        <w:gridCol w:w="1239"/>
        <w:gridCol w:w="1087"/>
        <w:gridCol w:w="1093"/>
        <w:gridCol w:w="258"/>
        <w:gridCol w:w="883"/>
        <w:gridCol w:w="133"/>
        <w:gridCol w:w="109"/>
        <w:gridCol w:w="109"/>
        <w:gridCol w:w="109"/>
        <w:gridCol w:w="313"/>
        <w:gridCol w:w="1228"/>
        <w:gridCol w:w="228"/>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104,997 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105,989 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Restricted cash as of June 30, 2026 and December 31, 2025 primarily consists of money market deposit accounts that secure an irrevocable standby letter of credit that serves as collateral for a security deposit for operating leases.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5064" w:type="dxa"/>
        <w:jc w:val="left"/>
        <w:tblInd w:w="0" w:type="dxa"/>
        <w:tblLayout w:type="fixed"/>
        <w:tblCellMar>
          <w:top w:w="28" w:type="dxa"/>
          <w:left w:w="28" w:type="dxa"/>
          <w:bottom w:w="28" w:type="dxa"/>
          <w:right w:w="28" w:type="dxa"/>
        </w:tblCellMar>
      </w:tblPr>
      <w:tblGrid>
        <w:gridCol w:w="614"/>
        <w:gridCol w:w="538"/>
        <w:gridCol w:w="542"/>
        <w:gridCol w:w="258"/>
        <w:gridCol w:w="883"/>
        <w:gridCol w:w="133"/>
        <w:gridCol w:w="109"/>
        <w:gridCol w:w="109"/>
        <w:gridCol w:w="109"/>
        <w:gridCol w:w="380"/>
        <w:gridCol w:w="1110"/>
        <w:gridCol w:w="279"/>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8,685 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expenses consisted of the following:</w:t>
      </w:r>
    </w:p>
    <w:tbl>
      <w:tblPr>
        <w:tblW w:w="6520" w:type="dxa"/>
        <w:jc w:val="left"/>
        <w:tblInd w:w="0" w:type="dxa"/>
        <w:tblLayout w:type="fixed"/>
        <w:tblCellMar>
          <w:top w:w="28" w:type="dxa"/>
          <w:left w:w="28" w:type="dxa"/>
          <w:bottom w:w="28" w:type="dxa"/>
          <w:right w:w="28" w:type="dxa"/>
        </w:tblCellMar>
      </w:tblPr>
      <w:tblGrid>
        <w:gridCol w:w="1141"/>
        <w:gridCol w:w="1002"/>
        <w:gridCol w:w="1006"/>
        <w:gridCol w:w="258"/>
        <w:gridCol w:w="883"/>
        <w:gridCol w:w="133"/>
        <w:gridCol w:w="109"/>
        <w:gridCol w:w="109"/>
        <w:gridCol w:w="109"/>
        <w:gridCol w:w="344"/>
        <w:gridCol w:w="1175"/>
        <w:gridCol w:w="251"/>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payor reserves, short-term</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reserves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current liabilities consisted of the following:</w:t>
      </w:r>
    </w:p>
    <w:tbl>
      <w:tblPr>
        <w:tblW w:w="7135" w:type="dxa"/>
        <w:jc w:val="left"/>
        <w:tblInd w:w="0" w:type="dxa"/>
        <w:tblLayout w:type="fixed"/>
        <w:tblCellMar>
          <w:top w:w="28" w:type="dxa"/>
          <w:left w:w="28" w:type="dxa"/>
          <w:bottom w:w="28" w:type="dxa"/>
          <w:right w:w="28" w:type="dxa"/>
        </w:tblCellMar>
      </w:tblPr>
      <w:tblGrid>
        <w:gridCol w:w="1364"/>
        <w:gridCol w:w="1196"/>
        <w:gridCol w:w="1204"/>
        <w:gridCol w:w="258"/>
        <w:gridCol w:w="883"/>
        <w:gridCol w:w="133"/>
        <w:gridCol w:w="109"/>
        <w:gridCol w:w="109"/>
        <w:gridCol w:w="109"/>
        <w:gridCol w:w="344"/>
        <w:gridCol w:w="1175"/>
        <w:gridCol w:w="251"/>
      </w:tblGrid>
      <w:tr>
        <w:trPr/>
        <w:tc>
          <w:tcPr>
            <w:tcW w:w="136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contingent consideration liability</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warrant liability</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46,859 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liabilities consisted of the following:</w:t>
      </w:r>
    </w:p>
    <w:tbl>
      <w:tblPr>
        <w:tblW w:w="7136" w:type="dxa"/>
        <w:jc w:val="left"/>
        <w:tblInd w:w="0" w:type="dxa"/>
        <w:tblLayout w:type="fixed"/>
        <w:tblCellMar>
          <w:top w:w="28" w:type="dxa"/>
          <w:left w:w="28" w:type="dxa"/>
          <w:bottom w:w="28" w:type="dxa"/>
          <w:right w:w="28" w:type="dxa"/>
        </w:tblCellMar>
      </w:tblPr>
      <w:tblGrid>
        <w:gridCol w:w="1364"/>
        <w:gridCol w:w="1199"/>
        <w:gridCol w:w="1202"/>
        <w:gridCol w:w="395"/>
        <w:gridCol w:w="676"/>
        <w:gridCol w:w="204"/>
        <w:gridCol w:w="109"/>
        <w:gridCol w:w="109"/>
        <w:gridCol w:w="109"/>
        <w:gridCol w:w="380"/>
        <w:gridCol w:w="1110"/>
        <w:gridCol w:w="279"/>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contingent consideration liability</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2024 Sales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sales agreement (the “2024 Sales Agreement”) with TD Securities (USA) LLC (“TD Cowen”) in April 2024, pursuant to which the Company may, but is not obligated to, offer and sell, from time to time, shares of its Class A common stock with an aggregate offering price up to 75.0 million through TD Cowen, as sales agent, subject to the terms and conditions described in the Sales Agreement and SEC rules and regulations (the “prior ATM offering”). During the six months ended June 30, 2025, the Company issued 150,000 shares of its Class A common stock in connection with the prior ATM offering at an average price of $96.10 per share. Proceeds received, net of agent fees and other offering expenses, were $13.9 million. During the year ended December 31, 2025, the Company sold the maximum amount of shares in the prior ATM offering which resulted in the automatic termination of the 2024 Sales Agreement.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Sales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entered into an additional sales agreement (the “2025 Sales Agreement”) with TD Securities (USA) LLC (“TD Cowen”) in October 2025, pursuant to which the Company may, but is not obligated to, offer and sell, from time to time, shares of its Class A common stock with an aggregate offering price up to $100.0 million through TD Cowen, as sales agent, subject to the terms and conditions described in the Sales Agreement and SEC rules and regulations (the “ATM offering”). During the year ended December 31, 2025, the Company issued 147,583 shares of its Class A common stock in connection with this ATM offering at an average price of $147.44 per share and the proceeds received, net of agent fees and other offering expenses, were $21.1 million. The Company did not issue any shares of its Class A common stock in connection with this ATM offering during the six months ended June 30, 2026. As of June 30, 2026, approximately $78.2 million of capacity remained available under this ATM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15. Segment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structure is aligned with how the chief operating decision maker (“CODM”) reviews the business, makes investing and resource allocation decisions and assesses operating performance. The Company’s CODM is its Chief Executive Officer.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Previously, the Company identified three operating segments: GeneDx, Fabric Genomics and Legacy Sema4. The GeneDx operating segment primarily provides pediatric and rare disease diagnostics with a focus on whole exome and genome sequencing, as well as certain data and information services. The GeneDx operating segment was previously identified as the Company’s one reportable segment, while the Fabric Genomics and Legacy Sema4 operating segments did not meet the quantitative thresholds for reportable segments and were collectively reported in Other.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in the second quarter of 2026, as a result of changes in the Company’s commercial strategy and go-to-market execution, the CODM began managing and evaluating the business on a consolidated basis and no longer reviews the operations of GeneDx, Fabric Genomics, and Legacy Sema4 as separate operating segments. Legacy Sema4 no longer conducts substantive operating activities and is not managed or evaluated as a separate component of the business. Accordingly, the Company determined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operations now constitute a single operating segment, GeneDx, which is also the Company’s one reportable segment as of June 30, 2026. Prior period segment information has been recast to conform to the current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CODM evaluates segment performance based on consolidated net (loss) income, adjusted gross profit, adjusted gross margin, and adjusted net income (loss). As such, net loss (income), which is reported and reconciled with all significant segment expenses in the condensed consolidated statements of operations and comprehensive (loss) income, is the measure of segment profit or loss most consistent with U.S. GAAP that is regularly reviewed by the CODM to allocate resources and assess performance. Adjusted gross profit, adjusted gross margin, and adjusted net income (loss) are additional measures of segment profit or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Adjusted gross profit is a non-GAAP financial measure that the Company defines as revenue less cost of services, excluding depreciation and amortization expense, stock-based compensation expense, and restructuring costs. The Company defines adjusted gross margin as adjusted gross profit divided by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adjusted gross profit to gross profit and net (loss) income for the three and six months ended June 30, 2026 and 2025:</w:t>
      </w:r>
    </w:p>
    <w:tbl>
      <w:tblPr>
        <w:tblW w:w="9828" w:type="dxa"/>
        <w:jc w:val="left"/>
        <w:tblInd w:w="0" w:type="dxa"/>
        <w:tblLayout w:type="fixed"/>
        <w:tblCellMar>
          <w:top w:w="28" w:type="dxa"/>
          <w:left w:w="28" w:type="dxa"/>
          <w:bottom w:w="28" w:type="dxa"/>
          <w:right w:w="28" w:type="dxa"/>
        </w:tblCellMar>
      </w:tblPr>
      <w:tblGrid>
        <w:gridCol w:w="1289"/>
        <w:gridCol w:w="1135"/>
        <w:gridCol w:w="1146"/>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128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189,807 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68.2 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(81,056)</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Adjusted net income (loss) is a non-GAAP financial measure that the Company defines as net (loss) income adjusted for depreciation and amortization, stock-based compensation expenses, restructuring costs, change in fair value of financial liabilities, interest expense (net), non-core lease costs, impairment loss, loss on extinguishment of debt, income tax benefit (expense), transaction costs and costs related to a legal reserve.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(loss) income to adjusted net income (loss) for the three and six months ended June 30, 2026 and 2025:</w:t>
      </w:r>
    </w:p>
    <w:tbl>
      <w:tblPr>
        <w:tblW w:w="8985" w:type="dxa"/>
        <w:jc w:val="left"/>
        <w:tblInd w:w="0" w:type="dxa"/>
        <w:tblLayout w:type="fixed"/>
        <w:tblCellMar>
          <w:top w:w="28" w:type="dxa"/>
          <w:left w:w="28" w:type="dxa"/>
          <w:bottom w:w="28" w:type="dxa"/>
          <w:right w:w="28" w:type="dxa"/>
        </w:tblCellMar>
      </w:tblPr>
      <w:tblGrid>
        <w:gridCol w:w="1290"/>
        <w:gridCol w:w="1136"/>
        <w:gridCol w:w="1143"/>
        <w:gridCol w:w="217"/>
        <w:gridCol w:w="822"/>
        <w:gridCol w:w="112"/>
        <w:gridCol w:w="112"/>
        <w:gridCol w:w="112"/>
        <w:gridCol w:w="112"/>
        <w:gridCol w:w="217"/>
        <w:gridCol w:w="744"/>
        <w:gridCol w:w="112"/>
        <w:gridCol w:w="109"/>
        <w:gridCol w:w="109"/>
        <w:gridCol w:w="109"/>
        <w:gridCol w:w="211"/>
        <w:gridCol w:w="796"/>
        <w:gridCol w:w="109"/>
        <w:gridCol w:w="109"/>
        <w:gridCol w:w="109"/>
        <w:gridCol w:w="109"/>
        <w:gridCol w:w="211"/>
        <w:gridCol w:w="721"/>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financial liabilities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Non-core lease costs</w:t>
            </w:r>
            <w:r>
              <w:rPr>
                <w:rFonts w:ascii="Times New Roman;serif" w:hAnsi="Times New Roman;serif"/>
                <w:b w:val="false"/>
                <w:color w:val="000000"/>
                <w:sz w:val="13"/>
              </w:rPr>
              <w:t>(1)</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(loss)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(1)Non-core lease costs represent occupancy and related expenses associated with vacant laboratory facilities and office space that are no longer utilized as part of the Company’s operations.</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(2)For the three and six months ended June 30, 2026, represents income tax expense, net, and costs related to certain litigation matters. For the three and six months ended June 30, 2025, represents income tax expense, net, transaction costs associated with the Merger Agreement, and a sales-and-use tax refund.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CODM does not evaluate segment performance using asset information. The measure of segment assets is reported as total assets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unaudited condensed consolidated financial statements and related notes appearing elsewhere in this Quarterly Report and our audited consolidated financial statements and the related notes in our Annual Report on Form 10-K for the year ended December 31, 2025 (the “2025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pPr>
      <w:r>
        <w:rPr>
          <w:rFonts w:ascii="Times New Roman;serif" w:hAnsi="Times New Roman;serif"/>
          <w:b w:val="false"/>
          <w:color w:val="000000"/>
          <w:sz w:val="20"/>
        </w:rPr>
        <w:t>See Note 1, “</w:t>
      </w:r>
      <w:r>
        <w:rPr>
          <w:rFonts w:ascii="Times New Roman;serif" w:hAnsi="Times New Roman;serif"/>
          <w:b w:val="false"/>
          <w:i/>
          <w:color w:val="000000"/>
          <w:sz w:val="20"/>
        </w:rPr>
        <w:t>Organization and Description of Business</w:t>
      </w:r>
      <w:r>
        <w:rPr>
          <w:color w:val="000000"/>
        </w:rPr>
        <w:t xml:space="preserve">” </w:t>
      </w:r>
      <w:r>
        <w:rPr>
          <w:rFonts w:ascii="Times New Roman;serif" w:hAnsi="Times New Roman;serif"/>
          <w:b w:val="false"/>
          <w:color w:val="000000"/>
          <w:sz w:val="20"/>
        </w:rPr>
        <w:t>to our condensed consolidated financial statements included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180"/>
        <w:jc w:val="left"/>
        <w:rPr/>
      </w:pPr>
      <w:r>
        <w:rPr>
          <w:rFonts w:ascii="Times New Roman;serif" w:hAnsi="Times New Roman;serif"/>
          <w:b w:val="false"/>
          <w:color w:val="000000"/>
          <w:sz w:val="20"/>
        </w:rPr>
        <w:t>We believe several important factors have impacted, and will continue to impact, our performance and results of operations. While each of these areas presents significant opportunities for us, they also pose significant risks and challenges that we must address. See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this Quarterly Report and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2025 Form 10-K, which are incorporated by reference in this Quarterly Report, for further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Test Volume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focus of our commercial operations is to offer our diagnostic tests through both our direct sales force and laboratory distribution partners. Test volume correlates with genomic database size and long-term patient relationships. Thus, test volume drives database diversity and enables potential identification of variants of unknown significance and population-specific insights. The number of exome and genome tests resulted and the mix of test results are key indicators that we use to assess the operational efficiency of our business. Once the appropriate workflow is completed, the test is resulted and details are provided to ordered patients or healthcare professionals for reviews, which corresponds to the timing of our revenue recognition.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the number of resulted exome and genome tests in any period is important and useful to our investors because it directly correlates with long-term patient relationships and the size of our genomic database. During the three months ended June 30, 2026, we resulted 30,785 exome and genome tests, which represented 49% of all test results, compared to the three months ended June 30, 2025, in which we resulted approximately 23,246 exome and genome tests, which represented 40% of all test results. During the six months ended June 30, 2026, we resulted 58,273 exome and genome tests, which represented 49% of all test results, compared to the six months ended June 30, 2025, in which we resulted approximately 43,808 exome and genome tests, which represented 40% of all test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Success Obtaining and Maintaining Reimbursement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commercial and Medicaid. Since each payor makes its own decision as to whether to establish a policy or enter into a contract to provide coverage for our tests, as well as the amount it will reimburse us for a test, seeking these approvals is a time-consuming and costly process.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focus our resources on increasing the adoption of, and expanding coverage and reimbursement for, exome and genome, and any future tests we may develop or acquire. If we fail to expand and maintain broad adoption of,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coverage and reimbursement for, our tests, our ability to generate revenue and our future business prospects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Ability to Lower the Costs Associated with Performing our Tests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Increasing Adoption of our Services by Existing and New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Investment in Platform Innovation to Support Commercial Growth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Components of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Diagnostic Test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majority of our revenue is derived from genetic and genomic diagnostic testing services for three groups of customers: healthcare professionals working with patients with third-party insurance coverage or without third-party insurance coverage, institutional clients such as hospitals, clinics, state governments and reference laboratories, and self-pay patients. The amount of revenue recognized for diagnostic testing services depends on a number of factors, such as resulted test volumes,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 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generate revenue from collaboration service agreements with biopharma companies and other third parties, pursuant to which we provide health information and patient identification support services. Certain of these contracts provide non-refundable payments, which we record as contract liabilities, and variable payments based upon the achievement of certain milestones during the contract term.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generate revenues through software and interpretation services related to rare disease, hereditary risk, and cancer testing. Our customers include clinical laboratories, hospitals, and research institutions. Our ability to increase this revenue will depend on our ability to expand our customer base among hospitals and genomic centers, along with increased adoption of whole genome sequencing and AI-enabled interpretation in clinical workflows.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cost of services reflect the aggregate costs incurred in performing services, which include expenses for reagents and laboratory supplies, compensation expenses for employees directly involved in revenue generating activities, shipping and handling fees, costs of third-party reference lab testing and phlebotomy services, if any, and allocated genetic counseling, facility and information technology costs associated with delivery services. Allocated costs include depreciation of laboratory equipment, facility occupancy, and information technology costs. The cost of services are recorded as the services are performed.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the cost of services to generally increase in absolute dollars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compensation expenses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generally expect our research and development expenses to continue to increase in absolute dollars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primarily consist of compensation expenses for employees performing commercial sales, account management, marketing, genetic counseling, executive leadership, legal, finance and accounting, human resources, information technology, and other administrative functions. These expenses also include office occupancy, information technology, marketing-related costs, and other corporate infrastructure expenses. Selling, general and administrative costs are expensed as incurred.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generally expect our selling, general and administrative expenses to continue to increase in absolute dollars as we expand our commercial sales, marketing and counseling teams, increase marketing activities, grow our administrative infrastructure, and incur costs associated with operating as a public company, including legal, accounting, regulatory, and Nasdaq and SEC compliance expenses. However, we expect selling, general and administrative expenses to decrease as a percentage of revenue over the long term as revenue increases, subject to fluctuations from period to period due to the timing and magnitude of these expenses and compensation-related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the three months ended June 30, 2026 and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presented:</w:t>
      </w:r>
    </w:p>
    <w:tbl>
      <w:tblPr>
        <w:tblW w:w="9038" w:type="dxa"/>
        <w:jc w:val="left"/>
        <w:tblInd w:w="0" w:type="dxa"/>
        <w:tblLayout w:type="fixed"/>
        <w:tblCellMar>
          <w:top w:w="28" w:type="dxa"/>
          <w:left w:w="28" w:type="dxa"/>
          <w:bottom w:w="28" w:type="dxa"/>
          <w:right w:w="28" w:type="dxa"/>
        </w:tblCellMar>
      </w:tblPr>
      <w:tblGrid>
        <w:gridCol w:w="1289"/>
        <w:gridCol w:w="1135"/>
        <w:gridCol w:w="1145"/>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33"/>
        <w:gridCol w:w="233"/>
        <w:gridCol w:w="614"/>
      </w:tblGrid>
      <w:tr>
        <w:trPr/>
        <w:tc>
          <w:tcPr>
            <w:tcW w:w="128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Non-operating (expense)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financial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non-operating (expense) income,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NM - Not Meaningful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revenue increased by $11.7 million, or 11%, to $114.4 million for the three months ended June 30, 2026, from $102.7 million for the three months ended June 30,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Diagnostic test revenue increased by $11.8 million, or 12%, to $111.9 million for the three months ended June 30, 2026, from $100.1 million for the three months ended June 30, 2025. The increase primarily reflected an increase of 17% in whole exome and genome sequencing revenues driven by a 32% increase in test volumes. This was partially offset by a 12% decrease in average reimbursement rates and declines in other non-exome test revenues.</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 decreased by a nominal amount, to $2.6 million for the three months ended June 30, 2026.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profit increased by $7.3 million or 10%, to $78.2 million for the three months ended June 30, 2026, from $70.9 million for the three months ended June 30, 2025, driven by a combination of a shift in test mix to more profitable whole exome and genome test and continued cost per test leverage.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by $4.6 million, or 30%, to $19.7 million for the three months ended June 30, 2026, from $15.1 million for the three months ended June 30, 2025. The increase was driven by higher overall compensation costs of $3.1 million and software-related expenses of $1.2 million, which primarily reflects an investment to expand our product development team.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 increased by $29.2 million, or 62%, to $76.0 million for the three months ended June 30, 2026, from $46.9 million for the three months ended June 30, 2025. This increase primarily reflects strategic investments to support future growth, including a significant expansion of our commercial organization through increased sales representative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headcount which resulted in increased compensation costs of $12.9 million. In addition, we incurred higher marketing expenditures of $1.8 million to support the continued investment in new customer experience capabilities. The increase also reflected higher third-party consulting costs of $3.8 million and IT software and infrastructure costs of $1.1 million. The prior period included a one-time sales-and-use tax refund of $8.4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Non-Operating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Non-operating expense of $0.8 million for the three months ended June 30, 2026 primarily reflected net interest expense of $1.2 million, which was partially offset by gain in the change in the fair value of warrants of $0.2 million and a realized gain on marketable securities of $0.3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Non-operating income of $1.6 million for the three months ended June 30, 2025 primarily reflected a gain of $3.1 million for the change in the fair value of public and private warrants, partially offset by expense of $0.9 million for the change in fair value of the contingent consideration.</w:t>
      </w:r>
    </w:p>
    <w:p>
      <w:pPr>
        <w:pStyle w:val="TextBody"/>
        <w:bidi w:val="0"/>
        <w:spacing w:lineRule="auto" w:line="288" w:before="0" w:after="180"/>
        <w:jc w:val="both"/>
        <w:rPr/>
      </w:pPr>
      <w:r>
        <w:rPr>
          <w:rFonts w:ascii="Times New Roman;serif" w:hAnsi="Times New Roman;serif"/>
          <w:b w:val="false"/>
          <w:color w:val="000000"/>
          <w:sz w:val="20"/>
        </w:rPr>
        <w:t>See Note 4,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further information on the changes in fair value of our financial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the six months ended June 30, 2026 and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presented:</w:t>
      </w:r>
    </w:p>
    <w:tbl>
      <w:tblPr>
        <w:tblW w:w="9008" w:type="dxa"/>
        <w:jc w:val="left"/>
        <w:tblInd w:w="0" w:type="dxa"/>
        <w:tblLayout w:type="fixed"/>
        <w:tblCellMar>
          <w:top w:w="28" w:type="dxa"/>
          <w:left w:w="28" w:type="dxa"/>
          <w:bottom w:w="28" w:type="dxa"/>
          <w:right w:w="28" w:type="dxa"/>
        </w:tblCellMar>
      </w:tblPr>
      <w:tblGrid>
        <w:gridCol w:w="1289"/>
        <w:gridCol w:w="1135"/>
        <w:gridCol w:w="1145"/>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8"/>
        <w:gridCol w:w="218"/>
        <w:gridCol w:w="614"/>
      </w:tblGrid>
      <w:tr>
        <w:trPr/>
        <w:tc>
          <w:tcPr>
            <w:tcW w:w="128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Non-operating (expense)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financial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non-operating (expense) income,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NM - Not Meaningful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revenue increased by $26.9 million, or 14%, to $216.7 million for the six months ended June 30, 2026, from $189.8 million for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Diagnostic test revenue increased by $27.3 million, or 15%, to $213.2 million for the six months ended June 30, 2026, from $185.9 million for the six months ended June 30, 2025. The increase is attributable to increase of 21% in whole exome and genome sequencing revenues driven by a 33% increase in test volumes. This was partially offset by a 9% decrease in average reimbursement rates and declines in other non-exome test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revenue decreased by $0.4 million, to $3.5 million for the six months ended June 30, 2026, from $3.9 million for the six months ended June 30, 2025. The decrease is driven by lower data deal activity in the current period compared to the prior period.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profit increased by $17.1 million for the six months ended June 30, 2026, primarily driven by the 33% increase in whole exome and genome test volumes.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increased by $11.8 million, or 43%, to $39.5 million for the six months ended June 30, 2026, from $27.7 million for the six months ended June 30, 2025. The increase was primarily attributable to higher compensation-related costs of $9.3 million which reflects an investment to expand our product development team. In addition, an increase in costs related to sponsored research programs of $0.8 million and an increase in software-related expenses of $1.6 million contributed to the overall increase in research and development expenses.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$53.3 million, or 55%, to $150.6 million for the six months ended June 30, 2026, from $97.3 million for the six months ended June 30, 2025. The increase was primarily attributable to our investment to support growth in our commercial team with higher compensation-related costs of $29.5 million, higher marketing expenditures and continued investment in new customer experience capabilities. The increase reflected higher IT software and infrastructure costs of $2.9 million, third-party consulting costs of $5.9 million, marketing, travel and customer engagement expenses of $3.6 million and increased amortization expense for acquired intangible assets established in connection with purchase accounting. In addition, the prior period included a one-time sales-and-use tax refund of $8.4 million.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Impairment loss</w:t>
      </w:r>
    </w:p>
    <w:p>
      <w:pPr>
        <w:pStyle w:val="TextBody"/>
        <w:bidi w:val="0"/>
        <w:spacing w:lineRule="auto" w:line="288" w:before="0" w:after="180"/>
        <w:jc w:val="both"/>
        <w:rPr/>
      </w:pPr>
      <w:r>
        <w:rPr>
          <w:rFonts w:ascii="Times New Roman;serif" w:hAnsi="Times New Roman;serif"/>
          <w:b w:val="false"/>
          <w:color w:val="000000"/>
          <w:sz w:val="20"/>
        </w:rPr>
        <w:t>During the first quarter of 2026, we recorded non-cash impairment charges totaling $31.3 million related to the goodwill and intangible assets associated with the Fabric Genomics acquisition. This consists of a $11.9 million goodwill impairment charge, a $10.2 million impairment of developed technology, a $5.0 million impairment of customer relationships, and a $4.2 million impairment of tradenames and trademarks. See Note 6, “</w:t>
      </w:r>
      <w:r>
        <w:rPr>
          <w:rFonts w:ascii="Times New Roman;serif" w:hAnsi="Times New Roman;serif"/>
          <w:b w:val="false"/>
          <w:i/>
          <w:color w:val="000000"/>
          <w:sz w:val="20"/>
        </w:rPr>
        <w:t>Goodwill and Intangible assets</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Non-Operating Expense,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Non-operating expense, net of $5.8 million for the six months ended June 30, 2026 primarily reflected a $6.6 million loss on extinguishment of the Perceptive long-term debt and increased interest expense of $0.4 million as a result of the Blackstone loan agreement. This was offset by a gain in the change in the fair value of warrants of $1.1 million and a gain of $1.6 million in the change in fair value of contingent consideration associated with the Fabric Genomics acquisition.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Non-operating expense, net of $0.1 million for the six months ended June 30, 2025 primarily reflected a gain in the change in fair value of warrants of $2.0 million and a realized gain on marketable securities of $0.5 million. This was offset by a loss of $0.9 million for the change in fair value of the contingent consideration and interest expense, net of $1.5 million. </w:t>
      </w:r>
    </w:p>
    <w:p>
      <w:pPr>
        <w:pStyle w:val="TextBody"/>
        <w:bidi w:val="0"/>
        <w:spacing w:lineRule="auto" w:line="288" w:before="0" w:after="180"/>
        <w:jc w:val="both"/>
        <w:rPr/>
      </w:pPr>
      <w:r>
        <w:rPr>
          <w:rFonts w:ascii="Times New Roman;serif" w:hAnsi="Times New Roman;serif"/>
          <w:b w:val="false"/>
          <w:color w:val="000000"/>
          <w:sz w:val="20"/>
        </w:rPr>
        <w:t>See Note 8,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Note 4,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accounting principles generally accepted in the United States of America (“U.S. GAAP”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all expenditures or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our working capital needs;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of replacing the assets being depreciated, which will often have to be replaced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non-cash component of employee compensation expense;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earnings or charges resulting from matters we consider not to be reflective, on a recurring basis, of our ongoing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Adjusted Gross Profit and Adjusted Gross Margin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gross profit to our adjusted gross profit and of our gross margin to adjusted gross margin for the three and six months ended June 30, 2026 and 2025:</w:t>
      </w:r>
    </w:p>
    <w:tbl>
      <w:tblPr>
        <w:tblW w:w="9558" w:type="dxa"/>
        <w:jc w:val="left"/>
        <w:tblInd w:w="0" w:type="dxa"/>
        <w:tblLayout w:type="fixed"/>
        <w:tblCellMar>
          <w:top w:w="28" w:type="dxa"/>
          <w:left w:w="28" w:type="dxa"/>
          <w:bottom w:w="28" w:type="dxa"/>
          <w:right w:w="28" w:type="dxa"/>
        </w:tblCellMar>
      </w:tblPr>
      <w:tblGrid>
        <w:gridCol w:w="1193"/>
        <w:gridCol w:w="1051"/>
        <w:gridCol w:w="1056"/>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189,807 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68.2 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Adjusted gross profit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Adjusted Net Income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Adjusted net income (loss) is a non-GAAP financial measure that we define as net (loss) income adjusted for depreciation and amortization, stock-based compensation expenses, restructuring costs, change in fair value of financial liabilities, non-core lease costs, loss on extinguishment of debt, interest expense (net), income tax expense (benefit), transaction costs and costs related to a legal reserve. We believe adjusted net income (loss)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our net (loss) income to adjusted net income (loss) for the three and six months ended June 30, 2026 and 2025:</w:t>
      </w:r>
    </w:p>
    <w:tbl>
      <w:tblPr>
        <w:tblW w:w="8985" w:type="dxa"/>
        <w:jc w:val="left"/>
        <w:tblInd w:w="0" w:type="dxa"/>
        <w:tblLayout w:type="fixed"/>
        <w:tblCellMar>
          <w:top w:w="28" w:type="dxa"/>
          <w:left w:w="28" w:type="dxa"/>
          <w:bottom w:w="28" w:type="dxa"/>
          <w:right w:w="28" w:type="dxa"/>
        </w:tblCellMar>
      </w:tblPr>
      <w:tblGrid>
        <w:gridCol w:w="1290"/>
        <w:gridCol w:w="1136"/>
        <w:gridCol w:w="1143"/>
        <w:gridCol w:w="217"/>
        <w:gridCol w:w="822"/>
        <w:gridCol w:w="112"/>
        <w:gridCol w:w="112"/>
        <w:gridCol w:w="112"/>
        <w:gridCol w:w="112"/>
        <w:gridCol w:w="217"/>
        <w:gridCol w:w="744"/>
        <w:gridCol w:w="112"/>
        <w:gridCol w:w="109"/>
        <w:gridCol w:w="109"/>
        <w:gridCol w:w="109"/>
        <w:gridCol w:w="211"/>
        <w:gridCol w:w="796"/>
        <w:gridCol w:w="109"/>
        <w:gridCol w:w="109"/>
        <w:gridCol w:w="109"/>
        <w:gridCol w:w="109"/>
        <w:gridCol w:w="211"/>
        <w:gridCol w:w="721"/>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financial liabilities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Non-core lease costs</w:t>
            </w:r>
            <w:r>
              <w:rPr>
                <w:rFonts w:ascii="Times New Roman;serif" w:hAnsi="Times New Roman;serif"/>
                <w:b w:val="false"/>
                <w:color w:val="000000"/>
                <w:sz w:val="13"/>
              </w:rPr>
              <w:t>(1)</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(loss)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(1)Non-core lease costs represent occupancy and related expenses associated with vacant laboratory facilities and office space that are no longer utilized as part of the Company’s operations.</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(2)For the three and six months ended June 30, 2026, represents income tax expense, net, and costs related to certain litigation matters. For the three and six months ended June 30, 2025, represents income tax expense, net, transaction costs associated with the Merger Agreement, and a sales-and-use tax refund.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our existing cash and cash equivalents and available-for-sale marketable securities were $132.5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and available-for-sale marketable securities provide us with sufficient liquidity for at least twelve months from the filing date of this Quarterly Report. Accordingly, our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by entering into other credit facilities or other forms of third-party funding, or other debt financing or by disposing of assets or businesses.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October 2025, we filed an automatic universal shelf registration statement that provides for the sale of our Class A common stock and other securities, and up to an aggregate of $100.0 million of our Class A common stock that may be issued from time to time under a Sales Agreement (the “Sales Agreement”) with TD Securities (USA) LLC (“TD Cowen”). As of June 30, 2026, approximately $78.2 million of capacity remained available under this Sales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27, 2026, we entered into a Loan Agreement (the “Loan Agreement”), among Blackstone Alternative Credit Advisors LP and Blackstone Life Sciences Advisors L.L.C. (collectively referred to herein as “Blackstone”), certain of our subsidiaries party thereto as guarantors (collectively, the “Guarantors”), Wilmington Trust, National Association, as Agent and the lenders from time to time party thereto (collectively, the “Lenders”).</w:t>
      </w:r>
    </w:p>
    <w:p>
      <w:pPr>
        <w:pStyle w:val="TextBody"/>
        <w:bidi w:val="0"/>
        <w:spacing w:lineRule="auto" w:line="288" w:before="0" w:after="180"/>
        <w:jc w:val="both"/>
        <w:rPr/>
      </w:pPr>
      <w:r>
        <w:rPr>
          <w:rFonts w:ascii="Times New Roman;serif" w:hAnsi="Times New Roman;serif"/>
          <w:b w:val="false"/>
          <w:color w:val="000000"/>
          <w:sz w:val="20"/>
        </w:rPr>
        <w:t>The Loan Agreement provides for a term loan in an aggregate principal amount of $100.0 million (the “Term Loan”), which was funded on February 27, 2026 (the “Closing Date”). See Note 8,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3, 2026, we entered into an Amended and Restated Loan Agreement (the “Amended Loan Agreement”) with Blackstone, which amends and restates our existing Loan Agreement, and provides for an additional $50.0 million term loan facility, increasing the aggregate principal amount available under the facility to $150.0 million.</w:t>
      </w:r>
    </w:p>
    <w:p>
      <w:pPr>
        <w:pStyle w:val="TextBody"/>
        <w:bidi w:val="0"/>
        <w:spacing w:lineRule="auto" w:line="288" w:before="0" w:after="180"/>
        <w:jc w:val="both"/>
        <w:rPr/>
      </w:pPr>
      <w:r>
        <w:rPr>
          <w:rFonts w:ascii="Times New Roman;serif" w:hAnsi="Times New Roman;serif"/>
          <w:b w:val="false"/>
          <w:color w:val="000000"/>
          <w:sz w:val="20"/>
        </w:rPr>
        <w:t>Concurrently with the Amended Loan Agreement, we entered into a Securities Purchase Agreement with certain affiliates of Blackstone (collectively, the “Investors”), pursuant to which the Investors agreed to purchase approximately 81,967 shares of our Class A common stock at $61.00 per share in a private placement, for aggregate gross proceeds of approximately $5.0 million. The closing of the private placement is expected to occur substantially concurrently with the funding of the incremental term loan facility. See Note 8,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Material Cash Requirements for Known Contractual Obligations and Commitments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anticipate fulfilling our contractual obligations and commitments with existing cash and cash equivalents and available-for-sale marketable securities or through additional capital raised to finance our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material cash requirements consist primarily of principal and interest payments under our debt arrangements, operating lease obligations, capital expenditures, and obligations under purchase and service agreements entered into in the ordinary course of business.</w:t>
      </w:r>
    </w:p>
    <w:p>
      <w:pPr>
        <w:pStyle w:val="TextBody"/>
        <w:bidi w:val="0"/>
        <w:spacing w:lineRule="auto" w:line="288" w:before="0" w:after="180"/>
        <w:jc w:val="both"/>
        <w:rPr/>
      </w:pPr>
      <w:r>
        <w:rPr>
          <w:rFonts w:ascii="Times New Roman;serif" w:hAnsi="Times New Roman;serif"/>
          <w:b w:val="false"/>
          <w:color w:val="000000"/>
          <w:sz w:val="20"/>
        </w:rPr>
        <w:t>There have been no material changes to our material cash requirements from those disclosed in our Annual Report on Form 10-K for the year ended December 31, 2025, except for a sublease agreement for a laboratory space with future minimum lease payments of approximately $16.3 million which was entered into in the first quarter of 2026. For more information, see Note 9, “</w:t>
      </w:r>
      <w:r>
        <w:rPr>
          <w:rFonts w:ascii="Times New Roman;serif" w:hAnsi="Times New Roman;serif"/>
          <w:b w:val="false"/>
          <w:i/>
          <w:color w:val="000000"/>
          <w:sz w:val="20"/>
        </w:rPr>
        <w:t>Purchase Commitments and Contingencies</w:t>
      </w:r>
      <w:r>
        <w:rPr>
          <w:color w:val="000000"/>
        </w:rPr>
        <w:t xml:space="preserve">” </w:t>
      </w:r>
      <w:r>
        <w:rPr>
          <w:rFonts w:ascii="Times New Roman;serif" w:hAnsi="Times New Roman;serif"/>
          <w:b w:val="false"/>
          <w:color w:val="000000"/>
          <w:sz w:val="20"/>
        </w:rPr>
        <w:t xml:space="preserve">included within this Quarterly Report. In addition, in the first quarter of 2026, we </w:t>
      </w:r>
      <w:r>
        <w:rPr>
          <w:rFonts w:ascii="Times New Roman;serif" w:hAnsi="Times New Roman;serif"/>
          <w:b w:val="false"/>
          <w:color w:val="000000"/>
          <w:sz w:val="20"/>
          <w:shd w:fill="FFFFFF" w:val="clear"/>
        </w:rPr>
        <w:t xml:space="preserve">repaid in full all outstanding obligations under the Perceptive Term Loan Facility and subsequently </w:t>
      </w:r>
      <w:r>
        <w:rPr>
          <w:rFonts w:ascii="Times New Roman;serif" w:hAnsi="Times New Roman;serif"/>
          <w:b w:val="false"/>
          <w:color w:val="000000"/>
          <w:sz w:val="20"/>
        </w:rPr>
        <w:t>entered into the Blackstone Loan Agreement for an aggregate principal amount of $100.0 million. For more information, see Note 8,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included within this Quarterly Report.</w:t>
      </w:r>
    </w:p>
    <w:p>
      <w:pPr>
        <w:pStyle w:val="TextBody"/>
        <w:bidi w:val="0"/>
        <w:spacing w:lineRule="auto" w:line="288" w:before="0" w:after="180"/>
        <w:jc w:val="both"/>
        <w:rPr/>
      </w:pPr>
      <w:r>
        <w:rPr>
          <w:rFonts w:ascii="Times New Roman;serif" w:hAnsi="Times New Roman;serif"/>
          <w:b w:val="false"/>
          <w:color w:val="000000"/>
          <w:sz w:val="20"/>
        </w:rPr>
        <w:t>As discussed in the notes to our condensed consolidated financial statements, in 2022, we entered into an agreement with one of our third-party payors to settle claims related to coverage and billing matters allegedly resulting in overpayments by the payor to Legacy Sema4. As of June 30, 2026, remaining payments had been settled. For more information regarding this matter, see Note 4, “</w:t>
      </w: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to our consolidated financial statements included in our 2025 Form 10-K and Note 3, “</w:t>
      </w: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to our condensed consolidated financial statements included within this Quarterly Report,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judgments,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bidi w:val="0"/>
        <w:spacing w:lineRule="auto" w:line="288" w:before="0" w:after="180"/>
        <w:jc w:val="both"/>
        <w:rPr/>
      </w:pPr>
      <w:r>
        <w:rPr>
          <w:rFonts w:ascii="Times New Roman;serif" w:hAnsi="Times New Roman;serif"/>
          <w:b w:val="false"/>
          <w:color w:val="000000"/>
          <w:sz w:val="20"/>
        </w:rPr>
        <w:t>Our critical accounting policies and estimates are described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to our condensed consolidated financial statements, and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to the consolidated financial statements included in the 2025 Form 10-K. Other than disclosed in Note 2, there have been no material changes to our critical accounting policies and estimates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Flows</w:t>
      </w:r>
    </w:p>
    <w:tbl>
      <w:tblPr>
        <w:tblW w:w="6743" w:type="dxa"/>
        <w:jc w:val="left"/>
        <w:tblInd w:w="0" w:type="dxa"/>
        <w:tblLayout w:type="fixed"/>
        <w:tblCellMar>
          <w:top w:w="28" w:type="dxa"/>
          <w:left w:w="28" w:type="dxa"/>
          <w:bottom w:w="28" w:type="dxa"/>
          <w:right w:w="28" w:type="dxa"/>
        </w:tblCellMar>
      </w:tblPr>
      <w:tblGrid>
        <w:gridCol w:w="1525"/>
        <w:gridCol w:w="1342"/>
        <w:gridCol w:w="1347"/>
        <w:gridCol w:w="211"/>
        <w:gridCol w:w="796"/>
        <w:gridCol w:w="109"/>
        <w:gridCol w:w="109"/>
        <w:gridCol w:w="109"/>
        <w:gridCol w:w="109"/>
        <w:gridCol w:w="211"/>
        <w:gridCol w:w="72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during the six months ended June 30, 2026 was $61.4 million, driven by a net loss of $81.1 million, net adjustments of $65.5 million and a change in operating assets and liabilities of $45.8 million. The impact of the change in operating assets and liabilities was primarily driven by decreased accounts payables and accrued expenses due to the timing of vendor payments and a decrease in other assets and liabilities due to the timing of associated payments.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during the six months ended June 30, 2025 was $20.6 million, driven by a net income of $4.3 million, net adjustments of $29.3 million driven by depreciation and amortization expense and stock-based compensation expense. The impact of the changes in operating assets and liabilities was primarily attributable to increased accounts receivables driven by the growth of the whole exome and genome testing volumes and partially offset by increased accounts payables and accruals due to the timing of vendor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six months ended June 30, 2026 was $22.9 million, which included purchases of marketable securities of $29.1 million and purchases of property and equipment and development of internal-use software of $16.6 million. This was partially offset by proceeds from maturities and sales of marketable securities of $22.7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six months ended June 30, 2025 was $45.8 million, which included $33.2 million for the acquisition of Fabric Genomics, purchases of marketable securities of $30.8 million and property and equipment of $8.5 million, partially offset by $26.7 million in proceeds from the maturities of marketable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80"/>
        <w:jc w:val="both"/>
        <w:rPr/>
      </w:pPr>
      <w:r>
        <w:rPr>
          <w:rFonts w:ascii="Times New Roman;serif" w:hAnsi="Times New Roman;serif"/>
          <w:b w:val="false"/>
          <w:color w:val="000000"/>
          <w:sz w:val="20"/>
        </w:rPr>
        <w:t>Net cash provided by financing activities during the six months ended June 30, 2026 was $39.6 million, which primarily reflected proceeds from long term debt, net of issuance costs, of $96.7 million and partially offset by the repayment of existing long-term debts in the amounts of $54.0 million and $4.4 million. For more information regarding our long-term debt, see Note 8, “</w:t>
      </w:r>
      <w:r>
        <w:rPr>
          <w:rFonts w:ascii="Times New Roman;serif" w:hAnsi="Times New Roman;serif"/>
          <w:b w:val="false"/>
          <w:i/>
          <w:color w:val="000000"/>
          <w:sz w:val="20"/>
        </w:rPr>
        <w:t>Long-term Debt</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six months ended June 30, 2025 was $14.1 million, which primarily reflected proceeds from the ATM offering of $13.8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relate to interest rates. Our cash, cash equivalents, available-for-sale marketable securities and restricted cash consists of bank deposits and money market funds, which totaled $133.5 million and $172.3 million as of June 30, 2026 and December 31, 2025,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100-basis point change in interest rates would not have a material effect on the fair market value of our cash, cash equivalents and restricted cash.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also exposed to interest rate risk on our variable rate debt associated with the Blackstone term loan facility. Changes in interest rates can impact future interest payments we are obligated to pay. A 100-basis point change in interest rates would not have a material effect on the total future interest payments.</w:t>
      </w:r>
    </w:p>
    <w:p>
      <w:pPr>
        <w:pStyle w:val="TextBody"/>
        <w:bidi w:val="0"/>
        <w:spacing w:lineRule="auto" w:line="288" w:before="0" w:after="180"/>
        <w:jc w:val="both"/>
        <w:rPr/>
      </w:pPr>
      <w:r>
        <w:rPr>
          <w:rFonts w:ascii="Times New Roman;serif" w:hAnsi="Times New Roman;serif"/>
          <w:b w:val="false"/>
          <w:color w:val="000000"/>
          <w:sz w:val="20"/>
        </w:rPr>
        <w:t>See Note 8,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designed to ensure that information required to be disclosed in our reports filed or submitted under the Exchange Act is recorded, processed, summarized and reported within the time periods specified in the SEC’s rules and forms.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required by Rules 13a-15 and 15d-15 under the Exchange Act, our Chief Executive Officer and Chief Financial Officer carried out an evaluation of the effectiveness of the design and operation of our disclosure controls and procedures as of June 30, 2026. Based on that evaluation, our Chief Executive Officer and Chief Financial Officer concluded that our disclosure controls and procedures were not effective as of June 30, 2026, because of the material weakness in internal control over information technology general controls, or ITGCs previously identified for the year ended December 31, 2025, as described below, has not been fully remediated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Previously Reported Material Weakness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lineRule="auto" w:line="288" w:before="0" w:after="180"/>
        <w:jc w:val="both"/>
        <w:rPr/>
      </w:pPr>
      <w:r>
        <w:rPr>
          <w:rFonts w:ascii="Times New Roman;serif" w:hAnsi="Times New Roman;serif"/>
          <w:b w:val="false"/>
          <w:color w:val="000000"/>
          <w:sz w:val="20"/>
        </w:rPr>
        <w:t>As described in more detail in Item 9A. “</w:t>
      </w:r>
      <w:r>
        <w:rPr>
          <w:rFonts w:ascii="Times New Roman;serif" w:hAnsi="Times New Roman;serif"/>
          <w:b w:val="false"/>
          <w:i/>
          <w:color w:val="000000"/>
          <w:sz w:val="20"/>
        </w:rPr>
        <w:t>Controls and Procedures</w:t>
      </w:r>
      <w:r>
        <w:rPr>
          <w:color w:val="000000"/>
        </w:rPr>
        <w:t xml:space="preserve">” </w:t>
      </w:r>
      <w:r>
        <w:rPr>
          <w:rFonts w:ascii="Times New Roman;serif" w:hAnsi="Times New Roman;serif"/>
          <w:b w:val="false"/>
          <w:color w:val="000000"/>
          <w:sz w:val="20"/>
        </w:rPr>
        <w:t>of our 2025 Form 10-K, we identified a material weakness in internal control related to deficiencies in the design and operating effectiveness of IT general controls related to segregation of duties in the program change management process for a single IT system that supports certain aspects of our revenue processes. As a result, certain automated controls and business process controls related to recording revenue that are dependent on the affected IT system or the information from such IT system were also deemed ineffective.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Remediation of Previously Reported Material Weakness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is actively engaged and committed to taking the steps necessary to remediate the control deficiencies that constituted the material weakness. The Company has continued to improve its organizational capabilities and continues to implement processes and controls to remediate the material weakness,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Enhancing system settings within the impacted IT application to enforce segregation of duties and align with control design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Implementing and formalized change management and monitoring controls to support improved governance over changes to the affected IT application.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have performed the remediation activities to strengthen our controls to address the identified material weakness, we do not consider the material weakness to be remediated until new internal controls have been operational for a sufficient period of time and management has tested these controls to conclude that they are designed and operating effectively. We will continue to monitor the effectiveness of our remediation activities.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six months ended June 30, 2026 covered by this Quarterly Report on Form 10-Q that has materially affected, or is reasonably likely to materially affect, our internal control over financial reporting.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Inherent Limitation on the Effectiveness of Internal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jc w:val="both"/>
        <w:rPr/>
      </w:pPr>
      <w:r>
        <w:rPr>
          <w:rFonts w:ascii="Times New Roman;serif" w:hAnsi="Times New Roman;serif"/>
          <w:b w:val="false"/>
          <w:color w:val="000000"/>
          <w:sz w:val="20"/>
        </w:rPr>
        <w:t>Information required under this Item is contained above in Part I. Financial Information, Item 1, Note 9, “</w:t>
      </w:r>
      <w:r>
        <w:rPr>
          <w:rFonts w:ascii="Times New Roman;serif" w:hAnsi="Times New Roman;serif"/>
          <w:b w:val="false"/>
          <w:i/>
          <w:color w:val="000000"/>
          <w:sz w:val="20"/>
        </w:rPr>
        <w:t>Purchase Commitments and Contingencies</w:t>
      </w:r>
      <w:r>
        <w:rPr>
          <w:color w:val="000000"/>
        </w:rPr>
        <w:t xml:space="preserve">” </w:t>
      </w:r>
      <w:r>
        <w:rPr>
          <w:rFonts w:ascii="Times New Roman;serif" w:hAnsi="Times New Roman;serif"/>
          <w:b w:val="false"/>
          <w:color w:val="000000"/>
          <w:sz w:val="20"/>
        </w:rPr>
        <w:t>to our condensed consolidated financial statements included within this Quarterly Report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both"/>
        <w:rPr/>
      </w:pPr>
      <w:r>
        <w:rPr>
          <w:rFonts w:ascii="Times New Roman;serif" w:hAnsi="Times New Roman;serif"/>
          <w:b w:val="false"/>
          <w:color w:val="000000"/>
          <w:sz w:val="20"/>
        </w:rPr>
        <w:t>Except for as set forth below, there have been no material changes in our risk factors from those disclosed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our 2025 Form 10-K and in Part II, Item 1A “Risk Factors” of our Quarterly Report for the quarterly period ended March 31, 2026, filed with the SEC on May 4, 2026, which sections are incorporated by reference herein.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The market price of our securities may be volatile or decline due to market conditions, or failure to meet investor, stockholder or analyst expectations, which could result in a loss of your investment.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price and valuation of life sciences companies, including ours, have been and may continue to be highly volatile, which has often been unrelated or disproportionate to the operating performance of the particular companies affected. The trading prices and valuations of these stocks, and of our securities, may not be predictable.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Future volatility in the market price for our securities may occur in response to factors beyond our control, including actual or anticipated fluctuations in our quarterly financial results, changes in market expectations regarding our operating performance, public reaction to our press releases and SEC filings, competitive developments, changes in financial estimates or recommendations by securities analysts which may result in the loss of investor confidence, and general economic and political conditions such as the war in the Middle East. These risk factors, and any other risk factors described in our filings with the SEC, could materially adversely affect our business and the market price of our securities, which may trade at prices significantly below the price paid for them and may not recover. A decline in the market price of our securities also could adversely affect our ability to issue additional securities and our ability to obtain additional financing in the future. </w:t>
      </w:r>
    </w:p>
    <w:p>
      <w:pPr>
        <w:pStyle w:val="TextBody"/>
        <w:bidi w:val="0"/>
        <w:spacing w:lineRule="auto" w:line="288" w:before="0" w:after="180"/>
        <w:jc w:val="both"/>
        <w:rPr/>
      </w:pPr>
      <w:r>
        <w:rPr>
          <w:rFonts w:ascii="Times New Roman;serif" w:hAnsi="Times New Roman;serif"/>
          <w:b w:val="false"/>
          <w:color w:val="000000"/>
          <w:sz w:val="20"/>
        </w:rPr>
        <w:t xml:space="preserve">In the past, securities class action litigation has often been initiated against companies following periods of volatility in their stock price. This type of litigation could result in substantial costs and divert management’s attention and resources, and could also require us to make substantial payments to satisfy judgments or settle litigation. In particular, on June 4, 2026 and July 28, 2026, putative securities class action lawsuits were filed in the United States District Court for the District of Connecticut, styled </w:t>
      </w:r>
      <w:r>
        <w:rPr>
          <w:rFonts w:ascii="Times New Roman;serif" w:hAnsi="Times New Roman;serif"/>
          <w:b w:val="false"/>
          <w:i/>
          <w:color w:val="000000"/>
          <w:sz w:val="20"/>
        </w:rPr>
        <w:t>Basma v. GeneDx Holdings Corp., et al.</w:t>
      </w:r>
      <w:r>
        <w:rPr>
          <w:rFonts w:ascii="Times New Roman;serif" w:hAnsi="Times New Roman;serif"/>
          <w:b w:val="false"/>
          <w:color w:val="000000"/>
          <w:sz w:val="20"/>
        </w:rPr>
        <w:t xml:space="preserve">, 3:26-cv-00880 (D. Conn.) and </w:t>
      </w:r>
      <w:r>
        <w:rPr>
          <w:rFonts w:ascii="Times New Roman;serif" w:hAnsi="Times New Roman;serif"/>
          <w:b w:val="false"/>
          <w:i/>
          <w:color w:val="000000"/>
          <w:sz w:val="20"/>
        </w:rPr>
        <w:t>Kanungo v. GeneDx Holdings Corp., et al.</w:t>
      </w:r>
      <w:r>
        <w:rPr>
          <w:rFonts w:ascii="Times New Roman;serif" w:hAnsi="Times New Roman;serif"/>
          <w:b w:val="false"/>
          <w:color w:val="000000"/>
          <w:sz w:val="20"/>
        </w:rPr>
        <w:t>, 3:26-cv-01203 (D. Conn.), respectively, against the Company and certain of the Company’s current officers. These complaints purport to bring suit on behalf of stockholders who purchased the Company’s publicly traded securities between April 16, 2025 and May 4, 2026. See also Note 9, “</w:t>
      </w:r>
      <w:r>
        <w:rPr>
          <w:rFonts w:ascii="Times New Roman;serif" w:hAnsi="Times New Roman;serif"/>
          <w:b w:val="false"/>
          <w:i/>
          <w:color w:val="000000"/>
          <w:sz w:val="20"/>
        </w:rPr>
        <w:t>Purchase Commitments and Contingencies</w:t>
      </w:r>
      <w:r>
        <w:rPr>
          <w:color w:val="000000"/>
        </w:rPr>
        <w:t xml:space="preserve">” </w:t>
      </w:r>
      <w:r>
        <w:rPr>
          <w:rFonts w:ascii="Times New Roman;serif" w:hAnsi="Times New Roman;serif"/>
          <w:b w:val="false"/>
          <w:color w:val="000000"/>
          <w:sz w:val="20"/>
        </w:rPr>
        <w:t>to our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left"/>
        <w:rPr/>
      </w:pPr>
      <w:r>
        <w:rPr>
          <w:rFonts w:ascii="Times New Roman;serif" w:hAnsi="Times New Roman;serif"/>
          <w:b/>
          <w:color w:val="000000"/>
          <w:sz w:val="20"/>
        </w:rPr>
        <w:t>Issuer Purchases of Equity Securitie</w:t>
      </w:r>
      <w:r>
        <w:rPr>
          <w:rFonts w:ascii="Times New Roman;serif" w:hAnsi="Times New Roman;serif"/>
          <w:b w:val="false"/>
          <w:color w:val="000000"/>
          <w:sz w:val="20"/>
        </w:rPr>
        <w: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Rule 10b5-1 Plan Adoptions and Modifications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Supplemental Disclosure to our Annual Report on Form 10-K for the year ended December 31, 2025</w:t>
      </w:r>
    </w:p>
    <w:p>
      <w:pPr>
        <w:pStyle w:val="TextBody"/>
        <w:bidi w:val="0"/>
        <w:spacing w:lineRule="auto" w:line="288" w:before="0" w:after="180"/>
        <w:jc w:val="both"/>
        <w:rPr/>
      </w:pPr>
      <w:r>
        <w:rPr>
          <w:rFonts w:ascii="Times New Roman;serif" w:hAnsi="Times New Roman;serif"/>
          <w:b w:val="false"/>
          <w:color w:val="000000"/>
          <w:sz w:val="20"/>
        </w:rPr>
        <w:t>The following updates Part I, Item 1</w:t>
      </w:r>
      <w:r>
        <w:rPr>
          <w:rFonts w:ascii="Times New Roman;serif" w:hAnsi="Times New Roman;serif"/>
          <w:b w:val="false"/>
          <w:i/>
          <w:color w:val="000000"/>
          <w:sz w:val="20"/>
        </w:rPr>
        <w:t xml:space="preserve">. </w:t>
      </w:r>
      <w:r>
        <w:rPr>
          <w:color w:val="000000"/>
        </w:rPr>
        <w:t>“</w:t>
      </w:r>
      <w:r>
        <w:rPr>
          <w:rFonts w:ascii="Times New Roman;serif" w:hAnsi="Times New Roman;serif"/>
          <w:b w:val="false"/>
          <w:i/>
          <w:color w:val="000000"/>
          <w:sz w:val="20"/>
        </w:rPr>
        <w:t>Business—Intellectual Property—Patents</w:t>
      </w:r>
      <w:r>
        <w:rPr>
          <w:color w:val="000000"/>
        </w:rPr>
        <w:t xml:space="preserve">” </w:t>
      </w:r>
      <w:r>
        <w:rPr>
          <w:rFonts w:ascii="Times New Roman;serif" w:hAnsi="Times New Roman;serif"/>
          <w:b w:val="false"/>
          <w:color w:val="000000"/>
          <w:sz w:val="20"/>
        </w:rPr>
        <w:t>in our 2025 Form 10-K: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Patents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we have one issued U.S. utility patent, one issued U.S. design patent, fifteen pending U.S. non-provisional utility patent applications, three pending U.S. provisional patent applications, and four pending international PCT patent applications. The issued U.S. utility patent relates to therapeutic treatment for subjects having certain polymorphic markers associated with specific human leukocyte antigen alleles. The issued U.S. design patent relates to a display screen with a graphical user interface. The utility patent applications include an international PCT patent application and a U.S. patent application related to performing phenotypic fit analysis, an international PCT patent application and two U.S. patent applications related to analyzing genetic variations and phenotypes, an international PCT patent application and a U.S. patent application related to modeling inference of mutation impact, a U.S. patent application related to generating a cancer determination from electronic health records using a cancer determination analysis system, a U.S. patent application related to providing a homologous recombination DNA repair deficiency score for a cancer patient, three U.S. patent applications related to therapeutic treatment for subjects having certain polymorphic markers associated with specific human leukocyte antigen alleles, two U.S. patent applications relating to analyzing phenotype-causing genomic variants, two U.S. patent applications relating to prioritizing phenotype-causing genomic variants in combination with biomedical ontologies, two U.S. patent applications relating to prioritizing phenotype-causing genomic variants in combination with clinical information, and an international PCT patent application relating to analyzing long biological sequence data. If patents are issued from the currently pending applications, the earliest patents will begin expiring in the early 2030s, subject to potential extensions of the patent term that will be calculated based on the length of the patent examination process. The claim scope of any potentially issued patents stemming from the present applications may be narrower than included in the initial filings due to any amendments that may arise throughout their prosecution.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do not presently have any patents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information is provided in lieu of filing a Current Report on Form 8-K under Items 1.01, 2.03 and 3.02:</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Amended and Restated Loan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we entered into an Amended and Restated Loan Agreement (the “Amended Loan Agreement”) with Blackstone Alternative Credit Advisors LP and Blackstone Life Sciences Advisors L.L.C. (collectively, “Blackstone”), Wilmington Trust, National Association, as administrative agent, certain subsidiaries of the Company as guarantors, and the lenders party thereto. The Amended Loan Agreement amends and restates our existing Loan Agreement, dated February 27, 2026, that provided a term loan in an aggregate principal amount of $100.0 million (the “Original Term Loan Facility”) and provides for an additional $50.0 million term loan facility (the “Incremental Term Loan Facility” and with the Original Term Loan Facility, the “Term Loan Facility”), bringing the total aggregate principal amount available under the Term Loan Facility to $150.0 million. The proceeds of the Incremental Term Loan Facility are expected to be used for general corporate purposes and to pay fees and expenses associated with the financing.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Amounts outstanding under the Incremental Term Loan Facility of $50.0 million bear interest at a rate equal to Term SOFR (as defined in the Amended Loan Agreement) plus 5.50%, subject to a 1.50% SOFR floor. Interest under the Original Term Loan Facility of $100.0 million remain unchanged at a rate equal to Term SOFR plus 4.50%, subject to a 1.50% SOFR floor. The Term Loan Facility matures five years following the Original Term Loan Facility’s February 2026 closing date and is subject to customary mandatory and voluntary prepayment provisions, including applicable prepayment premiums. Our obligations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Amended Loan Agreement are guaranteed by certain of its subsidiaries and secured by a first-priority lien on substantially all of ours and the guarantors’ assets.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Amended Loan Agreement contains customary affirmative and negative covenants, events of default and a financial covenant, which requires that the Company maintain minimum liquidity of $75.0 million.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Loan Agreement is not complete and is qualified in its entirety by reference to the full text of the Loan Agreement, to be filed as an exhibit to our Quarterly Report on Form 10-Q for the nine months ended September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representations, warranties and covenants contained in the Amended Loan Agreement were made only for purposes of such agreements and, as of specific dates, were solely for the benefit of the parties to the Amended Loan Agreement, and may be subject to limitations agreed upon by the contracting parties. Accordingly, the Amended Loan Agreement is incorporated herein by reference only to provide investors with information regarding the terms of the Amended Loan Agreement, and not to provide investors with any other factual information regarding us or our business, and should be read in conjunction with the disclosures in our periodic reports and other filings with the SEC.</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Item 1.01 is incorporated herein by reference.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Securities Purchase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concurrently with the execution of the Amended Loan Agreement, we entered into a Securities Purchase Agreement (the “Purchase Agreement”) with certain affiliates of Blackstone (collectively, the “Investors”), pursuant to which the Investors agreed to purchase 81,967 shares of our Class A common stock at a purchase price of $61.00 per share, for aggregate gross proceeds of approximately $5.0 million, in a private placement transaction. The closing of the private placement is subject to customary closing conditions and is expected to occur substantially concurrently with the funding of the Incremental Term Loan Facility.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Purchase Agreement contains customary representations, warranties and covenants of the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securities issued pursuant to the Purchase Agreement have not been registered under the Securities Act of 1933, as amended (the “Securities Act”), and were offered and sold in reliance upon Section 4(a)(2)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jc w:val="both"/>
        <w:rPr/>
      </w:pPr>
      <w:r>
        <w:rPr>
          <w:rFonts w:ascii="Times New Roman;serif" w:hAnsi="Times New Roman;serif"/>
          <w:b w:val="false"/>
          <w:color w:val="000000"/>
          <w:sz w:val="20"/>
        </w:rPr>
        <w:t>Additional information on recent accounting pronouncements can be found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to our consolidated financial statements included within our 2025 Form 10-K, and Note 2,</w:t>
      </w:r>
      <w:r>
        <w:rPr>
          <w:color w:val="000000"/>
        </w:rPr>
        <w:t xml:space="preserve">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to our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33" w:before="0" w:after="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Quarterly Report.</w:t>
      </w:r>
    </w:p>
    <w:tbl>
      <w:tblPr>
        <w:tblW w:w="10205" w:type="dxa"/>
        <w:jc w:val="left"/>
        <w:tblInd w:w="0" w:type="dxa"/>
        <w:tblLayout w:type="fixed"/>
        <w:tblCellMar>
          <w:top w:w="28" w:type="dxa"/>
          <w:left w:w="28" w:type="dxa"/>
          <w:bottom w:w="28" w:type="dxa"/>
          <w:right w:w="28" w:type="dxa"/>
        </w:tblCellMar>
      </w:tblPr>
      <w:tblGrid>
        <w:gridCol w:w="243"/>
        <w:gridCol w:w="193"/>
        <w:gridCol w:w="198"/>
        <w:gridCol w:w="109"/>
        <w:gridCol w:w="109"/>
        <w:gridCol w:w="109"/>
        <w:gridCol w:w="2482"/>
        <w:gridCol w:w="2353"/>
        <w:gridCol w:w="2361"/>
        <w:gridCol w:w="109"/>
        <w:gridCol w:w="109"/>
        <w:gridCol w:w="109"/>
        <w:gridCol w:w="109"/>
        <w:gridCol w:w="109"/>
        <w:gridCol w:w="109"/>
        <w:gridCol w:w="109"/>
        <w:gridCol w:w="109"/>
        <w:gridCol w:w="109"/>
        <w:gridCol w:w="310"/>
        <w:gridCol w:w="310"/>
        <w:gridCol w:w="447"/>
      </w:tblGrid>
      <w:tr>
        <w:trPr/>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18"/>
              </w:rPr>
            </w:pPr>
            <w:r>
              <w:rPr>
                <w:rFonts w:ascii="Times New Roman;serif" w:hAnsi="Times New Roman;serif"/>
                <w:b/>
                <w:color w:val="000000"/>
                <w:sz w:val="18"/>
              </w:rPr>
              <w:t>Description of Exhibit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Filed Herewith</w:t>
            </w:r>
          </w:p>
        </w:tc>
      </w:tr>
      <w:tr>
        <w:trPr/>
        <w:tc>
          <w:tcPr>
            <w:tcW w:w="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hyperlink w:anchor="exhibit101-mgardneremploym.htm">
              <w:r>
                <w:rPr>
                  <w:rStyle w:val="InternetLink"/>
                  <w:color w:val="0000FF"/>
                  <w:u w:val="single"/>
                </w:rPr>
                <w:t> </w:t>
              </w:r>
            </w:hyperlink>
            <w:hyperlink w:anchor="exhibit101-mgardneremploym.htm">
              <w:r>
                <w:rPr>
                  <w:rStyle w:val="InternetLink"/>
                  <w:rFonts w:ascii="Times New Roman;serif" w:hAnsi="Times New Roman;serif"/>
                  <w:b w:val="false"/>
                  <w:color w:val="0000FF"/>
                  <w:sz w:val="18"/>
                  <w:u w:val="single"/>
                </w:rPr>
                <w:t>Employment Agreement by and between Mark Gardner and GeneDx, LLC, dated as of June 9,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1-ceocertificatio.htm">
              <w:r>
                <w:rPr>
                  <w:rStyle w:val="InternetLink"/>
                  <w:rFonts w:ascii="Times New Roman;serif" w:hAnsi="Times New Roman;serif"/>
                  <w:b w:val="false"/>
                  <w:color w:val="0000FF"/>
                  <w:sz w:val="18"/>
                  <w:u w:val="single"/>
                </w:rPr>
                <w:t>Certification of Principal Executive Officer Pursuant to Securities Exchange Act Rules 13a-14(a) and 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2-cfocertificatio.htm">
              <w:r>
                <w:rPr>
                  <w:rStyle w:val="InternetLink"/>
                  <w:rFonts w:ascii="Times New Roman;serif" w:hAnsi="Times New Roman;serif"/>
                  <w:b w:val="false"/>
                  <w:color w:val="0000FF"/>
                  <w:sz w:val="18"/>
                  <w:u w:val="single"/>
                </w:rPr>
                <w:t>Certification of Principal Financial Officer Pursuant to Securities Exchange Act Rules 13a-14(a) and 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1-ceocertificatio.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2-cfocertificatio.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Labels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with applicable taxonomy extension information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4" w:type="dxa"/>
            <w:gridSpan w:val="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Contract or Compensatory Plan</w:t>
            </w:r>
          </w:p>
        </w:tc>
        <w:tc>
          <w:tcPr>
            <w:tcW w:w="1830" w:type="dxa"/>
            <w:gridSpan w:val="10"/>
            <w:tcBorders/>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4" w:type="dxa"/>
            <w:gridSpan w:val="5"/>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Furnished</w:t>
            </w:r>
          </w:p>
        </w:tc>
        <w:tc>
          <w:tcPr>
            <w:tcW w:w="1830" w:type="dxa"/>
            <w:gridSpan w:val="10"/>
            <w:tcBorders/>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2048" w:type="dxa"/>
            <w:gridSpan w:val="1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33" w:before="0" w:after="180"/>
        <w:jc w:val="left"/>
        <w:rPr/>
      </w:pPr>
      <w:hyperlink w:anchor="i58ea7eed042c47b8b41d36794c3946fe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271"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416"/>
        <w:gridCol w:w="416"/>
        <w:gridCol w:w="416"/>
        <w:gridCol w:w="904"/>
        <w:gridCol w:w="904"/>
        <w:gridCol w:w="131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GENEDX HOLDINGS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Kevin Feeley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Kevin Feeley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64" w:after="283"/>
        <w:jc w:val="center"/>
        <w:rPr>
          <w:rFonts w:ascii="Times New Roman;serif" w:hAnsi="Times New Roman;serif"/>
          <w:b/>
          <w:color w:val="000000"/>
          <w:sz w:val="21"/>
        </w:rPr>
      </w:pPr>
      <w:r>
        <w:rPr>
          <w:rFonts w:ascii="Times New Roman;serif" w:hAnsi="Times New Roman;serif"/>
          <w:b/>
          <w:color w:val="000000"/>
          <w:sz w:val="21"/>
        </w:rPr>
        <w:t>EMPLOYMENT AGREEMENT</w:t>
      </w:r>
    </w:p>
    <w:p>
      <w:pPr>
        <w:pStyle w:val="TextBody"/>
        <w:bidi w:val="0"/>
        <w:spacing w:lineRule="auto" w:line="288" w:before="239" w:after="283"/>
        <w:ind w:left="0" w:right="0" w:firstLine="716"/>
        <w:jc w:val="both"/>
        <w:rPr/>
      </w:pPr>
      <w:r>
        <w:rPr>
          <w:rFonts w:ascii="Times New Roman;serif" w:hAnsi="Times New Roman;serif"/>
          <w:b w:val="false"/>
          <w:color w:val="000000"/>
          <w:sz w:val="21"/>
        </w:rPr>
        <w:t xml:space="preserve">THIS EMPLOYMENT AGREEMENT (the </w:t>
      </w:r>
      <w:r>
        <w:rPr>
          <w:rFonts w:ascii="Times New Roman;serif" w:hAnsi="Times New Roman;serif"/>
          <w:b w:val="false"/>
          <w:i/>
          <w:color w:val="000000"/>
          <w:sz w:val="22"/>
        </w:rPr>
        <w:t xml:space="preserve">"Agreement") </w:t>
      </w:r>
      <w:r>
        <w:rPr>
          <w:rFonts w:ascii="Times New Roman;serif" w:hAnsi="Times New Roman;serif"/>
          <w:b w:val="false"/>
          <w:color w:val="000000"/>
          <w:sz w:val="21"/>
        </w:rPr>
        <w:t xml:space="preserve">is dated as of the date this Agreement is fully executed by both parties (the </w:t>
      </w:r>
      <w:r>
        <w:rPr>
          <w:rFonts w:ascii="Times New Roman;serif" w:hAnsi="Times New Roman;serif"/>
          <w:b w:val="false"/>
          <w:i/>
          <w:color w:val="000000"/>
          <w:sz w:val="22"/>
        </w:rPr>
        <w:t xml:space="preserve">"Effective Date") </w:t>
      </w:r>
      <w:r>
        <w:rPr>
          <w:rFonts w:ascii="Times New Roman;serif" w:hAnsi="Times New Roman;serif"/>
          <w:b w:val="false"/>
          <w:color w:val="000000"/>
          <w:sz w:val="21"/>
        </w:rPr>
        <w:t xml:space="preserve">by and between GeneDx, LLC, a Delaware limited liability company (the </w:t>
      </w:r>
      <w:r>
        <w:rPr>
          <w:rFonts w:ascii="Times New Roman;serif" w:hAnsi="Times New Roman;serif"/>
          <w:b w:val="false"/>
          <w:i/>
          <w:color w:val="000000"/>
          <w:sz w:val="22"/>
        </w:rPr>
        <w:t xml:space="preserve">"Employer"), </w:t>
      </w:r>
      <w:r>
        <w:rPr>
          <w:rFonts w:ascii="Times New Roman;serif" w:hAnsi="Times New Roman;serif"/>
          <w:b w:val="false"/>
          <w:color w:val="000000"/>
          <w:sz w:val="21"/>
        </w:rPr>
        <w:t xml:space="preserve">and Mark Gardner (the </w:t>
      </w:r>
      <w:r>
        <w:rPr>
          <w:rFonts w:ascii="Times New Roman;serif" w:hAnsi="Times New Roman;serif"/>
          <w:b w:val="false"/>
          <w:i/>
          <w:color w:val="000000"/>
          <w:sz w:val="22"/>
        </w:rPr>
        <w:t>"Executive").</w:t>
      </w:r>
    </w:p>
    <w:p>
      <w:pPr>
        <w:pStyle w:val="TextBody"/>
        <w:bidi w:val="0"/>
        <w:spacing w:before="13" w:after="283"/>
        <w:jc w:val="left"/>
        <w:rPr/>
      </w:pPr>
      <w:r>
        <w:rPr/>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WITNESSETH:</w:t>
      </w:r>
    </w:p>
    <w:p>
      <w:pPr>
        <w:pStyle w:val="TextBody"/>
        <w:bidi w:val="0"/>
        <w:spacing w:before="7" w:after="283"/>
        <w:jc w:val="left"/>
        <w:rPr/>
      </w:pPr>
      <w:r>
        <w:rPr/>
      </w:r>
    </w:p>
    <w:p>
      <w:pPr>
        <w:pStyle w:val="TextBody"/>
        <w:bidi w:val="0"/>
        <w:spacing w:lineRule="auto" w:line="292" w:before="0" w:after="0"/>
        <w:ind w:left="0" w:right="0" w:firstLine="725"/>
        <w:jc w:val="both"/>
        <w:rPr/>
      </w:pPr>
      <w:r>
        <w:rPr>
          <w:rFonts w:ascii="Times New Roman;serif" w:hAnsi="Times New Roman;serif"/>
          <w:b w:val="false"/>
          <w:color w:val="000000"/>
          <w:sz w:val="21"/>
        </w:rPr>
        <w:t xml:space="preserve">WHEREAS, the Employer is a wholly-owned subsidiary of GeneDx Holdings Corp. (together with the Employer and any other direct or indirect subsidiaries of GeneDx Holdings Corp., </w:t>
      </w:r>
      <w:r>
        <w:rPr>
          <w:rFonts w:ascii="Times New Roman;serif" w:hAnsi="Times New Roman;serif"/>
          <w:b/>
          <w:i/>
          <w:color w:val="000000"/>
          <w:sz w:val="21"/>
        </w:rPr>
        <w:t>"GeneDx");</w:t>
      </w:r>
    </w:p>
    <w:p>
      <w:pPr>
        <w:pStyle w:val="TextBody"/>
        <w:bidi w:val="0"/>
        <w:spacing w:before="1" w:after="283"/>
        <w:jc w:val="left"/>
        <w:rPr/>
      </w:pPr>
      <w:r>
        <w:rPr/>
      </w:r>
    </w:p>
    <w:p>
      <w:pPr>
        <w:pStyle w:val="TextBody"/>
        <w:bidi w:val="0"/>
        <w:spacing w:lineRule="auto" w:line="288" w:before="1" w:after="283"/>
        <w:ind w:left="0" w:right="0" w:firstLine="725"/>
        <w:jc w:val="both"/>
        <w:rPr>
          <w:rFonts w:ascii="Times New Roman;serif" w:hAnsi="Times New Roman;serif"/>
          <w:b w:val="false"/>
          <w:color w:val="000000"/>
          <w:sz w:val="21"/>
        </w:rPr>
      </w:pPr>
      <w:r>
        <w:rPr>
          <w:rFonts w:ascii="Times New Roman;serif" w:hAnsi="Times New Roman;serif"/>
          <w:b w:val="false"/>
          <w:color w:val="000000"/>
          <w:sz w:val="21"/>
        </w:rPr>
        <w:t>WHEREAS, the Employer wishes to set forth the terms and conditions of the Executive's employment with the Employer, on terms and conditions mutually agreeable and beneficial to the Employer and the Executive; and</w:t>
      </w:r>
    </w:p>
    <w:p>
      <w:pPr>
        <w:pStyle w:val="TextBody"/>
        <w:bidi w:val="0"/>
        <w:spacing w:before="4" w:after="283"/>
        <w:jc w:val="left"/>
        <w:rPr/>
      </w:pPr>
      <w:r>
        <w:rPr/>
      </w:r>
    </w:p>
    <w:p>
      <w:pPr>
        <w:pStyle w:val="TextBody"/>
        <w:bidi w:val="0"/>
        <w:spacing w:lineRule="auto" w:line="292" w:before="0" w:after="0"/>
        <w:ind w:left="0" w:right="0" w:firstLine="735"/>
        <w:jc w:val="both"/>
        <w:rPr>
          <w:rFonts w:ascii="Times New Roman;serif" w:hAnsi="Times New Roman;serif"/>
          <w:b w:val="false"/>
          <w:color w:val="000000"/>
          <w:sz w:val="21"/>
        </w:rPr>
      </w:pPr>
      <w:r>
        <w:rPr>
          <w:rFonts w:ascii="Times New Roman;serif" w:hAnsi="Times New Roman;serif"/>
          <w:b w:val="false"/>
          <w:color w:val="000000"/>
          <w:sz w:val="21"/>
        </w:rPr>
        <w:t>WHEREAS, the Executive is willing to render services to GeneDx pursuant to the terms and conditions hereof.</w:t>
      </w:r>
    </w:p>
    <w:p>
      <w:pPr>
        <w:pStyle w:val="TextBody"/>
        <w:bidi w:val="0"/>
        <w:spacing w:lineRule="auto" w:line="292" w:before="238" w:after="283"/>
        <w:ind w:left="0" w:right="0" w:firstLine="721"/>
        <w:jc w:val="both"/>
        <w:rPr>
          <w:rFonts w:ascii="Times New Roman;serif" w:hAnsi="Times New Roman;serif"/>
          <w:b w:val="false"/>
          <w:color w:val="000000"/>
          <w:sz w:val="21"/>
        </w:rPr>
      </w:pPr>
      <w:r>
        <w:rPr>
          <w:rFonts w:ascii="Times New Roman;serif" w:hAnsi="Times New Roman;serif"/>
          <w:b w:val="false"/>
          <w:color w:val="000000"/>
          <w:sz w:val="21"/>
        </w:rPr>
        <w:t>NOW, THEREFORE, in consideration of the premises and the mutual covenants and agreements of the parties herein contained, the parties, intending to be legally bound, hereby agree as follows:</w:t>
      </w:r>
    </w:p>
    <w:p>
      <w:pPr>
        <w:pStyle w:val="TextBody"/>
        <w:bidi w:val="0"/>
        <w:spacing w:before="1" w:after="283"/>
        <w:jc w:val="left"/>
        <w:rPr/>
      </w:pPr>
      <w:r>
        <w:rPr/>
      </w:r>
    </w:p>
    <w:p>
      <w:pPr>
        <w:pStyle w:val="TextBody"/>
        <w:bidi w:val="0"/>
        <w:spacing w:lineRule="auto" w:line="288" w:before="0" w:after="0"/>
        <w:ind w:left="0" w:right="0" w:hanging="716"/>
        <w:jc w:val="left"/>
        <w:rPr>
          <w:rFonts w:ascii="Times New Roman;serif" w:hAnsi="Times New Roman;serif"/>
          <w:b/>
          <w:color w:val="000000"/>
          <w:sz w:val="21"/>
        </w:rPr>
      </w:pPr>
      <w:r>
        <w:rPr>
          <w:rFonts w:ascii="Times New Roman;serif" w:hAnsi="Times New Roman;serif"/>
          <w:b/>
          <w:color w:val="000000"/>
          <w:sz w:val="21"/>
        </w:rPr>
        <w:t>1.POSITION AND DUTIES.</w:t>
      </w:r>
    </w:p>
    <w:p>
      <w:pPr>
        <w:pStyle w:val="TextBody"/>
        <w:bidi w:val="0"/>
        <w:spacing w:before="7" w:after="283"/>
        <w:jc w:val="left"/>
        <w:rPr/>
      </w:pPr>
      <w:r>
        <w:rPr/>
      </w:r>
    </w:p>
    <w:p>
      <w:pPr>
        <w:pStyle w:val="TextBody"/>
        <w:bidi w:val="0"/>
        <w:spacing w:lineRule="auto" w:line="292" w:before="0" w:after="0"/>
        <w:ind w:left="0" w:right="0" w:firstLine="722"/>
        <w:jc w:val="both"/>
        <w:rPr/>
      </w:pPr>
      <w:r>
        <w:rPr>
          <w:rFonts w:ascii="Times New Roman;serif" w:hAnsi="Times New Roman;serif"/>
          <w:b w:val="false"/>
          <w:color w:val="000000"/>
          <w:sz w:val="21"/>
        </w:rPr>
        <w:t xml:space="preserve">A.The Executive shall be employed as the President of GeneDx, and the Executive hereby accepts such employment, effective as of the later of the Effective Date and the date the Executive's employment commences. It is anticipated that the Executive's employment shall commence on or before June 15, 2026, or as otherwise mutually determined by the Executive and the Employer (the </w:t>
      </w:r>
      <w:r>
        <w:rPr>
          <w:rFonts w:ascii="Times New Roman;serif" w:hAnsi="Times New Roman;serif"/>
          <w:b/>
          <w:i/>
          <w:color w:val="000000"/>
          <w:sz w:val="21"/>
        </w:rPr>
        <w:t xml:space="preserve">"Start Date"). </w:t>
      </w:r>
      <w:r>
        <w:rPr>
          <w:rFonts w:ascii="Times New Roman;serif" w:hAnsi="Times New Roman;serif"/>
          <w:b w:val="false"/>
          <w:color w:val="000000"/>
          <w:sz w:val="21"/>
        </w:rPr>
        <w:t xml:space="preserve">The Executive shall be subject to the direction of and shall report directly to the Chief Executive Officer of GeneDx (the </w:t>
      </w:r>
      <w:r>
        <w:rPr>
          <w:rFonts w:ascii="Times New Roman;serif" w:hAnsi="Times New Roman;serif"/>
          <w:b/>
          <w:i/>
          <w:color w:val="000000"/>
          <w:sz w:val="21"/>
        </w:rPr>
        <w:t xml:space="preserve">"CEO") </w:t>
      </w:r>
      <w:r>
        <w:rPr>
          <w:rFonts w:ascii="Times New Roman;serif" w:hAnsi="Times New Roman;serif"/>
          <w:b w:val="false"/>
          <w:color w:val="000000"/>
          <w:sz w:val="21"/>
        </w:rPr>
        <w:t xml:space="preserve">or another officer of GeneDx (the CEO or such other officer, the </w:t>
      </w:r>
      <w:r>
        <w:rPr>
          <w:rFonts w:ascii="Times New Roman;serif" w:hAnsi="Times New Roman;serif"/>
          <w:b/>
          <w:i/>
          <w:color w:val="000000"/>
          <w:sz w:val="21"/>
        </w:rPr>
        <w:t xml:space="preserve">"Direct Report"), </w:t>
      </w:r>
      <w:r>
        <w:rPr>
          <w:rFonts w:ascii="Times New Roman;serif" w:hAnsi="Times New Roman;serif"/>
          <w:b w:val="false"/>
          <w:color w:val="000000"/>
          <w:sz w:val="21"/>
        </w:rPr>
        <w:t xml:space="preserve">as determined by the Board of Directors of GeneDx (the </w:t>
      </w:r>
      <w:r>
        <w:rPr>
          <w:rFonts w:ascii="Arial;sans-serif" w:hAnsi="Arial;sans-serif"/>
          <w:b/>
          <w:i/>
          <w:color w:val="000000"/>
          <w:sz w:val="20"/>
        </w:rPr>
        <w:t xml:space="preserve">"Board') </w:t>
      </w:r>
      <w:r>
        <w:rPr>
          <w:rFonts w:ascii="Times New Roman;serif" w:hAnsi="Times New Roman;serif"/>
          <w:b w:val="false"/>
          <w:color w:val="000000"/>
          <w:sz w:val="21"/>
        </w:rPr>
        <w:t xml:space="preserve">or the CEO. Subject to such reporting relationship, the Executive shall perform the duties as determined from time to time by the CEO, including without limitation those listed on </w:t>
      </w:r>
      <w:r>
        <w:rPr>
          <w:rFonts w:ascii="Times New Roman;serif" w:hAnsi="Times New Roman;serif"/>
          <w:b/>
          <w:color w:val="000000"/>
          <w:sz w:val="21"/>
        </w:rPr>
        <w:t xml:space="preserve">Exhibit A </w:t>
      </w:r>
      <w:r>
        <w:rPr>
          <w:rFonts w:ascii="Times New Roman;serif" w:hAnsi="Times New Roman;serif"/>
          <w:b w:val="false"/>
          <w:color w:val="000000"/>
          <w:sz w:val="21"/>
        </w:rPr>
        <w:t xml:space="preserve">hereto (the </w:t>
      </w:r>
      <w:r>
        <w:rPr>
          <w:rFonts w:ascii="Times New Roman;serif" w:hAnsi="Times New Roman;serif"/>
          <w:b/>
          <w:i/>
          <w:color w:val="000000"/>
          <w:sz w:val="21"/>
        </w:rPr>
        <w:t xml:space="preserve">"Duties"). </w:t>
      </w:r>
      <w:r>
        <w:rPr>
          <w:rFonts w:ascii="Times New Roman;serif" w:hAnsi="Times New Roman;serif"/>
          <w:b w:val="false"/>
          <w:color w:val="000000"/>
          <w:sz w:val="21"/>
        </w:rPr>
        <w:t>The Executive shall deal at all times in good faith with GeneDx.</w:t>
      </w:r>
    </w:p>
    <w:p>
      <w:pPr>
        <w:pStyle w:val="TextBody"/>
        <w:bidi w:val="0"/>
        <w:spacing w:lineRule="auto" w:line="288" w:before="238" w:after="283"/>
        <w:ind w:left="0" w:right="0" w:firstLine="721"/>
        <w:jc w:val="both"/>
        <w:rPr/>
      </w:pPr>
      <w:r>
        <w:rPr>
          <w:rFonts w:ascii="Times New Roman;serif" w:hAnsi="Times New Roman;serif"/>
          <w:b w:val="false"/>
          <w:color w:val="000000"/>
          <w:sz w:val="21"/>
        </w:rPr>
        <w:t xml:space="preserve">B.During the Term (as defined below), the Executive shall devote one hundred percent (100%) of the Executive's business time to the performance of Executive's </w:t>
      </w:r>
      <w:r>
        <w:rPr>
          <w:rFonts w:ascii="Times New Roman;serif" w:hAnsi="Times New Roman;serif"/>
          <w:b w:val="false"/>
          <w:i/>
          <w:color w:val="000000"/>
          <w:sz w:val="22"/>
        </w:rPr>
        <w:t xml:space="preserve">Duties;providedthat </w:t>
      </w:r>
      <w:r>
        <w:rPr>
          <w:rFonts w:ascii="Times New Roman;serif" w:hAnsi="Times New Roman;serif"/>
          <w:b w:val="false"/>
          <w:color w:val="000000"/>
          <w:sz w:val="21"/>
        </w:rPr>
        <w:t>the Executive shall be permitted to (i) devote attention during non-business hours to voluntary service or as a board member or an advisor with non-competitive not-for-profit charitable organizations, and (ii) with the approval of the Board, serve as a board member or as an advisor for for-profit entities, in each case so long as such services do not create a conflict of interest with respect to Executive's obligations to GeneDx and do not materially interfere with Executive's performance of Executive's Duties. Any approval of the Board in respect of the foregoing may be modified or revoked from time to time in the Board's sole discretion.</w:t>
      </w:r>
    </w:p>
    <w:p>
      <w:pPr>
        <w:pStyle w:val="TextBody"/>
        <w:bidi w:val="0"/>
        <w:spacing w:before="5" w:after="283"/>
        <w:jc w:val="left"/>
        <w:rPr/>
      </w:pPr>
      <w:r>
        <w:rPr/>
      </w:r>
    </w:p>
    <w:p>
      <w:pPr>
        <w:pStyle w:val="TextBody"/>
        <w:bidi w:val="0"/>
        <w:spacing w:lineRule="auto" w:line="288" w:before="1" w:after="283"/>
        <w:ind w:left="0" w:right="0" w:firstLine="722"/>
        <w:jc w:val="both"/>
        <w:rPr/>
      </w:pPr>
      <w:r>
        <w:rPr>
          <w:rFonts w:ascii="Times New Roman;serif" w:hAnsi="Times New Roman;serif"/>
          <w:b w:val="false"/>
          <w:color w:val="000000"/>
          <w:sz w:val="21"/>
        </w:rPr>
        <w:t xml:space="preserve">C.The Executive's services shall be performed principally at the Employer's Gaithersburg, Maryland location, subject to travel from time to time as reasonably required in connection with the Executive's duties. The Executive shall relocate to a location that is a reasonable commuting distance to Gaithersburg within ninety (90) days of his start date. The Corporation agrees to reimburse the Executive for reasonable costs incurred in relocating his principal place of residence to location that is a reasonable commuting distance to Gaithersburg, up to an aggregate amount of reimbursement not to exceed $20,000, any such reimbursement to be made </w:t>
      </w:r>
      <w:r>
        <w:rPr>
          <w:rFonts w:ascii="Times New Roman;serif" w:hAnsi="Times New Roman;serif"/>
          <w:b w:val="false"/>
          <w:color w:val="000000"/>
          <w:sz w:val="22"/>
        </w:rPr>
        <w:t xml:space="preserve">in </w:t>
      </w:r>
      <w:r>
        <w:rPr>
          <w:rFonts w:ascii="Times New Roman;serif" w:hAnsi="Times New Roman;serif"/>
          <w:b w:val="false"/>
          <w:color w:val="000000"/>
          <w:sz w:val="21"/>
        </w:rPr>
        <w:t>accordance with the Corporation's business expense reimbursement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4" w:after="283"/>
        <w:ind w:left="0" w:right="0" w:firstLine="2"/>
        <w:jc w:val="both"/>
        <w:rPr>
          <w:rFonts w:ascii="Times New Roman;serif" w:hAnsi="Times New Roman;serif"/>
          <w:b w:val="false"/>
          <w:color w:val="000000"/>
          <w:sz w:val="22"/>
        </w:rPr>
      </w:pPr>
      <w:r>
        <w:rPr>
          <w:rFonts w:ascii="Times New Roman;serif" w:hAnsi="Times New Roman;serif"/>
          <w:b w:val="false"/>
          <w:color w:val="000000"/>
          <w:sz w:val="22"/>
        </w:rPr>
        <w:t>policy and promptly following the Executive's submission of receipts and other reasonably appropriate supporting documentation. Executive shall not be permitted to change the primary state from which they provide services to the Company without the advanced written consent of the Company.</w:t>
      </w:r>
    </w:p>
    <w:p>
      <w:pPr>
        <w:pStyle w:val="TextBody"/>
        <w:bidi w:val="0"/>
        <w:spacing w:lineRule="auto" w:line="288" w:before="241" w:after="283"/>
        <w:ind w:left="0" w:right="0" w:hanging="719"/>
        <w:jc w:val="left"/>
        <w:rPr>
          <w:rFonts w:ascii="Times New Roman;serif" w:hAnsi="Times New Roman;serif"/>
          <w:b/>
          <w:color w:val="000000"/>
          <w:sz w:val="22"/>
        </w:rPr>
      </w:pPr>
      <w:r>
        <w:rPr>
          <w:rFonts w:ascii="Times New Roman;serif" w:hAnsi="Times New Roman;serif"/>
          <w:b/>
          <w:color w:val="000000"/>
          <w:sz w:val="22"/>
        </w:rPr>
        <w:t>2.TERM.</w:t>
      </w:r>
    </w:p>
    <w:p>
      <w:pPr>
        <w:pStyle w:val="TextBody"/>
        <w:bidi w:val="0"/>
        <w:spacing w:lineRule="auto" w:line="276" w:before="244" w:after="283"/>
        <w:ind w:left="0" w:right="0" w:firstLine="718"/>
        <w:jc w:val="both"/>
        <w:rPr/>
      </w:pPr>
      <w:r>
        <w:rPr>
          <w:rFonts w:ascii="Times New Roman;serif" w:hAnsi="Times New Roman;serif"/>
          <w:b w:val="false"/>
          <w:color w:val="000000"/>
          <w:sz w:val="22"/>
        </w:rPr>
        <w:t xml:space="preserve">Executive's employment shall commence as of the Start Date and shall continue thereafter for a term of three (3) years and shall automatically renew for successive one (1) year terms unless earlier terminated in accordance with the terms hereof (such period from the date hereof until the termination date hereof, the </w:t>
      </w:r>
      <w:r>
        <w:rPr>
          <w:rFonts w:ascii="Times New Roman;serif" w:hAnsi="Times New Roman;serif"/>
          <w:b/>
          <w:i/>
          <w:color w:val="000000"/>
          <w:sz w:val="21"/>
        </w:rPr>
        <w:t>"Term").</w:t>
      </w:r>
    </w:p>
    <w:p>
      <w:pPr>
        <w:pStyle w:val="TextBody"/>
        <w:bidi w:val="0"/>
        <w:spacing w:lineRule="auto" w:line="288" w:before="250" w:after="283"/>
        <w:ind w:left="0" w:right="0" w:hanging="721"/>
        <w:jc w:val="left"/>
        <w:rPr>
          <w:rFonts w:ascii="Times New Roman;serif" w:hAnsi="Times New Roman;serif"/>
          <w:b/>
          <w:color w:val="000000"/>
          <w:sz w:val="22"/>
        </w:rPr>
      </w:pPr>
      <w:r>
        <w:rPr>
          <w:rFonts w:ascii="Times New Roman;serif" w:hAnsi="Times New Roman;serif"/>
          <w:b/>
          <w:color w:val="000000"/>
          <w:sz w:val="22"/>
        </w:rPr>
        <w:t>3.COMPENSATION.</w:t>
      </w:r>
    </w:p>
    <w:p>
      <w:pPr>
        <w:pStyle w:val="TextBody"/>
        <w:bidi w:val="0"/>
        <w:spacing w:lineRule="auto" w:line="288" w:before="237" w:after="283"/>
        <w:ind w:left="0" w:right="0" w:firstLine="718"/>
        <w:jc w:val="both"/>
        <w:rPr>
          <w:rFonts w:ascii="Times New Roman;serif" w:hAnsi="Times New Roman;serif"/>
          <w:b w:val="false"/>
          <w:color w:val="000000"/>
          <w:sz w:val="22"/>
        </w:rPr>
      </w:pPr>
      <w:r>
        <w:rPr>
          <w:rFonts w:ascii="Times New Roman;serif" w:hAnsi="Times New Roman;serif"/>
          <w:b w:val="false"/>
          <w:color w:val="000000"/>
          <w:sz w:val="22"/>
        </w:rPr>
        <w:t>In consideration for the Executive's services hereunder, the Executive shall receive the following compensation:</w:t>
      </w:r>
    </w:p>
    <w:p>
      <w:pPr>
        <w:pStyle w:val="TextBody"/>
        <w:bidi w:val="0"/>
        <w:spacing w:lineRule="auto" w:line="288" w:before="239" w:after="283"/>
        <w:ind w:left="0" w:right="0" w:firstLine="722"/>
        <w:jc w:val="both"/>
        <w:rPr/>
      </w:pPr>
      <w:r>
        <w:rPr>
          <w:rFonts w:ascii="Times New Roman;serif" w:hAnsi="Times New Roman;serif"/>
          <w:b w:val="false"/>
          <w:color w:val="000000"/>
          <w:sz w:val="22"/>
        </w:rPr>
        <w:t>A.</w:t>
      </w:r>
      <w:r>
        <w:rPr>
          <w:rFonts w:ascii="Times New Roman;serif" w:hAnsi="Times New Roman;serif"/>
          <w:b w:val="false"/>
          <w:i/>
          <w:color w:val="000000"/>
          <w:sz w:val="22"/>
        </w:rPr>
        <w:t xml:space="preserve">Base Salary. </w:t>
      </w:r>
      <w:r>
        <w:rPr>
          <w:rFonts w:ascii="Times New Roman;serif" w:hAnsi="Times New Roman;serif"/>
          <w:b w:val="false"/>
          <w:color w:val="000000"/>
          <w:sz w:val="22"/>
        </w:rPr>
        <w:t xml:space="preserve">The Employer shall pay the Executive a base salary at a rate equal to $530,000 per annum (as adjusted from time to time in accordance with this Section 3.A, the </w:t>
      </w:r>
      <w:r>
        <w:rPr>
          <w:rFonts w:ascii="Times New Roman;serif" w:hAnsi="Times New Roman;serif"/>
          <w:b/>
          <w:i/>
          <w:color w:val="000000"/>
          <w:sz w:val="21"/>
        </w:rPr>
        <w:t xml:space="preserve">"Base Salary"). </w:t>
      </w:r>
      <w:r>
        <w:rPr>
          <w:rFonts w:ascii="Times New Roman;serif" w:hAnsi="Times New Roman;serif"/>
          <w:b w:val="false"/>
          <w:color w:val="000000"/>
          <w:sz w:val="22"/>
        </w:rPr>
        <w:t>The Executive's Base Salary shall be subject to annual review and increase (but not decrease) in the discretion of the Board. The Executive's Base Salary shall be subject to customary federal, state and local withholdings for income taxes, F.I.C.A. and similar charges. Throughout the Term, the Base Salary shall be payable in bi-weekly installments in arrears or in such other manner as the Employer adopts as its payroll process generally.</w:t>
      </w:r>
    </w:p>
    <w:p>
      <w:pPr>
        <w:pStyle w:val="TextBody"/>
        <w:bidi w:val="0"/>
        <w:spacing w:lineRule="auto" w:line="288" w:before="243" w:after="283"/>
        <w:ind w:left="0" w:right="0" w:firstLine="720"/>
        <w:jc w:val="both"/>
        <w:rPr/>
      </w:pPr>
      <w:r>
        <w:rPr>
          <w:rFonts w:ascii="Times New Roman;serif" w:hAnsi="Times New Roman;serif"/>
          <w:b w:val="false"/>
          <w:color w:val="000000"/>
          <w:sz w:val="22"/>
        </w:rPr>
        <w:t>B.</w:t>
      </w:r>
      <w:r>
        <w:rPr>
          <w:rFonts w:ascii="Times New Roman;serif" w:hAnsi="Times New Roman;serif"/>
          <w:b w:val="false"/>
          <w:i/>
          <w:color w:val="000000"/>
          <w:sz w:val="22"/>
        </w:rPr>
        <w:t xml:space="preserve">Performance Bonus. </w:t>
      </w:r>
      <w:r>
        <w:rPr>
          <w:rFonts w:ascii="Times New Roman;serif" w:hAnsi="Times New Roman;serif"/>
          <w:b w:val="false"/>
          <w:color w:val="000000"/>
          <w:sz w:val="22"/>
        </w:rPr>
        <w:t xml:space="preserve">In addition to the Base Salary, the Executive shall be eligible to receive an annual performance bonus for each calendar year during the Term (the </w:t>
      </w:r>
      <w:r>
        <w:rPr>
          <w:rFonts w:ascii="Times New Roman;serif" w:hAnsi="Times New Roman;serif"/>
          <w:b/>
          <w:i/>
          <w:color w:val="000000"/>
          <w:sz w:val="21"/>
        </w:rPr>
        <w:t xml:space="preserve">"Performance Bonus") </w:t>
      </w:r>
      <w:r>
        <w:rPr>
          <w:rFonts w:ascii="Times New Roman;serif" w:hAnsi="Times New Roman;serif"/>
          <w:b w:val="false"/>
          <w:color w:val="000000"/>
          <w:sz w:val="22"/>
        </w:rPr>
        <w:t>commencing in calendar year 2026, with a target amount equal to 65% of the Base Salary. For calendar year 2026, the Performance Bonus shall be prorated based on the number of days the Executive is employed during such calendar year relative to the total number of days in calendar year 2026. The Performance Bonus for a calendar year shall be paid within the first one hundred and twenty (120) days of the immediately following calendar year (subject to applicable federal, state and local tax withholdings). The amount of the Performance Bonus for any given calendar year (which may be greater than or less than the target amount, if actual performance is greater than or less than the performance goals) shall be determined by the Board based on the Board's determination of the extent of the achievement of performance goals for GeneDx and/or the Executive for such calendar year. In the case of any such performance metric and other criteria that is subjective, the determination of whether such performance metric or other criteria has been met shall lie in the reasonable discretion of the Board.</w:t>
      </w:r>
    </w:p>
    <w:p>
      <w:pPr>
        <w:pStyle w:val="TextBody"/>
        <w:bidi w:val="0"/>
        <w:spacing w:lineRule="auto" w:line="288" w:before="248" w:after="283"/>
        <w:ind w:left="0" w:right="0" w:firstLine="719"/>
        <w:jc w:val="both"/>
        <w:rPr/>
      </w:pPr>
      <w:r>
        <w:rPr>
          <w:rFonts w:ascii="Times New Roman;serif" w:hAnsi="Times New Roman;serif"/>
          <w:b w:val="false"/>
          <w:color w:val="000000"/>
          <w:sz w:val="22"/>
        </w:rPr>
        <w:t>C.</w:t>
      </w:r>
      <w:r>
        <w:rPr>
          <w:rFonts w:ascii="Times New Roman;serif" w:hAnsi="Times New Roman;serif"/>
          <w:b w:val="false"/>
          <w:i/>
          <w:color w:val="000000"/>
          <w:sz w:val="22"/>
        </w:rPr>
        <w:t xml:space="preserve">Benefits. </w:t>
      </w:r>
      <w:r>
        <w:rPr>
          <w:rFonts w:ascii="Times New Roman;serif" w:hAnsi="Times New Roman;serif"/>
          <w:b w:val="false"/>
          <w:color w:val="000000"/>
          <w:sz w:val="22"/>
        </w:rPr>
        <w:t xml:space="preserve">During the Term, the Executive shall receive the package of employee benefits that GeneDx elects to make available to its officers. In addition, the Executive shall be entitled to no less than four (4) weeks of vacation annually (prorated for periods less than a full calendar year) in accordance with GeneDx's vacation policies </w:t>
      </w:r>
      <w:r>
        <w:rPr>
          <w:rFonts w:ascii="Times New Roman;serif" w:hAnsi="Times New Roman;serif"/>
          <w:b/>
          <w:color w:val="000000"/>
          <w:sz w:val="22"/>
        </w:rPr>
        <w:t xml:space="preserve">in </w:t>
      </w:r>
      <w:r>
        <w:rPr>
          <w:rFonts w:ascii="Times New Roman;serif" w:hAnsi="Times New Roman;serif"/>
          <w:b w:val="false"/>
          <w:color w:val="000000"/>
          <w:sz w:val="22"/>
        </w:rPr>
        <w:t>effect from time to time. The Executive's benefit package and the Executive's use of the Executive's vacation time shall be subject to GeneDx's policies and/or the CEO's reasonable discretion.</w:t>
      </w:r>
    </w:p>
    <w:p>
      <w:pPr>
        <w:pStyle w:val="TextBody"/>
        <w:bidi w:val="0"/>
        <w:spacing w:lineRule="auto" w:line="288" w:before="241" w:after="283"/>
        <w:ind w:left="0" w:right="0" w:firstLine="721"/>
        <w:jc w:val="both"/>
        <w:rPr/>
      </w:pPr>
      <w:r>
        <w:rPr>
          <w:rFonts w:ascii="Times New Roman;serif" w:hAnsi="Times New Roman;serif"/>
          <w:b w:val="false"/>
          <w:color w:val="000000"/>
          <w:sz w:val="22"/>
        </w:rPr>
        <w:t>D.</w:t>
      </w:r>
      <w:r>
        <w:rPr>
          <w:rFonts w:ascii="Times New Roman;serif" w:hAnsi="Times New Roman;serif"/>
          <w:b w:val="false"/>
          <w:i/>
          <w:color w:val="000000"/>
          <w:sz w:val="22"/>
        </w:rPr>
        <w:t xml:space="preserve">Business Expenses. </w:t>
      </w:r>
      <w:r>
        <w:rPr>
          <w:rFonts w:ascii="Times New Roman;serif" w:hAnsi="Times New Roman;serif"/>
          <w:b w:val="false"/>
          <w:color w:val="000000"/>
          <w:sz w:val="22"/>
        </w:rPr>
        <w:t>Subject to Section 3.E, the Executive shall be reimbursed for all reasonable and necessary business expenses that Executive incurs during the Term in connection with Executive's employment.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3" w:after="283"/>
        <w:ind w:left="0" w:right="0" w:firstLine="719"/>
        <w:jc w:val="both"/>
        <w:rPr/>
      </w:pPr>
      <w:r>
        <w:rPr>
          <w:rFonts w:ascii="Times New Roman;serif" w:hAnsi="Times New Roman;serif"/>
          <w:b w:val="false"/>
          <w:color w:val="000000"/>
          <w:sz w:val="21"/>
        </w:rPr>
        <w:t>E.</w:t>
      </w:r>
      <w:r>
        <w:rPr>
          <w:rFonts w:ascii="Times New Roman;serif" w:hAnsi="Times New Roman;serif"/>
          <w:b w:val="false"/>
          <w:i/>
          <w:color w:val="000000"/>
          <w:sz w:val="21"/>
        </w:rPr>
        <w:t xml:space="preserve">Conditions to Reimbursement of Expenses. </w:t>
      </w:r>
      <w:r>
        <w:rPr>
          <w:rFonts w:ascii="Times New Roman;serif" w:hAnsi="Times New Roman;serif"/>
          <w:b w:val="false"/>
          <w:color w:val="000000"/>
          <w:sz w:val="21"/>
        </w:rPr>
        <w:t>Reimbursement shall be based upon adherence to and submission by the Executive of expense statements and other documentation thereof required in accordance with GeneDx's expense reimbursement policies.</w:t>
      </w:r>
    </w:p>
    <w:p>
      <w:pPr>
        <w:pStyle w:val="TextBody"/>
        <w:bidi w:val="0"/>
        <w:spacing w:lineRule="auto" w:line="288" w:before="237" w:after="283"/>
        <w:ind w:left="0" w:right="0" w:hanging="722"/>
        <w:jc w:val="left"/>
        <w:rPr>
          <w:rFonts w:ascii="Times New Roman;serif" w:hAnsi="Times New Roman;serif"/>
          <w:b/>
          <w:color w:val="000000"/>
          <w:sz w:val="22"/>
        </w:rPr>
      </w:pPr>
      <w:r>
        <w:rPr>
          <w:rFonts w:ascii="Times New Roman;serif" w:hAnsi="Times New Roman;serif"/>
          <w:b/>
          <w:color w:val="000000"/>
          <w:sz w:val="22"/>
        </w:rPr>
        <w:t>4.EQUITY-BASED COMPENSATION AWARD.</w:t>
      </w:r>
    </w:p>
    <w:p>
      <w:pPr>
        <w:pStyle w:val="TextBody"/>
        <w:bidi w:val="0"/>
        <w:spacing w:lineRule="auto" w:line="283" w:before="251" w:after="283"/>
        <w:ind w:left="0" w:right="0" w:firstLine="726"/>
        <w:jc w:val="both"/>
        <w:rPr/>
      </w:pPr>
      <w:r>
        <w:rPr>
          <w:rFonts w:ascii="Times New Roman;serif" w:hAnsi="Times New Roman;serif"/>
          <w:b w:val="false"/>
          <w:color w:val="000000"/>
          <w:sz w:val="21"/>
        </w:rPr>
        <w:t>As soon as practicable following the Effective Date and subject to the approval of the Board (or a committee thereof), GeneDx shall grant the Executive a number of restricted stock units (the</w:t>
      </w:r>
      <w:r>
        <w:rPr>
          <w:rFonts w:ascii="Times New Roman;serif" w:hAnsi="Times New Roman;serif"/>
          <w:b/>
          <w:i/>
          <w:color w:val="000000"/>
          <w:sz w:val="22"/>
        </w:rPr>
        <w:t xml:space="preserve">"RSUs") </w:t>
      </w:r>
      <w:r>
        <w:rPr>
          <w:rFonts w:ascii="Times New Roman;serif" w:hAnsi="Times New Roman;serif"/>
          <w:b w:val="false"/>
          <w:color w:val="000000"/>
          <w:sz w:val="21"/>
        </w:rPr>
        <w:t xml:space="preserve">under GeneDx's applicable equity incentive plan (the </w:t>
      </w:r>
      <w:r>
        <w:rPr>
          <w:rFonts w:ascii="Times New Roman;serif" w:hAnsi="Times New Roman;serif"/>
          <w:b/>
          <w:i/>
          <w:color w:val="000000"/>
          <w:sz w:val="21"/>
        </w:rPr>
        <w:t xml:space="preserve">"Plan"), </w:t>
      </w:r>
      <w:r>
        <w:rPr>
          <w:rFonts w:ascii="Times New Roman;serif" w:hAnsi="Times New Roman;serif"/>
          <w:b w:val="false"/>
          <w:color w:val="000000"/>
          <w:sz w:val="21"/>
        </w:rPr>
        <w:t>with such number determined by dividing</w:t>
      </w:r>
    </w:p>
    <w:p>
      <w:pPr>
        <w:pStyle w:val="TextBody"/>
        <w:bidi w:val="0"/>
        <w:spacing w:lineRule="auto" w:line="292" w:before="9" w:after="283"/>
        <w:ind w:left="0" w:right="0" w:firstLine="1"/>
        <w:jc w:val="both"/>
        <w:rPr>
          <w:rFonts w:ascii="Times New Roman;serif" w:hAnsi="Times New Roman;serif"/>
          <w:b w:val="false"/>
          <w:color w:val="000000"/>
          <w:sz w:val="21"/>
        </w:rPr>
      </w:pPr>
      <w:r>
        <w:rPr>
          <w:rFonts w:ascii="Times New Roman;serif" w:hAnsi="Times New Roman;serif"/>
          <w:b w:val="false"/>
          <w:color w:val="000000"/>
          <w:sz w:val="21"/>
        </w:rPr>
        <w:t>$2,000,000 by the average closing stock price over the trailing 60 trading days preceding the grant date, rounded down to the nearest whole share. This award will be issued pursuant to the GeneDx Holdings Corp. Amended and Restated 2021 Equity Incentive Plan, governed by the terms and conditions of the applicable Grant Agreement, and processed in accordance with the Company's standard procedures following approval by the Compensation Committee (or its delegate).The RSUs will vest over a four-year period, with 25% vesting annually on the anniversary of Executive's vesting commencement date (typically the first day of the month following Executive's Start Date), unless otherwise specified in Executive's Grant Agreement. The number of RSUs may be adjusted, at GeneDx's discretion, in the event of a stock split, recapitalization, or other changes to the Company's capital structure prior to the grant date. In the event of any conflict between this Agreement and the Equity Incentive Plan or Grant Agreement, the terms of the Plan and Grant Agreement will govern.</w:t>
      </w:r>
    </w:p>
    <w:p>
      <w:pPr>
        <w:pStyle w:val="TextBody"/>
        <w:bidi w:val="0"/>
        <w:spacing w:lineRule="auto" w:line="288" w:before="229" w:after="283"/>
        <w:ind w:left="0" w:right="0" w:hanging="716"/>
        <w:jc w:val="left"/>
        <w:rPr>
          <w:rFonts w:ascii="Times New Roman;serif" w:hAnsi="Times New Roman;serif"/>
          <w:b/>
          <w:color w:val="000000"/>
          <w:sz w:val="22"/>
        </w:rPr>
      </w:pPr>
      <w:r>
        <w:rPr>
          <w:rFonts w:ascii="Times New Roman;serif" w:hAnsi="Times New Roman;serif"/>
          <w:b/>
          <w:color w:val="000000"/>
          <w:sz w:val="22"/>
        </w:rPr>
        <w:t>5.TERMINATION AND SEVERANCE.</w:t>
      </w:r>
    </w:p>
    <w:p>
      <w:pPr>
        <w:pStyle w:val="TextBody"/>
        <w:bidi w:val="0"/>
        <w:spacing w:lineRule="auto" w:line="288" w:before="247" w:after="283"/>
        <w:ind w:left="0" w:right="0" w:hanging="721"/>
        <w:jc w:val="left"/>
        <w:rPr>
          <w:rFonts w:ascii="Times New Roman;serif" w:hAnsi="Times New Roman;serif"/>
          <w:b w:val="false"/>
          <w:color w:val="000000"/>
          <w:sz w:val="21"/>
        </w:rPr>
      </w:pPr>
      <w:r>
        <w:rPr>
          <w:rFonts w:ascii="Times New Roman;serif" w:hAnsi="Times New Roman;serif"/>
          <w:b w:val="false"/>
          <w:color w:val="000000"/>
          <w:sz w:val="21"/>
        </w:rPr>
        <w:t>A.As used in this Section 5:</w:t>
      </w:r>
    </w:p>
    <w:p>
      <w:pPr>
        <w:pStyle w:val="TextBody"/>
        <w:bidi w:val="0"/>
        <w:spacing w:before="12" w:after="283"/>
        <w:jc w:val="left"/>
        <w:rPr/>
      </w:pPr>
      <w:r>
        <w:rPr/>
      </w:r>
    </w:p>
    <w:p>
      <w:pPr>
        <w:pStyle w:val="TextBody"/>
        <w:bidi w:val="0"/>
        <w:spacing w:lineRule="auto" w:line="292" w:before="0" w:after="0"/>
        <w:ind w:left="0" w:right="0" w:firstLine="1416"/>
        <w:jc w:val="both"/>
        <w:rPr/>
      </w:pPr>
      <w:r>
        <w:rPr>
          <w:rFonts w:ascii="Times New Roman;serif" w:hAnsi="Times New Roman;serif"/>
          <w:b/>
          <w:i/>
          <w:color w:val="000000"/>
          <w:sz w:val="21"/>
        </w:rPr>
        <w:t xml:space="preserve">"Cause" </w:t>
      </w:r>
      <w:r>
        <w:rPr>
          <w:rFonts w:ascii="Times New Roman;serif" w:hAnsi="Times New Roman;serif"/>
          <w:b w:val="false"/>
          <w:color w:val="000000"/>
          <w:sz w:val="21"/>
        </w:rPr>
        <w:t xml:space="preserve">shall mean: (1) any willful failure (except as result of sickness, illness or injury) or refusal by the Executive to perform any of the Executive's material Duties or to carry out the instructions of the Direct Report after GeneDx shall have provided written notice and a reasonable opportunity to cure such failure or refusal; (2) material breach by the Executive of the CIPAA (as defined below) after GeneDx shall have provided written notice and a reasonable opportunity to cure such material breach; (3) material breach by the Executive of any written corporate policy of GeneDx after GeneDx shall have provided written notice and a reasonable opportunity to cure such material breach; (4) breach by the Executive of the Executive's fiduciary duty to GeneDx or of Section 8 of this Agreement; (5) gross negligence or willful misconduct of the Executive in connection with GeneDx's business or the performance of Executive's Duties; </w:t>
      </w:r>
      <w:r>
        <w:rPr>
          <w:rFonts w:ascii="Times New Roman;serif" w:hAnsi="Times New Roman;serif"/>
          <w:b w:val="false"/>
          <w:i/>
          <w:color w:val="000000"/>
          <w:sz w:val="21"/>
        </w:rPr>
        <w:t xml:space="preserve">provided </w:t>
      </w:r>
      <w:r>
        <w:rPr>
          <w:rFonts w:ascii="Times New Roman;serif" w:hAnsi="Times New Roman;serif"/>
          <w:b w:val="false"/>
          <w:color w:val="000000"/>
          <w:sz w:val="21"/>
        </w:rPr>
        <w:t>that in the case of gross negligence, such gross negligence results in demonstrable harm to GeneDx; (6) the Executive's conviction of or plea of nolo contendere to any crime that would materially impair the reputation of GeneDx, any crime involving theft, embezzlement or other misappropriation of money or other property, or any crime which constitutes a felony in the jurisdiction involved; or (7) the Executive's habitual absence or habitual abuse of alcohol or controlled or illegal substances during working hours, after GeneDx shall have provided written notice to the Executive and given the Executive thirty (30) days within which to commence rehabilitation with respect thereto, and the Executive shall have failed to commence such rehabilitation or continued to perform under the influence after such rehabilitation.</w:t>
      </w:r>
    </w:p>
    <w:p>
      <w:pPr>
        <w:pStyle w:val="TextBody"/>
        <w:bidi w:val="0"/>
        <w:spacing w:lineRule="auto" w:line="292" w:before="236" w:after="283"/>
        <w:ind w:left="0" w:right="0" w:firstLine="1415"/>
        <w:jc w:val="both"/>
        <w:rPr/>
      </w:pPr>
      <w:r>
        <w:rPr>
          <w:rFonts w:ascii="Times New Roman;serif" w:hAnsi="Times New Roman;serif"/>
          <w:b/>
          <w:i/>
          <w:color w:val="000000"/>
          <w:sz w:val="21"/>
        </w:rPr>
        <w:t xml:space="preserve">"Change in Control Period'' </w:t>
      </w:r>
      <w:r>
        <w:rPr>
          <w:rFonts w:ascii="Times New Roman;serif" w:hAnsi="Times New Roman;serif"/>
          <w:b w:val="false"/>
          <w:color w:val="000000"/>
          <w:sz w:val="21"/>
        </w:rPr>
        <w:t>means the period commencing on the date of a Change of Control and ending on the date that is twelve (12) months following a Change in Control.</w:t>
      </w:r>
    </w:p>
    <w:p>
      <w:pPr>
        <w:pStyle w:val="TextBody"/>
        <w:bidi w:val="0"/>
        <w:spacing w:lineRule="auto" w:line="292" w:before="236" w:after="283"/>
        <w:ind w:left="0" w:right="0" w:firstLine="1415"/>
        <w:jc w:val="both"/>
        <w:rPr/>
      </w:pPr>
      <w:r>
        <w:rPr>
          <w:rFonts w:ascii="Times New Roman;serif" w:hAnsi="Times New Roman;serif"/>
          <w:b/>
          <w:i/>
          <w:color w:val="000000"/>
          <w:sz w:val="21"/>
        </w:rPr>
        <w:t xml:space="preserve">"Change in Control" </w:t>
      </w:r>
      <w:r>
        <w:rPr>
          <w:rFonts w:ascii="Times New Roman;serif" w:hAnsi="Times New Roman;serif"/>
          <w:b w:val="false"/>
          <w:color w:val="000000"/>
          <w:sz w:val="21"/>
        </w:rPr>
        <w:t>means a Corporate Transaction as defined in the Plan.</w:t>
      </w:r>
    </w:p>
    <w:p>
      <w:pPr>
        <w:pStyle w:val="TextBody"/>
        <w:bidi w:val="0"/>
        <w:spacing w:before="11" w:after="283"/>
        <w:jc w:val="left"/>
        <w:rPr/>
      </w:pPr>
      <w:r>
        <w:rPr/>
      </w:r>
    </w:p>
    <w:p>
      <w:pPr>
        <w:pStyle w:val="TextBody"/>
        <w:bidi w:val="0"/>
        <w:spacing w:lineRule="auto" w:line="288" w:before="1" w:after="283"/>
        <w:ind w:left="0" w:right="0" w:firstLine="1413"/>
        <w:jc w:val="both"/>
        <w:rPr/>
      </w:pPr>
      <w:r>
        <w:rPr>
          <w:rFonts w:ascii="Times New Roman;serif" w:hAnsi="Times New Roman;serif"/>
          <w:b/>
          <w:i/>
          <w:color w:val="000000"/>
          <w:sz w:val="21"/>
        </w:rPr>
        <w:t xml:space="preserve">"Disability" </w:t>
      </w:r>
      <w:r>
        <w:rPr>
          <w:rFonts w:ascii="Times New Roman;serif" w:hAnsi="Times New Roman;serif"/>
          <w:b w:val="false"/>
          <w:color w:val="000000"/>
          <w:sz w:val="21"/>
        </w:rPr>
        <w:t>shall mean the Executive's inability to perform Executive's essential Duties with reasonable accommodation by reason of any medically determined physical or mental impairment that has lasted a period of not less than one-hundred-eighty (180) days (whether or not consecutive) in any</w:t>
      </w:r>
    </w:p>
    <w:p>
      <w:pPr>
        <w:pStyle w:val="TextBody"/>
        <w:bidi w:val="0"/>
        <w:spacing w:before="0" w:after="0"/>
        <w:jc w:val="left"/>
        <w:rPr/>
      </w:pPr>
      <w:r>
        <w:rPr/>
      </w:r>
    </w:p>
    <w:p>
      <w:pPr>
        <w:pStyle w:val="TextBody"/>
        <w:bidi w:val="0"/>
        <w:spacing w:before="133" w:after="283"/>
        <w:jc w:val="left"/>
        <w:rPr/>
      </w:pPr>
      <w:r>
        <w:rPr/>
      </w:r>
    </w:p>
    <w:p>
      <w:pPr>
        <w:pStyle w:val="TextBody"/>
        <w:bidi w:val="0"/>
        <w:spacing w:lineRule="auto" w:line="288" w:before="1" w:after="283"/>
        <w:jc w:val="center"/>
        <w:rPr>
          <w:rFonts w:ascii="Times New Roman;serif" w:hAnsi="Times New Roman;serif"/>
          <w:b w:val="false"/>
          <w:color w:val="000000"/>
          <w:sz w:val="23"/>
        </w:rPr>
      </w:pPr>
      <w:r>
        <w:rPr>
          <w:rFonts w:ascii="Times New Roman;serif" w:hAnsi="Times New Roman;serif"/>
          <w:b w:val="false"/>
          <w:color w:val="000000"/>
          <w:sz w:val="23"/>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4" w:after="283"/>
        <w:jc w:val="both"/>
        <w:rPr>
          <w:rFonts w:ascii="Times New Roman;serif" w:hAnsi="Times New Roman;serif"/>
          <w:b w:val="false"/>
          <w:color w:val="000000"/>
          <w:sz w:val="22"/>
        </w:rPr>
      </w:pPr>
      <w:r>
        <w:rPr>
          <w:rFonts w:ascii="Times New Roman;serif" w:hAnsi="Times New Roman;serif"/>
          <w:b w:val="false"/>
          <w:color w:val="000000"/>
          <w:sz w:val="22"/>
        </w:rPr>
        <w:t>consecutive three-hundred-sixty-five (365) day period as determined by a physician that is mutually acceptable to the Company and the Executive. If the Company and the Executive cannot agree on a physician, each party shall select a physician and the two physicians shall select a third who shall be the approved physician for this purpose.</w:t>
      </w:r>
    </w:p>
    <w:p>
      <w:pPr>
        <w:pStyle w:val="TextBody"/>
        <w:bidi w:val="0"/>
        <w:spacing w:lineRule="auto" w:line="288" w:before="242" w:after="283"/>
        <w:ind w:left="0" w:right="0" w:firstLine="1416"/>
        <w:jc w:val="both"/>
        <w:rPr/>
      </w:pPr>
      <w:r>
        <w:rPr>
          <w:rFonts w:ascii="Times New Roman;serif" w:hAnsi="Times New Roman;serif"/>
          <w:b/>
          <w:i/>
          <w:color w:val="000000"/>
          <w:sz w:val="21"/>
        </w:rPr>
        <w:t xml:space="preserve">"Good Reason" </w:t>
      </w:r>
      <w:r>
        <w:rPr>
          <w:rFonts w:ascii="Times New Roman;serif" w:hAnsi="Times New Roman;serif"/>
          <w:b w:val="false"/>
          <w:color w:val="000000"/>
          <w:sz w:val="22"/>
        </w:rPr>
        <w:t xml:space="preserve">shall mean any of the following, without the Executive's express written consent: (1) any material breach by GeneDx of its obligations to the Executive pursuant to this Agreement (including, without limitation, a failure to pay Base Salary in accordance with Section 3.A); (2) a reduction in the Executive's authority or responsibility, which represents a material diminution in the Executive's authority or responsibility; or (3) GeneDx requiring the Executive to relocate the Executive's place of employment to more than seventy-five (75) miles from Executive's place of employment as of the date hereof, other than as provided for in Section 1.C; </w:t>
      </w:r>
      <w:r>
        <w:rPr>
          <w:rFonts w:ascii="Times New Roman;serif" w:hAnsi="Times New Roman;serif"/>
          <w:b w:val="false"/>
          <w:i/>
          <w:color w:val="000000"/>
          <w:sz w:val="21"/>
        </w:rPr>
        <w:t xml:space="preserve">provided, however, </w:t>
      </w:r>
      <w:r>
        <w:rPr>
          <w:rFonts w:ascii="Times New Roman;serif" w:hAnsi="Times New Roman;serif"/>
          <w:b w:val="false"/>
          <w:color w:val="000000"/>
          <w:sz w:val="22"/>
        </w:rPr>
        <w:t>that none of these events shall constitute Good Reason unless (i) the Executive has notified GeneDx in writing of the event(s) constituting Good Reason within sixty (60) days after the Executive first becomes aware of the occurrence of such event(s); (ii) GeneDx has failed to cure such event(s) within thirty (30) days after the notice, and (iii) the Executive resigns from all positions then held by the Executive no later than thirty (30) days after the expiration of such cure period.</w:t>
      </w:r>
    </w:p>
    <w:p>
      <w:pPr>
        <w:pStyle w:val="TextBody"/>
        <w:bidi w:val="0"/>
        <w:spacing w:lineRule="auto" w:line="288" w:before="242" w:after="283"/>
        <w:ind w:left="0" w:right="0" w:firstLine="719"/>
        <w:jc w:val="both"/>
        <w:rPr/>
      </w:pPr>
      <w:r>
        <w:rPr>
          <w:rFonts w:ascii="Times New Roman;serif" w:hAnsi="Times New Roman;serif"/>
          <w:b w:val="false"/>
          <w:color w:val="000000"/>
          <w:sz w:val="22"/>
        </w:rPr>
        <w:t>B.</w:t>
      </w:r>
      <w:r>
        <w:rPr>
          <w:rFonts w:ascii="Times New Roman;serif" w:hAnsi="Times New Roman;serif"/>
          <w:b w:val="false"/>
          <w:i/>
          <w:color w:val="000000"/>
          <w:sz w:val="21"/>
        </w:rPr>
        <w:t xml:space="preserve">Termination. </w:t>
      </w:r>
      <w:r>
        <w:rPr>
          <w:rFonts w:ascii="Times New Roman;serif" w:hAnsi="Times New Roman;serif"/>
          <w:b w:val="false"/>
          <w:color w:val="000000"/>
          <w:sz w:val="22"/>
        </w:rPr>
        <w:t>This Agreement, the Term and the Executive's employment hereunder shall terminate upon any of the following:</w:t>
      </w:r>
    </w:p>
    <w:p>
      <w:pPr>
        <w:pStyle w:val="TextBody"/>
        <w:bidi w:val="0"/>
        <w:spacing w:lineRule="auto" w:line="288" w:before="239"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(i)in the event of any determination by the Board that there is Cause for such termination, upon written notice of termination from GeneDx to the Executive (following the expiration of a cure period, as applicable);</w:t>
      </w:r>
    </w:p>
    <w:p>
      <w:pPr>
        <w:pStyle w:val="TextBody"/>
        <w:bidi w:val="0"/>
        <w:spacing w:lineRule="auto" w:line="288" w:before="246" w:after="283"/>
        <w:ind w:left="0" w:right="0" w:hanging="726"/>
        <w:jc w:val="both"/>
        <w:rPr>
          <w:rFonts w:ascii="Times New Roman;serif" w:hAnsi="Times New Roman;serif"/>
          <w:b w:val="false"/>
          <w:color w:val="000000"/>
          <w:sz w:val="22"/>
        </w:rPr>
      </w:pPr>
      <w:r>
        <w:rPr>
          <w:rFonts w:ascii="Times New Roman;serif" w:hAnsi="Times New Roman;serif"/>
          <w:b w:val="false"/>
          <w:color w:val="000000"/>
          <w:sz w:val="22"/>
        </w:rPr>
        <w:t>(ii)immediately upon the death or Disability of the Executive;</w:t>
      </w:r>
    </w:p>
    <w:p>
      <w:pPr>
        <w:pStyle w:val="TextBody"/>
        <w:bidi w:val="0"/>
        <w:spacing w:lineRule="auto" w:line="288" w:before="237" w:after="283"/>
        <w:ind w:left="0" w:right="0" w:firstLine="1441"/>
        <w:jc w:val="both"/>
        <w:rPr>
          <w:rFonts w:ascii="Times New Roman;serif" w:hAnsi="Times New Roman;serif"/>
          <w:b w:val="false"/>
          <w:color w:val="000000"/>
          <w:sz w:val="22"/>
        </w:rPr>
      </w:pPr>
      <w:r>
        <w:rPr>
          <w:rFonts w:ascii="Times New Roman;serif" w:hAnsi="Times New Roman;serif"/>
          <w:b w:val="false"/>
          <w:color w:val="000000"/>
          <w:sz w:val="22"/>
        </w:rPr>
        <w:t>(iii)in the event of any determination by the Executive that there is Good Reason for such termination, upon written notice of termination from the Executive to GeneDx (following the expiration of the cure period);</w:t>
      </w:r>
    </w:p>
    <w:p>
      <w:pPr>
        <w:pStyle w:val="TextBody"/>
        <w:bidi w:val="0"/>
        <w:spacing w:lineRule="auto" w:line="288" w:before="240" w:after="283"/>
        <w:ind w:left="0" w:right="0" w:hanging="721"/>
        <w:jc w:val="both"/>
        <w:rPr>
          <w:rFonts w:ascii="Times New Roman;serif" w:hAnsi="Times New Roman;serif"/>
          <w:b w:val="false"/>
          <w:color w:val="000000"/>
          <w:sz w:val="22"/>
        </w:rPr>
      </w:pPr>
      <w:r>
        <w:rPr>
          <w:rFonts w:ascii="Times New Roman;serif" w:hAnsi="Times New Roman;serif"/>
          <w:b w:val="false"/>
          <w:color w:val="000000"/>
          <w:sz w:val="22"/>
        </w:rPr>
        <w:t>(iv)at the election of GeneDx to terminate this Agreement without Cause, upon sixty</w:t>
      </w:r>
    </w:p>
    <w:p>
      <w:pPr>
        <w:pStyle w:val="TextBody"/>
        <w:bidi w:val="0"/>
        <w:spacing w:lineRule="auto" w:line="288" w:before="2" w:after="283"/>
        <w:jc w:val="both"/>
        <w:rPr>
          <w:rFonts w:ascii="Times New Roman;serif" w:hAnsi="Times New Roman;serif"/>
          <w:b w:val="false"/>
          <w:color w:val="000000"/>
          <w:sz w:val="22"/>
        </w:rPr>
      </w:pPr>
      <w:r>
        <w:rPr>
          <w:rFonts w:ascii="Times New Roman;serif" w:hAnsi="Times New Roman;serif"/>
          <w:b w:val="false"/>
          <w:color w:val="000000"/>
          <w:sz w:val="22"/>
        </w:rPr>
        <w:t>(60) days' written notice to the Executive, provided that GeneDx, in its sole discretion, may accelerate Executive's employment termination date, discontinue Executive's employment for any portion of such notice period, and provide Executive with the compensation and benefits that Executive would have received during the notice period through the last day of the notice period; or</w:t>
      </w:r>
    </w:p>
    <w:p>
      <w:pPr>
        <w:pStyle w:val="TextBody"/>
        <w:bidi w:val="0"/>
        <w:spacing w:lineRule="auto" w:line="288" w:before="243" w:after="283"/>
        <w:ind w:left="0" w:right="0" w:firstLine="1442"/>
        <w:jc w:val="both"/>
        <w:rPr>
          <w:rFonts w:ascii="Times New Roman;serif" w:hAnsi="Times New Roman;serif"/>
          <w:b w:val="false"/>
          <w:color w:val="000000"/>
          <w:sz w:val="22"/>
        </w:rPr>
      </w:pPr>
      <w:r>
        <w:rPr>
          <w:rFonts w:ascii="Times New Roman;serif" w:hAnsi="Times New Roman;serif"/>
          <w:b w:val="false"/>
          <w:color w:val="000000"/>
          <w:sz w:val="22"/>
        </w:rPr>
        <w:t>(v)at the election of the Executive to terminate this Agreement without Good Reason, upon thirty (30) days' written notice to GeneDx, provided that GeneDx, in its sole discretion, may accelerate Executive's employment termination date.</w:t>
      </w:r>
    </w:p>
    <w:p>
      <w:pPr>
        <w:pStyle w:val="TextBody"/>
        <w:bidi w:val="0"/>
        <w:spacing w:lineRule="auto" w:line="288" w:before="240" w:after="283"/>
        <w:ind w:left="0" w:right="0" w:firstLine="721"/>
        <w:jc w:val="both"/>
        <w:rPr/>
      </w:pPr>
      <w:r>
        <w:rPr>
          <w:rFonts w:ascii="Times New Roman;serif" w:hAnsi="Times New Roman;serif"/>
          <w:b w:val="false"/>
          <w:color w:val="000000"/>
          <w:sz w:val="22"/>
        </w:rPr>
        <w:t>C.</w:t>
      </w:r>
      <w:r>
        <w:rPr>
          <w:rFonts w:ascii="Times New Roman;serif" w:hAnsi="Times New Roman;serif"/>
          <w:b w:val="false"/>
          <w:i/>
          <w:color w:val="000000"/>
          <w:sz w:val="21"/>
        </w:rPr>
        <w:t xml:space="preserve">General. </w:t>
      </w:r>
      <w:r>
        <w:rPr>
          <w:rFonts w:ascii="Times New Roman;serif" w:hAnsi="Times New Roman;serif"/>
          <w:b w:val="false"/>
          <w:color w:val="000000"/>
          <w:sz w:val="22"/>
        </w:rPr>
        <w:t xml:space="preserve">Upon the termination of the Executive's employment for any reason, the Executive (or Executive's estate, as the case may be) shall be entitled to receive (i) any Base Salary hereunder accrued prior to the date of such termination, (ii) any amount payable to the Executive under GeneDx's policies and procedures with respect to payments to officers for accrued vacation and unreimbursed business expenses for which proper documentation is provided and (iii) if the Executive's employment ends for any reason other than GeneDx's termination of the Executive's employment for Cause, any earned but unpaid Performance Bonus for the most recently completed calendar year in the discretion of the Board (collectively, the </w:t>
      </w:r>
      <w:r>
        <w:rPr>
          <w:rFonts w:ascii="Times New Roman;serif" w:hAnsi="Times New Roman;serif"/>
          <w:b/>
          <w:i/>
          <w:color w:val="000000"/>
          <w:sz w:val="21"/>
        </w:rPr>
        <w:t>"Accrued Compensation").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3"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4" w:after="283"/>
        <w:ind w:left="0" w:right="0" w:firstLine="722"/>
        <w:jc w:val="both"/>
        <w:rPr/>
      </w:pPr>
      <w:r>
        <w:rPr>
          <w:rFonts w:ascii="Times New Roman;serif" w:hAnsi="Times New Roman;serif"/>
          <w:b w:val="false"/>
          <w:color w:val="000000"/>
          <w:sz w:val="22"/>
        </w:rPr>
        <w:t>D.</w:t>
      </w:r>
      <w:r>
        <w:rPr>
          <w:rFonts w:ascii="Times New Roman;serif" w:hAnsi="Times New Roman;serif"/>
          <w:b w:val="false"/>
          <w:i/>
          <w:color w:val="000000"/>
          <w:sz w:val="22"/>
        </w:rPr>
        <w:t xml:space="preserve">Severance Benefits Upon Termination by GeneDx Without Cause or by the Executive for Good Reason Outside of the Change in Control Period. </w:t>
      </w:r>
      <w:r>
        <w:rPr>
          <w:rFonts w:ascii="Times New Roman;serif" w:hAnsi="Times New Roman;serif"/>
          <w:b w:val="false"/>
          <w:color w:val="000000"/>
          <w:sz w:val="22"/>
        </w:rPr>
        <w:t>Upon the termination of the Executive's employment by GeneDx without Cause or by the Executive for Good Reason or upon GeneDx's failure to renew the Term outside of the Change in Control Period, the Executive will be entitled to receive the Accrued Compensation and, subject to the requirements of Section 5.F, will be entitled to receive the following payments and benefits, in each case, less required deductions and withholdings:</w:t>
      </w:r>
    </w:p>
    <w:p>
      <w:pPr>
        <w:pStyle w:val="TextBody"/>
        <w:bidi w:val="0"/>
        <w:spacing w:lineRule="auto" w:line="288" w:before="241" w:after="283"/>
        <w:ind w:left="0" w:right="0" w:firstLine="1441"/>
        <w:jc w:val="both"/>
        <w:rPr/>
      </w:pPr>
      <w:r>
        <w:rPr>
          <w:rFonts w:ascii="Times New Roman;serif" w:hAnsi="Times New Roman;serif"/>
          <w:b w:val="false"/>
          <w:color w:val="000000"/>
          <w:sz w:val="22"/>
        </w:rPr>
        <w:t>(i)</w:t>
      </w:r>
      <w:r>
        <w:rPr>
          <w:rFonts w:ascii="Times New Roman;serif" w:hAnsi="Times New Roman;serif"/>
          <w:b w:val="false"/>
          <w:i/>
          <w:color w:val="000000"/>
          <w:sz w:val="22"/>
        </w:rPr>
        <w:t xml:space="preserve">Cash Severance. </w:t>
      </w:r>
      <w:r>
        <w:rPr>
          <w:rFonts w:ascii="Times New Roman;serif" w:hAnsi="Times New Roman;serif"/>
          <w:b w:val="false"/>
          <w:color w:val="000000"/>
          <w:sz w:val="22"/>
        </w:rPr>
        <w:t>The Employer shall pay the Executive, as severance, the equivalent of9 months of the Executive's Base Salary as in effect as of the date of such termination, payable in the form of salary continuation, on the Employer's regular payroll dates, subject to standard payroll deductions and withholdings, starting on the 60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after the Executive's termination date, with the first payment to include those payments that would have occurred earlier but for the 60-day delay.</w:t>
      </w:r>
    </w:p>
    <w:p>
      <w:pPr>
        <w:pStyle w:val="TextBody"/>
        <w:bidi w:val="0"/>
        <w:spacing w:lineRule="auto" w:line="288" w:before="239" w:after="283"/>
        <w:ind w:left="0" w:right="0" w:firstLine="1441"/>
        <w:jc w:val="both"/>
        <w:rPr/>
      </w:pPr>
      <w:r>
        <w:rPr>
          <w:rFonts w:ascii="Times New Roman;serif" w:hAnsi="Times New Roman;serif"/>
          <w:b w:val="false"/>
          <w:color w:val="000000"/>
          <w:sz w:val="22"/>
        </w:rPr>
        <w:t>(ii)</w:t>
      </w:r>
      <w:r>
        <w:rPr>
          <w:rFonts w:ascii="Times New Roman;serif" w:hAnsi="Times New Roman;serif"/>
          <w:b w:val="false"/>
          <w:i/>
          <w:color w:val="000000"/>
          <w:sz w:val="22"/>
        </w:rPr>
        <w:t xml:space="preserve">Benefits Continuation. </w:t>
      </w:r>
      <w:r>
        <w:rPr>
          <w:rFonts w:ascii="Times New Roman;serif" w:hAnsi="Times New Roman;serif"/>
          <w:b w:val="false"/>
          <w:color w:val="000000"/>
          <w:sz w:val="22"/>
        </w:rPr>
        <w:t>Provided that the Executive is then eligible for and timely elects continued coverage under COBRA, the Employer shall directly pay, or reimburse the Executive for, the monthly COBRA premiums to continue the Executive's coverage (including coverage for eligible dependents, if applicable) through the period starting on the Executive's termination date and ending on the earliest to occur of: (a) 12 months following the Executive's termination date; (b) the date Executive becomes eligible for group health insurance coverage through a new employer; and (c) the date Executive ceases to be eligible for COBRA continuation coverage for any reason, including plan termination. In the event Executive becomes covered under another employer's group health plan or otherwise ceases to be eligible for COBRA during this time period, the Executive must immediately notify the Employer of such event. Notwithstanding the foregoing, if the Employer determines, in its sole discretion, that it cannot pay the COBRA premiums without a substantial risk of violating applicable law, the Employer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pStyle w:val="TextBody"/>
        <w:bidi w:val="0"/>
        <w:spacing w:lineRule="auto" w:line="288" w:before="247" w:after="283"/>
        <w:ind w:left="0" w:right="0" w:firstLine="722"/>
        <w:jc w:val="both"/>
        <w:rPr/>
      </w:pPr>
      <w:r>
        <w:rPr>
          <w:rFonts w:ascii="Times New Roman;serif" w:hAnsi="Times New Roman;serif"/>
          <w:b w:val="false"/>
          <w:color w:val="000000"/>
          <w:sz w:val="22"/>
        </w:rPr>
        <w:t>E.</w:t>
      </w:r>
      <w:r>
        <w:rPr>
          <w:rFonts w:ascii="Times New Roman;serif" w:hAnsi="Times New Roman;serif"/>
          <w:b w:val="false"/>
          <w:i/>
          <w:color w:val="000000"/>
          <w:sz w:val="22"/>
        </w:rPr>
        <w:t xml:space="preserve">Severance Benefits Upon Termination by GeneDx Without Cause or by the Executive for Good Reason During the Change in Control Period. </w:t>
      </w:r>
      <w:r>
        <w:rPr>
          <w:rFonts w:ascii="Times New Roman;serif" w:hAnsi="Times New Roman;serif"/>
          <w:b w:val="false"/>
          <w:color w:val="000000"/>
          <w:sz w:val="22"/>
        </w:rPr>
        <w:t>Upon the termination of the Executive's employment by GeneDx without Cause or by the Executive for Good Reason or upon GeneDx's failure to renew the Term during a Change in Control Period, the Executive will be entitled to receive the Executive's Accrued Compensation and, subject to the requirements of Section 5.F, will be entitled to receive the following payments and benefits, in each case, less required deductions and withholdings:</w:t>
      </w:r>
    </w:p>
    <w:p>
      <w:pPr>
        <w:pStyle w:val="TextBody"/>
        <w:bidi w:val="0"/>
        <w:spacing w:lineRule="auto" w:line="288" w:before="246" w:after="283"/>
        <w:ind w:left="0" w:right="0" w:hanging="720"/>
        <w:jc w:val="left"/>
        <w:rPr/>
      </w:pPr>
      <w:r>
        <w:rPr>
          <w:rFonts w:ascii="Times New Roman;serif" w:hAnsi="Times New Roman;serif"/>
          <w:b w:val="false"/>
          <w:color w:val="000000"/>
          <w:sz w:val="22"/>
        </w:rPr>
        <w:t>(i)</w:t>
      </w:r>
      <w:r>
        <w:rPr>
          <w:rFonts w:ascii="Times New Roman;serif" w:hAnsi="Times New Roman;serif"/>
          <w:b w:val="false"/>
          <w:i/>
          <w:color w:val="000000"/>
          <w:sz w:val="22"/>
        </w:rPr>
        <w:t xml:space="preserve">Cash Severance. </w:t>
      </w:r>
      <w:r>
        <w:rPr>
          <w:rFonts w:ascii="Times New Roman;serif" w:hAnsi="Times New Roman;serif"/>
          <w:b w:val="false"/>
          <w:color w:val="000000"/>
          <w:sz w:val="22"/>
        </w:rPr>
        <w:t>The Employer shall pay the Executive, as severance:</w:t>
      </w:r>
    </w:p>
    <w:p>
      <w:pPr>
        <w:pStyle w:val="TextBody"/>
        <w:bidi w:val="0"/>
        <w:spacing w:lineRule="auto" w:line="280" w:before="233" w:after="283"/>
        <w:ind w:left="0" w:right="0" w:firstLine="2162"/>
        <w:jc w:val="both"/>
        <w:rPr>
          <w:rFonts w:ascii="Times New Roman;serif" w:hAnsi="Times New Roman;serif"/>
          <w:b w:val="false"/>
          <w:color w:val="000000"/>
          <w:sz w:val="22"/>
        </w:rPr>
      </w:pPr>
      <w:r>
        <w:rPr>
          <w:rFonts w:ascii="Times New Roman;serif" w:hAnsi="Times New Roman;serif"/>
          <w:b w:val="false"/>
          <w:color w:val="000000"/>
          <w:sz w:val="22"/>
        </w:rPr>
        <w:t>(A)the equivalent of 12 months of the Executive's Base Salary as in effect as of the date of such termination, payable in the form of salary continuation, on the Employer's regular payroll dates, subject to standard payroll deductions and withholdings, starting on the 60th day after Executive's termination date, with the first payment to include those payments that would have occurred earlier but for the 60-day delay; and</w:t>
      </w:r>
    </w:p>
    <w:p>
      <w:pPr>
        <w:pStyle w:val="TextBody"/>
        <w:bidi w:val="0"/>
        <w:spacing w:lineRule="auto" w:line="288" w:before="231" w:after="283"/>
        <w:ind w:left="0" w:right="0" w:firstLine="2162"/>
        <w:jc w:val="both"/>
        <w:rPr>
          <w:rFonts w:ascii="Times New Roman;serif" w:hAnsi="Times New Roman;serif"/>
          <w:b w:val="false"/>
          <w:color w:val="000000"/>
          <w:sz w:val="22"/>
        </w:rPr>
      </w:pPr>
      <w:r>
        <w:rPr>
          <w:rFonts w:ascii="Times New Roman;serif" w:hAnsi="Times New Roman;serif"/>
          <w:b w:val="false"/>
          <w:color w:val="000000"/>
          <w:sz w:val="22"/>
        </w:rPr>
        <w:t>(B)an amount equal to 100% of the Executive's target Performance Bonus for the calendar year in which the Executive's employment termination occurs (disregarding any change to the Executive's Base Salary giving rise to Good Reason), payable in a lump sum, less deductions and withholdings, at the same time as the first severance payment described in Section 5.E(i)(A) above. For the avoidance of doubt, the amount payable pursuant to this Section 5.E(i)(B) shall not be subject to proration based on the portion of the year elapsed as of the date of termination.</w:t>
      </w:r>
    </w:p>
    <w:p>
      <w:pPr>
        <w:pStyle w:val="TextBody"/>
        <w:bidi w:val="0"/>
        <w:spacing w:before="0" w:after="0"/>
        <w:jc w:val="left"/>
        <w:rPr/>
      </w:pPr>
      <w:r>
        <w:rPr/>
      </w:r>
    </w:p>
    <w:p>
      <w:pPr>
        <w:pStyle w:val="TextBody"/>
        <w:bidi w:val="0"/>
        <w:spacing w:before="0" w:after="0"/>
        <w:jc w:val="left"/>
        <w:rPr/>
      </w:pPr>
      <w:r>
        <w:rPr/>
      </w:r>
    </w:p>
    <w:p>
      <w:pPr>
        <w:pStyle w:val="TextBody"/>
        <w:bidi w:val="0"/>
        <w:spacing w:before="93" w:after="283"/>
        <w:jc w:val="left"/>
        <w:rPr/>
      </w:pPr>
      <w:r>
        <w:rPr/>
      </w:r>
    </w:p>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2" w:before="63" w:after="283"/>
        <w:ind w:left="0" w:right="0" w:firstLine="1441"/>
        <w:jc w:val="both"/>
        <w:rPr/>
      </w:pPr>
      <w:r>
        <w:rPr>
          <w:rFonts w:ascii="Times New Roman;serif" w:hAnsi="Times New Roman;serif"/>
          <w:b w:val="false"/>
          <w:color w:val="000000"/>
          <w:sz w:val="21"/>
        </w:rPr>
        <w:t>(ii)</w:t>
      </w:r>
      <w:r>
        <w:rPr>
          <w:rFonts w:ascii="Times New Roman;serif" w:hAnsi="Times New Roman;serif"/>
          <w:b w:val="false"/>
          <w:i/>
          <w:color w:val="000000"/>
          <w:sz w:val="21"/>
        </w:rPr>
        <w:t xml:space="preserve">Benefits Continuation. </w:t>
      </w:r>
      <w:r>
        <w:rPr>
          <w:rFonts w:ascii="Times New Roman;serif" w:hAnsi="Times New Roman;serif"/>
          <w:b w:val="false"/>
          <w:color w:val="000000"/>
          <w:sz w:val="21"/>
        </w:rPr>
        <w:t>Provided that the Executive is then eligible for and timely elects continued coverage under COBRA, the Employer shall directly pay, or reimburse the Executive for, the monthly COBRA premiums to continue the Executive's coverage (including coverage for eligible dependents, if applicable) through the period starting on the Executive's termination date and ending on the earliest to occur of: (a) 12 months following Executive's termination date; (b) the date the Executive becomes eligible for group health insurance coverage through a new employer; and (c) the date Executive ceases to be eligible for COBRA continuation coverage for any reason, including plan termination. In the event the Executive becomes covered under another employer's group health plan or otherwise ceases to be eligible for COBRA during this time period, the Executive must immediately notify the Employer of such event. Notwithstanding the foregoing, if the Employer determines, in its sole discretion, that it cannot pay the COBRA premiums without a substantial risk of violating applicable law, the Employer instead shall pay to the Executive, on the first day of each calendar month, a fully taxable cash payment equal to the applicable COBRA premiums for that month, subject to applicable tax withholdings, for the remainder of the COBRA premium period. The Executive may, but is not obligated to, use such payments toward the cost of COBRA premiums.</w:t>
      </w:r>
    </w:p>
    <w:p>
      <w:pPr>
        <w:pStyle w:val="TextBody"/>
        <w:bidi w:val="0"/>
        <w:spacing w:lineRule="auto" w:line="292" w:before="234" w:after="283"/>
        <w:ind w:left="0" w:right="0" w:firstLine="1441"/>
        <w:jc w:val="both"/>
        <w:rPr/>
      </w:pPr>
      <w:r>
        <w:rPr>
          <w:rFonts w:ascii="Times New Roman;serif" w:hAnsi="Times New Roman;serif"/>
          <w:b w:val="false"/>
          <w:color w:val="000000"/>
          <w:sz w:val="21"/>
        </w:rPr>
        <w:t>(iii)</w:t>
      </w:r>
      <w:r>
        <w:rPr>
          <w:rFonts w:ascii="Times New Roman;serif" w:hAnsi="Times New Roman;serif"/>
          <w:b w:val="false"/>
          <w:i/>
          <w:color w:val="000000"/>
          <w:sz w:val="21"/>
        </w:rPr>
        <w:t xml:space="preserve">Equity Award Acceleration. </w:t>
      </w:r>
      <w:r>
        <w:rPr>
          <w:rFonts w:ascii="Times New Roman;serif" w:hAnsi="Times New Roman;serif"/>
          <w:b w:val="false"/>
          <w:color w:val="000000"/>
          <w:sz w:val="21"/>
        </w:rPr>
        <w:t xml:space="preserve">The vesting of all unvested equity-based incentive compensation awards outstanding as of the date of such Change in Control and held by the Executive as of the date of such termination shall be accelerated such that 100% of the shares underlying such awards shall be deemed immediately vested and, if applicable, exercisable; </w:t>
      </w:r>
      <w:r>
        <w:rPr>
          <w:rFonts w:ascii="Times New Roman;serif" w:hAnsi="Times New Roman;serif"/>
          <w:b w:val="false"/>
          <w:i/>
          <w:color w:val="000000"/>
          <w:sz w:val="21"/>
        </w:rPr>
        <w:t xml:space="preserve">provided </w:t>
      </w:r>
      <w:r>
        <w:rPr>
          <w:rFonts w:ascii="Times New Roman;serif" w:hAnsi="Times New Roman;serif"/>
          <w:b w:val="false"/>
          <w:color w:val="000000"/>
          <w:sz w:val="21"/>
        </w:rPr>
        <w:t>that,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w:t>
      </w:r>
    </w:p>
    <w:p>
      <w:pPr>
        <w:pStyle w:val="TextBody"/>
        <w:bidi w:val="0"/>
        <w:spacing w:lineRule="auto" w:line="292" w:before="239" w:after="283"/>
        <w:ind w:left="0" w:right="0" w:firstLine="721"/>
        <w:jc w:val="both"/>
        <w:rPr/>
      </w:pPr>
      <w:r>
        <w:rPr>
          <w:rFonts w:ascii="Times New Roman;serif" w:hAnsi="Times New Roman;serif"/>
          <w:b w:val="false"/>
          <w:color w:val="000000"/>
          <w:sz w:val="21"/>
        </w:rPr>
        <w:t>F.</w:t>
      </w:r>
      <w:r>
        <w:rPr>
          <w:rFonts w:ascii="Times New Roman;serif" w:hAnsi="Times New Roman;serif"/>
          <w:b w:val="false"/>
          <w:i/>
          <w:color w:val="000000"/>
          <w:sz w:val="21"/>
        </w:rPr>
        <w:t xml:space="preserve">Conditions to Receipt of Severance Benefits. </w:t>
      </w:r>
      <w:r>
        <w:rPr>
          <w:rFonts w:ascii="Times New Roman;serif" w:hAnsi="Times New Roman;serif"/>
          <w:b w:val="false"/>
          <w:color w:val="000000"/>
          <w:sz w:val="21"/>
        </w:rPr>
        <w:t xml:space="preserve">As a condition to receiving the payments and benefits set forth in Section 5.D and Section 5.E, (i) the Executive must execute and deliver to GeneDx a release of claims in a form reasonably acceptable to GeneDx (the </w:t>
      </w:r>
      <w:r>
        <w:rPr>
          <w:rFonts w:ascii="Times New Roman;serif" w:hAnsi="Times New Roman;serif"/>
          <w:b/>
          <w:i/>
          <w:color w:val="000000"/>
          <w:sz w:val="21"/>
        </w:rPr>
        <w:t>"Release"</w:t>
      </w:r>
      <w:r>
        <w:rPr>
          <w:rFonts w:ascii="Times New Roman;serif" w:hAnsi="Times New Roman;serif"/>
          <w:b w:val="false"/>
          <w:i/>
          <w:color w:val="000000"/>
          <w:sz w:val="21"/>
        </w:rPr>
        <w:t>)</w:t>
      </w:r>
      <w:r>
        <w:rPr>
          <w:color w:val="000000"/>
        </w:rPr>
        <w:t xml:space="preserve"> </w:t>
      </w:r>
      <w:r>
        <w:rPr>
          <w:rFonts w:ascii="Times New Roman;serif" w:hAnsi="Times New Roman;serif"/>
          <w:b w:val="false"/>
          <w:color w:val="000000"/>
          <w:sz w:val="21"/>
        </w:rPr>
        <w:t>and the Release must have become effective and the revocation period provided therein must have expired without the Executive having revoked the Release within the 60-day period following the date of termination, and (ii) the Executive must not have revoked or breached the provisions of such Release or breached Section 9 or the CIPAA (as defined below). GeneDx shall provide the Release to the Executive within 21 days following the date of termination. In the event GeneDx does not provide the Release to the Executive within 21 days following the date of termination, the Release shall no longer be required and the Executive shall nonetheless be entitled to the payments and benefits set forth in Section 5.D and Section 5.E. However, in the event that the Executive is provided the Release within the 21-day period following the date of termination, but the Executive does not execute and deliver the Release, the Release does not become effective and irrevocable within such period or the Executive revokes or breaches the provisions of the Release or breaches Section 9 of this Agreement or the provisions of the CIPAA, the Executive (A) will be deemed to have voluntarily resigned the Executive's employment hereunder without Good Reason, (B) will not be entitled to the payments, benefits or accelerated vesting described in Section 5.D or Section 5.E and (C) will be required to reimburse GeneDx, in cash within five business days after written demand is made by GeneDx therefore, for an amount equal to the value of any payments or benefits the Executive received pursuant to Section 5.D or Section 5.E.</w:t>
      </w:r>
    </w:p>
    <w:p>
      <w:pPr>
        <w:pStyle w:val="TextBody"/>
        <w:bidi w:val="0"/>
        <w:spacing w:before="4" w:after="283"/>
        <w:jc w:val="left"/>
        <w:rPr/>
      </w:pPr>
      <w:r>
        <w:rPr/>
      </w:r>
    </w:p>
    <w:p>
      <w:pPr>
        <w:pStyle w:val="TextBody"/>
        <w:bidi w:val="0"/>
        <w:spacing w:lineRule="auto" w:line="266" w:before="0" w:after="0"/>
        <w:ind w:left="0" w:right="0" w:hanging="751"/>
        <w:jc w:val="left"/>
        <w:rPr/>
      </w:pPr>
      <w:r>
        <w:rPr>
          <w:rFonts w:ascii="Courier New;serif" w:hAnsi="Courier New;serif"/>
          <w:b w:val="false"/>
          <w:color w:val="000000"/>
          <w:sz w:val="23"/>
        </w:rPr>
        <w:t>6.</w:t>
      </w:r>
      <w:r>
        <w:rPr>
          <w:rFonts w:ascii="Times New Roman;serif" w:hAnsi="Times New Roman;serif"/>
          <w:b/>
          <w:color w:val="000000"/>
          <w:sz w:val="21"/>
        </w:rPr>
        <w:t xml:space="preserve">CONFIDENTIALITY    AND    INTELLECTUAL    PROPERTY    ASSIGNMENT AGREEMENT </w:t>
      </w:r>
      <w:r>
        <w:rPr>
          <w:rFonts w:ascii="Times New Roman;serif" w:hAnsi="Times New Roman;serif"/>
          <w:b/>
          <w:i/>
          <w:color w:val="000000"/>
          <w:sz w:val="21"/>
        </w:rPr>
        <w:t xml:space="preserve">and </w:t>
      </w:r>
      <w:r>
        <w:rPr>
          <w:rFonts w:ascii="Times New Roman;serif" w:hAnsi="Times New Roman;serif"/>
          <w:b/>
          <w:color w:val="000000"/>
          <w:sz w:val="21"/>
        </w:rPr>
        <w:t>RESTRICTIVE COVENANTS</w:t>
      </w:r>
    </w:p>
    <w:p>
      <w:pPr>
        <w:pStyle w:val="TextBody"/>
        <w:bidi w:val="0"/>
        <w:spacing w:before="9" w:after="283"/>
        <w:jc w:val="left"/>
        <w:rPr/>
      </w:pPr>
      <w:r>
        <w:rPr/>
      </w:r>
    </w:p>
    <w:p>
      <w:pPr>
        <w:pStyle w:val="TextBody"/>
        <w:bidi w:val="0"/>
        <w:spacing w:lineRule="auto" w:line="292" w:before="0" w:after="0"/>
        <w:ind w:left="0" w:right="0" w:firstLine="722"/>
        <w:jc w:val="both"/>
        <w:rPr/>
      </w:pPr>
      <w:r>
        <w:rPr>
          <w:rFonts w:ascii="Times New Roman;serif" w:hAnsi="Times New Roman;serif"/>
          <w:b w:val="false"/>
          <w:color w:val="000000"/>
          <w:sz w:val="21"/>
        </w:rPr>
        <w:t xml:space="preserve">The Executive agrees to execute and abide by the Confidentiality and Intellectual Property Assignment Agreement the </w:t>
      </w:r>
      <w:r>
        <w:rPr>
          <w:rFonts w:ascii="Times New Roman;serif" w:hAnsi="Times New Roman;serif"/>
          <w:b/>
          <w:i/>
          <w:color w:val="000000"/>
          <w:sz w:val="21"/>
        </w:rPr>
        <w:t>"CIPAA"</w:t>
      </w:r>
      <w:r>
        <w:rPr>
          <w:rFonts w:ascii="Times New Roman;serif" w:hAnsi="Times New Roman;serif"/>
          <w:b w:val="false"/>
          <w:i/>
          <w:color w:val="000000"/>
          <w:sz w:val="21"/>
        </w:rPr>
        <w:t>)</w:t>
      </w:r>
      <w:r>
        <w:rPr>
          <w:color w:val="000000"/>
        </w:rPr>
        <w:t xml:space="preserve"> </w:t>
      </w:r>
      <w:r>
        <w:rPr>
          <w:rFonts w:ascii="Times New Roman;serif" w:hAnsi="Times New Roman;serif"/>
          <w:b w:val="false"/>
          <w:color w:val="000000"/>
          <w:sz w:val="21"/>
        </w:rPr>
        <w:t xml:space="preserve">which GeneDx requires each employee to execute, which is attached hereto as </w:t>
      </w:r>
      <w:r>
        <w:rPr>
          <w:rFonts w:ascii="Times New Roman;serif" w:hAnsi="Times New Roman;serif"/>
          <w:b/>
          <w:color w:val="000000"/>
          <w:sz w:val="21"/>
        </w:rPr>
        <w:t xml:space="preserve">Exhibit B </w:t>
      </w:r>
      <w:r>
        <w:rPr>
          <w:rFonts w:ascii="Times New Roman;serif" w:hAnsi="Times New Roman;serif"/>
          <w:b w:val="false"/>
          <w:color w:val="000000"/>
          <w:sz w:val="21"/>
        </w:rPr>
        <w:t xml:space="preserve">and which is incorporated and made part of this Agreement. In addition to the other obligations set forth in the CIPAA, Executive expressly acknowledges and agrees to comply with, during </w:t>
      </w:r>
      <w:r>
        <w:rPr>
          <w:rFonts w:ascii="Times New Roman;serif" w:hAnsi="Times New Roman;serif"/>
          <w:b w:val="false"/>
          <w:color w:val="000000"/>
          <w:sz w:val="22"/>
        </w:rPr>
        <w:t>and after Executive's employment, the restrictive covenants contained in Section 8 of the CIPAA as applicable. In the event of a conflict between the terms of the CIPAA and this Agreement, including but not limited to with regard to choice of law provisions, the terms of this Agreement shall prevail.</w:t>
      </w:r>
    </w:p>
    <w:p>
      <w:pPr>
        <w:pStyle w:val="TextBody"/>
        <w:bidi w:val="0"/>
        <w:spacing w:before="0" w:after="0"/>
        <w:jc w:val="left"/>
        <w:rPr/>
      </w:pPr>
      <w:r>
        <w:rPr/>
      </w:r>
    </w:p>
    <w:p>
      <w:pPr>
        <w:pStyle w:val="TextBody"/>
        <w:bidi w:val="0"/>
        <w:spacing w:before="75" w:after="283"/>
        <w:jc w:val="left"/>
        <w:rPr/>
      </w:pPr>
      <w:r>
        <w:rPr/>
      </w:r>
    </w:p>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74" w:after="283"/>
        <w:jc w:val="both"/>
        <w:rPr/>
      </w:pPr>
      <w:r>
        <w:rPr/>
      </w:r>
    </w:p>
    <w:p>
      <w:pPr>
        <w:pStyle w:val="TextBody"/>
        <w:bidi w:val="0"/>
        <w:spacing w:lineRule="auto" w:line="288" w:before="241" w:after="283"/>
        <w:ind w:left="0" w:right="0" w:hanging="723"/>
        <w:jc w:val="left"/>
        <w:rPr>
          <w:rFonts w:ascii="Times New Roman;serif" w:hAnsi="Times New Roman;serif"/>
          <w:b/>
          <w:color w:val="000000"/>
          <w:sz w:val="22"/>
        </w:rPr>
      </w:pPr>
      <w:r>
        <w:rPr>
          <w:rFonts w:ascii="Times New Roman;serif" w:hAnsi="Times New Roman;serif"/>
          <w:b/>
          <w:color w:val="000000"/>
          <w:sz w:val="22"/>
        </w:rPr>
        <w:t>7.AGREEMENT ASSIGNMENT.</w:t>
      </w:r>
    </w:p>
    <w:p>
      <w:pPr>
        <w:pStyle w:val="TextBody"/>
        <w:bidi w:val="0"/>
        <w:spacing w:lineRule="auto" w:line="288" w:before="242" w:after="283"/>
        <w:ind w:left="0" w:right="0" w:firstLine="717"/>
        <w:jc w:val="both"/>
        <w:rPr>
          <w:rFonts w:ascii="Times New Roman;serif" w:hAnsi="Times New Roman;serif"/>
          <w:b w:val="false"/>
          <w:color w:val="000000"/>
          <w:sz w:val="22"/>
        </w:rPr>
      </w:pPr>
      <w:r>
        <w:rPr>
          <w:rFonts w:ascii="Times New Roman;serif" w:hAnsi="Times New Roman;serif"/>
          <w:b w:val="false"/>
          <w:color w:val="000000"/>
          <w:sz w:val="22"/>
        </w:rPr>
        <w:t>It is agreed that this is a personal contract between the parties and that the rights and interests of the Executive hereunder may not be sold, transferred, assigned, pledged or hypothecated otherwise than by will or the laws of descent or distribution. GeneDx may assign this Agreement to a successor to all or substantially all of the business of GeneDx, and GeneDx shall be released from any further liability pursuant hereto upon such assignment and the assumption of the obligations of GeneDx hereunder by such successor.</w:t>
      </w:r>
    </w:p>
    <w:p>
      <w:pPr>
        <w:pStyle w:val="TextBody"/>
        <w:bidi w:val="0"/>
        <w:spacing w:lineRule="auto" w:line="288" w:before="239" w:after="283"/>
        <w:ind w:left="0" w:right="0" w:hanging="724"/>
        <w:jc w:val="left"/>
        <w:rPr>
          <w:rFonts w:ascii="Times New Roman;serif" w:hAnsi="Times New Roman;serif"/>
          <w:b/>
          <w:color w:val="000000"/>
          <w:sz w:val="22"/>
        </w:rPr>
      </w:pPr>
      <w:r>
        <w:rPr>
          <w:rFonts w:ascii="Times New Roman;serif" w:hAnsi="Times New Roman;serif"/>
          <w:b/>
          <w:color w:val="000000"/>
          <w:sz w:val="22"/>
        </w:rPr>
        <w:t>8.EXCLUSIVE EMPLOYMENT.</w:t>
      </w:r>
    </w:p>
    <w:p>
      <w:pPr>
        <w:pStyle w:val="TextBody"/>
        <w:bidi w:val="0"/>
        <w:spacing w:lineRule="auto" w:line="288" w:before="242" w:after="283"/>
        <w:ind w:left="0" w:right="0" w:firstLine="723"/>
        <w:jc w:val="both"/>
        <w:rPr>
          <w:rFonts w:ascii="Times New Roman;serif" w:hAnsi="Times New Roman;serif"/>
          <w:b w:val="false"/>
          <w:color w:val="000000"/>
          <w:sz w:val="22"/>
        </w:rPr>
      </w:pPr>
      <w:r>
        <w:rPr>
          <w:rFonts w:ascii="Times New Roman;serif" w:hAnsi="Times New Roman;serif"/>
          <w:b w:val="false"/>
          <w:color w:val="000000"/>
          <w:sz w:val="22"/>
        </w:rPr>
        <w:t>A.Except as permitted by GeneDx, during Executive's employment the Executive will not do anything to compete with the present or contemplated business of GeneDx, permit to exist any conflict of interest in respect of Executive's relationship with GeneDx, or plan or organize any competitive business activity (with the understanding that the ownership by the Executive of less than one percent (1%) of the outstanding shares of common stock of a publicly traded corporation shall not be deemed to violate the requirements of this sentence). The Executive is not a party to, and during Executive's employment Executive will not enter into, any agreement or directly or indirectly acquire, assume, or participate in any position, investment or interest that conflicts with Executive's duties or obligations to GeneDx or that is known by Executive to be adverse to GeneDx.</w:t>
      </w:r>
    </w:p>
    <w:p>
      <w:pPr>
        <w:pStyle w:val="TextBody"/>
        <w:bidi w:val="0"/>
        <w:spacing w:lineRule="auto" w:line="288" w:before="24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B.All corporate opportunities which are consistent with the business and purpose of GeneDx are to be the property of GeneDx, as applicable, and cannot be used or disclosed by Executive for any purpose other than performing Executive's Duties and Executive shall present to GeneDx, as applicable, any such opportunities of which Executive becomes aware. Executive shall at all times strictly comply with GeneDx's conflicts of interest policy and any other policies adopted by the Board.</w:t>
      </w:r>
    </w:p>
    <w:p>
      <w:pPr>
        <w:pStyle w:val="TextBody"/>
        <w:bidi w:val="0"/>
        <w:spacing w:lineRule="auto" w:line="288" w:before="245" w:after="283"/>
        <w:ind w:left="0" w:right="0" w:hanging="722"/>
        <w:jc w:val="left"/>
        <w:rPr>
          <w:rFonts w:ascii="Times New Roman;serif" w:hAnsi="Times New Roman;serif"/>
          <w:b/>
          <w:color w:val="000000"/>
          <w:sz w:val="22"/>
        </w:rPr>
      </w:pPr>
      <w:r>
        <w:rPr>
          <w:rFonts w:ascii="Times New Roman;serif" w:hAnsi="Times New Roman;serif"/>
          <w:b/>
          <w:color w:val="000000"/>
          <w:sz w:val="22"/>
        </w:rPr>
        <w:t>9.409A COMPLIANCE.</w:t>
      </w:r>
    </w:p>
    <w:p>
      <w:pPr>
        <w:pStyle w:val="TextBody"/>
        <w:bidi w:val="0"/>
        <w:spacing w:lineRule="auto" w:line="288" w:before="237" w:after="283"/>
        <w:ind w:left="0" w:right="0" w:firstLine="723"/>
        <w:jc w:val="both"/>
        <w:rPr/>
      </w:pPr>
      <w:r>
        <w:rPr>
          <w:rFonts w:ascii="Times New Roman;serif" w:hAnsi="Times New Roman;serif"/>
          <w:b w:val="false"/>
          <w:color w:val="000000"/>
          <w:sz w:val="22"/>
        </w:rPr>
        <w:t xml:space="preserve">Notwithstanding any other provision of this Agreement, the Employer and the Executive intend that any payments, benefits or other provisions applicable to this Agreement comply with the payout and other limitations and restrictions imposed under Section 409A of the Internal Revenue Code of 1986, as amended </w:t>
      </w:r>
      <w:r>
        <w:rPr>
          <w:rFonts w:ascii="Times New Roman;serif" w:hAnsi="Times New Roman;serif"/>
          <w:b w:val="false"/>
          <w:color w:val="000000"/>
          <w:sz w:val="21"/>
        </w:rPr>
        <w:t>(</w:t>
      </w:r>
      <w:r>
        <w:rPr>
          <w:rFonts w:ascii="Times New Roman;serif" w:hAnsi="Times New Roman;serif"/>
          <w:b/>
          <w:i/>
          <w:color w:val="000000"/>
          <w:sz w:val="21"/>
        </w:rPr>
        <w:t xml:space="preserve">"Section 409A" </w:t>
      </w:r>
      <w:r>
        <w:rPr>
          <w:rFonts w:ascii="Times New Roman;serif" w:hAnsi="Times New Roman;serif"/>
          <w:b w:val="false"/>
          <w:color w:val="000000"/>
          <w:sz w:val="22"/>
        </w:rPr>
        <w:t xml:space="preserve">and the Internal Revenue Code of 1986, as amended, the </w:t>
      </w:r>
      <w:r>
        <w:rPr>
          <w:rFonts w:ascii="Times New Roman;serif" w:hAnsi="Times New Roman;serif"/>
          <w:b/>
          <w:i/>
          <w:color w:val="000000"/>
          <w:sz w:val="21"/>
        </w:rPr>
        <w:t>"Code"</w:t>
      </w:r>
      <w:r>
        <w:rPr>
          <w:rFonts w:ascii="Times New Roman;serif" w:hAnsi="Times New Roman;serif"/>
          <w:b w:val="false"/>
          <w:color w:val="000000"/>
          <w:sz w:val="21"/>
        </w:rPr>
        <w:t>),</w:t>
      </w:r>
      <w:r>
        <w:rPr>
          <w:color w:val="000000"/>
        </w:rPr>
        <w:t xml:space="preserve"> </w:t>
      </w:r>
      <w:r>
        <w:rPr>
          <w:rFonts w:ascii="Times New Roman;serif" w:hAnsi="Times New Roman;serif"/>
          <w:b w:val="false"/>
          <w:color w:val="000000"/>
          <w:sz w:val="22"/>
        </w:rPr>
        <w:t>as clarified or modified by guidance from the U.S. Department of Treasury or the Internal Revenue Service, in each case if and to the extent Section 409A is otherwise applicable to this Agreement and such compliance is necessary to avoid the penalties otherwise imposed under Section 409A. In connection with this, the Employer and the Executive agree that the payments, benefits and other provisions applicable to this Agreement, and the terms of any deferral and other rights regarding this Agreement, shall be deemed modified if and to the extent necessary to comply with the payout and other limitations and restrictions imposed under Section 409A, as clarified or supplemented by guidance from the U.S. Department of Treasury or the Internal Revenue Service, in each case if and to the extent Section 409A is otherwise applicable to this Agreement and such compliance is necessary to avoid the penalties otherwise imposed under Section 409A. Any payments and benefits under this Agreement that qualify for the "short-term deferral" exemption or another exemption under Section 409A shall be paid under the applicable exemption. For purposes of the Section 409A, each payment of compensation under this Agreement shall be treated as a separate payment of compensation. Notwithstanding anything in this Agreement to the contrary, if any amounts or benefits payable under this Agreement in the event of Executive's termination of employment constitute "nonqualified deferred compensation" within the meaning of Section 409A,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4" w:after="283"/>
        <w:ind w:left="0" w:right="0" w:firstLine="4"/>
        <w:jc w:val="both"/>
        <w:rPr/>
      </w:pPr>
      <w:r>
        <w:rPr>
          <w:rFonts w:ascii="Times New Roman;serif" w:hAnsi="Times New Roman;serif"/>
          <w:b w:val="false"/>
          <w:color w:val="000000"/>
          <w:sz w:val="22"/>
        </w:rPr>
        <w:t xml:space="preserve">payment of such amounts and benefits shall commence when the Executive incurs a "separation from service" within the meaning of Treasury Regulation 1.409A-l(h) </w:t>
      </w:r>
      <w:r>
        <w:rPr>
          <w:rFonts w:ascii="Times New Roman;serif" w:hAnsi="Times New Roman;serif"/>
          <w:b/>
          <w:i/>
          <w:color w:val="000000"/>
          <w:sz w:val="21"/>
        </w:rPr>
        <w:t xml:space="preserve">("Separation from Service"). </w:t>
      </w:r>
      <w:r>
        <w:rPr>
          <w:rFonts w:ascii="Times New Roman;serif" w:hAnsi="Times New Roman;serif"/>
          <w:b w:val="false"/>
          <w:color w:val="000000"/>
          <w:sz w:val="22"/>
        </w:rPr>
        <w:t xml:space="preserve">Such payments or benefits shall be provided in accordance with the timing provisions of this Agreement by substituting the Agreement's references to "termination of employment" or "termination" with Separation from Service. In addition, if at the time of Executive's Separation from Service the Executive is a "specified employee" within the meaning of Section 409A(a)(2)(B)(i) of the Code, any amount or benefits that the constitutes "nonqualified deferred compensation" within the meaning of Section 409A that becomes payable to Executive on account of the Executive's Separation from Service will not be paid until after the earlier of (i) first business day of the seventh month period following Executive's Separation from Service, or (ii) the date of the Executive's death (the </w:t>
      </w:r>
      <w:r>
        <w:rPr>
          <w:rFonts w:ascii="Times New Roman;serif" w:hAnsi="Times New Roman;serif"/>
          <w:b/>
          <w:i/>
          <w:color w:val="000000"/>
          <w:sz w:val="21"/>
        </w:rPr>
        <w:t xml:space="preserve">"409A Suspension Period''). </w:t>
      </w:r>
      <w:r>
        <w:rPr>
          <w:rFonts w:ascii="Times New Roman;serif" w:hAnsi="Times New Roman;serif"/>
          <w:b w:val="false"/>
          <w:color w:val="000000"/>
          <w:sz w:val="22"/>
        </w:rPr>
        <w:t>Within 14 calendar days after the end of the 409A Suspension Period, the Executive shall be paid a cash lump sum payment equal to any payments and benefits that the Employer would otherwise have been required to provide under this Agreement but for the imposition of the 409A Suspension Period delayed because of the preceding sentence. Thereafter, the Executive shall receive any remaining payments and benefits due under this Agreement in accordance with the terms of this Section (as if there had not been any Suspension Period beforehand). To the extent not otherwise specified in this Agreement, all (A) reimbursements and (B) in-kind benefits provided under this Agreement shall be made or provided in accordance with the requirements of Section 409A, including, where applicable, the requirement that (1) any reimbursement is for expenses incurred during the Executive's lifetime (or during a shorter period of time specified in this Agreement); (2) the amount of expenses eligible for reimbursement, or in kind benefits provided, during a calendar year may not affect the expenses eligible for reimbursement, or in kind benefits to be provided, in any other calendar year; (3) the reimbursement of an eligible expense will be made no later than the last day of the calendar year following the year in which the expense is incurred; and (4) the right to reimbursement or in kind benefits is not subject to liquidation or exchange for another benefit.</w:t>
      </w:r>
    </w:p>
    <w:p>
      <w:pPr>
        <w:pStyle w:val="TextBody"/>
        <w:bidi w:val="0"/>
        <w:spacing w:lineRule="auto" w:line="288" w:before="244" w:after="283"/>
        <w:ind w:left="0" w:right="0" w:hanging="718"/>
        <w:jc w:val="both"/>
        <w:rPr>
          <w:rFonts w:ascii="Times New Roman;serif" w:hAnsi="Times New Roman;serif"/>
          <w:b/>
          <w:color w:val="000000"/>
          <w:sz w:val="22"/>
        </w:rPr>
      </w:pPr>
      <w:r>
        <w:rPr>
          <w:rFonts w:ascii="Times New Roman;serif" w:hAnsi="Times New Roman;serif"/>
          <w:b/>
          <w:color w:val="000000"/>
          <w:sz w:val="22"/>
        </w:rPr>
        <w:t>10.SECTION 280G.</w:t>
      </w:r>
    </w:p>
    <w:p>
      <w:pPr>
        <w:pStyle w:val="TextBody"/>
        <w:bidi w:val="0"/>
        <w:spacing w:lineRule="auto" w:line="288" w:before="237" w:after="283"/>
        <w:ind w:left="0" w:right="0" w:firstLine="718"/>
        <w:jc w:val="both"/>
        <w:rPr/>
      </w:pPr>
      <w:r>
        <w:rPr>
          <w:rFonts w:ascii="Times New Roman;serif" w:hAnsi="Times New Roman;serif"/>
          <w:b w:val="false"/>
          <w:color w:val="000000"/>
          <w:sz w:val="22"/>
        </w:rPr>
        <w:t xml:space="preserve">In the event that the severance and other benefits provided for in this Agreement or otherwise payable to the Executive (i) constitute "parachute payments" within the meaning of Section 280G of the Code and (ii) but for this Section 11, would be subject to the excise tax imposed by Section 4999 of the Code, then, the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severance benefits under this Agreement, notwithstanding that all or some portion of such severance benefits may be taxable under Section 4999 of the Code. Any reduction shall be made in the following order: (i) reduction of cash payments, (ii) cancellation of accelerated vesting of equity awards, and (iii) reduction of other benefits payable to the Executive. Unless GeneDx and the Executive otherwise agree in writing, any determination required under this Section 11 shall be made in writing by GeneDx's independent public accountants (the </w:t>
      </w:r>
      <w:r>
        <w:rPr>
          <w:rFonts w:ascii="Times New Roman;serif" w:hAnsi="Times New Roman;serif"/>
          <w:b/>
          <w:i/>
          <w:color w:val="000000"/>
          <w:sz w:val="21"/>
        </w:rPr>
        <w:t>"Accountants"</w:t>
      </w:r>
      <w:r>
        <w:rPr>
          <w:rFonts w:ascii="Times New Roman;serif" w:hAnsi="Times New Roman;serif"/>
          <w:b w:val="false"/>
          <w:color w:val="000000"/>
          <w:sz w:val="21"/>
        </w:rPr>
        <w:t>),</w:t>
      </w:r>
      <w:r>
        <w:rPr>
          <w:color w:val="000000"/>
        </w:rPr>
        <w:t xml:space="preserve"> </w:t>
      </w:r>
      <w:r>
        <w:rPr>
          <w:rFonts w:ascii="Times New Roman;serif" w:hAnsi="Times New Roman;serif"/>
          <w:b w:val="false"/>
          <w:color w:val="000000"/>
          <w:sz w:val="22"/>
        </w:rPr>
        <w:t>whose determination shall be conclusive and binding upon the Executive and GeneDx for all purposes. For purposes of making the calculations required by this Section 11, the Accountants may make reasonable assumptions and approximations concerning applicable taxes and may rely on reasonable, good faith interpretations concerning the application of Sections 280G and 4999 of the Code. GeneDx and the Executive shall furnish to the Accountants such information and documents as the Accountants may reasonably request in order to make a determination under this Section 11. GeneDx shall bear all costs the Accountants may reasonably incur in connection with any calculations contemplated by this Section 11.</w:t>
      </w:r>
    </w:p>
    <w:p>
      <w:pPr>
        <w:pStyle w:val="TextBody"/>
        <w:bidi w:val="0"/>
        <w:spacing w:lineRule="auto" w:line="288" w:before="248" w:after="283"/>
        <w:ind w:left="0" w:right="0" w:hanging="720"/>
        <w:jc w:val="both"/>
        <w:rPr>
          <w:rFonts w:ascii="Times New Roman;serif" w:hAnsi="Times New Roman;serif"/>
          <w:b/>
          <w:color w:val="000000"/>
          <w:sz w:val="22"/>
        </w:rPr>
      </w:pPr>
      <w:r>
        <w:rPr>
          <w:rFonts w:ascii="Times New Roman;serif" w:hAnsi="Times New Roman;serif"/>
          <w:b/>
          <w:color w:val="000000"/>
          <w:sz w:val="22"/>
        </w:rPr>
        <w:t>11.INDEMNIFICATION.</w:t>
      </w:r>
    </w:p>
    <w:p>
      <w:pPr>
        <w:pStyle w:val="TextBody"/>
        <w:bidi w:val="0"/>
        <w:spacing w:before="0" w:after="0"/>
        <w:jc w:val="left"/>
        <w:rPr/>
      </w:pPr>
      <w:r>
        <w:rPr/>
      </w:r>
    </w:p>
    <w:p>
      <w:pPr>
        <w:pStyle w:val="TextBody"/>
        <w:bidi w:val="0"/>
        <w:spacing w:before="41"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2" w:before="63" w:after="283"/>
        <w:ind w:left="0" w:right="0" w:firstLine="721"/>
        <w:jc w:val="both"/>
        <w:rPr>
          <w:rFonts w:ascii="Times New Roman;serif" w:hAnsi="Times New Roman;serif"/>
          <w:b w:val="false"/>
          <w:color w:val="000000"/>
          <w:sz w:val="21"/>
        </w:rPr>
      </w:pPr>
      <w:r>
        <w:rPr>
          <w:rFonts w:ascii="Times New Roman;serif" w:hAnsi="Times New Roman;serif"/>
          <w:b w:val="false"/>
          <w:color w:val="000000"/>
          <w:sz w:val="21"/>
        </w:rPr>
        <w:t>GeneDx shall indemnify the Executive, to the maximum extent permitted by applicable law, and in the same or better manner and to the same or better extent with respect to each aspect of the indemnification as provided to any other officer of GeneDx (including without limitation any Directors and Officers insurance coverage), against all costs, charges and expenses incurred or sustained by the Executive in connection with any action, suit or proceeding to which the Executive may be made a party, brought by any shareholder of GeneDx directly or derivatively or by any third party by reason of any act or omission of the Executive as an officer, director or employee of GeneDx; provided, however, that GeneDx will not indemnify the Executive in the event the Executive's acts or omissions involved any deliberate fraud, any deliberate criminal act, or any knowing or willful violation of any United States law.</w:t>
      </w:r>
    </w:p>
    <w:p>
      <w:pPr>
        <w:pStyle w:val="TextBody"/>
        <w:bidi w:val="0"/>
        <w:spacing w:lineRule="auto" w:line="288" w:before="227" w:after="283"/>
        <w:ind w:left="0" w:right="0" w:hanging="721"/>
        <w:jc w:val="left"/>
        <w:rPr>
          <w:rFonts w:ascii="Times New Roman;serif" w:hAnsi="Times New Roman;serif"/>
          <w:b/>
          <w:color w:val="000000"/>
          <w:sz w:val="22"/>
        </w:rPr>
      </w:pPr>
      <w:r>
        <w:rPr>
          <w:rFonts w:ascii="Times New Roman;serif" w:hAnsi="Times New Roman;serif"/>
          <w:b/>
          <w:color w:val="000000"/>
          <w:sz w:val="22"/>
        </w:rPr>
        <w:t>12.GENERAL PROVISIONS.</w:t>
      </w:r>
    </w:p>
    <w:p>
      <w:pPr>
        <w:pStyle w:val="TextBody"/>
        <w:bidi w:val="0"/>
        <w:spacing w:lineRule="auto" w:line="292" w:before="252" w:after="283"/>
        <w:ind w:left="0" w:right="0" w:firstLine="722"/>
        <w:jc w:val="both"/>
        <w:rPr>
          <w:rFonts w:ascii="Times New Roman;serif" w:hAnsi="Times New Roman;serif"/>
          <w:b w:val="false"/>
          <w:color w:val="000000"/>
          <w:sz w:val="21"/>
        </w:rPr>
      </w:pPr>
      <w:r>
        <w:rPr>
          <w:rFonts w:ascii="Times New Roman;serif" w:hAnsi="Times New Roman;serif"/>
          <w:b w:val="false"/>
          <w:color w:val="000000"/>
          <w:sz w:val="21"/>
        </w:rPr>
        <w:t>A.This Agreement shall be construed in accordance with and governed by the laws of laws of the state of New York without reference to the principles thereof respecting conflicts of laws. Each party to this Agreement, by Executive's or its execution hereof, hereby irrevocably submits to the exclusive jurisdiction of the federal and state courts of New York for the purpose of any and all actions, suits or proceedings arising in whole or in part out of, related to, based upon or in connection with this Agreement.</w:t>
      </w:r>
    </w:p>
    <w:p>
      <w:pPr>
        <w:pStyle w:val="TextBody"/>
        <w:bidi w:val="0"/>
        <w:spacing w:lineRule="auto" w:line="292" w:before="236" w:after="283"/>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B.Any notices provided hereunder must be in writing and shall be deemed effective upon the earlier of personal or hand delivery (effective immediately), e-mail delivery (effective immediately), or the third day after mailing by U.S. registered or certified mail, return receipt requested and postage prepaid, to GeneDx at its headquarters to the attention of the Chief Legal Officer (legal@genedx.com) and to Executive at Executive's address as listed on the Employer's payroll.</w:t>
      </w:r>
    </w:p>
    <w:p>
      <w:pPr>
        <w:pStyle w:val="TextBody"/>
        <w:bidi w:val="0"/>
        <w:spacing w:before="0" w:after="0"/>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1"/>
        </w:rPr>
      </w:pPr>
      <w:r>
        <w:rPr>
          <w:rFonts w:ascii="Times New Roman;serif" w:hAnsi="Times New Roman;serif"/>
          <w:b w:val="false"/>
          <w:color w:val="000000"/>
          <w:sz w:val="21"/>
        </w:rPr>
        <w:t>C.This Agreement shall inure to the benefit of and be binding upon GeneDx, its permitted successors and assigns and the Executive, Executive's heirs, executors, administrators and legal representatives.</w:t>
      </w:r>
    </w:p>
    <w:p>
      <w:pPr>
        <w:pStyle w:val="TextBody"/>
        <w:bidi w:val="0"/>
        <w:spacing w:before="4" w:after="283"/>
        <w:jc w:val="left"/>
        <w:rPr/>
      </w:pPr>
      <w:r>
        <w:rPr/>
      </w:r>
    </w:p>
    <w:p>
      <w:pPr>
        <w:pStyle w:val="TextBody"/>
        <w:bidi w:val="0"/>
        <w:spacing w:lineRule="auto" w:line="292" w:before="0" w:after="0"/>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D.This Agreement and the CIPAA set forth the entire understanding of the parties hereto with respect to the employment of the Executive by the Employer. Any and all other previous agreements and understandings between or among the parties regarding the subject matter hereof, whether written or oral, are hereby released, merged herein and superseded by this Agreement.</w:t>
      </w:r>
    </w:p>
    <w:p>
      <w:pPr>
        <w:pStyle w:val="TextBody"/>
        <w:bidi w:val="0"/>
        <w:spacing w:lineRule="auto" w:line="288" w:before="241" w:after="283"/>
        <w:ind w:left="0" w:right="0" w:firstLine="719"/>
        <w:jc w:val="both"/>
        <w:rPr>
          <w:rFonts w:ascii="Times New Roman;serif" w:hAnsi="Times New Roman;serif"/>
          <w:b w:val="false"/>
          <w:color w:val="000000"/>
          <w:sz w:val="21"/>
        </w:rPr>
      </w:pPr>
      <w:r>
        <w:rPr>
          <w:rFonts w:ascii="Times New Roman;serif" w:hAnsi="Times New Roman;serif"/>
          <w:b w:val="false"/>
          <w:color w:val="000000"/>
          <w:sz w:val="21"/>
        </w:rPr>
        <w:t>E.No statement, representation, warranty, covenant or agreement not expressly set forth in this Agreement shall affect or be used to interpret, change or restrict the express terms and provisions of this Agreement.</w:t>
      </w:r>
    </w:p>
    <w:p>
      <w:pPr>
        <w:pStyle w:val="TextBody"/>
        <w:bidi w:val="0"/>
        <w:spacing w:before="4" w:after="283"/>
        <w:jc w:val="left"/>
        <w:rPr/>
      </w:pPr>
      <w:r>
        <w:rPr/>
      </w:r>
    </w:p>
    <w:p>
      <w:pPr>
        <w:pStyle w:val="TextBody"/>
        <w:bidi w:val="0"/>
        <w:spacing w:lineRule="auto" w:line="292" w:before="0" w:after="0"/>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F.This Agreement may not be amended or modified without a writing signed by each of the Executive and the Employer.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pStyle w:val="TextBody"/>
        <w:bidi w:val="0"/>
        <w:spacing w:lineRule="auto" w:line="292" w:before="239" w:after="283"/>
        <w:ind w:left="0" w:right="0" w:firstLine="721"/>
        <w:jc w:val="both"/>
        <w:rPr>
          <w:rFonts w:ascii="Times New Roman;serif" w:hAnsi="Times New Roman;serif"/>
          <w:b w:val="false"/>
          <w:color w:val="000000"/>
          <w:sz w:val="21"/>
        </w:rPr>
      </w:pPr>
      <w:r>
        <w:rPr>
          <w:rFonts w:ascii="Times New Roman;serif" w:hAnsi="Times New Roman;serif"/>
          <w:b w:val="false"/>
          <w:color w:val="000000"/>
          <w:sz w:val="21"/>
        </w:rPr>
        <w:t>G.This Agreement may be executed in two counterparts, each of which shall be an original, and which together shall constitute one and the same instrument. A facsimile transmission by a party of a signed signature page hereof shall have the same effect as delivery by such party of a manually executed original counterpart hereof.</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0"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4"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H.If for any reason any provision of this Agreement is held invalid, such invalidity shall not affect any other provision of this Agreement not held invalid, and each such other provision shall, to the full extent consistent with law, continue in full force and effect. If any provision of this Agreement shall be held invalid in part, such invalidity shall not affect the rest of such provision not held invalid, and the rest of such provision, and the rest of this Agreement, shall, to the full extent consistent with law, continue in full force and effect.</w:t>
      </w:r>
    </w:p>
    <w:p>
      <w:pPr>
        <w:pStyle w:val="TextBody"/>
        <w:bidi w:val="0"/>
        <w:spacing w:lineRule="auto" w:line="288" w:before="250" w:after="283"/>
        <w:jc w:val="center"/>
        <w:rPr>
          <w:rFonts w:ascii="Times New Roman;serif" w:hAnsi="Times New Roman;serif"/>
          <w:b w:val="false"/>
          <w:i/>
          <w:color w:val="000000"/>
          <w:sz w:val="21"/>
        </w:rPr>
      </w:pPr>
      <w:r>
        <w:rPr>
          <w:rFonts w:ascii="Times New Roman;serif" w:hAnsi="Times New Roman;serif"/>
          <w:b w:val="false"/>
          <w:i/>
          <w:color w:val="000000"/>
          <w:sz w:val="21"/>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4" w:after="180"/>
        <w:jc w:val="left"/>
        <w:rPr/>
      </w:pPr>
      <w:r>
        <w:rPr/>
      </w:r>
    </w:p>
    <w:p>
      <w:pPr>
        <w:pStyle w:val="TextBody"/>
        <w:bidi w:val="0"/>
        <w:spacing w:before="4" w:after="180"/>
        <w:jc w:val="left"/>
        <w:rPr/>
      </w:pPr>
      <w:r>
        <w:rPr/>
      </w:r>
    </w:p>
    <w:p>
      <w:pPr>
        <w:pStyle w:val="TextBody"/>
        <w:bidi w:val="0"/>
        <w:spacing w:before="4" w:after="180"/>
        <w:jc w:val="left"/>
        <w:rPr/>
      </w:pPr>
      <w:r>
        <w:rPr/>
      </w:r>
    </w:p>
    <w:p>
      <w:pPr>
        <w:pStyle w:val="TextBody"/>
        <w:bidi w:val="0"/>
        <w:spacing w:before="4" w:after="180"/>
        <w:jc w:val="left"/>
        <w:rPr/>
      </w:pPr>
      <w:r>
        <w:rPr/>
      </w:r>
    </w:p>
    <w:p>
      <w:pPr>
        <w:pStyle w:val="TextBody"/>
        <w:bidi w:val="0"/>
        <w:spacing w:lineRule="auto" w:line="288" w:before="4" w:after="18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duly executed this Agreement as of the date first above written.</w:t>
      </w:r>
    </w:p>
    <w:tbl>
      <w:tblPr>
        <w:tblW w:w="352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1"/>
        <w:gridCol w:w="261"/>
        <w:gridCol w:w="261"/>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EMPLOYER: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Katherine Stueland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EXECUTIVE: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Gardner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Gardner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6" w:after="283"/>
        <w:jc w:val="left"/>
        <w:rPr/>
      </w:pPr>
      <w:r>
        <w:rPr/>
      </w:r>
    </w:p>
    <w:p>
      <w:pPr>
        <w:pStyle w:val="TextBody"/>
        <w:bidi w:val="0"/>
        <w:spacing w:lineRule="auto" w:line="292" w:before="1" w:after="283"/>
        <w:jc w:val="center"/>
        <w:rPr>
          <w:rFonts w:ascii="Times New Roman;serif" w:hAnsi="Times New Roman;serif"/>
          <w:b/>
          <w:color w:val="000000"/>
          <w:sz w:val="21"/>
        </w:rPr>
      </w:pPr>
      <w:r>
        <w:rPr>
          <w:rFonts w:ascii="Times New Roman;serif" w:hAnsi="Times New Roman;serif"/>
          <w:b/>
          <w:color w:val="000000"/>
          <w:sz w:val="21"/>
        </w:rPr>
        <w:t>EXHIBIT A DUTIES</w:t>
      </w:r>
    </w:p>
    <w:p>
      <w:pPr>
        <w:pStyle w:val="TextBody"/>
        <w:bidi w:val="0"/>
        <w:spacing w:before="0" w:after="0"/>
        <w:jc w:val="left"/>
        <w:rPr/>
      </w:pPr>
      <w:r>
        <w:rPr/>
      </w:r>
    </w:p>
    <w:p>
      <w:pPr>
        <w:pStyle w:val="TextBody"/>
        <w:bidi w:val="0"/>
        <w:spacing w:lineRule="auto" w:line="292" w:before="1" w:after="283"/>
        <w:ind w:left="0" w:right="0" w:firstLine="2"/>
        <w:jc w:val="left"/>
        <w:rPr>
          <w:rFonts w:ascii="Times New Roman;serif" w:hAnsi="Times New Roman;serif"/>
          <w:b w:val="false"/>
          <w:color w:val="000000"/>
          <w:sz w:val="21"/>
        </w:rPr>
      </w:pPr>
      <w:r>
        <w:rPr>
          <w:rFonts w:ascii="Times New Roman;serif" w:hAnsi="Times New Roman;serif"/>
          <w:b w:val="false"/>
          <w:color w:val="000000"/>
          <w:sz w:val="21"/>
        </w:rPr>
        <w:t>The President serves as the enterprise leader responsible for the end-to-end "Demand-to-Delivery" engine. This hybrid role integrates all commercial functions (Sales, Commercial Operations and Enablement, Client Experience, Marketing, Market Access) with the operational powerhouse of the organization (Production Lab, Facilities, and Quality) The primary objective is to drive aggressive top-line growth while ensuring the operational infrastructure scales to meet that demand with precision, quality, and speed.</w:t>
      </w:r>
    </w:p>
    <w:p>
      <w:pPr>
        <w:pStyle w:val="TextBody"/>
        <w:bidi w:val="0"/>
        <w:spacing w:before="0" w:after="0"/>
        <w:jc w:val="left"/>
        <w:rPr/>
      </w:pPr>
      <w:r>
        <w:rPr/>
      </w:r>
    </w:p>
    <w:p>
      <w:pPr>
        <w:pStyle w:val="TextBody"/>
        <w:bidi w:val="0"/>
        <w:spacing w:lineRule="auto" w:line="288" w:before="1" w:after="283"/>
        <w:jc w:val="left"/>
        <w:rPr>
          <w:rFonts w:ascii="Times New Roman;serif" w:hAnsi="Times New Roman;serif"/>
          <w:b w:val="false"/>
          <w:color w:val="000000"/>
          <w:sz w:val="21"/>
        </w:rPr>
      </w:pPr>
      <w:r>
        <w:rPr>
          <w:rFonts w:ascii="Times New Roman;serif" w:hAnsi="Times New Roman;serif"/>
          <w:b w:val="false"/>
          <w:color w:val="000000"/>
          <w:sz w:val="21"/>
        </w:rPr>
        <w:t>The President owns the P&amp;L from the point of market entry to the final delivery of the product/report,</w:t>
      </w:r>
    </w:p>
    <w:p>
      <w:pPr>
        <w:pStyle w:val="TextBody"/>
        <w:bidi w:val="0"/>
        <w:spacing w:lineRule="auto" w:line="292" w:before="13" w:after="283"/>
        <w:ind w:left="0" w:right="0" w:firstLine="5"/>
        <w:jc w:val="left"/>
        <w:rPr>
          <w:rFonts w:ascii="Times New Roman;serif" w:hAnsi="Times New Roman;serif"/>
          <w:b w:val="false"/>
          <w:color w:val="000000"/>
          <w:sz w:val="21"/>
        </w:rPr>
      </w:pPr>
      <w:r>
        <w:rPr>
          <w:rFonts w:ascii="Times New Roman;serif" w:hAnsi="Times New Roman;serif"/>
          <w:b w:val="false"/>
          <w:color w:val="000000"/>
          <w:sz w:val="21"/>
        </w:rPr>
        <w:t>managing functional leadership to ensure a frictionless flow of volume "in the door" and high-quality results "out the door."</w:t>
      </w:r>
    </w:p>
    <w:p>
      <w:pPr>
        <w:pStyle w:val="TextBody"/>
        <w:bidi w:val="0"/>
        <w:spacing w:before="8" w:after="283"/>
        <w:jc w:val="left"/>
        <w:rPr/>
      </w:pPr>
      <w:r>
        <w:rPr/>
      </w:r>
    </w:p>
    <w:p>
      <w:pPr>
        <w:pStyle w:val="TextBody"/>
        <w:bidi w:val="0"/>
        <w:spacing w:lineRule="auto" w:line="288" w:before="0" w:after="0"/>
        <w:jc w:val="left"/>
        <w:rPr>
          <w:rFonts w:ascii="Times New Roman;serif" w:hAnsi="Times New Roman;serif"/>
          <w:b/>
          <w:color w:val="000000"/>
          <w:sz w:val="21"/>
        </w:rPr>
      </w:pPr>
      <w:r>
        <w:rPr>
          <w:rFonts w:ascii="Times New Roman;serif" w:hAnsi="Times New Roman;serif"/>
          <w:b/>
          <w:color w:val="000000"/>
          <w:sz w:val="21"/>
        </w:rPr>
        <w:t>Key Responsibilities</w:t>
      </w:r>
    </w:p>
    <w:p>
      <w:pPr>
        <w:pStyle w:val="TextBody"/>
        <w:bidi w:val="0"/>
        <w:spacing w:before="12" w:after="283"/>
        <w:jc w:val="left"/>
        <w:rPr/>
      </w:pPr>
      <w:r>
        <w:rPr/>
      </w:r>
    </w:p>
    <w:p>
      <w:pPr>
        <w:pStyle w:val="TextBody"/>
        <w:bidi w:val="0"/>
        <w:spacing w:lineRule="auto" w:line="292" w:before="0" w:after="0"/>
        <w:ind w:left="0" w:right="0" w:firstLine="2"/>
        <w:jc w:val="left"/>
        <w:rPr>
          <w:rFonts w:ascii="Times New Roman;serif" w:hAnsi="Times New Roman;serif"/>
          <w:b w:val="false"/>
          <w:color w:val="000000"/>
          <w:sz w:val="21"/>
        </w:rPr>
      </w:pPr>
      <w:r>
        <w:rPr>
          <w:rFonts w:ascii="Times New Roman;serif" w:hAnsi="Times New Roman;serif"/>
          <w:b w:val="false"/>
          <w:color w:val="000000"/>
          <w:sz w:val="21"/>
        </w:rPr>
        <w:t>In terms of the performance and personal competencies required for the position, we would highlight the following:</w:t>
      </w:r>
    </w:p>
    <w:p>
      <w:pPr>
        <w:pStyle w:val="TextBody"/>
        <w:bidi w:val="0"/>
        <w:spacing w:lineRule="auto" w:line="288" w:before="238" w:after="283"/>
        <w:ind w:left="0" w:right="0" w:hanging="221"/>
        <w:jc w:val="left"/>
        <w:rPr>
          <w:rFonts w:ascii="Times New Roman;serif" w:hAnsi="Times New Roman;serif"/>
          <w:b/>
          <w:color w:val="000000"/>
          <w:sz w:val="21"/>
        </w:rPr>
      </w:pPr>
      <w:r>
        <w:rPr>
          <w:rFonts w:ascii="Times New Roman;serif" w:hAnsi="Times New Roman;serif"/>
          <w:b/>
          <w:color w:val="000000"/>
          <w:sz w:val="21"/>
        </w:rPr>
        <w:t>1.Integrated Enterprise Strategy (The "Engine" Owner)</w:t>
      </w:r>
    </w:p>
    <w:p>
      <w:pPr>
        <w:pStyle w:val="TextBody"/>
        <w:bidi w:val="0"/>
        <w:spacing w:before="12" w:after="283"/>
        <w:jc w:val="left"/>
        <w:rPr/>
      </w:pPr>
      <w:r>
        <w:rPr/>
      </w:r>
    </w:p>
    <w:p>
      <w:pPr>
        <w:pStyle w:val="TextBody"/>
        <w:bidi w:val="0"/>
        <w:spacing w:lineRule="auto" w:line="292" w:before="0" w:after="0"/>
        <w:ind w:left="0" w:right="0" w:hanging="360"/>
        <w:jc w:val="left"/>
        <w:rPr/>
      </w:pPr>
      <w:r>
        <w:rPr>
          <w:color w:val="797979"/>
        </w:rPr>
        <w:t>•</w:t>
      </w:r>
      <w:r>
        <w:rPr>
          <w:rFonts w:ascii="Times New Roman;serif" w:hAnsi="Times New Roman;serif"/>
          <w:b w:val="false"/>
          <w:color w:val="000000"/>
          <w:sz w:val="21"/>
        </w:rPr>
        <w:t>Architect and execute the unified commercial and operational roadmap, ensuring that sales targets are always synchronized with lab capacity and product readiness.</w:t>
      </w:r>
    </w:p>
    <w:p>
      <w:pPr>
        <w:pStyle w:val="TextBody"/>
        <w:bidi w:val="0"/>
        <w:spacing w:lineRule="auto" w:line="292" w:before="238" w:after="283"/>
        <w:ind w:left="0" w:right="0" w:hanging="360"/>
        <w:jc w:val="left"/>
        <w:rPr/>
      </w:pPr>
      <w:r>
        <w:rPr>
          <w:color w:val="797979"/>
        </w:rPr>
        <w:t>•</w:t>
      </w:r>
      <w:r>
        <w:rPr>
          <w:rFonts w:ascii="Times New Roman;serif" w:hAnsi="Times New Roman;serif"/>
          <w:b w:val="false"/>
          <w:color w:val="000000"/>
          <w:sz w:val="21"/>
        </w:rPr>
        <w:t>Own the end-to-end P&amp;L, focusing on revenue realization, gross margin optimization, and operational efficiency.</w:t>
      </w:r>
    </w:p>
    <w:p>
      <w:pPr>
        <w:pStyle w:val="TextBody"/>
        <w:bidi w:val="0"/>
        <w:spacing w:before="1" w:after="283"/>
        <w:jc w:val="left"/>
        <w:rPr/>
      </w:pPr>
      <w:r>
        <w:rPr/>
      </w:r>
    </w:p>
    <w:p>
      <w:pPr>
        <w:pStyle w:val="TextBody"/>
        <w:bidi w:val="0"/>
        <w:spacing w:lineRule="auto" w:line="292" w:before="0" w:after="0"/>
        <w:ind w:left="0" w:right="0" w:hanging="360"/>
        <w:jc w:val="left"/>
        <w:rPr/>
      </w:pPr>
      <w:r>
        <w:rPr>
          <w:color w:val="797979"/>
        </w:rPr>
        <w:t>•</w:t>
      </w:r>
      <w:r>
        <w:rPr>
          <w:rFonts w:ascii="Times New Roman;serif" w:hAnsi="Times New Roman;serif"/>
          <w:b w:val="false"/>
          <w:color w:val="000000"/>
          <w:sz w:val="21"/>
        </w:rPr>
        <w:t>Lead the "Demand-to-Throughput" sync: ensuring that as Sales/Marketing increase volume, the Production Labs are staffed, equipped, and automated to handle growth without service degradation.</w:t>
      </w:r>
    </w:p>
    <w:p>
      <w:pPr>
        <w:pStyle w:val="TextBody"/>
        <w:bidi w:val="0"/>
        <w:spacing w:lineRule="auto" w:line="288" w:before="238" w:after="283"/>
        <w:ind w:left="0" w:right="0" w:hanging="222"/>
        <w:jc w:val="left"/>
        <w:rPr>
          <w:rFonts w:ascii="Times New Roman;serif" w:hAnsi="Times New Roman;serif"/>
          <w:b/>
          <w:color w:val="000000"/>
          <w:sz w:val="21"/>
        </w:rPr>
      </w:pPr>
      <w:r>
        <w:rPr>
          <w:rFonts w:ascii="Times New Roman;serif" w:hAnsi="Times New Roman;serif"/>
          <w:b/>
          <w:color w:val="000000"/>
          <w:sz w:val="21"/>
        </w:rPr>
        <w:t>2.Commercial Execution (Volume In)</w:t>
      </w:r>
    </w:p>
    <w:p>
      <w:pPr>
        <w:pStyle w:val="TextBody"/>
        <w:bidi w:val="0"/>
        <w:spacing w:before="12" w:after="283"/>
        <w:jc w:val="left"/>
        <w:rPr/>
      </w:pPr>
      <w:r>
        <w:rPr/>
      </w:r>
    </w:p>
    <w:p>
      <w:pPr>
        <w:pStyle w:val="TextBody"/>
        <w:bidi w:val="0"/>
        <w:spacing w:lineRule="auto" w:line="292" w:before="0" w:after="0"/>
        <w:ind w:left="0" w:right="0" w:hanging="362"/>
        <w:jc w:val="left"/>
        <w:rPr/>
      </w:pPr>
      <w:r>
        <w:rPr>
          <w:color w:val="797979"/>
        </w:rPr>
        <w:t>•</w:t>
      </w:r>
      <w:r>
        <w:rPr>
          <w:rFonts w:ascii="Times New Roman;serif" w:hAnsi="Times New Roman;serif"/>
          <w:b w:val="false"/>
          <w:color w:val="000000"/>
          <w:sz w:val="21"/>
        </w:rPr>
        <w:t>Direct all Sales and Marketing leadership to drive market share, brand authority, and high-quality lead generation.</w:t>
      </w:r>
    </w:p>
    <w:p>
      <w:pPr>
        <w:pStyle w:val="TextBody"/>
        <w:bidi w:val="0"/>
        <w:spacing w:lineRule="auto" w:line="292" w:before="238" w:after="283"/>
        <w:ind w:left="0" w:right="0" w:hanging="360"/>
        <w:jc w:val="left"/>
        <w:rPr/>
      </w:pPr>
      <w:r>
        <w:rPr>
          <w:color w:val="797979"/>
        </w:rPr>
        <w:t>•</w:t>
      </w:r>
      <w:r>
        <w:rPr>
          <w:rFonts w:ascii="Times New Roman;serif" w:hAnsi="Times New Roman;serif"/>
          <w:b w:val="false"/>
          <w:color w:val="000000"/>
          <w:sz w:val="21"/>
        </w:rPr>
        <w:t>Oversee Market Access and Pricing strategies to ensure optimal reimbursement and profitable contracting.</w:t>
      </w:r>
    </w:p>
    <w:p>
      <w:pPr>
        <w:pStyle w:val="TextBody"/>
        <w:bidi w:val="0"/>
        <w:spacing w:lineRule="auto" w:line="292" w:before="237" w:after="283"/>
        <w:ind w:left="0" w:right="0" w:hanging="366"/>
        <w:jc w:val="left"/>
        <w:rPr/>
      </w:pPr>
      <w:r>
        <w:rPr>
          <w:color w:val="797979"/>
        </w:rPr>
        <w:t>•</w:t>
      </w:r>
      <w:r>
        <w:rPr>
          <w:rFonts w:ascii="Times New Roman;serif" w:hAnsi="Times New Roman;serif"/>
          <w:b w:val="false"/>
          <w:color w:val="000000"/>
          <w:sz w:val="21"/>
        </w:rPr>
        <w:t>Partner with Medical Affairs Operations to bridge the gap between clinical validity and commercial messaging, ensuring high-stakes KOL relationships support the sales funnel.</w:t>
      </w:r>
    </w:p>
    <w:p>
      <w:pPr>
        <w:pStyle w:val="TextBody"/>
        <w:bidi w:val="0"/>
        <w:spacing w:before="1" w:after="283"/>
        <w:jc w:val="left"/>
        <w:rPr/>
      </w:pPr>
      <w:r>
        <w:rPr/>
      </w:r>
    </w:p>
    <w:p>
      <w:pPr>
        <w:pStyle w:val="TextBody"/>
        <w:bidi w:val="0"/>
        <w:spacing w:lineRule="auto" w:line="288" w:before="1" w:after="283"/>
        <w:ind w:left="0" w:right="0" w:hanging="220"/>
        <w:jc w:val="left"/>
        <w:rPr>
          <w:rFonts w:ascii="Times New Roman;serif" w:hAnsi="Times New Roman;serif"/>
          <w:b/>
          <w:color w:val="000000"/>
          <w:sz w:val="21"/>
        </w:rPr>
      </w:pPr>
      <w:r>
        <w:rPr>
          <w:rFonts w:ascii="Times New Roman;serif" w:hAnsi="Times New Roman;serif"/>
          <w:b/>
          <w:color w:val="000000"/>
          <w:sz w:val="21"/>
        </w:rPr>
        <w:t>3.Operational &amp; Lab Leadership (Throughput &amp; Volume Out)</w:t>
      </w:r>
    </w:p>
    <w:p>
      <w:pPr>
        <w:pStyle w:val="TextBody"/>
        <w:bidi w:val="0"/>
        <w:spacing w:before="11" w:after="283"/>
        <w:jc w:val="left"/>
        <w:rPr/>
      </w:pPr>
      <w:r>
        <w:rPr/>
      </w:r>
    </w:p>
    <w:p>
      <w:pPr>
        <w:pStyle w:val="TextBody"/>
        <w:bidi w:val="0"/>
        <w:spacing w:lineRule="auto" w:line="292" w:before="1" w:after="283"/>
        <w:ind w:left="0" w:right="0" w:hanging="369"/>
        <w:jc w:val="left"/>
        <w:rPr/>
      </w:pPr>
      <w:r>
        <w:rPr>
          <w:color w:val="797979"/>
        </w:rPr>
        <w:t>•</w:t>
      </w:r>
      <w:r>
        <w:rPr>
          <w:rFonts w:ascii="Times New Roman;serif" w:hAnsi="Times New Roman;serif"/>
          <w:b w:val="false"/>
          <w:color w:val="000000"/>
          <w:sz w:val="21"/>
        </w:rPr>
        <w:t>Drive accountability for laboratory throughput, turnaround time (TAT), and unit cost. Ensure the production environment is optimized for high-volume commercial scale.</w:t>
      </w:r>
    </w:p>
    <w:p>
      <w:pPr>
        <w:pStyle w:val="TextBody"/>
        <w:bidi w:val="0"/>
        <w:spacing w:lineRule="auto" w:line="292" w:before="237" w:after="283"/>
        <w:ind w:left="0" w:right="0" w:hanging="361"/>
        <w:jc w:val="left"/>
        <w:rPr/>
      </w:pPr>
      <w:r>
        <w:rPr>
          <w:color w:val="797979"/>
        </w:rPr>
        <w:t>•</w:t>
      </w:r>
      <w:r>
        <w:rPr>
          <w:rFonts w:ascii="Times New Roman;serif" w:hAnsi="Times New Roman;serif"/>
          <w:b w:val="false"/>
          <w:color w:val="000000"/>
          <w:sz w:val="21"/>
        </w:rPr>
        <w:t>Ensure rigorous Quality Assurance (QA) and Quality Control (QC) across all lab segments to maintain regulatory compliance (CLIA/CAP/ISO) and customer trust.</w:t>
      </w:r>
    </w:p>
    <w:p>
      <w:pPr>
        <w:pStyle w:val="TextBody"/>
        <w:bidi w:val="0"/>
        <w:spacing w:before="222"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72" w:after="283"/>
        <w:jc w:val="left"/>
        <w:rPr/>
      </w:pPr>
      <w:r>
        <w:rPr/>
      </w:r>
    </w:p>
    <w:p>
      <w:pPr>
        <w:pStyle w:val="TextBody"/>
        <w:bidi w:val="0"/>
        <w:spacing w:lineRule="auto" w:line="288" w:before="1" w:after="283"/>
        <w:ind w:left="0" w:right="0" w:hanging="222"/>
        <w:jc w:val="left"/>
        <w:rPr>
          <w:rFonts w:ascii="Times New Roman;serif" w:hAnsi="Times New Roman;serif"/>
          <w:b/>
          <w:color w:val="000000"/>
          <w:sz w:val="21"/>
        </w:rPr>
      </w:pPr>
      <w:r>
        <w:rPr>
          <w:rFonts w:ascii="Times New Roman;serif" w:hAnsi="Times New Roman;serif"/>
          <w:b/>
          <w:color w:val="000000"/>
          <w:sz w:val="21"/>
        </w:rPr>
        <w:t>4.Customer Success &amp; Service Delivery</w:t>
      </w:r>
    </w:p>
    <w:p>
      <w:pPr>
        <w:pStyle w:val="TextBody"/>
        <w:bidi w:val="0"/>
        <w:spacing w:before="7" w:after="283"/>
        <w:jc w:val="left"/>
        <w:rPr/>
      </w:pPr>
      <w:r>
        <w:rPr/>
      </w:r>
    </w:p>
    <w:p>
      <w:pPr>
        <w:pStyle w:val="TextBody"/>
        <w:bidi w:val="0"/>
        <w:spacing w:lineRule="auto" w:line="292" w:before="0" w:after="0"/>
        <w:ind w:left="0" w:right="0" w:hanging="360"/>
        <w:jc w:val="left"/>
        <w:rPr/>
      </w:pPr>
      <w:r>
        <w:rPr>
          <w:color w:val="797979"/>
        </w:rPr>
        <w:t>•</w:t>
      </w:r>
      <w:r>
        <w:rPr>
          <w:rFonts w:ascii="Times New Roman;serif" w:hAnsi="Times New Roman;serif"/>
          <w:b w:val="false"/>
          <w:color w:val="000000"/>
          <w:sz w:val="21"/>
        </w:rPr>
        <w:t>Own the Customer Experience and Intake functions, treating them as a critical "middle-office" that ensures volume moving from Sales into the Lab is clean, compliant, and ready for processing.</w:t>
      </w:r>
    </w:p>
    <w:p>
      <w:pPr>
        <w:pStyle w:val="TextBody"/>
        <w:bidi w:val="0"/>
        <w:spacing w:before="1" w:after="283"/>
        <w:jc w:val="left"/>
        <w:rPr/>
      </w:pPr>
      <w:r>
        <w:rPr/>
      </w:r>
    </w:p>
    <w:p>
      <w:pPr>
        <w:pStyle w:val="TextBody"/>
        <w:bidi w:val="0"/>
        <w:spacing w:lineRule="auto" w:line="292" w:before="0" w:after="0"/>
        <w:ind w:left="0" w:right="0" w:hanging="362"/>
        <w:jc w:val="left"/>
        <w:rPr/>
      </w:pPr>
      <w:r>
        <w:rPr>
          <w:color w:val="797979"/>
        </w:rPr>
        <w:t>•</w:t>
      </w:r>
      <w:r>
        <w:rPr>
          <w:rFonts w:ascii="Times New Roman;serif" w:hAnsi="Times New Roman;serif"/>
          <w:b w:val="false"/>
          <w:color w:val="000000"/>
          <w:sz w:val="21"/>
        </w:rPr>
        <w:t>Manage the "Final Mile" of the customer experience: the delivery of results, reporting, and post-service support.</w:t>
      </w:r>
    </w:p>
    <w:p>
      <w:pPr>
        <w:pStyle w:val="TextBody"/>
        <w:bidi w:val="0"/>
        <w:spacing w:lineRule="auto" w:line="288" w:before="238" w:after="283"/>
        <w:ind w:left="0" w:right="0" w:hanging="221"/>
        <w:jc w:val="left"/>
        <w:rPr>
          <w:rFonts w:ascii="Times New Roman;serif" w:hAnsi="Times New Roman;serif"/>
          <w:b/>
          <w:color w:val="000000"/>
          <w:sz w:val="21"/>
        </w:rPr>
      </w:pPr>
      <w:r>
        <w:rPr>
          <w:rFonts w:ascii="Times New Roman;serif" w:hAnsi="Times New Roman;serif"/>
          <w:b/>
          <w:color w:val="000000"/>
          <w:sz w:val="21"/>
        </w:rPr>
        <w:t>5.Scaling &amp; Infrastructure</w:t>
      </w:r>
    </w:p>
    <w:p>
      <w:pPr>
        <w:pStyle w:val="TextBody"/>
        <w:bidi w:val="0"/>
        <w:spacing w:before="12" w:after="283"/>
        <w:jc w:val="left"/>
        <w:rPr/>
      </w:pPr>
      <w:r>
        <w:rPr/>
      </w:r>
    </w:p>
    <w:p>
      <w:pPr>
        <w:pStyle w:val="TextBody"/>
        <w:bidi w:val="0"/>
        <w:spacing w:lineRule="auto" w:line="292" w:before="0" w:after="0"/>
        <w:ind w:left="0" w:right="0" w:hanging="366"/>
        <w:jc w:val="left"/>
        <w:rPr/>
      </w:pPr>
      <w:r>
        <w:rPr>
          <w:color w:val="797979"/>
        </w:rPr>
        <w:t>•</w:t>
      </w:r>
      <w:r>
        <w:rPr>
          <w:rFonts w:ascii="Times New Roman;serif" w:hAnsi="Times New Roman;serif"/>
          <w:b w:val="false"/>
          <w:color w:val="000000"/>
          <w:sz w:val="21"/>
        </w:rPr>
        <w:t>Lead the digital transformation of the commercial-operational interface (LIMS, CRM, and ERP integration).</w:t>
      </w:r>
    </w:p>
    <w:p>
      <w:pPr>
        <w:pStyle w:val="TextBody"/>
        <w:bidi w:val="0"/>
        <w:spacing w:lineRule="auto" w:line="292" w:before="238" w:after="283"/>
        <w:ind w:left="0" w:right="0" w:hanging="362"/>
        <w:jc w:val="left"/>
        <w:rPr/>
      </w:pPr>
      <w:r>
        <w:rPr>
          <w:color w:val="797979"/>
        </w:rPr>
        <w:t>•</w:t>
      </w:r>
      <w:r>
        <w:rPr>
          <w:rFonts w:ascii="Times New Roman;serif" w:hAnsi="Times New Roman;serif"/>
          <w:b w:val="false"/>
          <w:color w:val="000000"/>
          <w:sz w:val="21"/>
        </w:rPr>
        <w:t>Drive capital allocation strategy for lab expansion, automation, and technology investments required to stay ahead of the sales curve.</w:t>
      </w:r>
    </w:p>
    <w:p>
      <w:pPr>
        <w:pStyle w:val="TextBody"/>
        <w:bidi w:val="0"/>
        <w:spacing w:before="0" w:after="0"/>
        <w:jc w:val="left"/>
        <w:rPr/>
      </w:pPr>
      <w:r>
        <w:rPr/>
      </w:r>
    </w:p>
    <w:p>
      <w:pPr>
        <w:pStyle w:val="TextBody"/>
        <w:bidi w:val="0"/>
        <w:spacing w:lineRule="auto" w:line="288" w:before="1" w:after="283"/>
        <w:jc w:val="left"/>
        <w:rPr>
          <w:rFonts w:ascii="Times New Roman;serif" w:hAnsi="Times New Roman;serif"/>
          <w:b/>
          <w:color w:val="000000"/>
          <w:sz w:val="21"/>
        </w:rPr>
      </w:pPr>
      <w:r>
        <w:rPr>
          <w:rFonts w:ascii="Times New Roman;serif" w:hAnsi="Times New Roman;serif"/>
          <w:b/>
          <w:color w:val="000000"/>
          <w:sz w:val="21"/>
        </w:rPr>
        <w:t>Key Performance Indicators (KPis):</w:t>
      </w:r>
    </w:p>
    <w:p>
      <w:pPr>
        <w:pStyle w:val="TextBody"/>
        <w:bidi w:val="0"/>
        <w:spacing w:before="7" w:after="283"/>
        <w:jc w:val="left"/>
        <w:rPr/>
      </w:pPr>
      <w:r>
        <w:rPr/>
      </w:r>
    </w:p>
    <w:p>
      <w:pPr>
        <w:pStyle w:val="TextBody"/>
        <w:bidi w:val="0"/>
        <w:spacing w:lineRule="auto" w:line="288" w:before="0" w:after="0"/>
        <w:ind w:left="0" w:right="0" w:hanging="361"/>
        <w:jc w:val="left"/>
        <w:rPr/>
      </w:pPr>
      <w:r>
        <w:rPr>
          <w:color w:val="797979"/>
        </w:rPr>
        <w:t>•</w:t>
      </w:r>
      <w:r>
        <w:rPr>
          <w:rFonts w:ascii="Times New Roman;serif" w:hAnsi="Times New Roman;serif"/>
          <w:b w:val="false"/>
          <w:color w:val="000000"/>
          <w:sz w:val="21"/>
        </w:rPr>
        <w:t>Total Revenue and Revenue Growth%</w:t>
      </w:r>
    </w:p>
    <w:p>
      <w:pPr>
        <w:pStyle w:val="TextBody"/>
        <w:bidi w:val="0"/>
        <w:spacing w:before="12" w:after="283"/>
        <w:jc w:val="left"/>
        <w:rPr/>
      </w:pPr>
      <w:r>
        <w:rPr/>
      </w:r>
    </w:p>
    <w:p>
      <w:pPr>
        <w:pStyle w:val="TextBody"/>
        <w:bidi w:val="0"/>
        <w:spacing w:lineRule="auto" w:line="288" w:before="0" w:after="0"/>
        <w:ind w:left="0" w:right="0" w:hanging="360"/>
        <w:jc w:val="left"/>
        <w:rPr/>
      </w:pPr>
      <w:r>
        <w:rPr>
          <w:color w:val="797979"/>
        </w:rPr>
        <w:t>•</w:t>
      </w:r>
      <w:r>
        <w:rPr>
          <w:rFonts w:ascii="Times New Roman;serif" w:hAnsi="Times New Roman;serif"/>
          <w:b w:val="false"/>
          <w:color w:val="000000"/>
          <w:sz w:val="21"/>
        </w:rPr>
        <w:t>Volume Throughput (Specimens/Orders In vs. Reports Out)</w:t>
      </w:r>
    </w:p>
    <w:p>
      <w:pPr>
        <w:pStyle w:val="TextBody"/>
        <w:bidi w:val="0"/>
        <w:spacing w:before="12" w:after="283"/>
        <w:jc w:val="left"/>
        <w:rPr/>
      </w:pPr>
      <w:r>
        <w:rPr/>
      </w:r>
    </w:p>
    <w:p>
      <w:pPr>
        <w:pStyle w:val="TextBody"/>
        <w:bidi w:val="0"/>
        <w:spacing w:lineRule="auto" w:line="288" w:before="0" w:after="0"/>
        <w:ind w:left="0" w:right="0" w:hanging="360"/>
        <w:jc w:val="left"/>
        <w:rPr/>
      </w:pPr>
      <w:r>
        <w:rPr>
          <w:color w:val="797979"/>
        </w:rPr>
        <w:t>•</w:t>
      </w:r>
      <w:r>
        <w:rPr>
          <w:rFonts w:ascii="Times New Roman;serif" w:hAnsi="Times New Roman;serif"/>
          <w:b w:val="false"/>
          <w:color w:val="000000"/>
          <w:sz w:val="21"/>
        </w:rPr>
        <w:t>Gross Margin &amp; Cost Per Unit/Test</w:t>
      </w:r>
    </w:p>
    <w:p>
      <w:pPr>
        <w:pStyle w:val="TextBody"/>
        <w:bidi w:val="0"/>
        <w:spacing w:before="12" w:after="283"/>
        <w:jc w:val="left"/>
        <w:rPr/>
      </w:pPr>
      <w:r>
        <w:rPr/>
      </w:r>
    </w:p>
    <w:p>
      <w:pPr>
        <w:pStyle w:val="TextBody"/>
        <w:bidi w:val="0"/>
        <w:spacing w:lineRule="auto" w:line="288" w:before="0" w:after="0"/>
        <w:ind w:left="0" w:right="0" w:hanging="361"/>
        <w:jc w:val="left"/>
        <w:rPr/>
      </w:pPr>
      <w:r>
        <w:rPr>
          <w:color w:val="797979"/>
        </w:rPr>
        <w:t>•</w:t>
      </w:r>
      <w:r>
        <w:rPr>
          <w:rFonts w:ascii="Times New Roman;serif" w:hAnsi="Times New Roman;serif"/>
          <w:b w:val="false"/>
          <w:color w:val="000000"/>
          <w:sz w:val="21"/>
        </w:rPr>
        <w:t>Turnaround Time (TAT) and Service Level Agreements (SLAs)</w:t>
      </w:r>
    </w:p>
    <w:p>
      <w:pPr>
        <w:pStyle w:val="TextBody"/>
        <w:bidi w:val="0"/>
        <w:spacing w:before="7" w:after="283"/>
        <w:jc w:val="left"/>
        <w:rPr/>
      </w:pPr>
      <w:r>
        <w:rPr/>
      </w:r>
    </w:p>
    <w:p>
      <w:pPr>
        <w:pStyle w:val="TextBody"/>
        <w:bidi w:val="0"/>
        <w:spacing w:lineRule="auto" w:line="288" w:before="0" w:after="0"/>
        <w:ind w:left="0" w:right="0" w:hanging="360"/>
        <w:jc w:val="left"/>
        <w:rPr/>
      </w:pPr>
      <w:r>
        <w:rPr>
          <w:color w:val="797979"/>
        </w:rPr>
        <w:t>•</w:t>
      </w:r>
      <w:r>
        <w:rPr>
          <w:rFonts w:ascii="Times New Roman;serif" w:hAnsi="Times New Roman;serif"/>
          <w:b w:val="false"/>
          <w:color w:val="000000"/>
          <w:sz w:val="21"/>
        </w:rPr>
        <w:t>Net Promoter Score (NPS) / Customer Retention</w:t>
      </w:r>
    </w:p>
    <w:p>
      <w:pPr>
        <w:pStyle w:val="TextBody"/>
        <w:bidi w:val="0"/>
        <w:spacing w:before="12" w:after="283"/>
        <w:jc w:val="left"/>
        <w:rPr/>
      </w:pPr>
      <w:r>
        <w:rPr/>
      </w:r>
    </w:p>
    <w:p>
      <w:pPr>
        <w:pStyle w:val="TextBody"/>
        <w:bidi w:val="0"/>
        <w:spacing w:lineRule="auto" w:line="288" w:before="0" w:after="0"/>
        <w:jc w:val="left"/>
        <w:rPr/>
      </w:pPr>
      <w:r>
        <w:rPr>
          <w:rFonts w:ascii="Times New Roman;serif" w:hAnsi="Times New Roman;serif"/>
          <w:b/>
          <w:color w:val="000000"/>
          <w:sz w:val="21"/>
        </w:rPr>
        <w:t xml:space="preserve">Reports To: </w:t>
      </w:r>
      <w:r>
        <w:rPr>
          <w:rFonts w:ascii="Times New Roman;serif" w:hAnsi="Times New Roman;serif"/>
          <w:b w:val="false"/>
          <w:color w:val="000000"/>
          <w:sz w:val="21"/>
        </w:rPr>
        <w:t>Chief Executive Officer (CEO)</w:t>
      </w:r>
    </w:p>
    <w:p>
      <w:pPr>
        <w:pStyle w:val="TextBody"/>
        <w:bidi w:val="0"/>
        <w:spacing w:before="0" w:after="0"/>
        <w:jc w:val="left"/>
        <w:rPr/>
      </w:pPr>
      <w:r>
        <w:rPr/>
      </w:r>
    </w:p>
    <w:p>
      <w:pPr>
        <w:pStyle w:val="TextBody"/>
        <w:bidi w:val="0"/>
        <w:spacing w:before="21" w:after="283"/>
        <w:jc w:val="left"/>
        <w:rPr/>
      </w:pPr>
      <w:r>
        <w:rPr/>
      </w:r>
    </w:p>
    <w:p>
      <w:pPr>
        <w:pStyle w:val="TextBody"/>
        <w:bidi w:val="0"/>
        <w:spacing w:lineRule="auto" w:line="292" w:before="0" w:after="0"/>
        <w:ind w:left="0" w:right="0" w:firstLine="4"/>
        <w:jc w:val="left"/>
        <w:rPr/>
      </w:pPr>
      <w:r>
        <w:rPr>
          <w:rFonts w:ascii="Times New Roman;serif" w:hAnsi="Times New Roman;serif"/>
          <w:b/>
          <w:color w:val="000000"/>
          <w:sz w:val="21"/>
        </w:rPr>
        <w:t xml:space="preserve">Internal Partners: </w:t>
      </w:r>
      <w:r>
        <w:rPr>
          <w:rFonts w:ascii="Times New Roman;serif" w:hAnsi="Times New Roman;serif"/>
          <w:b w:val="false"/>
          <w:color w:val="000000"/>
          <w:sz w:val="21"/>
        </w:rPr>
        <w:t>Chief Financial Officer, Chief Tech &amp; Innovation Officer, Chief Medical Officer, Chief Business Development Officer, Chief Legal Officer, Chief People Officer</w:t>
      </w:r>
    </w:p>
    <w:p>
      <w:pPr>
        <w:pStyle w:val="TextBody"/>
        <w:bidi w:val="0"/>
        <w:spacing w:before="1" w:after="283"/>
        <w:jc w:val="left"/>
        <w:rPr/>
      </w:pPr>
      <w:r>
        <w:rPr/>
      </w:r>
    </w:p>
    <w:p>
      <w:pPr>
        <w:pStyle w:val="TextBody"/>
        <w:bidi w:val="0"/>
        <w:spacing w:lineRule="auto" w:line="288" w:before="0" w:after="0"/>
        <w:ind w:left="0" w:right="0" w:hanging="1"/>
        <w:jc w:val="left"/>
        <w:rPr>
          <w:rFonts w:ascii="Times New Roman;serif" w:hAnsi="Times New Roman;serif"/>
          <w:b w:val="false"/>
          <w:i/>
          <w:color w:val="000000"/>
          <w:sz w:val="21"/>
        </w:rPr>
      </w:pPr>
      <w:r>
        <w:rPr>
          <w:rFonts w:ascii="Times New Roman;serif" w:hAnsi="Times New Roman;serif"/>
          <w:b w:val="false"/>
          <w:i/>
          <w:color w:val="000000"/>
          <w:sz w:val="21"/>
        </w:rPr>
        <w:t>This job description is not designed to cover or contain a comprehensive listing of activities, duties, or responsibilities required of the employee. Duties, responsibilities, and activities may change or new ones may be assigned at any time with or without notice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10" w:after="283"/>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Katherine Stueland,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GeneDx Holdings Corp. (the “registrant”);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2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25"/>
        <w:gridCol w:w="725"/>
        <w:gridCol w:w="102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Katherine Stueland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3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Kevin Feeley,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GeneDx Holdings Corp. (the “registrant”);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6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06"/>
        <w:gridCol w:w="706"/>
        <w:gridCol w:w="100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Feeley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Feeley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3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GeneDx Holdings Corp. (the “registrant”) on Form 10-Q for the quarterly period ended June 30, 2026, as filed with the Securities and Exchange Commission (the “Report”), I, Katherine Stueland, Chief Executive Officer of the registrant, certify, pursuant to 18 U.S.C. §1350, as added by §906 of the Sarbanes-Oxley Act of 2002,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3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2.To my knowledge, the information contained in the Report fairly presents, in all material respects, the financial condition and results of operations of the registrant.</w:t>
      </w:r>
    </w:p>
    <w:tbl>
      <w:tblPr>
        <w:tblW w:w="472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25"/>
        <w:gridCol w:w="725"/>
        <w:gridCol w:w="102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Katherine Stueland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p>
            <w:pPr>
              <w:pStyle w:val="TableContents"/>
              <w:bidi w:val="0"/>
              <w:spacing w:lineRule="auto" w:line="240" w:before="0" w:after="3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180"/>
        <w:jc w:val="left"/>
        <w:rPr/>
      </w:pPr>
      <w:r>
        <w:rPr/>
      </w:r>
    </w:p>
    <w:p>
      <w:pPr>
        <w:pStyle w:val="TextBody"/>
        <w:bidi w:val="0"/>
        <w:spacing w:before="0" w:after="18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GeneDx Holdings Corp. (the “registrant”) on Form 10-Q for the quarterly period ended June 30, 2026, as filed with the Securities and Exchange Commission (the “Report”), I, Kevin Feeley, Chief Financial Officer of the registrant, certify, pursuant to 18 U.S.C. §1350, as added by §906 of the Sarbanes-Oxley Act of 2002,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3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2.To my knowledge, the information contained in the Report fairly presents, in all material respects, the financial condition and results of operations of the registrant.</w:t>
      </w:r>
    </w:p>
    <w:tbl>
      <w:tblPr>
        <w:tblW w:w="466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06"/>
        <w:gridCol w:w="706"/>
        <w:gridCol w:w="100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Feeley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Feeley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ableContents"/>
              <w:bidi w:val="0"/>
              <w:spacing w:lineRule="auto" w:line="240" w:before="0" w:after="3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80"/>
        <w:jc w:val="left"/>
        <w:rPr/>
      </w:pPr>
      <w:r>
        <w:rPr/>
      </w:r>
    </w:p>
    <w:p>
      <w:pPr>
        <w:pStyle w:val="TextBody"/>
        <w:bidi w:val="0"/>
        <w:spacing w:before="0" w:after="180"/>
        <w:jc w:val="righ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28393</Words>
  <Characters>158431</Characters>
  <CharactersWithSpaces>185191</CharactersWithSpaces>
  <Paragraphs>2665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