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022026_090231.xml.htm"/>
      <w:bookmarkStart w:id="1" w:name="ksform402022026_0902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93.9957</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16,458</w:t>
            </w:r>
            <w:r>
              <w:rPr>
                <w:rFonts w:ascii="Times;serif" w:hAnsi="Times;serif"/>
                <w:color w:val="008000"/>
                <w:position w:val="7"/>
                <w:sz w:val="16"/>
                <w:sz w:val="20"/>
                <w:shd w:fill="FFFFFF" w:val="clear"/>
              </w:rPr>
              <w:t>(4)</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$93.53 to $94.00,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16,458 shares of Class A Common Stock beneficially owned by the Reporting Person, the Reporting Person beneficially owned RSUs representing contingent rights to receive up to an aggregate of 411,494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total award vested on each of April 29, 2023 and April 29, 2024, and an additional 6.25% of the total award vested or vests thereafter on each quarterly anniversary, subject to the Reporting Person's continued service to the Issuer on each vesting date, with the last tranche scheduled to vest on April 29, 2026.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906</Words>
  <Characters>4787</Characters>
  <CharactersWithSpaces>5615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