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09/16/2025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80" w:type="dxa"/>
            <w:vAlign w:val="bottom"/>
            <w:gridSpan w:val="7"/>
          </w:tcPr>
          <w:p>
            <w:pPr>
              <w:jc w:val="cente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14"/>
                <w:szCs w:val="14"/>
                <w:color w:val="auto"/>
              </w:rPr>
            </w:pP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356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gridSpan w:val="3"/>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7,197</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8"/>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12,483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3,728</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121.4727</w:t>
            </w:r>
            <w:r>
              <w:rPr>
                <w:rFonts w:ascii="Times New Roman" w:cs="Times New Roman" w:eastAsia="Times New Roman" w:hAnsi="Times New Roman"/>
                <w:sz w:val="21"/>
                <w:szCs w:val="21"/>
                <w:color w:val="008000"/>
                <w:w w:val="96"/>
                <w:vertAlign w:val="superscript"/>
              </w:rPr>
              <w:t>(3)</w:t>
            </w:r>
          </w:p>
        </w:tc>
        <w:tc>
          <w:tcPr>
            <w:tcW w:w="1160" w:type="dxa"/>
            <w:vAlign w:val="bottom"/>
            <w:tcBorders>
              <w:bottom w:val="single" w:sz="8" w:color="2C2C2C"/>
            </w:tcBorders>
            <w:gridSpan w:val="2"/>
          </w:tcPr>
          <w:p>
            <w:pPr>
              <w:jc w:val="center"/>
              <w:ind w:right="261"/>
              <w:spacing w:after="0"/>
              <w:rPr>
                <w:sz w:val="20"/>
                <w:szCs w:val="20"/>
                <w:color w:val="auto"/>
              </w:rPr>
            </w:pPr>
            <w:r>
              <w:rPr>
                <w:rFonts w:ascii="Times New Roman" w:cs="Times New Roman" w:eastAsia="Times New Roman" w:hAnsi="Times New Roman"/>
                <w:sz w:val="17"/>
                <w:szCs w:val="17"/>
                <w:color w:val="0000FF"/>
              </w:rPr>
              <w:t>8,755</w:t>
            </w:r>
            <w:r>
              <w:rPr>
                <w:rFonts w:ascii="Times New Roman" w:cs="Times New Roman" w:eastAsia="Times New Roman" w:hAnsi="Times New Roman"/>
                <w:sz w:val="21"/>
                <w:szCs w:val="21"/>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11"/>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7,197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09/16/2025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gridSpan w:val="2"/>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43,181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3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as part of a block trade for multiple security holders of the Issuer in multiple transactions at prices ranging from $118.28 to $123.07,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 with regard to the block trade.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sales, in addition to the 8,755 shares of Class A common stock beneficially owned by the Reporting Person, the Reporting Person beneficially owned restricted stock units ("RSUs") representing contingent rights to receive up to an aggregate of 124,633 shares of Class A common stock and options to purchase up to an aggregate of 27,152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2025-09-18T17:09:37Z</dcterms:created>
  <dcterms:modified xsi:type="dcterms:W3CDTF">2025-09-18T17:09:37Z</dcterms:modified>
</cp:coreProperties>
</file>