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83185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94615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820" w:right="940" w:hanging="2872"/>
        <w:spacing w:after="0" w:line="366" w:lineRule="auto"/>
        <w:tabs>
          <w:tab w:leader="none" w:pos="1163"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30"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4"/>
          </w:tcPr>
          <w:p>
            <w:pPr>
              <w:ind w:left="342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gridSpan w:val="2"/>
          </w:tcPr>
          <w:p>
            <w:pPr>
              <w:spacing w:after="0"/>
              <w:rPr>
                <w:sz w:val="17"/>
                <w:szCs w:val="17"/>
                <w:color w:val="auto"/>
              </w:rPr>
            </w:pPr>
          </w:p>
        </w:tc>
        <w:tc>
          <w:tcPr>
            <w:tcW w:w="3420" w:type="dxa"/>
            <w:vAlign w:val="bottom"/>
          </w:tcPr>
          <w:p>
            <w:pPr>
              <w:spacing w:after="0"/>
              <w:rPr>
                <w:sz w:val="17"/>
                <w:szCs w:val="17"/>
                <w:color w:val="auto"/>
              </w:rPr>
            </w:pPr>
          </w:p>
        </w:tc>
      </w:tr>
      <w:tr>
        <w:trPr>
          <w:trHeight w:val="358"/>
        </w:trPr>
        <w:tc>
          <w:tcPr>
            <w:tcW w:w="4220" w:type="dxa"/>
            <w:vAlign w:val="bottom"/>
          </w:tcPr>
          <w:p>
            <w:pPr>
              <w:spacing w:after="0"/>
              <w:rPr>
                <w:sz w:val="24"/>
                <w:szCs w:val="24"/>
                <w:color w:val="auto"/>
              </w:rPr>
            </w:pPr>
          </w:p>
        </w:tc>
        <w:tc>
          <w:tcPr>
            <w:tcW w:w="7020" w:type="dxa"/>
            <w:vAlign w:val="bottom"/>
            <w:gridSpan w:val="9"/>
          </w:tcPr>
          <w:p>
            <w:pPr>
              <w:jc w:val="center"/>
              <w:ind w:right="4110"/>
              <w:spacing w:after="0"/>
              <w:rPr>
                <w:sz w:val="20"/>
                <w:szCs w:val="20"/>
                <w:color w:val="auto"/>
              </w:rPr>
            </w:pPr>
            <w:r>
              <w:rPr>
                <w:rFonts w:ascii="Arial" w:cs="Arial" w:eastAsia="Arial" w:hAnsi="Arial"/>
                <w:sz w:val="18"/>
                <w:szCs w:val="18"/>
                <w:b w:val="1"/>
                <w:bCs w:val="1"/>
                <w:color w:val="auto"/>
                <w:w w:val="89"/>
              </w:rPr>
              <w:t>Commission File No. 001-39482</w:t>
            </w:r>
          </w:p>
        </w:tc>
      </w:tr>
      <w:tr>
        <w:trPr>
          <w:trHeight w:val="128"/>
        </w:trPr>
        <w:tc>
          <w:tcPr>
            <w:tcW w:w="422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420" w:type="dxa"/>
            <w:vAlign w:val="bottom"/>
          </w:tcPr>
          <w:p>
            <w:pPr>
              <w:spacing w:after="0"/>
              <w:rPr>
                <w:sz w:val="11"/>
                <w:szCs w:val="11"/>
                <w:color w:val="auto"/>
              </w:rPr>
            </w:pPr>
          </w:p>
        </w:tc>
      </w:tr>
      <w:tr>
        <w:trPr>
          <w:trHeight w:val="333"/>
        </w:trPr>
        <w:tc>
          <w:tcPr>
            <w:tcW w:w="4220" w:type="dxa"/>
            <w:vAlign w:val="bottom"/>
          </w:tcPr>
          <w:p>
            <w:pPr>
              <w:spacing w:after="0"/>
              <w:rPr>
                <w:sz w:val="24"/>
                <w:szCs w:val="24"/>
                <w:color w:val="auto"/>
              </w:rPr>
            </w:pPr>
          </w:p>
        </w:tc>
        <w:tc>
          <w:tcPr>
            <w:tcW w:w="250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rPr>
              <w:t>CM LIFE SCIENCES, INC.</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4"/>
        </w:trPr>
        <w:tc>
          <w:tcPr>
            <w:tcW w:w="11240" w:type="dxa"/>
            <w:vAlign w:val="bottom"/>
            <w:gridSpan w:val="10"/>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128"/>
        </w:trPr>
        <w:tc>
          <w:tcPr>
            <w:tcW w:w="422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420" w:type="dxa"/>
            <w:vAlign w:val="bottom"/>
          </w:tcPr>
          <w:p>
            <w:pPr>
              <w:spacing w:after="0"/>
              <w:rPr>
                <w:sz w:val="11"/>
                <w:szCs w:val="11"/>
                <w:color w:val="auto"/>
              </w:rPr>
            </w:pPr>
          </w:p>
        </w:tc>
      </w:tr>
      <w:tr>
        <w:trPr>
          <w:trHeight w:val="358"/>
        </w:trPr>
        <w:tc>
          <w:tcPr>
            <w:tcW w:w="6720" w:type="dxa"/>
            <w:vAlign w:val="bottom"/>
            <w:gridSpan w:val="6"/>
          </w:tcPr>
          <w:p>
            <w:pPr>
              <w:jc w:val="center"/>
              <w:ind w:right="1200"/>
              <w:spacing w:after="0"/>
              <w:rPr>
                <w:sz w:val="20"/>
                <w:szCs w:val="20"/>
                <w:color w:val="auto"/>
              </w:rPr>
            </w:pPr>
            <w:r>
              <w:rPr>
                <w:rFonts w:ascii="Arial" w:cs="Arial" w:eastAsia="Arial" w:hAnsi="Arial"/>
                <w:sz w:val="18"/>
                <w:szCs w:val="18"/>
                <w:b w:val="1"/>
                <w:bCs w:val="1"/>
                <w:color w:val="auto"/>
                <w:w w:val="91"/>
              </w:rPr>
              <w:t>Delaware</w:t>
            </w:r>
          </w:p>
        </w:tc>
        <w:tc>
          <w:tcPr>
            <w:tcW w:w="4520" w:type="dxa"/>
            <w:vAlign w:val="bottom"/>
            <w:gridSpan w:val="4"/>
          </w:tcPr>
          <w:p>
            <w:pPr>
              <w:jc w:val="center"/>
              <w:ind w:right="890"/>
              <w:spacing w:after="0"/>
              <w:rPr>
                <w:sz w:val="20"/>
                <w:szCs w:val="20"/>
                <w:color w:val="auto"/>
              </w:rPr>
            </w:pPr>
            <w:r>
              <w:rPr>
                <w:rFonts w:ascii="Arial" w:cs="Arial" w:eastAsia="Arial" w:hAnsi="Arial"/>
                <w:sz w:val="18"/>
                <w:szCs w:val="18"/>
                <w:b w:val="1"/>
                <w:bCs w:val="1"/>
                <w:color w:val="auto"/>
                <w:w w:val="89"/>
              </w:rPr>
              <w:t>85-1966622</w:t>
            </w:r>
          </w:p>
        </w:tc>
      </w:tr>
      <w:tr>
        <w:trPr>
          <w:trHeight w:val="198"/>
        </w:trPr>
        <w:tc>
          <w:tcPr>
            <w:tcW w:w="55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tcPr>
          <w:p>
            <w:pPr>
              <w:jc w:val="center"/>
              <w:ind w:right="199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6720" w:type="dxa"/>
            <w:vAlign w:val="bottom"/>
            <w:gridSpan w:val="6"/>
          </w:tcPr>
          <w:p>
            <w:pPr>
              <w:jc w:val="center"/>
              <w:ind w:right="1220"/>
              <w:spacing w:after="0"/>
              <w:rPr>
                <w:sz w:val="20"/>
                <w:szCs w:val="20"/>
                <w:color w:val="auto"/>
              </w:rPr>
            </w:pPr>
            <w:r>
              <w:rPr>
                <w:rFonts w:ascii="Arial" w:cs="Arial" w:eastAsia="Arial" w:hAnsi="Arial"/>
                <w:sz w:val="18"/>
                <w:szCs w:val="18"/>
                <w:b w:val="1"/>
                <w:bCs w:val="1"/>
                <w:color w:val="auto"/>
                <w:w w:val="91"/>
              </w:rPr>
              <w:t>incorporation or organization)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gridSpan w:val="2"/>
          </w:tcPr>
          <w:p>
            <w:pPr>
              <w:jc w:val="center"/>
              <w:ind w:right="119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Corvex Management LP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474-6745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83185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Title of each class</w:t>
            </w: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6"/>
              </w:rPr>
              <w:t>Units, each consisting of one share of Class A</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CMLFU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common stock and one-third of one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1"/>
              </w:rPr>
              <w:t>redeemable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38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rPr>
              <w:t>CMLF</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840" w:type="dxa"/>
            <w:vAlign w:val="bottom"/>
            <w:gridSpan w:val="2"/>
            <w:shd w:val="clear" w:color="auto" w:fill="CCEEFF"/>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Redeemable warrants, each whole warrant</w:t>
            </w:r>
          </w:p>
        </w:tc>
        <w:tc>
          <w:tcPr>
            <w:tcW w:w="3800" w:type="dxa"/>
            <w:vAlign w:val="bottom"/>
            <w:gridSpan w:val="2"/>
            <w:shd w:val="clear" w:color="auto" w:fill="CCEEFF"/>
          </w:tcPr>
          <w:p>
            <w:pPr>
              <w:jc w:val="center"/>
              <w:ind w:right="220"/>
              <w:spacing w:after="0" w:line="198" w:lineRule="exact"/>
              <w:rPr>
                <w:sz w:val="20"/>
                <w:szCs w:val="20"/>
                <w:color w:val="auto"/>
              </w:rPr>
            </w:pPr>
            <w:r>
              <w:rPr>
                <w:rFonts w:ascii="Arial" w:cs="Arial" w:eastAsia="Arial" w:hAnsi="Arial"/>
                <w:sz w:val="18"/>
                <w:szCs w:val="18"/>
                <w:b w:val="1"/>
                <w:bCs w:val="1"/>
                <w:color w:val="auto"/>
              </w:rPr>
              <w:t>CMLFW</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exercisable for one share of Class A common</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stock, each at an exercise price of $11.50 per</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07" w:lineRule="exact"/>
        <w:rPr>
          <w:sz w:val="24"/>
          <w:szCs w:val="24"/>
          <w:color w:val="auto"/>
        </w:rPr>
      </w:pPr>
    </w:p>
    <w:p>
      <w:pPr>
        <w:ind w:left="40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7" w:lineRule="exact"/>
        <w:rPr>
          <w:sz w:val="24"/>
          <w:szCs w:val="24"/>
          <w:color w:val="auto"/>
        </w:rPr>
      </w:pPr>
    </w:p>
    <w:p>
      <w:pPr>
        <w:jc w:val="both"/>
        <w:ind w:firstLine="39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firstLine="39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80" w:type="dxa"/>
            <w:vAlign w:val="bottom"/>
          </w:tcPr>
          <w:p>
            <w:pPr>
              <w:ind w:left="290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firstLine="39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4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20" w:firstLine="396"/>
        <w:spacing w:after="0" w:line="277" w:lineRule="auto"/>
        <w:rPr>
          <w:sz w:val="20"/>
          <w:szCs w:val="20"/>
          <w:color w:val="auto"/>
        </w:rPr>
      </w:pPr>
      <w:r>
        <w:rPr>
          <w:rFonts w:ascii="Arial" w:cs="Arial" w:eastAsia="Arial" w:hAnsi="Arial"/>
          <w:sz w:val="18"/>
          <w:szCs w:val="18"/>
          <w:color w:val="auto"/>
        </w:rPr>
        <w:t>As of May 21, 2021, 44,275,000 Class A ordinary shares, $0.0001 par value, and 11,068,750 Class B ordinary shares, $0.0001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23"/>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120" w:type="dxa"/>
            <w:vAlign w:val="bottom"/>
            <w:shd w:val="clear" w:color="auto" w:fill="CCEEFF"/>
          </w:tcPr>
          <w:p>
            <w:pPr>
              <w:spacing w:after="0"/>
              <w:rPr>
                <w:sz w:val="17"/>
                <w:szCs w:val="17"/>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Financial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March 31, 2021 (Unaudited) and December 31, 2020</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 of Operations for the three months ended March 31, 2021</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Unaudited Condensed Statement of Changes in Stockholders’ Equity for the three months ended March 31, 2021</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 of Cash Flows for the three months ended March 31, 2021</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620" w:type="dxa"/>
            <w:vAlign w:val="bottom"/>
            <w:gridSpan w:val="2"/>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Control and Procedures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23"/>
            <w:shd w:val="clear" w:color="auto" w:fill="CCEEFF"/>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 OTHER INFORMATION</w:t>
              </w:r>
            </w:hyperlink>
          </w:p>
        </w:tc>
        <w:tc>
          <w:tcPr>
            <w:tcW w:w="1120" w:type="dxa"/>
            <w:vAlign w:val="bottom"/>
            <w:shd w:val="clear" w:color="auto" w:fill="CCEEFF"/>
          </w:tcPr>
          <w:p>
            <w:pPr>
              <w:spacing w:after="0"/>
              <w:rPr>
                <w:sz w:val="17"/>
                <w:szCs w:val="17"/>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5.</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620" w:type="dxa"/>
            <w:vAlign w:val="bottom"/>
            <w:gridSpan w:val="2"/>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120" w:type="dxa"/>
            <w:vAlign w:val="bottom"/>
            <w:gridSpan w:val="23"/>
            <w:shd w:val="clear" w:color="auto" w:fill="CCEEFF"/>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SIGNATURES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580" w:type="dxa"/>
            <w:vAlign w:val="bottom"/>
          </w:tcPr>
          <w:p>
            <w:pPr>
              <w:jc w:val="center"/>
              <w:ind w:left="13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CONDENSED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7580" w:type="dxa"/>
            <w:vAlign w:val="bottom"/>
          </w:tcPr>
          <w:p>
            <w:pPr>
              <w:jc w:val="center"/>
              <w:ind w:left="1390"/>
              <w:spacing w:after="0"/>
              <w:rPr>
                <w:sz w:val="20"/>
                <w:szCs w:val="20"/>
                <w:color w:val="auto"/>
              </w:rPr>
            </w:pPr>
            <w:r>
              <w:rPr>
                <w:rFonts w:ascii="Arial" w:cs="Arial" w:eastAsia="Arial" w:hAnsi="Arial"/>
                <w:sz w:val="18"/>
                <w:szCs w:val="18"/>
                <w:b w:val="1"/>
                <w:bCs w:val="1"/>
                <w:color w:val="auto"/>
              </w:rPr>
              <w:t>CM LIFE SCIENCES,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7580" w:type="dxa"/>
            <w:vAlign w:val="bottom"/>
          </w:tcPr>
          <w:p>
            <w:pPr>
              <w:jc w:val="center"/>
              <w:ind w:left="1370"/>
              <w:spacing w:after="0"/>
              <w:rPr>
                <w:sz w:val="20"/>
                <w:szCs w:val="20"/>
                <w:color w:val="auto"/>
              </w:rPr>
            </w:pPr>
            <w:r>
              <w:rPr>
                <w:rFonts w:ascii="Arial" w:cs="Arial" w:eastAsia="Arial" w:hAnsi="Arial"/>
                <w:sz w:val="18"/>
                <w:szCs w:val="18"/>
                <w:b w:val="1"/>
                <w:bCs w:val="1"/>
                <w:color w:val="auto"/>
                <w:w w:val="98"/>
              </w:rPr>
              <w:t>CONDENSED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110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00" w:type="dxa"/>
            <w:vAlign w:val="bottom"/>
            <w:vMerge w:val="continue"/>
          </w:tcPr>
          <w:p>
            <w:pPr>
              <w:spacing w:after="0"/>
              <w:rPr>
                <w:sz w:val="16"/>
                <w:szCs w:val="16"/>
                <w:color w:val="auto"/>
              </w:rPr>
            </w:pPr>
          </w:p>
        </w:tc>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627,415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1,094,681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293,754</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277,031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921,169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442,774,870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442,763,951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100" w:type="dxa"/>
            <w:vAlign w:val="bottom"/>
            <w:vMerge w:val="continue"/>
          </w:tcPr>
          <w:p>
            <w:pPr>
              <w:spacing w:after="0"/>
              <w:rPr>
                <w:sz w:val="24"/>
                <w:szCs w:val="24"/>
                <w:color w:val="auto"/>
              </w:rPr>
            </w:pPr>
          </w:p>
        </w:tc>
        <w:tc>
          <w:tcPr>
            <w:tcW w:w="75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443,696,039</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444,135,663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shd w:val="clear" w:color="auto" w:fill="CCEEFF"/>
          </w:tcPr>
          <w:p>
            <w:pPr>
              <w:spacing w:after="0"/>
              <w:rPr>
                <w:sz w:val="18"/>
                <w:szCs w:val="18"/>
                <w:color w:val="auto"/>
              </w:rPr>
            </w:pPr>
          </w:p>
        </w:tc>
        <w:tc>
          <w:tcPr>
            <w:tcW w:w="7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1,491,735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1,491,735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126,960,100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15,496,250</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143,948,085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Class A common stock subject to possible redemption, 29,474,795 and 35,321,987 shares at $10.00 per share as of</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294,747,950</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353,219,870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Class A common stock, $0.0001 par value; 380,000,000 shares authorized; 14,800,205 and 8,953,013 shares issued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and outstanding (excluding 29,474,795 and 35,321,987 shares subject to possible redemption) as of March 31, 2021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1,480</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1"/>
              </w:rPr>
              <w:t>Class B common stock, $0.00001 par value; 20,000,000 shares authorized; 11,068,750 shares issued and outstanding</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as of March 31, 2021 and December 31, 2020</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1,107</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103,376,938</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(98,379,521)</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(39,907,599)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443,696,039</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444,135,663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1,845,158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(1,845,158)</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Change in fair value of warrants</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(56,637,684)</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(58,471,923)</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1002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(58,471,923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of Class A common stock</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income per share, Class A common stock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common stock</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 common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(5.28</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340" w:type="dxa"/>
            <w:vAlign w:val="bottom"/>
            <w:gridSpan w:val="4"/>
          </w:tcPr>
          <w:p>
            <w:pPr>
              <w:jc w:val="right"/>
              <w:ind w:right="38"/>
              <w:spacing w:after="0"/>
              <w:rPr>
                <w:sz w:val="20"/>
                <w:szCs w:val="20"/>
                <w:color w:val="auto"/>
              </w:rPr>
            </w:pPr>
            <w:r>
              <w:rPr>
                <w:rFonts w:ascii="Arial" w:cs="Arial" w:eastAsia="Arial" w:hAnsi="Arial"/>
                <w:sz w:val="18"/>
                <w:szCs w:val="18"/>
                <w:b w:val="1"/>
                <w:bCs w:val="1"/>
                <w:color w:val="auto"/>
              </w:rPr>
              <w:t>Class A</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Class B</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41"/>
        </w:trPr>
        <w:tc>
          <w:tcPr>
            <w:tcW w:w="3440" w:type="dxa"/>
            <w:vAlign w:val="bottom"/>
          </w:tcPr>
          <w:p>
            <w:pPr>
              <w:spacing w:after="0"/>
              <w:rPr>
                <w:sz w:val="20"/>
                <w:szCs w:val="20"/>
                <w:color w:val="auto"/>
              </w:rPr>
            </w:pPr>
          </w:p>
        </w:tc>
        <w:tc>
          <w:tcPr>
            <w:tcW w:w="20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Common Stock</w:t>
            </w:r>
          </w:p>
        </w:tc>
        <w:tc>
          <w:tcPr>
            <w:tcW w:w="21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Paid-in</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6"/>
        </w:trPr>
        <w:tc>
          <w:tcPr>
            <w:tcW w:w="3440" w:type="dxa"/>
            <w:vAlign w:val="bottom"/>
          </w:tcPr>
          <w:p>
            <w:pPr>
              <w:spacing w:after="0"/>
              <w:rPr>
                <w:sz w:val="20"/>
                <w:szCs w:val="20"/>
                <w:color w:val="auto"/>
              </w:rPr>
            </w:pPr>
          </w:p>
        </w:tc>
        <w:tc>
          <w:tcPr>
            <w:tcW w:w="10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1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8,953,013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11,068,750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44,905,602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(39,907,599)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value of Common stock subject to</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possible redemption</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5,847,192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58,471,335</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58,471,920</w:t>
            </w:r>
          </w:p>
        </w:tc>
      </w:tr>
      <w:tr>
        <w:trPr>
          <w:trHeight w:val="216"/>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(58,471,923)</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(58,471,923)</w:t>
            </w:r>
          </w:p>
        </w:tc>
      </w:tr>
      <w:tr>
        <w:trPr>
          <w:trHeight w:val="216"/>
        </w:trPr>
        <w:tc>
          <w:tcPr>
            <w:tcW w:w="34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14,800,205</w:t>
            </w:r>
          </w:p>
        </w:tc>
        <w:tc>
          <w:tcPr>
            <w:tcW w:w="3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11,068,750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103,376,937</w:t>
            </w:r>
          </w:p>
        </w:tc>
        <w:tc>
          <w:tcPr>
            <w:tcW w:w="1340" w:type="dxa"/>
            <w:vAlign w:val="bottom"/>
            <w:gridSpan w:val="3"/>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 (98,379,522</w:t>
            </w:r>
            <w:r>
              <w:rPr>
                <w:rFonts w:ascii="Arial" w:cs="Arial" w:eastAsia="Arial" w:hAnsi="Arial"/>
                <w:sz w:val="29"/>
                <w:szCs w:val="29"/>
                <w:b w:val="1"/>
                <w:bCs w:val="1"/>
                <w:color w:val="auto"/>
                <w:vertAlign w:val="superscript"/>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5,000,002</w:t>
            </w:r>
          </w:p>
        </w:tc>
      </w:tr>
      <w:tr>
        <w:trPr>
          <w:trHeight w:val="21"/>
        </w:trPr>
        <w:tc>
          <w:tcPr>
            <w:tcW w:w="3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left="1960"/>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 in fair value of warrant liability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Accrued expenses</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Change in value of common stock subject to possible redemption</w:t>
      </w:r>
    </w:p>
    <w:p>
      <w:pPr>
        <w:spacing w:after="0" w:line="319"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(58,471,923)</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56,637,684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(10,919)</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(16,723)</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1,394,615</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(467,266)</w:t>
      </w: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(467,266)</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1,094,681</w:t>
      </w:r>
    </w:p>
    <w:p>
      <w:pPr>
        <w:spacing w:after="0" w:line="70" w:lineRule="exact"/>
        <w:rPr>
          <w:sz w:val="20"/>
          <w:szCs w:val="20"/>
          <w:color w:val="auto"/>
        </w:rPr>
      </w:pPr>
    </w:p>
    <w:p>
      <w:pPr>
        <w:ind w:left="520" w:hanging="515"/>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627,415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(58,471,923</w:t>
      </w:r>
      <w:r>
        <w:rPr>
          <w:rFonts w:ascii="Arial" w:cs="Arial" w:eastAsia="Arial" w:hAnsi="Arial"/>
          <w:sz w:val="30"/>
          <w:szCs w:val="3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029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2">
            <w:col w:w="9300" w:space="720"/>
            <w:col w:w="1180"/>
          </w:cols>
          <w:pgMar w:left="320" w:top="904"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2021, the Company had not commenced any operations. All activity for the period from July 10, 2020 (inception) through March 31, 2021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3.</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4.</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Transaction costs amounted to $24,895,463, consisting of $8,855,000 in cash underwriting fees, $15,496,250 of deferred underwriting fees and $544,213 of other offering costs.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10-K/A as filed with the SEC on May 5, 2021. The interim results for the three months ended March 31, 2021 are not necessarily indicative of the results to be expected for the year ending December 31, 2021 or for any future interim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March 31, 2021 and December 31, 2020, Class A common stock subject to possible redemption is presented as temporary equity, outside of the stockholders’ equity section of the Company’s condensed balance sheets.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47"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$23,690,692 were charged to stockholders’ equity upon the completion of the Initial Public Offering, and $1,204,771 of offering costs were related to the warrant liability and charged to the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warrants was estimated using a Monte Carlo simulation approach (see Note 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March 31, 2021 and December 31, 2020, the Company had a deferred tax asset of approximately $426,000 and $40,400, which had a full valuation allowance recorded against it of approximately $426,000 and $40,400, respectively.</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currently taxable income primarily consists of interest income on the Trust Account. The Company’s general and administrative costs are generally considered start-up costs and are not currently deductible. During the three months ended March 31, 2021, the Company recorded no income tax expense. The Company’s effective tax rate for the three months ended March 31, 2021 was approximately 0%, which differs from the expected income tax rate due to the start-up costs (discussed above) which are not currently deductible.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statement of operations includes a presentation of income (loss) per share for common shares similar to the two-class method of income (loss) per share. Net income per common share, basic and diluted, for Class A common stock is calculated by dividing the interest income earned on the Trust Account less income and franchise taxes, by the weighted average number of Class A common stock outstanding since original issuance. Net loss per share, basic and diluted, for Class B common stock is calculated by dividing the net loss, adjusted for income attributable to Class A common stock, net of applicable franchise and income taxes, by the weighted average number of Class B common stock outstanding for the period. Class B common stock includes the Founder Shares as these shares do not have any redemption features and do not participate in the income earned on the Trust Account.</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Three Months</w:t>
            </w: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r>
      <w:tr>
        <w:trPr>
          <w:trHeight w:val="229"/>
        </w:trPr>
        <w:tc>
          <w:tcPr>
            <w:tcW w:w="10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10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2"/>
        </w:trPr>
        <w:tc>
          <w:tcPr>
            <w:tcW w:w="10020" w:type="dxa"/>
            <w:vAlign w:val="bottom"/>
          </w:tcPr>
          <w:p>
            <w:pPr>
              <w:spacing w:after="0" w:line="201" w:lineRule="exact"/>
              <w:rPr>
                <w:sz w:val="20"/>
                <w:szCs w:val="20"/>
                <w:color w:val="auto"/>
              </w:rPr>
            </w:pPr>
            <w:r>
              <w:rPr>
                <w:rFonts w:ascii="Arial" w:cs="Arial" w:eastAsia="Arial" w:hAnsi="Arial"/>
                <w:sz w:val="18"/>
                <w:szCs w:val="18"/>
                <w:color w:val="auto"/>
              </w:rPr>
              <w:t>Class A Common Stock</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0020" w:type="dxa"/>
            <w:vAlign w:val="bottom"/>
          </w:tcPr>
          <w:p>
            <w:pPr>
              <w:ind w:left="180"/>
              <w:spacing w:after="0"/>
              <w:rPr>
                <w:sz w:val="20"/>
                <w:szCs w:val="20"/>
                <w:color w:val="auto"/>
              </w:rPr>
            </w:pPr>
            <w:r>
              <w:rPr>
                <w:rFonts w:ascii="Arial" w:cs="Arial" w:eastAsia="Arial" w:hAnsi="Arial"/>
                <w:sz w:val="18"/>
                <w:szCs w:val="18"/>
                <w:color w:val="auto"/>
              </w:rPr>
              <w:t>Numerator: Earnings allocable to Class A Common Stock</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10,919</w:t>
            </w:r>
          </w:p>
        </w:tc>
      </w:tr>
      <w:tr>
        <w:trPr>
          <w:trHeight w:val="237"/>
        </w:trPr>
        <w:tc>
          <w:tcPr>
            <w:tcW w:w="10020" w:type="dxa"/>
            <w:vAlign w:val="bottom"/>
          </w:tcPr>
          <w:p>
            <w:pPr>
              <w:ind w:left="300"/>
              <w:spacing w:after="0"/>
              <w:rPr>
                <w:sz w:val="20"/>
                <w:szCs w:val="20"/>
                <w:color w:val="auto"/>
              </w:rPr>
            </w:pPr>
            <w:r>
              <w:rPr>
                <w:rFonts w:ascii="Arial" w:cs="Arial" w:eastAsia="Arial" w:hAnsi="Arial"/>
                <w:sz w:val="18"/>
                <w:szCs w:val="18"/>
                <w:color w:val="auto"/>
              </w:rPr>
              <w:t>Income and Franchise Tax</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(10,919)</w:t>
            </w:r>
          </w:p>
        </w:tc>
      </w:tr>
      <w:tr>
        <w:trPr>
          <w:trHeight w:val="216"/>
        </w:trPr>
        <w:tc>
          <w:tcPr>
            <w:tcW w:w="100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ind w:left="160"/>
              <w:spacing w:after="0"/>
              <w:rPr>
                <w:sz w:val="20"/>
                <w:szCs w:val="20"/>
                <w:color w:val="auto"/>
              </w:rPr>
            </w:pPr>
            <w:r>
              <w:rPr>
                <w:rFonts w:ascii="Arial" w:cs="Arial" w:eastAsia="Arial" w:hAnsi="Arial"/>
                <w:sz w:val="18"/>
                <w:szCs w:val="18"/>
                <w:color w:val="auto"/>
              </w:rPr>
              <w:t>Denominator: Weighted Average Class A Common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Class A Common Stock, Basic and Diluted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44,275,000</w:t>
            </w:r>
          </w:p>
        </w:tc>
      </w:tr>
      <w:tr>
        <w:trPr>
          <w:trHeight w:val="216"/>
        </w:trPr>
        <w:tc>
          <w:tcPr>
            <w:tcW w:w="10020" w:type="dxa"/>
            <w:vAlign w:val="bottom"/>
          </w:tcPr>
          <w:p>
            <w:pPr>
              <w:ind w:left="160"/>
              <w:spacing w:after="0"/>
              <w:rPr>
                <w:sz w:val="20"/>
                <w:szCs w:val="20"/>
                <w:color w:val="auto"/>
              </w:rPr>
            </w:pPr>
            <w:r>
              <w:rPr>
                <w:rFonts w:ascii="Arial" w:cs="Arial" w:eastAsia="Arial" w:hAnsi="Arial"/>
                <w:sz w:val="18"/>
                <w:szCs w:val="18"/>
                <w:color w:val="auto"/>
              </w:rPr>
              <w:t>Earnings/Basic and Diluted Class A Common Stock</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148"/>
        </w:trPr>
        <w:tc>
          <w:tcPr>
            <w:tcW w:w="10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Class A and B Common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Numerator: Net Loss minus Net Earnings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30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(58,471,923)</w:t>
            </w:r>
          </w:p>
        </w:tc>
      </w:tr>
      <w:tr>
        <w:trPr>
          <w:trHeight w:val="250"/>
        </w:trPr>
        <w:tc>
          <w:tcPr>
            <w:tcW w:w="10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10020" w:type="dxa"/>
            <w:vAlign w:val="bottom"/>
            <w:tcBorders>
              <w:top w:val="single" w:sz="8" w:color="CCEEFF"/>
            </w:tcBorders>
          </w:tcPr>
          <w:p>
            <w:pPr>
              <w:ind w:left="440"/>
              <w:spacing w:after="0" w:line="203" w:lineRule="exact"/>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(58,471,923)</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 Weighted Average Class A and B Common Stock</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300"/>
              <w:spacing w:after="0"/>
              <w:rPr>
                <w:sz w:val="20"/>
                <w:szCs w:val="20"/>
                <w:color w:val="auto"/>
              </w:rPr>
            </w:pPr>
            <w:r>
              <w:rPr>
                <w:rFonts w:ascii="Arial" w:cs="Arial" w:eastAsia="Arial" w:hAnsi="Arial"/>
                <w:sz w:val="18"/>
                <w:szCs w:val="18"/>
                <w:color w:val="auto"/>
              </w:rPr>
              <w:t>Class A and B Common Stock, Basic and Diluted</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11,068,750</w:t>
            </w:r>
          </w:p>
        </w:tc>
      </w:tr>
      <w:tr>
        <w:trPr>
          <w:trHeight w:val="216"/>
        </w:trPr>
        <w:tc>
          <w:tcPr>
            <w:tcW w:w="10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Loss/Basic and Diluted Class A and B Common Stock</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the Company had $627,415 in its operating bank accounts and a working capital deficit of $570,566.</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Prior to the completion of the Initial Public Offering, the Company’s liquidity needs had been satisfied through a contribution of $25,000 from Sponsor to cover for certain offering costs in exchange for the issuance of the Founder Shares, the loan of up to $300,000 from the Sponsor pursuant to the Note (see Note 5), and the proceeds from the consummation of the Private Placement not held in the Trust Account. The Note was repaid on September 4, 2020. In addition, in order to finance transaction costs in connection with a Business Combination, the Sponsor or an affiliate of the Sponsor, or certain of the Company’s officers and directors may, but are not obligated to, provide the Company Working Capital Loans up to $1,500,000 (see Note 6). As of March 31, 2021, there were no amounts outstanding under any Working Capital Loan.</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9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March 31, 2021, there were no amounts outstanding under the Working Capital Loans.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Purchase Agreement</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 through the merger of Merger Sub with and into Sema4, with Sema4 surviving as a wholly-owned subsidiary of the Company (the “Merger”)</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87" w:lineRule="exact"/>
        <w:rPr>
          <w:sz w:val="20"/>
          <w:szCs w:val="20"/>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amount of cash payable to such stockholder pursuant to its cash election, if any, divided by (ii) $10.</w:t>
      </w:r>
    </w:p>
    <w:p>
      <w:pPr>
        <w:spacing w:after="0" w:line="149"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87" w:lineRule="exact"/>
        <w:rPr>
          <w:sz w:val="20"/>
          <w:szCs w:val="20"/>
          <w:color w:val="auto"/>
        </w:rPr>
      </w:pPr>
    </w:p>
    <w:p>
      <w:pPr>
        <w:jc w:val="both"/>
        <w:ind w:firstLine="255"/>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 Support Agreement</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10, 2021, concurrently with the execution of the Merger Agreement, the Company entered into subscription agreements (collectively, the “Subscription Agreements”) with certain investors (collectively, the “PIPE Investors” which include certain existing equity 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March 31, 2021 and December 31, 2020, there were no shares of preferred stock issued or outstanding.</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380,000,000 shares of Class A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are entitled to one vote for each share. At March 31, 2021 and December 31, 2020, there were 14,800,205 and 8,953,013 shares of Class A common stock issued or outstanding, excluding 29,474,795 and 35,321,987 shares of Class A common stock subject to possible redemption,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63"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March 31, 2021 and December 31, 2020, there were 11,068,750 shares of Class B common stock issued and outstanding.</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$10.00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21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980" w:hanging="647"/>
        <w:spacing w:after="0" w:line="308"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sz w:val="20"/>
          <w:szCs w:val="20"/>
          <w:color w:val="auto"/>
        </w:rPr>
      </w:pPr>
    </w:p>
    <w:p>
      <w:pPr>
        <w:ind w:left="980" w:right="20" w:hanging="647"/>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March 31, 2021 and December 31, 2020, assets held in the Trust Account were comprised of $442,774,870 and $442,763,951 in money market funds which are invested primarily in U.S. Treasury Securities, respectively. During the three months ended March 31, 2021 and the year ended December 31, 2020, the Company did not withdraw any interest income from the Trust Account.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442,774,870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442,763,951</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Warrant Liability – Public Warrants</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76,448,164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40,290,250</w:t>
            </w:r>
          </w:p>
        </w:tc>
      </w:tr>
      <w:tr>
        <w:trPr>
          <w:trHeight w:val="230"/>
        </w:trPr>
        <w:tc>
          <w:tcPr>
            <w:tcW w:w="7320" w:type="dxa"/>
            <w:vAlign w:val="bottom"/>
            <w:gridSpan w:val="2"/>
          </w:tcPr>
          <w:p>
            <w:pPr>
              <w:ind w:left="260"/>
              <w:spacing w:after="0"/>
              <w:rPr>
                <w:sz w:val="20"/>
                <w:szCs w:val="20"/>
                <w:color w:val="auto"/>
              </w:rPr>
            </w:pPr>
            <w:r>
              <w:rPr>
                <w:rFonts w:ascii="Arial" w:cs="Arial" w:eastAsia="Arial" w:hAnsi="Arial"/>
                <w:sz w:val="18"/>
                <w:szCs w:val="18"/>
                <w:color w:val="auto"/>
              </w:rPr>
              <w:t>Warrant Liability – Private Placement Warrants</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50,511,936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30,032,168</w:t>
            </w:r>
          </w:p>
        </w:tc>
      </w:tr>
    </w:tbl>
    <w:p>
      <w:pPr>
        <w:spacing w:after="0" w:line="18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Warrants were accounted for as liabilities in accordance with ASC 815-40 and are presented within warrant liabilities on the accompanying balance sheets. The warrant liabilities are measured at fair value at inception and on a recurring basis, with changes in fair value presented within the change in fair value of warrant liabilities in the statement of operations. There were no transfers between levels for the three months ended March 31, 2021.</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Private Placement Warrants was estimated at March 31, 2021 and December 31, 2020 to be $2.29 and $4.24, respectively, using the modified Black-Scholes option pricing model and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Remaining term</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140" w:type="dxa"/>
            <w:vAlign w:val="bottom"/>
          </w:tcPr>
          <w:p>
            <w:pPr>
              <w:spacing w:after="0"/>
              <w:rPr>
                <w:sz w:val="20"/>
                <w:szCs w:val="20"/>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3"/>
              </w:rPr>
              <w:t>Private</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Warrant</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Placement</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30,032,168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40,290,250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20,479,768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36,157,914</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56,637,682</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50,511,936</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76,448,164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126,960,100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from other levels in the fair value hierarchy during the three months ended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References in this report (the “Quarterly Report”) to “we,” “us” or the “Company” refer to CM Life Sciences, Inc. References to our “management” or our “management team” refer to our officers and directors and references to the “Sponsor” refer to CMLS Holdings LLC. The following discussion and analysis of the Company’s financial condition and results of operations should be read in conjunction with the financial statements and the notes thereto contained elsewhere in this Quarterly Report (the “Financial Statements”). Capitalized terms used but not otherwise defined herein have the meaning set forth in the Financial Statements. Certain information contained in the discussion and analysis set forth below includes forward-looking statements that involve risks and uncertainties.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10-K/A filed with the SEC on May 5, 2021.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blank check company incorporated on July 10, 2020 as a Delaware corporation and formed for the purpose of effecting a merger, capital stock exchange, asset acquisition, stock purchase, reorganization or similar Business Combination with one or more target businesses. We intend to effectuate our Business Combination using cash from the proceeds of our Initial Public Offering, the sale of the Private Placement Warrants that occurred simultaneously with the completion of our Initial Public Offering and the sale of the Forward Purchase Units, shares issued to the owners of the target, debt issued to bank or other lenders or the owners of the target, or a combination of the foregoing.</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December 31, 2020 were organizational activities, the consummation of the Initial Public Offering, described below, and seeking to identify a target company for our initial Business Combination. We do not expect to generate any operating revenues until after the completion of our initial Business Combination. We generate non-operating income in the form of interest income on marketable securities held in the Trust Account. We will incur expenses as a result of being a public company (for legal, financial reporting, accounting and auditing compliance), as well as for due diligence expenses in connection with completing our initial Business Combination.</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March 31, 2021, we had a net loss of $58,471,923, which consists of operating costs of $1,845,458, offset by interest income on marketable securities held in the Trust Account of $10,919, and a change in the value of the warrant liability of 56,637,684.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4, 2020, we consummated the Initial Public Offering of 44,275,000 Units, which included the full exercise by the underwriters of the over-allotment option to purchase an additional 5,775,000 Units, at $10.00 per Unit, generating gross proceeds of $442,750,000. Simultaneously with the closing of the Initial Public Offering, we consummated the sale of 7,236,667 Private Placement Warrants to our Sponsor at a price of $1.50 per warrant, generating gross proceeds of $10,855,000.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$442,750,000 was placed in the Trust Account. We incurred $24,895,463 in transaction costs, including $8,855,000 of underwriting fees, $15,496,250 of deferred underwriting fees and $544,213 of other offering costs.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For the three months ended March 31, 2021, cash used in operating activities was $467,266. Net loss of $58,471,923 was affected by interest earned on marketable securities held in the Trust Account of $10,919, change in warrant liabilities of $56,637,684, and changes in operating assets and liabilities, which used $1,377,892 of cash from operating activities.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2021, we had cash and marketable securities held in the Trust Account of $442,774,870.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March 31, 2021, we did not withdraw any interest income from the Trust Account.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we had $627,415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Business Combination Announcement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“Sema4 Business Combination”). Specifically, the Company entered into the Merger Agreement with Sema4 and S-IV Sub, Inc., a Delaware corporation and a direct, wholly-owned subsidiary of the Company (“Merger Sub”). Pursuant to the terms of the Merger Agreement, CMLS will acquire Sema4 through the merger of Merger Sub with and into Sema4, with Sema4 surviving as a wholly-owned subsidiary of CMLS (the “Merger”)</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Sema4 Business Combination is expected to close in the second quarter of 2021, following the receipt of the required approval by CMLS’s stockholders and the satisfaction of certain other customary closing conditions.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87" w:lineRule="exact"/>
        <w:rPr>
          <w:sz w:val="20"/>
          <w:szCs w:val="20"/>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CMLS (the “Common Stock”) equal to the quotient of: (i) (A) the product of</w:t>
      </w:r>
    </w:p>
    <w:p>
      <w:pPr>
        <w:spacing w:after="0" w:line="46" w:lineRule="exact"/>
        <w:rPr>
          <w:rFonts w:ascii="Arial" w:cs="Arial" w:eastAsia="Arial" w:hAnsi="Arial"/>
          <w:sz w:val="16"/>
          <w:szCs w:val="16"/>
          <w:color w:val="auto"/>
        </w:rPr>
      </w:pPr>
    </w:p>
    <w:p>
      <w:pPr>
        <w:ind w:left="660" w:right="20" w:hanging="4"/>
        <w:spacing w:after="0" w:line="260" w:lineRule="auto"/>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such stockholder’s total shares of Sema4 Capital Stock multiplied by (y) the per share amount calculated in accordance with the Merger Agreement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amount of cash payable to such stockholder pursuant to its cash election, if any, divided by (ii) $10.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March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as described below.</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underwriters are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we entered into separate forward purchase agreements with affiliates of the Sponsor, Casdin and Corvex, in their capacities as investment advisors on behalf of one or more investment funds, clients or accounts managed by the Clients, pursuant to which, subject to the conditions described below, they will cause the Clients to purchase from us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at our discretion based on our needs for additional capital to consummate a Business Combination. Under each forward purchase agreement, we are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us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the warrants issued in connection with our Initial Public Offering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was estimated using a Monte Carlo simulation approach.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Class A common stock subject to possible redemption is presented as temporary equity, outside of the stockholders’ equity section of our condensed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apply the two-class method in calculating earnings per share. Net income per common share, basic and diluted for Class A common stock is calculated by dividing the interest income earned on the Trust Account, net of applicable franchise and income taxes, by the weighted average number of Class A common stock outstanding for the period. Net loss per common share, basic and diluted for Class B common stock is calculated by dividing the net income, less income attributable to Class A common stock, by the weighted average number of Class B common stock outstanding for the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financial statements.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2021, we were not subject to any market or interest rate risk. The net proceeds received into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March 31, 2021. Based upon their evaluation, our Chief Executive Officer and Chief Financial Officer concluded that, solely due to the Company’s restatement of its financial statements to reclassify the Company’s Public Warrants and Private Placement Warrants (as described in “—Restatement of Previously Issued Financial Statements” below and the Explanatory Note to the Company’s Annual Report on Form 10-K/A filed with the SEC on May 5, 2021), our disclosure controls and procedures (as defined in Rules 13a-15 (e) and 15d-15 (e) under the Exchange Act) were not effective as of March 31, 2021.</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Previously Issued Financial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2021, we revised our prior position on accounting for warrants and concluded that our previously issued financial statements as of December 31, 2020 and for the period from July 10, 2020 (inception) through December 31, 2020; as of September 4, 2020; and as of and for the period ended September 30, 2020 should not be relied on because of a misapplication in the guidance on warrant accounting. However, the non-cash adjustments to the financial statements did not impact the amounts previously reported for our cash, cash and marketable securities held in the trust account, total assets, revenue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 In light of the restatement,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Factors that could cause our actual results to differ materially from those in this Quarterly Report are any of the risks described in our Annual Report on Form 10-K/A filed with the SEC on May 5, 2021.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Annual Report on Form 10-K/A filed with the SEC on May 5, 2021, except we may disclose changes to such factors or disclose additional factors from time to time in our future filings with the SEC.</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September 4, 2020, we consummated our Initial Public Offering of 44,275,000 Units, inclusive of underwriters’ election to fully exercise their over-allotment option, we sold an additional 5,775,000 Units. The Units were sold at an offering price of $10.00 per Unit, generating total gross proceeds of $442,750,000. Jefferies LLC acted as the book running manager of the offering. The securities sold in the offering were registered under the Securities Act on a registration statement on Form S-1 (No. 333-246251 and 333-248541). The SEC declared the registration statement effective on September 1, 2020.</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Simultaneously with the consummation of the Initial Public Offering and the full exercise of the over-allotment option, we consummated a private placement of 7,236,667 Private Placement Warrants to our Sponsor at a price of $1.50 per Private Placement Warrant, generating total proceeds of $10,855,000. Such securities were issued pursuant to the exemption from registration contained in Section 4(a)(2) of the Securities Act.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Placement Warrants are the same as the warrants underlying the Units sold in the Initial Public Offering, except that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gross proceeds received from the Initial Public Offering and the sale of the Private Placement Warrants, $442,750,000 was placed in the Trust Account.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total of $8,855,000 underwriting discounts and commissions and $544,213 for other costs and expenses related to the Initial Public Offering. In addition, the underwriters agreed to defer $15,496,250 in underwriting discounts and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Quarterly Report.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as part of, or incorporated by reference into, this Quarterly Report.</w:t>
      </w:r>
    </w:p>
    <w:p>
      <w:pPr>
        <w:sectPr>
          <w:pgSz w:w="11900" w:h="16838" w:orient="portrait"/>
          <w:cols w:equalWidth="0" w:num="1">
            <w:col w:w="11240"/>
          </w:cols>
          <w:pgMar w:left="320" w:top="904" w:right="339" w:bottom="1440" w:gutter="0" w:footer="0" w:header="0"/>
        </w:sectPr>
      </w:pP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8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10.1</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10.2</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30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7132320"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0" w:lineRule="exact"/>
        <w:rPr>
          <w:sz w:val="20"/>
          <w:szCs w:val="20"/>
          <w:color w:val="auto"/>
        </w:rPr>
      </w:pPr>
    </w:p>
    <w:p>
      <w:pPr>
        <w:spacing w:after="0" w:line="289" w:lineRule="auto"/>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Agreement and Plan of Merger, dated as of February 9, 2021, by and among CM Life Sciences, Inc., S-IV Sub, Inc. and Mount Sinai</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Genomics, Inc. d/b/a Sema4.</w:t>
        </w:r>
        <w:r>
          <w:rPr>
            <w:rFonts w:ascii="Arial" w:cs="Arial" w:eastAsia="Arial" w:hAnsi="Arial"/>
            <w:sz w:val="29"/>
            <w:szCs w:val="29"/>
            <w:u w:val="single" w:color="auto"/>
            <w:color w:val="0000EE"/>
            <w:vertAlign w:val="superscript"/>
          </w:rPr>
          <w:t>(1)</w:t>
        </w:r>
      </w:hyperlink>
    </w:p>
    <w:p>
      <w:pPr>
        <w:spacing w:after="0" w:line="41" w:lineRule="exact"/>
        <w:rPr>
          <w:sz w:val="20"/>
          <w:szCs w:val="20"/>
          <w:color w:val="auto"/>
        </w:rPr>
      </w:pPr>
    </w:p>
    <w:p>
      <w:pPr>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Form of Subscription Agreement.</w:t>
        </w:r>
      </w:hyperlink>
      <w:r>
        <w:rPr>
          <w:rFonts w:ascii="Arial" w:cs="Arial" w:eastAsia="Arial" w:hAnsi="Arial"/>
          <w:sz w:val="29"/>
          <w:szCs w:val="29"/>
          <w:u w:val="single" w:color="auto"/>
          <w:color w:val="0000E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-204470</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9" w:lineRule="exact"/>
        <w:rPr>
          <w:sz w:val="20"/>
          <w:szCs w:val="20"/>
          <w:color w:val="auto"/>
        </w:rPr>
      </w:pPr>
    </w:p>
    <w:p>
      <w:pPr>
        <w:spacing w:after="0"/>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Form of Shareholder Lock-Up Agreement.</w:t>
        </w:r>
      </w:hyperlink>
      <w:r>
        <w:rPr>
          <w:rFonts w:ascii="Arial" w:cs="Arial" w:eastAsia="Arial" w:hAnsi="Arial"/>
          <w:sz w:val="29"/>
          <w:szCs w:val="29"/>
          <w:u w:val="single" w:color="auto"/>
          <w:color w:val="0000E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-204470</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5" w:lineRule="exact"/>
        <w:rPr>
          <w:sz w:val="20"/>
          <w:szCs w:val="20"/>
          <w:color w:val="auto"/>
        </w:rPr>
      </w:pPr>
    </w:p>
    <w:p>
      <w:pPr>
        <w:spacing w:after="0" w:line="289" w:lineRule="auto"/>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Sponsor Support Agreement, dated as of February 9, 2021, by and among CMLS Holdings LLC, CM Life Sciences, Inc. and Mount Sinai</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Genomics, Inc. d/b/a Sema4.</w:t>
        </w:r>
        <w:r>
          <w:rPr>
            <w:rFonts w:ascii="Arial" w:cs="Arial" w:eastAsia="Arial" w:hAnsi="Arial"/>
            <w:sz w:val="29"/>
            <w:szCs w:val="29"/>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-403225</wp:posOffset>
            </wp:positionV>
            <wp:extent cx="7132320"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8" w:lineRule="exact"/>
        <w:rPr>
          <w:sz w:val="20"/>
          <w:szCs w:val="20"/>
          <w:color w:val="auto"/>
        </w:rPr>
      </w:pPr>
    </w:p>
    <w:p>
      <w:pPr>
        <w:spacing w:after="0"/>
        <w:rPr>
          <w:rFonts w:ascii="Arial" w:cs="Arial" w:eastAsia="Arial" w:hAnsi="Arial"/>
          <w:sz w:val="16"/>
          <w:szCs w:val="16"/>
          <w:u w:val="single" w:color="auto"/>
          <w:color w:val="0000EE"/>
        </w:rPr>
      </w:pPr>
      <w:hyperlink r:id="rId56">
        <w:r>
          <w:rPr>
            <w:rFonts w:ascii="Arial" w:cs="Arial" w:eastAsia="Arial" w:hAnsi="Arial"/>
            <w:sz w:val="16"/>
            <w:szCs w:val="16"/>
            <w:u w:val="single" w:color="auto"/>
            <w:color w:val="0000EE"/>
          </w:rPr>
          <w:t>Forfeiture Agreement, dated as of February 9, 2021, by and between CMLS Holdings LLC and Mount Sinai Genomics, Inc. d/b/a Sema4.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-107315</wp:posOffset>
            </wp:positionV>
            <wp:extent cx="713232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6" w:lineRule="exact"/>
        <w:rPr>
          <w:sz w:val="20"/>
          <w:szCs w:val="20"/>
          <w:color w:val="auto"/>
        </w:rPr>
      </w:pPr>
    </w:p>
    <w:p>
      <w:pPr>
        <w:spacing w:after="0"/>
        <w:rPr>
          <w:rFonts w:ascii="Arial" w:cs="Arial" w:eastAsia="Arial" w:hAnsi="Arial"/>
          <w:sz w:val="15"/>
          <w:szCs w:val="15"/>
          <w:u w:val="single" w:color="auto"/>
          <w:color w:val="0000EE"/>
        </w:rPr>
      </w:pPr>
      <w:hyperlink r:id="rId56">
        <w:r>
          <w:rPr>
            <w:rFonts w:ascii="Arial" w:cs="Arial" w:eastAsia="Arial" w:hAnsi="Arial"/>
            <w:sz w:val="15"/>
            <w:szCs w:val="15"/>
            <w:u w:val="single" w:color="auto"/>
            <w:color w:val="0000EE"/>
          </w:rPr>
          <w:t>(1)</w:t>
        </w:r>
      </w:hyperlink>
    </w:p>
    <w:p>
      <w:pPr>
        <w:spacing w:after="0" w:line="200" w:lineRule="exact"/>
        <w:rPr>
          <w:sz w:val="20"/>
          <w:szCs w:val="20"/>
          <w:color w:val="auto"/>
        </w:rPr>
      </w:pPr>
    </w:p>
    <w:p>
      <w:pPr>
        <w:sectPr>
          <w:pgSz w:w="11900" w:h="16838" w:orient="portrait"/>
          <w:cols w:equalWidth="0" w:num="2">
            <w:col w:w="740" w:space="520"/>
            <w:col w:w="9980"/>
          </w:cols>
          <w:pgMar w:left="320" w:top="904"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10.5</w:t>
            </w:r>
          </w:p>
        </w:tc>
        <w:tc>
          <w:tcPr>
            <w:tcW w:w="4640" w:type="dxa"/>
            <w:vAlign w:val="bottom"/>
            <w:tcBorders>
              <w:bottom w:val="single" w:sz="8" w:color="CCEEFF"/>
            </w:tcBorders>
            <w:gridSpan w:val="4"/>
            <w:vMerge w:val="restart"/>
            <w:shd w:val="clear" w:color="auto" w:fill="CCEEFF"/>
          </w:tcPr>
          <w:p>
            <w:pPr>
              <w:ind w:left="20"/>
              <w:spacing w:after="0"/>
              <w:rPr>
                <w:rFonts w:ascii="Arial" w:cs="Arial" w:eastAsia="Arial" w:hAnsi="Arial"/>
                <w:sz w:val="18"/>
                <w:szCs w:val="18"/>
                <w:color w:val="0000EE"/>
                <w:w w:val="89"/>
              </w:rPr>
            </w:pPr>
            <w:hyperlink r:id="rId58">
              <w:r>
                <w:rPr>
                  <w:rFonts w:ascii="Arial" w:cs="Arial" w:eastAsia="Arial" w:hAnsi="Arial"/>
                  <w:sz w:val="18"/>
                  <w:szCs w:val="18"/>
                  <w:color w:val="0000EE"/>
                  <w:w w:val="89"/>
                </w:rPr>
                <w:t>Form of Amended and Restated Registration Rights Agreement.</w:t>
              </w:r>
            </w:hyperlink>
          </w:p>
        </w:tc>
        <w:tc>
          <w:tcPr>
            <w:tcW w:w="180" w:type="dxa"/>
            <w:vAlign w:val="bottom"/>
            <w:tcBorders>
              <w:bottom w:val="single" w:sz="8" w:color="0000EE"/>
            </w:tcBorders>
            <w:shd w:val="clear" w:color="auto" w:fill="CCEEFF"/>
          </w:tcPr>
          <w:p>
            <w:pPr>
              <w:jc w:val="right"/>
              <w:spacing w:after="0"/>
              <w:rPr>
                <w:rFonts w:ascii="Arial" w:cs="Arial" w:eastAsia="Arial" w:hAnsi="Arial"/>
                <w:sz w:val="15"/>
                <w:szCs w:val="15"/>
                <w:color w:val="0000EE"/>
                <w:w w:val="87"/>
              </w:rPr>
            </w:pPr>
            <w:hyperlink r:id="rId58">
              <w:r>
                <w:rPr>
                  <w:rFonts w:ascii="Arial" w:cs="Arial" w:eastAsia="Arial" w:hAnsi="Arial"/>
                  <w:sz w:val="15"/>
                  <w:szCs w:val="15"/>
                  <w:color w:val="0000EE"/>
                  <w:w w:val="87"/>
                </w:rPr>
                <w:t>(1)</w:t>
              </w:r>
            </w:hyperlink>
          </w:p>
        </w:tc>
        <w:tc>
          <w:tcPr>
            <w:tcW w:w="5180" w:type="dxa"/>
            <w:vAlign w:val="bottom"/>
            <w:tcBorders>
              <w:bottom w:val="single" w:sz="8" w:color="CCEEFF"/>
            </w:tcBorders>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240" w:type="dxa"/>
            <w:vAlign w:val="bottom"/>
            <w:tcBorders>
              <w:bottom w:val="single" w:sz="8" w:color="CCEEFF"/>
            </w:tcBorders>
            <w:vMerge w:val="continue"/>
            <w:shd w:val="clear" w:color="auto" w:fill="CCEEFF"/>
          </w:tcPr>
          <w:p>
            <w:pPr>
              <w:spacing w:after="0"/>
              <w:rPr>
                <w:sz w:val="5"/>
                <w:szCs w:val="5"/>
                <w:color w:val="auto"/>
              </w:rPr>
            </w:pPr>
          </w:p>
        </w:tc>
        <w:tc>
          <w:tcPr>
            <w:tcW w:w="4640" w:type="dxa"/>
            <w:vAlign w:val="bottom"/>
            <w:tcBorders>
              <w:bottom w:val="single" w:sz="8" w:color="0000EE"/>
            </w:tcBorders>
            <w:gridSpan w:val="4"/>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518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31.1*</w:t>
            </w:r>
          </w:p>
        </w:tc>
        <w:tc>
          <w:tcPr>
            <w:tcW w:w="1000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of Principal Executive Officer Pursuant to Securities Exchange Act Rules 13a-14(a) and 15(d)-14(a), as adopted Pursuant to</w:t>
              </w:r>
            </w:hyperlink>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000" w:type="dxa"/>
            <w:vAlign w:val="bottom"/>
            <w:gridSpan w:val="6"/>
            <w:shd w:val="clear" w:color="auto" w:fill="CCEEFF"/>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Section 302 of the Sarbanes-Oxley Act of 2002.</w:t>
              </w:r>
            </w:hyperlink>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1000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Certification of Principal Financial Officer Pursuant to Securities Exchange Act Rules 13a-14(a) and 15(d)-14(a), as adopted Pursuant to</w:t>
              </w:r>
            </w:hyperlink>
          </w:p>
        </w:tc>
        <w:tc>
          <w:tcPr>
            <w:tcW w:w="0" w:type="dxa"/>
            <w:vAlign w:val="bottom"/>
          </w:tcPr>
          <w:p>
            <w:pPr>
              <w:spacing w:after="0"/>
              <w:rPr>
                <w:sz w:val="1"/>
                <w:szCs w:val="1"/>
                <w:color w:val="auto"/>
              </w:rPr>
            </w:pPr>
          </w:p>
        </w:tc>
      </w:tr>
      <w:tr>
        <w:trPr>
          <w:trHeight w:val="217"/>
        </w:trPr>
        <w:tc>
          <w:tcPr>
            <w:tcW w:w="1240" w:type="dxa"/>
            <w:vAlign w:val="bottom"/>
            <w:shd w:val="clear" w:color="auto" w:fill="CCEEFF"/>
          </w:tcPr>
          <w:p>
            <w:pPr>
              <w:spacing w:after="0"/>
              <w:rPr>
                <w:sz w:val="18"/>
                <w:szCs w:val="18"/>
                <w:color w:val="auto"/>
              </w:rPr>
            </w:pPr>
          </w:p>
        </w:tc>
        <w:tc>
          <w:tcPr>
            <w:tcW w:w="10000" w:type="dxa"/>
            <w:vAlign w:val="bottom"/>
            <w:gridSpan w:val="6"/>
            <w:shd w:val="clear" w:color="auto" w:fill="CCEEFF"/>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Section 302 of the Sarbanes-Oxley Act of 2002.</w:t>
              </w:r>
            </w:hyperlink>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rPr>
              <w:t>32.1**</w:t>
            </w:r>
          </w:p>
        </w:tc>
        <w:tc>
          <w:tcPr>
            <w:tcW w:w="1000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000" w:type="dxa"/>
            <w:vAlign w:val="bottom"/>
            <w:gridSpan w:val="6"/>
            <w:shd w:val="clear" w:color="auto" w:fill="CCEEFF"/>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Oxley Act of 2002.</w:t>
              </w:r>
            </w:hyperlink>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rPr>
              <w:t>32.2**</w:t>
            </w:r>
          </w:p>
        </w:tc>
        <w:tc>
          <w:tcPr>
            <w:tcW w:w="1000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000" w:type="dxa"/>
            <w:vAlign w:val="bottom"/>
            <w:gridSpan w:val="6"/>
            <w:shd w:val="clear" w:color="auto" w:fill="CCEEFF"/>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7"/>
              </w:rPr>
              <w:t>101.INS*</w:t>
            </w:r>
          </w:p>
        </w:tc>
        <w:tc>
          <w:tcPr>
            <w:tcW w:w="10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101.CAL*</w:t>
            </w:r>
          </w:p>
        </w:tc>
        <w:tc>
          <w:tcPr>
            <w:tcW w:w="10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101.SCH*</w:t>
            </w:r>
          </w:p>
        </w:tc>
        <w:tc>
          <w:tcPr>
            <w:tcW w:w="10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4"/>
              </w:rPr>
              <w:t>101.DEF*</w:t>
            </w:r>
          </w:p>
        </w:tc>
        <w:tc>
          <w:tcPr>
            <w:tcW w:w="10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101.LAB*</w:t>
            </w:r>
          </w:p>
        </w:tc>
        <w:tc>
          <w:tcPr>
            <w:tcW w:w="10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101.PRE*</w:t>
            </w:r>
          </w:p>
        </w:tc>
        <w:tc>
          <w:tcPr>
            <w:tcW w:w="10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800" w:firstLine="8"/>
        <w:spacing w:after="0" w:line="291" w:lineRule="auto"/>
        <w:tabs>
          <w:tab w:leader="none" w:pos="337"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rPr>
          <w:rFonts w:ascii="Arial" w:cs="Arial" w:eastAsia="Arial" w:hAnsi="Arial"/>
          <w:sz w:val="16"/>
          <w:szCs w:val="16"/>
          <w:color w:val="auto"/>
        </w:rPr>
      </w:pPr>
      <w:r>
        <w:rPr>
          <w:rFonts w:ascii="Arial" w:cs="Arial" w:eastAsia="Arial" w:hAnsi="Arial"/>
          <w:sz w:val="18"/>
          <w:szCs w:val="18"/>
          <w:color w:val="auto"/>
        </w:rPr>
        <w:t>(1)  Previously filed as an exhibit to our Current Report on Form 8-K filed on February 11, 2021 and incorporated by reference herein.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May 24, 2021</w:t>
      </w:r>
      <w:r>
        <w:rPr>
          <w:sz w:val="20"/>
          <w:szCs w:val="20"/>
          <w:color w:val="auto"/>
        </w:rPr>
        <w:tab/>
      </w:r>
      <w:r>
        <w:rPr>
          <w:rFonts w:ascii="Arial" w:cs="Arial" w:eastAsia="Arial" w:hAnsi="Arial"/>
          <w:sz w:val="16"/>
          <w:szCs w:val="16"/>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Eli Casdin</w:t>
      </w:r>
    </w:p>
    <w:p>
      <w:pPr>
        <w:spacing w:after="0" w:line="36"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 and Director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May 24, 2021</w:t>
      </w:r>
      <w:r>
        <w:rPr>
          <w:sz w:val="20"/>
          <w:szCs w:val="20"/>
          <w:color w:val="auto"/>
        </w:rPr>
        <w:tab/>
      </w:r>
      <w:r>
        <w:rPr>
          <w:rFonts w:ascii="Arial" w:cs="Arial" w:eastAsia="Arial" w:hAnsi="Arial"/>
          <w:sz w:val="16"/>
          <w:szCs w:val="16"/>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Brian Emes</w:t>
      </w:r>
    </w:p>
    <w:p>
      <w:pPr>
        <w:spacing w:after="0" w:line="36"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 and Secretary</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Eli Casdin, certify that:</w:t>
      </w:r>
    </w:p>
    <w:p>
      <w:pPr>
        <w:spacing w:after="0" w:line="225" w:lineRule="exact"/>
        <w:rPr>
          <w:sz w:val="20"/>
          <w:szCs w:val="20"/>
          <w:color w:val="auto"/>
        </w:rPr>
      </w:pPr>
    </w:p>
    <w:p>
      <w:pPr>
        <w:ind w:left="1020" w:hanging="55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CM Life Sciences, Inc.;</w:t>
      </w:r>
    </w:p>
    <w:p>
      <w:pPr>
        <w:spacing w:after="0" w:line="225" w:lineRule="exact"/>
        <w:rPr>
          <w:rFonts w:ascii="Arial" w:cs="Arial" w:eastAsia="Arial" w:hAnsi="Arial"/>
          <w:sz w:val="18"/>
          <w:szCs w:val="18"/>
          <w:color w:val="auto"/>
        </w:rPr>
      </w:pPr>
    </w:p>
    <w:p>
      <w:pPr>
        <w:jc w:val="both"/>
        <w:ind w:left="1020" w:hanging="553"/>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20" w:right="20" w:hanging="553"/>
        <w:spacing w:after="0" w:line="308"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20" w:hanging="55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480" w:hanging="460"/>
        <w:spacing w:after="0" w:line="263"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480" w:hanging="460"/>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1480" w:hanging="460"/>
        <w:spacing w:after="0" w:line="342"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80" w:hanging="460"/>
        <w:spacing w:after="0" w:line="263"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1020" w:hanging="553"/>
        <w:spacing w:after="0" w:line="342"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480" w:hanging="460"/>
        <w:spacing w:after="0" w:line="308" w:lineRule="auto"/>
        <w:tabs>
          <w:tab w:leader="none" w:pos="1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80" w:hanging="460"/>
        <w:spacing w:after="0" w:line="277"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Eli Casdin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Emes, certify that:</w:t>
      </w:r>
    </w:p>
    <w:p>
      <w:pPr>
        <w:spacing w:after="0" w:line="225" w:lineRule="exact"/>
        <w:rPr>
          <w:sz w:val="20"/>
          <w:szCs w:val="20"/>
          <w:color w:val="auto"/>
        </w:rPr>
      </w:pPr>
    </w:p>
    <w:p>
      <w:pPr>
        <w:ind w:left="1020" w:hanging="55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CM Life Sciences, Inc.;</w:t>
      </w:r>
    </w:p>
    <w:p>
      <w:pPr>
        <w:spacing w:after="0" w:line="225" w:lineRule="exact"/>
        <w:rPr>
          <w:rFonts w:ascii="Arial" w:cs="Arial" w:eastAsia="Arial" w:hAnsi="Arial"/>
          <w:sz w:val="18"/>
          <w:szCs w:val="18"/>
          <w:color w:val="auto"/>
        </w:rPr>
      </w:pPr>
    </w:p>
    <w:p>
      <w:pPr>
        <w:jc w:val="both"/>
        <w:ind w:left="1020" w:hanging="55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20" w:right="20" w:hanging="553"/>
        <w:spacing w:after="0" w:line="30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20" w:hanging="55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480" w:hanging="460"/>
        <w:spacing w:after="0" w:line="263"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480" w:hanging="460"/>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1480" w:hanging="460"/>
        <w:spacing w:after="0" w:line="342" w:lineRule="auto"/>
        <w:tabs>
          <w:tab w:leader="none" w:pos="14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80" w:hanging="460"/>
        <w:spacing w:after="0" w:line="263"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1020" w:hanging="553"/>
        <w:spacing w:after="0" w:line="34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480" w:hanging="460"/>
        <w:spacing w:after="0" w:line="308" w:lineRule="auto"/>
        <w:tabs>
          <w:tab w:leader="none" w:pos="1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80" w:hanging="460"/>
        <w:spacing w:after="0" w:line="277"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CM Life Sciences, Inc. (the “Company”) on Form 10-Q for the quarterly period ended March 31, 2021, as filed with the Securities and Exchange Commission (the “Report”), I, Eli Casdin, Chief Executive Officer of the Company, certify, pursuant to 18 U.S.C. §1350, as added by §906 of the Sarbanes-Oxley Act of 2002, that:</w:t>
      </w:r>
    </w:p>
    <w:p>
      <w:pPr>
        <w:spacing w:after="0" w:line="184" w:lineRule="exact"/>
        <w:rPr>
          <w:sz w:val="20"/>
          <w:szCs w:val="20"/>
          <w:color w:val="auto"/>
        </w:rPr>
      </w:pPr>
    </w:p>
    <w:p>
      <w:pPr>
        <w:ind w:left="1020" w:hanging="55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20" w:hanging="55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Eli Casdin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CM Life Sciences, Inc. (the “Company”) on Form 10-Q for the quarterly period ended March 31, 2021, as filed with the Securities and Exchange Commission (the “Report”), I, Brian Emes, Chief Financial Officer of the Company, certify, pursuant to 18 U.S.C. §1350, as added by §906 of the Sarbanes-Oxley Act of 2002, that:</w:t>
      </w:r>
    </w:p>
    <w:p>
      <w:pPr>
        <w:spacing w:after="0" w:line="184" w:lineRule="exact"/>
        <w:rPr>
          <w:sz w:val="20"/>
          <w:szCs w:val="20"/>
          <w:color w:val="auto"/>
        </w:rPr>
      </w:pPr>
    </w:p>
    <w:p>
      <w:pPr>
        <w:ind w:left="1020" w:hanging="55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20" w:hanging="55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3"/>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lvl w:ilvl="1">
      <w:lvlJc w:val="left"/>
      <w:lvlText w:val="(%2)"/>
      <w:numFmt w:val="lowerLetter"/>
      <w:start w:val="24"/>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lvl w:ilvl="1">
      <w:lvlJc w:val="left"/>
      <w:lvlText w:val="%2)"/>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3" Type="http://schemas.openxmlformats.org/officeDocument/2006/relationships/image" Target="media/image43.png"/><Relationship Id="rId55" Type="http://schemas.openxmlformats.org/officeDocument/2006/relationships/image" Target="media/image44.png"/><Relationship Id="rId57"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49" Type="http://schemas.openxmlformats.org/officeDocument/2006/relationships/hyperlink" Target="https://www.sec.gov/Archives/edgar/data/1818331/000121390021008253/ea135116ex2-1_cmlife.htm" TargetMode="External"/><Relationship Id="rId50" Type="http://schemas.openxmlformats.org/officeDocument/2006/relationships/hyperlink" Target="https://www.sec.gov/Archives/edgar/data/1818331/000121390021008253/ea135116ex10-1_cmlife.htm" TargetMode="External"/><Relationship Id="rId52" Type="http://schemas.openxmlformats.org/officeDocument/2006/relationships/hyperlink" Target="https://www.sec.gov/Archives/edgar/data/1818331/000121390021008253/ea135116ex10-2_cmlife.htm" TargetMode="External"/><Relationship Id="rId54" Type="http://schemas.openxmlformats.org/officeDocument/2006/relationships/hyperlink" Target="https://www.sec.gov/Archives/edgar/data/1818331/000121390021008253/ea135116ex10-3_cmlife.htm" TargetMode="External"/><Relationship Id="rId56" Type="http://schemas.openxmlformats.org/officeDocument/2006/relationships/hyperlink" Target="https://www.sec.gov/Archives/edgar/data/1818331/000121390021008253/ea135116ex10-4_cmlife.htm" TargetMode="External"/><Relationship Id="rId58" Type="http://schemas.openxmlformats.org/officeDocument/2006/relationships/hyperlink" Target="https://www.sec.gov/Archives/edgar/data/1818331/000121390021008253/ea135116ex10-5_cmlif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2021-05-24T08:16:54Z</dcterms:created>
  <dcterms:modified xsi:type="dcterms:W3CDTF">2021-05-24T08:16:54Z</dcterms:modified>
</cp:coreProperties>
</file>