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Turner Nat</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09/01/2020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CM Life Sciences,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CMLF</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CM LIFE SCIENCES, INC.</w:t>
      </w:r>
    </w:p>
    <w:p>
      <w:pPr>
        <w:spacing w:after="0" w:line="70" w:lineRule="exact"/>
        <w:rPr>
          <w:sz w:val="24"/>
          <w:szCs w:val="24"/>
          <w:color w:val="auto"/>
        </w:rPr>
      </w:pPr>
    </w:p>
    <w:p>
      <w:pPr>
        <w:ind w:left="140" w:right="1257"/>
        <w:spacing w:after="0" w:line="269" w:lineRule="auto"/>
        <w:rPr>
          <w:sz w:val="20"/>
          <w:szCs w:val="20"/>
          <w:color w:val="auto"/>
        </w:rPr>
      </w:pPr>
      <w:r>
        <w:rPr>
          <w:rFonts w:ascii="Arial" w:cs="Arial" w:eastAsia="Arial" w:hAnsi="Arial"/>
          <w:sz w:val="20"/>
          <w:szCs w:val="20"/>
          <w:color w:val="0000FF"/>
        </w:rPr>
        <w:t>C/O CORVEX MANAGEMENT LP 667 MADISON AVE</w:t>
      </w:r>
    </w:p>
    <w:p>
      <w:pPr>
        <w:spacing w:after="0" w:line="28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97"/>
        <w:spacing w:after="0"/>
        <w:rPr>
          <w:sz w:val="20"/>
          <w:szCs w:val="20"/>
          <w:color w:val="auto"/>
        </w:rPr>
      </w:pPr>
      <w:r>
        <w:rPr>
          <w:rFonts w:ascii="Arial" w:cs="Arial" w:eastAsia="Arial" w:hAnsi="Arial"/>
          <w:sz w:val="39"/>
          <w:szCs w:val="39"/>
          <w:color w:val="0000FF"/>
          <w:vertAlign w:val="superscript"/>
        </w:rPr>
        <w:t>NEW</w:t>
      </w:r>
      <w:r>
        <w:rPr>
          <w:rFonts w:ascii="Arial" w:cs="Arial" w:eastAsia="Arial" w:hAnsi="Arial"/>
          <w:sz w:val="20"/>
          <w:szCs w:val="20"/>
          <w:color w:val="0000FF"/>
        </w:rPr>
        <w:t xml:space="preserve"> NY 10065 YORK</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4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20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82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82943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2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ind w:left="16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8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2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Class B common stock</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89"/>
              <w:spacing w:after="0"/>
              <w:rPr>
                <w:sz w:val="20"/>
                <w:szCs w:val="20"/>
                <w:color w:val="auto"/>
              </w:rPr>
            </w:pPr>
            <w:r>
              <w:rPr>
                <w:rFonts w:ascii="Arial" w:cs="Arial" w:eastAsia="Arial" w:hAnsi="Arial"/>
                <w:sz w:val="13"/>
                <w:szCs w:val="13"/>
                <w:color w:val="008000"/>
              </w:rPr>
              <w:t>(1)</w:t>
            </w:r>
          </w:p>
        </w:tc>
        <w:tc>
          <w:tcPr>
            <w:tcW w:w="1760" w:type="dxa"/>
            <w:vAlign w:val="bottom"/>
          </w:tcPr>
          <w:p>
            <w:pPr>
              <w:ind w:left="260"/>
              <w:spacing w:after="0"/>
              <w:rPr>
                <w:sz w:val="20"/>
                <w:szCs w:val="20"/>
                <w:color w:val="auto"/>
              </w:rPr>
            </w:pPr>
            <w:r>
              <w:rPr>
                <w:rFonts w:ascii="Arial" w:cs="Arial" w:eastAsia="Arial" w:hAnsi="Arial"/>
                <w:sz w:val="20"/>
                <w:szCs w:val="20"/>
                <w:color w:val="0000FF"/>
                <w:w w:val="97"/>
              </w:rPr>
              <w:t>Class A common</w:t>
            </w:r>
          </w:p>
        </w:tc>
        <w:tc>
          <w:tcPr>
            <w:tcW w:w="820" w:type="dxa"/>
            <w:vAlign w:val="bottom"/>
            <w:vMerge w:val="restart"/>
          </w:tcPr>
          <w:p>
            <w:pPr>
              <w:ind w:left="180"/>
              <w:spacing w:after="0"/>
              <w:rPr>
                <w:sz w:val="20"/>
                <w:szCs w:val="20"/>
                <w:color w:val="auto"/>
              </w:rPr>
            </w:pPr>
            <w:r>
              <w:rPr>
                <w:rFonts w:ascii="Arial" w:cs="Arial" w:eastAsia="Arial" w:hAnsi="Arial"/>
                <w:sz w:val="20"/>
                <w:szCs w:val="20"/>
                <w:color w:val="0000FF"/>
              </w:rPr>
              <w:t>25,000</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ind w:left="720"/>
              <w:spacing w:after="0"/>
              <w:rPr>
                <w:sz w:val="20"/>
                <w:szCs w:val="20"/>
                <w:color w:val="auto"/>
              </w:rPr>
            </w:pPr>
            <w:r>
              <w:rPr>
                <w:rFonts w:ascii="Arial" w:cs="Arial" w:eastAsia="Arial" w:hAnsi="Arial"/>
                <w:sz w:val="20"/>
                <w:szCs w:val="20"/>
                <w:color w:val="0000FF"/>
              </w:rPr>
              <w:t>stock</w:t>
            </w:r>
          </w:p>
        </w:tc>
        <w:tc>
          <w:tcPr>
            <w:tcW w:w="8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jc w:val="both"/>
        <w:ind w:left="40" w:right="60" w:firstLine="5"/>
        <w:spacing w:after="0" w:line="238"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of Class B common stock will automatically convert into shares of Class A common stock at the time of the issuer's initial business combination or earlier at the option of the holder as described under the heading "Description of Securities--Founder Shares" in the Issuer's registration statement on Form S-1 (File No. 333-246251) (the "Registration Statement"), on a one-for-one basis, subject to adjustment for stock splits, stock capitalizations, reorganizations, recapitalizations and the like, and certain anti-dilution rights and have no expiration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Brian Emes, as</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09/01/2020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w w:val="96"/>
              </w:rPr>
              <w:t>Attorney-in-Fact</w:t>
            </w:r>
          </w:p>
        </w:tc>
        <w:tc>
          <w:tcPr>
            <w:tcW w:w="7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LIMITED POWER OF ATTORNEY</w:t>
      </w:r>
    </w:p>
    <w:p>
      <w:pPr>
        <w:spacing w:after="0" w:line="254" w:lineRule="exact"/>
        <w:rPr>
          <w:sz w:val="20"/>
          <w:szCs w:val="20"/>
          <w:color w:val="auto"/>
        </w:rPr>
      </w:pPr>
    </w:p>
    <w:p>
      <w:pPr>
        <w:ind w:right="540" w:firstLine="720"/>
        <w:spacing w:after="0" w:line="277" w:lineRule="auto"/>
        <w:rPr>
          <w:sz w:val="20"/>
          <w:szCs w:val="20"/>
          <w:color w:val="auto"/>
        </w:rPr>
      </w:pPr>
      <w:r>
        <w:rPr>
          <w:rFonts w:ascii="Arial" w:cs="Arial" w:eastAsia="Arial" w:hAnsi="Arial"/>
          <w:sz w:val="20"/>
          <w:szCs w:val="20"/>
          <w:color w:val="auto"/>
        </w:rPr>
        <w:t>The undersigned hereby constitutes and appoints Patrick Dooley, Brian Emes and Kevin O’Brien, or any of them signing singly, and with full power of substitution, as the undersigned’s true and lawful attorney-in-fact to:</w:t>
      </w:r>
    </w:p>
    <w:p>
      <w:pPr>
        <w:spacing w:after="0" w:line="189" w:lineRule="exact"/>
        <w:rPr>
          <w:sz w:val="20"/>
          <w:szCs w:val="20"/>
          <w:color w:val="auto"/>
        </w:rPr>
      </w:pPr>
    </w:p>
    <w:p>
      <w:pPr>
        <w:ind w:right="60" w:firstLine="720"/>
        <w:spacing w:after="0" w:line="270" w:lineRule="auto"/>
        <w:tabs>
          <w:tab w:leader="none" w:pos="1054" w:val="left"/>
        </w:tabs>
        <w:numPr>
          <w:ilvl w:val="0"/>
          <w:numId w:val="6"/>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officer and/or director of CM Life Sciences, Inc.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Schedules 13D and 13G; and (v) amendments of each thereof, in accordance with the Securities Exchange Act of 1934, as amended, and the rules thereunder, including any attached documents;</w:t>
      </w:r>
    </w:p>
    <w:p>
      <w:pPr>
        <w:spacing w:after="0" w:line="200" w:lineRule="exact"/>
        <w:rPr>
          <w:rFonts w:ascii="Arial" w:cs="Arial" w:eastAsia="Arial" w:hAnsi="Arial"/>
          <w:sz w:val="19"/>
          <w:szCs w:val="19"/>
          <w:color w:val="auto"/>
        </w:rPr>
      </w:pPr>
    </w:p>
    <w:p>
      <w:pPr>
        <w:jc w:val="both"/>
        <w:ind w:right="60" w:firstLine="720"/>
        <w:spacing w:after="0" w:line="264" w:lineRule="auto"/>
        <w:tabs>
          <w:tab w:leader="none" w:pos="1054" w:val="left"/>
        </w:tabs>
        <w:numPr>
          <w:ilvl w:val="0"/>
          <w:numId w:val="6"/>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201" w:lineRule="exact"/>
        <w:rPr>
          <w:rFonts w:ascii="Arial" w:cs="Arial" w:eastAsia="Arial" w:hAnsi="Arial"/>
          <w:sz w:val="20"/>
          <w:szCs w:val="20"/>
          <w:color w:val="auto"/>
        </w:rPr>
      </w:pPr>
    </w:p>
    <w:p>
      <w:pPr>
        <w:ind w:firstLine="720"/>
        <w:spacing w:after="0" w:line="277" w:lineRule="auto"/>
        <w:tabs>
          <w:tab w:leader="none" w:pos="1054" w:val="left"/>
        </w:tabs>
        <w:numPr>
          <w:ilvl w:val="0"/>
          <w:numId w:val="6"/>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ind w:right="80" w:firstLine="720"/>
        <w:spacing w:after="0" w:line="254" w:lineRule="auto"/>
        <w:rPr>
          <w:sz w:val="20"/>
          <w:szCs w:val="20"/>
          <w:color w:val="auto"/>
        </w:rPr>
      </w:pPr>
      <w:r>
        <w:rPr>
          <w:rFonts w:ascii="Arial" w:cs="Arial" w:eastAsia="Arial" w:hAnsi="Arial"/>
          <w:sz w:val="20"/>
          <w:szCs w:val="20"/>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w:t>
      </w:r>
    </w:p>
    <w:p>
      <w:pPr>
        <w:spacing w:after="0" w:line="214" w:lineRule="exact"/>
        <w:rPr>
          <w:sz w:val="20"/>
          <w:szCs w:val="20"/>
          <w:color w:val="auto"/>
        </w:rPr>
      </w:pPr>
    </w:p>
    <w:p>
      <w:pPr>
        <w:ind w:right="60" w:firstLine="720"/>
        <w:spacing w:after="0" w:line="292"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 or an affiliate of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321310</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9"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August 31, 2020.</w:t>
      </w:r>
    </w:p>
    <w:p>
      <w:pPr>
        <w:spacing w:after="0" w:line="273"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/s/ Nat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26035</wp:posOffset>
            </wp:positionV>
            <wp:extent cx="277304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35"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Signature</w:t>
      </w:r>
    </w:p>
    <w:p>
      <w:pPr>
        <w:spacing w:after="0" w:line="250"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Nat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26035</wp:posOffset>
            </wp:positionV>
            <wp:extent cx="277304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35"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474345</wp:posOffset>
            </wp:positionV>
            <wp:extent cx="694690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9360"/>
      </w:cols>
      <w:pgMar w:left="1200" w:top="994"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1822293" TargetMode="External"/><Relationship Id="rId11"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2020-09-01T14:42:38Z</dcterms:created>
  <dcterms:modified xsi:type="dcterms:W3CDTF">2020-09-01T14:42:38Z</dcterms:modified>
</cp:coreProperties>
</file>