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filed with the Securities and Exchange Commission on August 8, 2023</w:t>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Registration No. 333- </w:t>
      </w:r>
    </w:p>
    <w:p>
      <w:pPr>
        <w:pStyle w:val="TextBody"/>
        <w:bidi w:val="0"/>
        <w:spacing w:lineRule="auto" w:line="240" w:before="36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center"/>
        <w:rPr>
          <w:rFonts w:ascii="Times New Roman;sans-serif" w:hAnsi="Times New Roman;sans-serif"/>
          <w:b/>
          <w:color w:val="000000"/>
          <w:sz w:val="28"/>
        </w:rPr>
      </w:pPr>
      <w:r>
        <w:rPr>
          <w:rFonts w:ascii="Times New Roman;sans-serif" w:hAnsi="Times New Roman;sans-serif"/>
          <w:b/>
          <w:color w:val="000000"/>
          <w:sz w:val="28"/>
        </w:rPr>
        <w:t>FORM S-8</w:t>
      </w:r>
    </w:p>
    <w:p>
      <w:pPr>
        <w:pStyle w:val="TextBody"/>
        <w:bidi w:val="0"/>
        <w:spacing w:lineRule="auto" w:line="240" w:before="240" w:after="283"/>
        <w:jc w:val="center"/>
        <w:rPr>
          <w:rFonts w:ascii="Times New Roman;sans-serif" w:hAnsi="Times New Roman;sans-serif"/>
          <w:b/>
          <w:color w:val="000000"/>
          <w:sz w:val="28"/>
        </w:rPr>
      </w:pPr>
      <w:r>
        <w:rPr>
          <w:rFonts w:ascii="Times New Roman;sans-serif" w:hAnsi="Times New Roman;sans-serif"/>
          <w:b/>
          <w:color w:val="000000"/>
          <w:sz w:val="28"/>
        </w:rPr>
        <w:t>REGISTRATION STATEMENT UNDER 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80" w:after="283"/>
        <w:jc w:val="center"/>
        <w:rPr>
          <w:rFonts w:ascii="Times New Roman;sans-serif" w:hAnsi="Times New Roman;sans-serif"/>
          <w:b/>
          <w:color w:val="000000"/>
          <w:sz w:val="40"/>
        </w:rPr>
      </w:pPr>
      <w:r>
        <w:rPr>
          <w:rFonts w:ascii="Times New Roman;sans-serif" w:hAnsi="Times New Roman;sans-serif"/>
          <w:b/>
          <w:color w:val="000000"/>
          <w:sz w:val="40"/>
        </w:rPr>
        <w:t>GENEDX HOLDINGS CORP.</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3934" w:type="dxa"/>
        <w:jc w:val="left"/>
        <w:tblInd w:w="0" w:type="dxa"/>
        <w:tblLayout w:type="fixed"/>
        <w:tblCellMar>
          <w:top w:w="28" w:type="dxa"/>
          <w:left w:w="28" w:type="dxa"/>
          <w:bottom w:w="28" w:type="dxa"/>
          <w:right w:w="28" w:type="dxa"/>
        </w:tblCellMar>
      </w:tblPr>
      <w:tblGrid>
        <w:gridCol w:w="308"/>
        <w:gridCol w:w="271"/>
        <w:gridCol w:w="271"/>
        <w:gridCol w:w="271"/>
        <w:gridCol w:w="271"/>
        <w:gridCol w:w="271"/>
        <w:gridCol w:w="271"/>
        <w:gridCol w:w="271"/>
        <w:gridCol w:w="278"/>
        <w:gridCol w:w="153"/>
        <w:gridCol w:w="153"/>
        <w:gridCol w:w="153"/>
        <w:gridCol w:w="153"/>
        <w:gridCol w:w="153"/>
        <w:gridCol w:w="153"/>
        <w:gridCol w:w="153"/>
        <w:gridCol w:w="153"/>
        <w:gridCol w:w="227"/>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4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85-1966622</w:t>
            </w:r>
          </w:p>
        </w:tc>
      </w:tr>
      <w:tr>
        <w:trPr/>
        <w:tc>
          <w:tcPr>
            <w:tcW w:w="2483" w:type="dxa"/>
            <w:gridSpan w:val="9"/>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r>
          </w:p>
          <w:p>
            <w:pPr>
              <w:pStyle w:val="TableContents"/>
              <w:bidi w:val="0"/>
              <w:spacing w:lineRule="auto" w:line="240" w:before="0" w:after="30"/>
              <w:jc w:val="center"/>
              <w:rPr>
                <w:rFonts w:ascii="Times New Roman;sans-serif" w:hAnsi="Times New Roman;sans-serif"/>
                <w:b w:val="false"/>
                <w:color w:val="000000"/>
                <w:sz w:val="18"/>
              </w:rPr>
            </w:pPr>
            <w:r>
              <w:rPr>
                <w:rFonts w:ascii="Times New Roman;sans-serif" w:hAnsi="Times New Roman;sans-serif"/>
                <w:b w:val="false"/>
                <w:color w:val="000000"/>
                <w:sz w:val="18"/>
              </w:rPr>
              <w:t>of Incorporation or Organization)</w:t>
            </w:r>
          </w:p>
        </w:tc>
        <w:tc>
          <w:tcPr>
            <w:tcW w:w="1451" w:type="dxa"/>
            <w:gridSpan w:val="9"/>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ableContents"/>
              <w:bidi w:val="0"/>
              <w:spacing w:lineRule="auto" w:line="240" w:before="0" w:after="3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bidi w:val="0"/>
        <w:spacing w:lineRule="auto" w:line="240"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40" w:before="0" w:after="0"/>
        <w:jc w:val="center"/>
        <w:rPr>
          <w:rFonts w:ascii="Times New Roman;sans-serif" w:hAnsi="Times New Roman;sans-serif"/>
          <w:b/>
          <w:color w:val="000000"/>
          <w:sz w:val="18"/>
          <w:shd w:fill="FFFFFF" w:val="clear"/>
        </w:rPr>
      </w:pPr>
      <w:r>
        <w:rPr>
          <w:rFonts w:ascii="Times New Roman;sans-serif" w:hAnsi="Times New Roman;sans-serif"/>
          <w:b/>
          <w:color w:val="000000"/>
          <w:sz w:val="18"/>
          <w:shd w:fill="FFFFFF" w:val="clear"/>
        </w:rPr>
        <w:t>GENEDX HOLDINGS CORP. 2023 EQUITY INDUCEMENT PLAN</w:t>
      </w:r>
    </w:p>
    <w:p>
      <w:pPr>
        <w:pStyle w:val="TextBody"/>
        <w:bidi w:val="0"/>
        <w:spacing w:lineRule="auto" w:line="240" w:before="0" w:after="240"/>
        <w:jc w:val="center"/>
        <w:rPr>
          <w:rFonts w:ascii="Times New Roman;sans-serif" w:hAnsi="Times New Roman;sans-serif"/>
          <w:b w:val="false"/>
          <w:color w:val="000000"/>
          <w:sz w:val="18"/>
        </w:rPr>
      </w:pPr>
      <w:r>
        <w:rPr>
          <w:rFonts w:ascii="Times New Roman;sans-serif" w:hAnsi="Times New Roman;sans-serif"/>
          <w:b w:val="false"/>
          <w:color w:val="000000"/>
          <w:sz w:val="18"/>
        </w:rPr>
        <w:t>(Full Title of the Plans)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Katherine Stueland</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333 Ludlow Street, North Tower, 6th Floor</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p>
      <w:pPr>
        <w:pStyle w:val="TextBody"/>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(Name and Address of Agent For Service)</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(800) 298-6470</w:t>
      </w:r>
    </w:p>
    <w:p>
      <w:pPr>
        <w:pStyle w:val="TextBody"/>
        <w:bidi w:val="0"/>
        <w:spacing w:lineRule="auto" w:line="240"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738" w:type="dxa"/>
        <w:jc w:val="left"/>
        <w:tblInd w:w="0" w:type="dxa"/>
        <w:tblLayout w:type="fixed"/>
        <w:tblCellMar>
          <w:top w:w="28" w:type="dxa"/>
          <w:left w:w="28" w:type="dxa"/>
          <w:bottom w:w="28" w:type="dxa"/>
          <w:right w:w="28" w:type="dxa"/>
        </w:tblCellMar>
      </w:tblPr>
      <w:tblGrid>
        <w:gridCol w:w="285"/>
        <w:gridCol w:w="251"/>
        <w:gridCol w:w="251"/>
        <w:gridCol w:w="251"/>
        <w:gridCol w:w="251"/>
        <w:gridCol w:w="251"/>
        <w:gridCol w:w="251"/>
        <w:gridCol w:w="251"/>
        <w:gridCol w:w="251"/>
        <w:gridCol w:w="366"/>
        <w:gridCol w:w="366"/>
        <w:gridCol w:w="366"/>
        <w:gridCol w:w="366"/>
        <w:gridCol w:w="366"/>
        <w:gridCol w:w="366"/>
        <w:gridCol w:w="366"/>
        <w:gridCol w:w="366"/>
        <w:gridCol w:w="517"/>
      </w:tblGrid>
      <w:tr>
        <w:trPr/>
        <w:tc>
          <w:tcPr>
            <w:tcW w:w="2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Copies to:</w:t>
            </w:r>
          </w:p>
        </w:tc>
      </w:tr>
      <w:tr>
        <w:trPr/>
        <w:tc>
          <w:tcPr>
            <w:tcW w:w="2293" w:type="dxa"/>
            <w:gridSpan w:val="9"/>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Ethan Skerry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 B. Chilstrom</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Fenwick &amp; West LLP</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902 Broadway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 10010</w:t>
            </w:r>
          </w:p>
          <w:p>
            <w:pPr>
              <w:pStyle w:val="TableContents"/>
              <w:bidi w:val="0"/>
              <w:spacing w:lineRule="auto" w:line="240" w:before="0" w:after="30"/>
              <w:jc w:val="center"/>
              <w:rPr>
                <w:rFonts w:ascii="Times New Roman;sans-serif" w:hAnsi="Times New Roman;sans-serif"/>
                <w:b/>
                <w:color w:val="000000"/>
                <w:sz w:val="18"/>
              </w:rPr>
            </w:pPr>
            <w:r>
              <w:rPr>
                <w:rFonts w:ascii="Times New Roman;sans-serif" w:hAnsi="Times New Roman;sans-serif"/>
                <w:b/>
                <w:color w:val="000000"/>
                <w:sz w:val="18"/>
              </w:rPr>
              <w:t>(212) 430-2600</w:t>
            </w:r>
          </w:p>
        </w:tc>
        <w:tc>
          <w:tcPr>
            <w:tcW w:w="3445" w:type="dxa"/>
            <w:gridSpan w:val="9"/>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8"/>
              </w:rPr>
            </w:pPr>
            <w:r>
              <w:rPr>
                <w:rFonts w:ascii="Times New Roman;sans-serif" w:hAnsi="Times New Roman;sans-serif"/>
                <w:b/>
                <w:color w:val="000000"/>
                <w:sz w:val="18"/>
              </w:rPr>
              <w:t>Katherine Stueland</w:t>
            </w:r>
          </w:p>
          <w:p>
            <w:pPr>
              <w:pStyle w:val="TableContents"/>
              <w:bidi w:val="0"/>
              <w:spacing w:lineRule="auto" w:line="240" w:before="53" w:after="283"/>
              <w:jc w:val="center"/>
              <w:rPr/>
            </w:pPr>
            <w:r>
              <w:rPr>
                <w:rFonts w:ascii="Times New Roman;sans-serif" w:hAnsi="Times New Roman;sans-serif"/>
                <w:b/>
                <w:color w:val="000000"/>
                <w:sz w:val="18"/>
              </w:rPr>
              <w:t>Chief Executive Officer</w:t>
            </w:r>
            <w:r>
              <w:rPr>
                <w:rFonts w:ascii="Times New Roman;sans-serif" w:hAnsi="Times New Roman;sans-serif"/>
                <w:b/>
                <w:color w:val="000000"/>
                <w:sz w:val="20"/>
              </w:rPr>
              <w:br/>
            </w:r>
            <w:r>
              <w:rPr>
                <w:rFonts w:ascii="Times New Roman;sans-serif" w:hAnsi="Times New Roman;sans-serif"/>
                <w:b/>
                <w:color w:val="000000"/>
                <w:sz w:val="18"/>
              </w:rPr>
              <w:t>GeneDx Holdings Corp.</w:t>
              <w:br/>
              <w:t>333 Ludlow Street, North Tower, 6th Floor</w:t>
              <w:br/>
              <w:t>Stamford, Connecticut 06902</w:t>
              <w:br/>
              <w:t>(800) 298-6470</w:t>
            </w:r>
          </w:p>
        </w:tc>
      </w:tr>
    </w:tbl>
    <w:p>
      <w:pPr>
        <w:pStyle w:val="TextBody"/>
        <w:bidi w:val="0"/>
        <w:spacing w:lineRule="auto" w:line="240" w:before="0" w:after="118"/>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58" w:type="dxa"/>
        <w:jc w:val="left"/>
        <w:tblInd w:w="0" w:type="dxa"/>
        <w:tblLayout w:type="fixed"/>
        <w:tblCellMar>
          <w:top w:w="28" w:type="dxa"/>
          <w:left w:w="28" w:type="dxa"/>
          <w:bottom w:w="28" w:type="dxa"/>
          <w:right w:w="28" w:type="dxa"/>
        </w:tblCellMar>
      </w:tblPr>
      <w:tblGrid>
        <w:gridCol w:w="695"/>
        <w:gridCol w:w="611"/>
        <w:gridCol w:w="613"/>
        <w:gridCol w:w="682"/>
        <w:gridCol w:w="682"/>
        <w:gridCol w:w="9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18"/>
              </w:rPr>
              <w:t xml:space="preserve">Large accelerated filer </w:t>
            </w:r>
            <w:r>
              <w:rPr>
                <w:color w:val="000000"/>
              </w:rPr>
              <w:t>☐</w:t>
            </w:r>
          </w:p>
        </w:tc>
        <w:tc>
          <w:tcPr>
            <w:tcW w:w="2339" w:type="dxa"/>
            <w:gridSpan w:val="3"/>
            <w:tcBorders/>
            <w:tcMar>
              <w:top w:w="0" w:type="dxa"/>
              <w:left w:w="0" w:type="dxa"/>
              <w:bottom w:w="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18"/>
              </w:rPr>
              <w:t xml:space="preserve">Accelerated filer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Non-accelerated filer</w:t>
            </w:r>
            <w:r>
              <w:rPr>
                <w:color w:val="000000"/>
              </w:rPr>
              <w:t>☐</w:t>
            </w:r>
          </w:p>
        </w:tc>
        <w:tc>
          <w:tcPr>
            <w:tcW w:w="2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Smaller reporting company </w:t>
            </w: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Emerging growth company </w:t>
            </w:r>
            <w:r>
              <w:rPr>
                <w:color w:val="000000"/>
              </w:rPr>
              <w:t>☒</w:t>
            </w:r>
          </w:p>
        </w:tc>
      </w:tr>
    </w:tbl>
    <w:p>
      <w:pPr>
        <w:pStyle w:val="TextBody"/>
        <w:bidi w:val="0"/>
        <w:spacing w:lineRule="auto" w:line="240" w:before="0" w:after="12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41" w:type="dxa"/>
            <w:gridSpan w:val="9"/>
            <w:tcBorders>
              <w:bottom w:val="single" w:sz="8" w:space="0" w:color="000000"/>
            </w:tcBorders>
            <w:tcMar>
              <w:top w:w="0" w:type="dxa"/>
              <w:left w:w="0" w:type="dxa"/>
              <w:right w:w="0" w:type="dxa"/>
            </w:tcMar>
            <w:vAlign w:val="center"/>
          </w:tcPr>
          <w:p>
            <w:pPr>
              <w:pStyle w:val="TableContents"/>
              <w:bidi w:val="0"/>
              <w:spacing w:before="53" w:after="30"/>
              <w:jc w:val="center"/>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before="0" w:after="0"/>
        <w:jc w:val="left"/>
        <w:rPr/>
      </w:pPr>
      <w:r>
        <w:rPr/>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SECTION 10(a) PROSPECTUS</w:t>
      </w:r>
    </w:p>
    <w:p>
      <w:pPr>
        <w:pStyle w:val="TextBody"/>
        <w:bidi w:val="0"/>
        <w:spacing w:before="0" w:after="0"/>
        <w:jc w:val="center"/>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called for by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The documents containing the information specified in Part I of Form S-8 will be delivered to the participants in the equity benefit plan covered by this Registration Statement as specified by Rule 428(b)(1) under the Securities Act.</w:t>
      </w:r>
    </w:p>
    <w:p>
      <w:pPr>
        <w:pStyle w:val="TextBody"/>
        <w:bidi w:val="0"/>
        <w:spacing w:before="0" w:after="24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lineRule="auto" w:line="333" w:before="240" w:after="24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bidi w:val="0"/>
        <w:spacing w:lineRule="auto" w:line="240" w:before="12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3.    Incorporation of Documents by Reference.</w:t>
      </w:r>
    </w:p>
    <w:p>
      <w:pPr>
        <w:pStyle w:val="TextBody"/>
        <w:bidi w:val="0"/>
        <w:spacing w:lineRule="auto" w:line="240" w:before="120" w:after="180"/>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documents filed by GeneDx Holdings Corp. (the “Registrant”) with the Commission pursuant to the Securities Act and the Securities Exchange Act of 1934, as amended (the “Exchange Act”), are incorporated herein by reference:</w:t>
      </w:r>
    </w:p>
    <w:p>
      <w:pPr>
        <w:pStyle w:val="TextBody"/>
        <w:bidi w:val="0"/>
        <w:spacing w:lineRule="auto" w:line="240" w:before="0" w:after="0"/>
        <w:ind w:left="0" w:right="0" w:hanging="360"/>
        <w:jc w:val="both"/>
        <w:rPr/>
      </w:pPr>
      <w:r>
        <w:rPr>
          <w:rFonts w:ascii="Times New Roman;sans-serif" w:hAnsi="Times New Roman;sans-serif"/>
          <w:b w:val="false"/>
          <w:color w:val="000000"/>
          <w:sz w:val="20"/>
        </w:rPr>
        <w:t xml:space="preserve">(a)the Registrant’s Annual Report on Form 10-K for the fiscal year ended December 31, 2022 (the “2022 Annual Report on Form 10-K”), filed with the Commission on </w:t>
      </w:r>
      <w:hyperlink r:id="rId2">
        <w:r>
          <w:rPr>
            <w:rStyle w:val="InternetLink"/>
            <w:rFonts w:ascii="Times New Roman;sans-serif" w:hAnsi="Times New Roman;sans-serif"/>
            <w:b w:val="false"/>
            <w:color w:val="0000FF"/>
            <w:sz w:val="20"/>
            <w:u w:val="single"/>
          </w:rPr>
          <w:t>March 16, 2023</w:t>
        </w:r>
      </w:hyperlink>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lineRule="auto" w:line="240" w:before="0" w:after="18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shd w:fill="FFFFFF" w:val="clear"/>
        </w:rPr>
        <w:t xml:space="preserve">the Registrant’s Quarterly Report on Form 10-Q for the quarterly period ended March 31, 2023, filed with the Commission on </w:t>
      </w:r>
      <w:hyperlink r:id="rId3">
        <w:r>
          <w:rPr>
            <w:rStyle w:val="InternetLink"/>
            <w:rFonts w:ascii="Times New Roman;sans-serif" w:hAnsi="Times New Roman;sans-serif"/>
            <w:b w:val="false"/>
            <w:color w:val="0000FF"/>
            <w:sz w:val="20"/>
            <w:u w:val="single"/>
            <w:shd w:fill="FFFFFF" w:val="clear"/>
          </w:rPr>
          <w:t>May 9, 2023</w:t>
        </w:r>
      </w:hyperlink>
      <w:r>
        <w:rPr>
          <w:rFonts w:ascii="Times New Roman;sans-serif" w:hAnsi="Times New Roman;sans-serif"/>
          <w:b w:val="false"/>
          <w:color w:val="0000FF"/>
          <w:sz w:val="20"/>
        </w:rPr>
        <w:t xml:space="preserve">; </w:t>
      </w:r>
    </w:p>
    <w:p>
      <w:pPr>
        <w:pStyle w:val="TextBody"/>
        <w:bidi w:val="0"/>
        <w:spacing w:lineRule="auto" w:line="240"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 xml:space="preserve">the Registrant’s Current Reports on Form 8-K filed with the Commission on </w:t>
      </w:r>
      <w:r>
        <w:rPr>
          <w:color w:val="000000"/>
        </w:rPr>
        <w:t> </w:t>
      </w:r>
      <w:hyperlink r:id="rId4">
        <w:r>
          <w:rPr>
            <w:rStyle w:val="InternetLink"/>
            <w:rFonts w:ascii="Times New Roman;sans-serif" w:hAnsi="Times New Roman;sans-serif"/>
            <w:b w:val="false"/>
            <w:color w:val="0000FF"/>
            <w:sz w:val="20"/>
            <w:u w:val="single"/>
          </w:rPr>
          <w:t>January 9, 2023</w:t>
        </w:r>
      </w:hyperlink>
      <w:r>
        <w:rPr>
          <w:color w:val="000000"/>
        </w:rPr>
        <w:t> </w:t>
      </w:r>
      <w:r>
        <w:rPr>
          <w:rFonts w:ascii="Times New Roman;sans-serif" w:hAnsi="Times New Roman;sans-serif"/>
          <w:b w:val="false"/>
          <w:color w:val="000000"/>
          <w:sz w:val="20"/>
        </w:rPr>
        <w:t xml:space="preserve">(but only with respect to Item 5.03 thereto and Exhibits 3.1 and 3.2 thereto), </w:t>
      </w:r>
      <w:hyperlink r:id="rId5">
        <w:r>
          <w:rPr>
            <w:rStyle w:val="InternetLink"/>
            <w:rFonts w:ascii="Times New Roman;sans-serif" w:hAnsi="Times New Roman;sans-serif"/>
            <w:b w:val="false"/>
            <w:color w:val="0000FF"/>
            <w:sz w:val="20"/>
            <w:u w:val="single"/>
          </w:rPr>
          <w:t>January 30, 2023</w:t>
        </w:r>
      </w:hyperlink>
      <w:r>
        <w:rPr>
          <w:rFonts w:ascii="Times New Roman;sans-serif" w:hAnsi="Times New Roman;sans-serif"/>
          <w:b w:val="false"/>
          <w:color w:val="000000"/>
          <w:sz w:val="20"/>
        </w:rPr>
        <w:t xml:space="preserve">, </w:t>
      </w:r>
      <w:hyperlink r:id="rId6">
        <w:r>
          <w:rPr>
            <w:rStyle w:val="InternetLink"/>
            <w:rFonts w:ascii="Times New Roman;sans-serif" w:hAnsi="Times New Roman;sans-serif"/>
            <w:b w:val="false"/>
            <w:color w:val="0000FF"/>
            <w:sz w:val="20"/>
            <w:u w:val="single"/>
          </w:rPr>
          <w:t>February 14, 2023</w:t>
        </w:r>
      </w:hyperlink>
      <w:r>
        <w:rPr>
          <w:rFonts w:ascii="Times New Roman;sans-serif" w:hAnsi="Times New Roman;sans-serif"/>
          <w:b w:val="false"/>
          <w:color w:val="000000"/>
          <w:sz w:val="20"/>
        </w:rPr>
        <w:t>,</w:t>
      </w:r>
      <w:r>
        <w:rPr>
          <w:color w:val="000000"/>
          <w:shd w:fill="FFFFFF" w:val="clear"/>
        </w:rPr>
        <w:t xml:space="preserve"> </w:t>
      </w:r>
      <w:hyperlink r:id="rId7">
        <w:r>
          <w:rPr>
            <w:rStyle w:val="InternetLink"/>
            <w:rFonts w:ascii="Times New Roman;sans-serif" w:hAnsi="Times New Roman;sans-serif"/>
            <w:b w:val="false"/>
            <w:color w:val="0000FF"/>
            <w:sz w:val="20"/>
            <w:u w:val="single"/>
            <w:shd w:fill="FFFFFF" w:val="clear"/>
          </w:rPr>
          <w:t>April 14, 2023</w:t>
        </w:r>
      </w:hyperlink>
      <w:r>
        <w:rPr>
          <w:rFonts w:ascii="Times New Roman;sans-serif" w:hAnsi="Times New Roman;sans-serif"/>
          <w:b w:val="false"/>
          <w:color w:val="000000"/>
          <w:sz w:val="20"/>
          <w:shd w:fill="FFFFFF" w:val="clear"/>
        </w:rPr>
        <w:t xml:space="preserve">, </w:t>
      </w:r>
      <w:hyperlink r:id="rId8">
        <w:r>
          <w:rPr>
            <w:rStyle w:val="InternetLink"/>
            <w:rFonts w:ascii="Times New Roman;sans-serif" w:hAnsi="Times New Roman;sans-serif"/>
            <w:b w:val="false"/>
            <w:color w:val="0000FF"/>
            <w:sz w:val="20"/>
            <w:u w:val="single"/>
            <w:shd w:fill="FFFFFF" w:val="clear"/>
          </w:rPr>
          <w:t>April 17, 2023</w:t>
        </w:r>
      </w:hyperlink>
      <w:r>
        <w:rPr>
          <w:rFonts w:ascii="Times New Roman;sans-serif" w:hAnsi="Times New Roman;sans-serif"/>
          <w:b w:val="false"/>
          <w:color w:val="000000"/>
          <w:sz w:val="20"/>
          <w:shd w:fill="FFFFFF" w:val="clear"/>
        </w:rPr>
        <w:t xml:space="preserve">, </w:t>
      </w:r>
      <w:hyperlink r:id="rId9">
        <w:r>
          <w:rPr>
            <w:rStyle w:val="InternetLink"/>
            <w:rFonts w:ascii="Times New Roman;sans-serif" w:hAnsi="Times New Roman;sans-serif"/>
            <w:b w:val="false"/>
            <w:color w:val="0000FF"/>
            <w:sz w:val="20"/>
            <w:u w:val="single"/>
            <w:shd w:fill="FFFFFF" w:val="clear"/>
          </w:rPr>
          <w:t>April 28, 2023</w:t>
        </w:r>
      </w:hyperlink>
      <w:r>
        <w:rPr>
          <w:rFonts w:ascii="Times New Roman;sans-serif" w:hAnsi="Times New Roman;sans-serif"/>
          <w:b w:val="false"/>
          <w:color w:val="000000"/>
          <w:sz w:val="20"/>
          <w:shd w:fill="FFFFFF" w:val="clear"/>
        </w:rPr>
        <w:t>,</w:t>
      </w:r>
      <w:r>
        <w:rPr>
          <w:color w:val="000000"/>
        </w:rPr>
        <w:t xml:space="preserve"> </w:t>
      </w:r>
      <w:hyperlink r:id="rId10">
        <w:r>
          <w:rPr>
            <w:rStyle w:val="InternetLink"/>
            <w:rFonts w:ascii="Times New Roman;sans-serif" w:hAnsi="Times New Roman;sans-serif"/>
            <w:b w:val="false"/>
            <w:color w:val="0000FF"/>
            <w:sz w:val="20"/>
            <w:u w:val="single"/>
          </w:rPr>
          <w:t>May 22, 2023</w:t>
        </w:r>
      </w:hyperlink>
      <w:r>
        <w:rPr>
          <w:rFonts w:ascii="Times New Roman;sans-serif" w:hAnsi="Times New Roman;sans-serif"/>
          <w:b w:val="false"/>
          <w:color w:val="000000"/>
          <w:sz w:val="20"/>
          <w:shd w:fill="FFFFFF" w:val="clear"/>
        </w:rPr>
        <w:t>,</w:t>
      </w:r>
      <w:r>
        <w:rPr>
          <w:color w:val="000000"/>
        </w:rPr>
        <w:t xml:space="preserve"> </w:t>
      </w:r>
      <w:hyperlink r:id="rId11">
        <w:r>
          <w:rPr>
            <w:rStyle w:val="InternetLink"/>
            <w:rFonts w:ascii="Times New Roman;sans-serif" w:hAnsi="Times New Roman;sans-serif"/>
            <w:b w:val="false"/>
            <w:color w:val="0000FF"/>
            <w:sz w:val="20"/>
            <w:u w:val="single"/>
          </w:rPr>
          <w:t>June 20, 2023</w:t>
        </w:r>
      </w:hyperlink>
      <w:r>
        <w:rPr>
          <w:color w:val="000000"/>
        </w:rPr>
        <w:t xml:space="preserve"> </w:t>
      </w:r>
      <w:r>
        <w:rPr>
          <w:rFonts w:ascii="Times New Roman;sans-serif" w:hAnsi="Times New Roman;sans-serif"/>
          <w:b w:val="false"/>
          <w:color w:val="000000"/>
          <w:sz w:val="20"/>
        </w:rPr>
        <w:t xml:space="preserve">and </w:t>
      </w:r>
      <w:hyperlink r:id="rId12">
        <w:r>
          <w:rPr>
            <w:rStyle w:val="InternetLink"/>
            <w:rFonts w:ascii="Times New Roman;sans-serif" w:hAnsi="Times New Roman;sans-serif"/>
            <w:b w:val="false"/>
            <w:color w:val="0000FF"/>
            <w:sz w:val="20"/>
            <w:u w:val="single"/>
          </w:rPr>
          <w:t>July 24, 2023</w:t>
        </w:r>
      </w:hyperlink>
      <w:r>
        <w:rPr>
          <w:rFonts w:ascii="Times New Roman;sans-serif" w:hAnsi="Times New Roman;sans-serif"/>
          <w:b w:val="false"/>
          <w:color w:val="000000"/>
          <w:sz w:val="20"/>
        </w:rPr>
        <w:t>;</w:t>
      </w:r>
    </w:p>
    <w:p>
      <w:pPr>
        <w:pStyle w:val="TextBody"/>
        <w:bidi w:val="0"/>
        <w:spacing w:before="0" w:after="0"/>
        <w:jc w:val="left"/>
        <w:rPr/>
      </w:pPr>
      <w:r>
        <w:rPr/>
      </w:r>
    </w:p>
    <w:p>
      <w:pPr>
        <w:pStyle w:val="TextBody"/>
        <w:bidi w:val="0"/>
        <w:spacing w:lineRule="auto" w:line="240"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shd w:fill="FFFFFF" w:val="clear"/>
        </w:rPr>
        <w:t xml:space="preserve">the Registrant’s Definitive Proxy Statement on Schedule 14A filed with the Commission on </w:t>
      </w:r>
      <w:hyperlink r:id="rId13">
        <w:r>
          <w:rPr>
            <w:rStyle w:val="InternetLink"/>
            <w:rFonts w:ascii="Times New Roman;sans-serif" w:hAnsi="Times New Roman;sans-serif"/>
            <w:b w:val="false"/>
            <w:color w:val="0000FF"/>
            <w:sz w:val="20"/>
            <w:u w:val="single"/>
            <w:shd w:fill="FFFFFF" w:val="clear"/>
          </w:rPr>
          <w:t>April 28, 2023</w:t>
        </w:r>
      </w:hyperlink>
      <w:r>
        <w:rPr>
          <w:color w:val="000000"/>
          <w:shd w:fill="FFFFFF" w:val="clear"/>
        </w:rPr>
        <w:t xml:space="preserve"> </w:t>
      </w:r>
      <w:r>
        <w:rPr>
          <w:rFonts w:ascii="Times New Roman;sans-serif" w:hAnsi="Times New Roman;sans-serif"/>
          <w:b w:val="false"/>
          <w:color w:val="000000"/>
          <w:sz w:val="20"/>
          <w:shd w:fill="FFFFFF" w:val="clear"/>
        </w:rPr>
        <w:t xml:space="preserve">(but only with respect to information required by Part  III of the 2022 Annual Report on </w:t>
      </w:r>
      <w:hyperlink r:id="rId14">
        <w:r>
          <w:rPr>
            <w:rStyle w:val="InternetLink"/>
            <w:rFonts w:ascii="Times New Roman;sans-serif" w:hAnsi="Times New Roman;sans-serif"/>
            <w:b w:val="false"/>
            <w:color w:val="0000FF"/>
            <w:sz w:val="20"/>
            <w:u w:val="single"/>
            <w:shd w:fill="FFFFFF" w:val="clear"/>
          </w:rPr>
          <w:t>Form 10-K</w:t>
        </w:r>
      </w:hyperlink>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w:t>
      </w:r>
      <w:r>
        <w:rPr>
          <w:color w:val="000000"/>
          <w:shd w:fill="FFFFFF" w:val="clear"/>
        </w:rPr>
        <w:t> </w:t>
      </w:r>
      <w:r>
        <w:rPr>
          <w:rFonts w:ascii="Times New Roman;sans-serif" w:hAnsi="Times New Roman;sans-serif"/>
          <w:b w:val="false"/>
          <w:color w:val="000000"/>
          <w:sz w:val="20"/>
        </w:rPr>
        <w:t>and</w:t>
      </w:r>
      <w:r>
        <w:rPr>
          <w:color w:val="000000"/>
          <w:shd w:fill="FFFFFF" w:val="clear"/>
        </w:rPr>
        <w:t xml:space="preserve"> </w:t>
      </w:r>
    </w:p>
    <w:p>
      <w:pPr>
        <w:pStyle w:val="TextBody"/>
        <w:bidi w:val="0"/>
        <w:spacing w:before="0" w:after="0"/>
        <w:jc w:val="both"/>
        <w:rPr/>
      </w:pPr>
      <w:r>
        <w:rPr/>
      </w:r>
    </w:p>
    <w:p>
      <w:pPr>
        <w:pStyle w:val="TextBody"/>
        <w:bidi w:val="0"/>
        <w:spacing w:lineRule="auto" w:line="240" w:before="0" w:after="180"/>
        <w:ind w:left="0" w:right="0" w:hanging="360"/>
        <w:jc w:val="both"/>
        <w:rPr/>
      </w:pPr>
      <w:r>
        <w:rPr>
          <w:rFonts w:ascii="Times New Roman;sans-serif" w:hAnsi="Times New Roman;sans-serif"/>
          <w:b w:val="false"/>
          <w:color w:val="000000"/>
          <w:sz w:val="20"/>
        </w:rPr>
        <w:t xml:space="preserve">(c) </w:t>
      </w:r>
      <w:r>
        <w:rPr>
          <w:rFonts w:ascii="Times New Roman;sans-serif" w:hAnsi="Times New Roman;sans-serif"/>
          <w:b w:val="false"/>
          <w:color w:val="000000"/>
          <w:sz w:val="20"/>
          <w:shd w:fill="FFFFFF" w:val="clear"/>
        </w:rPr>
        <w:t xml:space="preserve">the description of </w:t>
      </w:r>
      <w:r>
        <w:rPr>
          <w:color w:val="000000"/>
        </w:rPr>
        <w:t> </w:t>
      </w:r>
      <w:r>
        <w:rPr>
          <w:rFonts w:ascii="Times New Roman;sans-serif" w:hAnsi="Times New Roman;sans-serif"/>
          <w:b w:val="false"/>
          <w:color w:val="000000"/>
          <w:sz w:val="20"/>
        </w:rPr>
        <w:t xml:space="preserve">the Registrant’s </w:t>
      </w:r>
      <w:r>
        <w:rPr>
          <w:rFonts w:ascii="Times New Roman;sans-serif" w:hAnsi="Times New Roman;sans-serif"/>
          <w:b w:val="false"/>
          <w:color w:val="000000"/>
          <w:sz w:val="20"/>
          <w:shd w:fill="FFFFFF" w:val="clear"/>
        </w:rPr>
        <w:t xml:space="preserve">Class A Common Stock contained in </w:t>
      </w:r>
      <w:r>
        <w:rPr>
          <w:rFonts w:ascii="Times New Roman;sans-serif" w:hAnsi="Times New Roman;sans-serif"/>
          <w:b w:val="false"/>
          <w:color w:val="000000"/>
          <w:sz w:val="20"/>
        </w:rPr>
        <w:t>the Registrant’s</w:t>
      </w:r>
      <w:r>
        <w:rPr>
          <w:color w:val="000000"/>
          <w:shd w:fill="FFFFFF" w:val="clear"/>
        </w:rPr>
        <w:t xml:space="preserve"> </w:t>
      </w:r>
      <w:r>
        <w:rPr>
          <w:rFonts w:ascii="Times New Roman;sans-serif" w:hAnsi="Times New Roman;sans-serif"/>
          <w:b w:val="false"/>
          <w:color w:val="000000"/>
          <w:sz w:val="20"/>
          <w:shd w:fill="FFFFFF" w:val="clear"/>
        </w:rPr>
        <w:t>Registration Statement on </w:t>
      </w:r>
      <w:hyperlink r:id="rId15">
        <w:r>
          <w:rPr>
            <w:rStyle w:val="InternetLink"/>
            <w:rFonts w:ascii="Times New Roman;sans-serif" w:hAnsi="Times New Roman;sans-serif"/>
            <w:b w:val="false"/>
            <w:color w:val="0000FF"/>
            <w:sz w:val="20"/>
            <w:u w:val="single"/>
            <w:shd w:fill="FFFFFF" w:val="clear"/>
          </w:rPr>
          <w:t>Form 8-A</w:t>
        </w:r>
      </w:hyperlink>
      <w:r>
        <w:rPr>
          <w:color w:val="000000"/>
          <w:shd w:fill="FFFFFF" w:val="clear"/>
        </w:rPr>
        <w:t> </w:t>
      </w:r>
      <w:r>
        <w:rPr>
          <w:rFonts w:ascii="Times New Roman;sans-serif" w:hAnsi="Times New Roman;sans-serif"/>
          <w:b w:val="false"/>
          <w:color w:val="000000"/>
          <w:sz w:val="20"/>
          <w:shd w:fill="FFFFFF" w:val="clear"/>
        </w:rPr>
        <w:t xml:space="preserve">filed with the Commission on August 31, 2020, as updated by the description of </w:t>
      </w:r>
      <w:r>
        <w:rPr>
          <w:rFonts w:ascii="Times New Roman;sans-serif" w:hAnsi="Times New Roman;sans-serif"/>
          <w:b w:val="false"/>
          <w:color w:val="000000"/>
          <w:sz w:val="20"/>
        </w:rPr>
        <w:t>the Registrant’s</w:t>
      </w:r>
      <w:r>
        <w:rPr>
          <w:color w:val="000000"/>
          <w:shd w:fill="FFFFFF" w:val="clear"/>
        </w:rPr>
        <w:t xml:space="preserve"> </w:t>
      </w:r>
      <w:r>
        <w:rPr>
          <w:rFonts w:ascii="Times New Roman;sans-serif" w:hAnsi="Times New Roman;sans-serif"/>
          <w:b w:val="false"/>
          <w:color w:val="000000"/>
          <w:sz w:val="20"/>
          <w:shd w:fill="FFFFFF" w:val="clear"/>
        </w:rPr>
        <w:t xml:space="preserve">Class A Common Stock contained in Exhibit 4.4 to the Registrant’s </w:t>
      </w:r>
      <w:r>
        <w:rPr>
          <w:rFonts w:ascii="Times New Roman;sans-serif" w:hAnsi="Times New Roman;sans-serif"/>
          <w:b w:val="false"/>
          <w:color w:val="000000"/>
          <w:sz w:val="20"/>
        </w:rPr>
        <w:t xml:space="preserve">2022 Annual Report on </w:t>
      </w:r>
      <w:hyperlink r:id="rId16">
        <w:r>
          <w:rPr>
            <w:rStyle w:val="InternetLink"/>
            <w:rFonts w:ascii="Times New Roman;sans-serif" w:hAnsi="Times New Roman;sans-serif"/>
            <w:b w:val="false"/>
            <w:color w:val="0000FF"/>
            <w:sz w:val="20"/>
            <w:u w:val="single"/>
            <w:shd w:fill="FFFFFF" w:val="clear"/>
          </w:rPr>
          <w:t>Form 10-K</w:t>
        </w:r>
      </w:hyperlink>
      <w:r>
        <w:rPr>
          <w:rFonts w:ascii="Times New Roman;sans-serif" w:hAnsi="Times New Roman;sans-serif"/>
          <w:b w:val="false"/>
          <w:color w:val="000000"/>
          <w:sz w:val="20"/>
          <w:shd w:fill="FFFFFF" w:val="clear"/>
        </w:rPr>
        <w:t>, including any subsequent amendments or reports filed for the purpose of updating such description.</w:t>
      </w:r>
    </w:p>
    <w:p>
      <w:pPr>
        <w:pStyle w:val="TextBody"/>
        <w:bidi w:val="0"/>
        <w:spacing w:lineRule="auto" w:line="240"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All documents subsequently filed by the Registrant with the Commission pursuant to Sections 13(a), 13(c), 14, or 15(d) of the Exchange Act, prior to the filing of a post-effective amendment to the Registration Statement which indicates that all securities offered hereby have been sold or which deregisters all securities then remaining unsold, shall be deemed to be incorporated by reference into this Registration Statement and to be a part hereof from the date of the filing of such documents, except that information furnished to the Commission under Item 2.02 or Item 7.01 in Current Reports on Form 8-K and any exhibit relating to such information, shall not be deemed to be incorporated by reference in this Registration Statement.</w:t>
      </w:r>
    </w:p>
    <w:p>
      <w:pPr>
        <w:pStyle w:val="TextBody"/>
        <w:bidi w:val="0"/>
        <w:spacing w:lineRule="auto" w:line="240" w:before="240" w:after="283"/>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Any statement contained herein or in a document incorporated or deemed to be incorporated by reference in this Registration Statement shall be deemed to be modified or superseded for purposes of this Registration Statement to the extent that a statement contained in this Registration Statement, or in any other subsequently filed document which also is or is deemed to be incorporated by reference in this Registration Statement, modifies or supersedes such earlier statement. Any statement so modified or superseded shall not be deemed, except as so modified or superseded, to constitute a part of this Registration Statement.</w:t>
      </w:r>
    </w:p>
    <w:p>
      <w:pPr>
        <w:pStyle w:val="TextBody"/>
        <w:bidi w:val="0"/>
        <w:spacing w:lineRule="auto" w:line="240"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4. Description of Securities.</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333" w:before="240" w:after="283"/>
        <w:jc w:val="left"/>
        <w:rPr>
          <w:rFonts w:ascii="Times New Roman;sans-serif" w:hAnsi="Times New Roman;sans-serif"/>
          <w:b/>
          <w:color w:val="000000"/>
          <w:sz w:val="20"/>
        </w:rPr>
      </w:pPr>
      <w:r>
        <w:rPr>
          <w:rFonts w:ascii="Times New Roman;sans-serif" w:hAnsi="Times New Roman;sans-serif"/>
          <w:b/>
          <w:color w:val="000000"/>
          <w:sz w:val="20"/>
        </w:rPr>
        <w:t>Item 5. Interests of Named Experts and Counsel.</w:t>
      </w:r>
    </w:p>
    <w:p>
      <w:pPr>
        <w:pStyle w:val="TextBody"/>
        <w:bidi w:val="0"/>
        <w:spacing w:before="0" w:after="0"/>
        <w:jc w:val="left"/>
        <w:rPr/>
      </w:pPr>
      <w:r>
        <w:rPr/>
      </w:r>
    </w:p>
    <w:p>
      <w:pPr>
        <w:pStyle w:val="TextBody"/>
        <w:bidi w:val="0"/>
        <w:spacing w:lineRule="auto" w:line="33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40"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6. Indemnification of Directors and Officers.</w:t>
      </w:r>
    </w:p>
    <w:p>
      <w:pPr>
        <w:pStyle w:val="TextBody"/>
        <w:bidi w:val="0"/>
        <w:spacing w:lineRule="auto" w:line="240" w:before="12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Registrant is incorporated under the laws of the State of Delaware. 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7660"/>
                <wp:effectExtent l="0" t="0" r="0" b="0"/>
                <wp:wrapNone/>
                <wp:docPr id="3" name="Frame3"/>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40" w:before="24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Registrant’s third amended and restated certificate of incorporation (as amended, the “Certificate of Incorporation”) and amended and restated bylaws (as amended, the “Bylaws”) provide that the Registrant will indemnify its directors and officers, and may indemnify its employees and other agents, to the fullest extent permitted by the Delaware General Corporation Law. However, Delaware law prohibits the Certificate of Incorporation from limiting the liability of the Registrant’s directors for the following:</w:t>
      </w:r>
    </w:p>
    <w:p>
      <w:pPr>
        <w:pStyle w:val="TextBody"/>
        <w:bidi w:val="0"/>
        <w:spacing w:lineRule="auto" w:line="240" w:before="240" w:after="100"/>
        <w:ind w:left="0" w:right="0" w:hanging="360"/>
        <w:jc w:val="left"/>
        <w:rPr/>
      </w:pPr>
      <w:r>
        <w:rPr>
          <w:color w:val="000000"/>
        </w:rPr>
        <w:t>•</w:t>
      </w:r>
      <w:r>
        <w:rPr>
          <w:rFonts w:ascii="Times New Roman;sans-serif" w:hAnsi="Times New Roman;sans-serif"/>
          <w:b w:val="false"/>
          <w:color w:val="000000"/>
          <w:sz w:val="20"/>
          <w:shd w:fill="FFFFFF" w:val="clear"/>
        </w:rPr>
        <w:t xml:space="preserve">any breach of the director’s duty of loyalty to us or our stockholders; </w:t>
      </w:r>
    </w:p>
    <w:p>
      <w:pPr>
        <w:pStyle w:val="TextBody"/>
        <w:bidi w:val="0"/>
        <w:spacing w:lineRule="auto" w:line="240" w:before="240" w:after="100"/>
        <w:ind w:left="0" w:right="0" w:hanging="360"/>
        <w:jc w:val="left"/>
        <w:rPr/>
      </w:pPr>
      <w:r>
        <w:rPr>
          <w:color w:val="000000"/>
        </w:rPr>
        <w:t>•</w:t>
      </w:r>
      <w:r>
        <w:rPr>
          <w:rFonts w:ascii="Times New Roman;sans-serif" w:hAnsi="Times New Roman;sans-serif"/>
          <w:b w:val="false"/>
          <w:color w:val="000000"/>
          <w:sz w:val="20"/>
          <w:shd w:fill="FFFFFF" w:val="clear"/>
        </w:rPr>
        <w:t xml:space="preserve">acts or omissions not in good faith or that involve intentional misconduct or a knowing violation of law; </w:t>
      </w:r>
    </w:p>
    <w:p>
      <w:pPr>
        <w:pStyle w:val="TextBody"/>
        <w:bidi w:val="0"/>
        <w:spacing w:lineRule="auto" w:line="240" w:before="240" w:after="100"/>
        <w:ind w:left="0" w:right="0" w:hanging="360"/>
        <w:jc w:val="left"/>
        <w:rPr/>
      </w:pPr>
      <w:r>
        <w:rPr>
          <w:color w:val="000000"/>
        </w:rPr>
        <w:t>•</w:t>
      </w:r>
      <w:r>
        <w:rPr>
          <w:rFonts w:ascii="Times New Roman;sans-serif" w:hAnsi="Times New Roman;sans-serif"/>
          <w:b w:val="false"/>
          <w:color w:val="000000"/>
          <w:sz w:val="20"/>
          <w:shd w:fill="FFFFFF" w:val="clear"/>
        </w:rPr>
        <w:t>unlawful payment of dividends or unlawful stock repurchases or redemptions; and</w:t>
      </w:r>
    </w:p>
    <w:p>
      <w:pPr>
        <w:pStyle w:val="TextBody"/>
        <w:bidi w:val="0"/>
        <w:spacing w:lineRule="auto" w:line="240" w:before="240" w:after="100"/>
        <w:ind w:left="0" w:right="0" w:hanging="360"/>
        <w:jc w:val="left"/>
        <w:rPr/>
      </w:pPr>
      <w:r>
        <w:rPr>
          <w:color w:val="000000"/>
        </w:rPr>
        <w:t>•</w:t>
      </w:r>
      <w:r>
        <w:rPr>
          <w:rFonts w:ascii="Times New Roman;sans-serif" w:hAnsi="Times New Roman;sans-serif"/>
          <w:b w:val="false"/>
          <w:color w:val="000000"/>
          <w:sz w:val="20"/>
          <w:shd w:fill="FFFFFF" w:val="clear"/>
        </w:rPr>
        <w:t>any transaction from which the director derived an improper personal benefit.</w:t>
      </w:r>
    </w:p>
    <w:p>
      <w:pPr>
        <w:pStyle w:val="TextBody"/>
        <w:bidi w:val="0"/>
        <w:spacing w:lineRule="auto" w:line="240" w:before="0" w:after="0"/>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addition, the Registrant has entered into, and intends to continue to enter, into indemnification agreements with each of its directors and executive officers and certain other key employees, whereby the Registrant has agreed to indemnify its directors, executive officers, and such other key employees against any and all expenses incurred by that director, executive officer, or other key employee because of his or her status as one of the Registrant's directors, executive officers, or other key employees, to the fullest extent permitted by Delaware law, the Certificate of Incorporation and Bylaws. In addition, the indemnification agreements provide that, to the fullest extent permitted by Delaware law, the Registrant will advance all expenses incurred by its directors, executive officers, and other key employees in connection with a legal proceeding involving his or her status as a director, executive officer, or key employee.</w:t>
      </w:r>
    </w:p>
    <w:p>
      <w:pPr>
        <w:pStyle w:val="TextBody"/>
        <w:bidi w:val="0"/>
        <w:spacing w:lineRule="auto" w:line="240" w:before="24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Registrant currently carries liability insurance for its directors and executive officers for securities matters. </w:t>
      </w:r>
    </w:p>
    <w:p>
      <w:pPr>
        <w:pStyle w:val="TextBody"/>
        <w:bidi w:val="0"/>
        <w:spacing w:lineRule="auto" w:line="240" w:before="240" w:after="283"/>
        <w:ind w:left="0" w:right="0" w:firstLine="490"/>
        <w:jc w:val="left"/>
        <w:rPr/>
      </w:pPr>
      <w:r>
        <w:rPr>
          <w:rFonts w:ascii="Times New Roman;sans-serif" w:hAnsi="Times New Roman;sans-serif"/>
          <w:b w:val="false"/>
          <w:color w:val="000000"/>
          <w:sz w:val="20"/>
          <w:shd w:fill="FFFFFF" w:val="clear"/>
        </w:rPr>
        <w:t>The indemnification provisions in the Certificate of Incorporation and Bylaws and the indemnification agreements to be entered into between the Registrant and each of its directors and executive officers are sufficiently broad to permit indemnification of the Registrant’s directors and executive officers for liabilities arising under the Securities Act.</w:t>
      </w:r>
      <w:r>
        <w:rPr>
          <w:color w:val="000000"/>
          <w:shd w:fill="FFFFFF" w:val="clear"/>
        </w:rPr>
        <w:t xml:space="preserve"> </w:t>
      </w:r>
    </w:p>
    <w:p>
      <w:pPr>
        <w:pStyle w:val="TextBody"/>
        <w:bidi w:val="0"/>
        <w:spacing w:lineRule="auto" w:line="240" w:before="240" w:after="283"/>
        <w:ind w:left="0" w:right="0" w:firstLine="4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also the undertakings set out in response to Item 9 hereof.</w:t>
      </w:r>
    </w:p>
    <w:p>
      <w:pPr>
        <w:pStyle w:val="TextBody"/>
        <w:bidi w:val="0"/>
        <w:spacing w:lineRule="auto" w:line="333" w:before="240" w:after="200"/>
        <w:jc w:val="left"/>
        <w:rPr>
          <w:rFonts w:ascii="Times New Roman;sans-serif" w:hAnsi="Times New Roman;sans-serif"/>
          <w:b/>
          <w:color w:val="000000"/>
          <w:sz w:val="20"/>
        </w:rPr>
      </w:pPr>
      <w:r>
        <w:rPr>
          <w:rFonts w:ascii="Times New Roman;sans-serif" w:hAnsi="Times New Roman;sans-serif"/>
          <w:b/>
          <w:color w:val="000000"/>
          <w:sz w:val="20"/>
        </w:rPr>
        <w:t>Item 7. Exemption From Registration Claimed.</w:t>
      </w:r>
    </w:p>
    <w:p>
      <w:pPr>
        <w:pStyle w:val="TextBody"/>
        <w:bidi w:val="0"/>
        <w:spacing w:lineRule="auto" w:line="333"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7660"/>
                <wp:effectExtent l="0" t="0" r="0" b="0"/>
                <wp:wrapNone/>
                <wp:docPr id="4"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Item 8.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392"/>
        <w:gridCol w:w="1307"/>
        <w:gridCol w:w="1313"/>
        <w:gridCol w:w="109"/>
        <w:gridCol w:w="109"/>
        <w:gridCol w:w="109"/>
        <w:gridCol w:w="170"/>
        <w:gridCol w:w="170"/>
        <w:gridCol w:w="171"/>
        <w:gridCol w:w="109"/>
        <w:gridCol w:w="109"/>
        <w:gridCol w:w="109"/>
        <w:gridCol w:w="249"/>
        <w:gridCol w:w="238"/>
        <w:gridCol w:w="189"/>
        <w:gridCol w:w="109"/>
        <w:gridCol w:w="109"/>
        <w:gridCol w:w="109"/>
        <w:gridCol w:w="210"/>
        <w:gridCol w:w="210"/>
        <w:gridCol w:w="211"/>
        <w:gridCol w:w="109"/>
        <w:gridCol w:w="109"/>
        <w:gridCol w:w="109"/>
        <w:gridCol w:w="348"/>
        <w:gridCol w:w="263"/>
        <w:gridCol w:w="265"/>
        <w:gridCol w:w="109"/>
        <w:gridCol w:w="109"/>
        <w:gridCol w:w="109"/>
        <w:gridCol w:w="242"/>
        <w:gridCol w:w="242"/>
        <w:gridCol w:w="347"/>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706" w:type="dxa"/>
            <w:gridSpan w:val="3"/>
            <w:vMerge w:val="restart"/>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40" w:before="0" w:after="3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color w:val="000000"/>
                <w:sz w:val="16"/>
              </w:rPr>
            </w:pPr>
            <w:r>
              <w:rPr>
                <w:rFonts w:ascii="Times New Roman;sans-serif" w:hAnsi="Times New Roman;sans-serif"/>
                <w:b/>
                <w:color w:val="000000"/>
                <w:sz w:val="16"/>
              </w:rPr>
              <w:t>Filed</w:t>
            </w:r>
          </w:p>
          <w:p>
            <w:pPr>
              <w:pStyle w:val="TableContents"/>
              <w:bidi w:val="0"/>
              <w:spacing w:lineRule="auto" w:line="240" w:before="0" w:after="30"/>
              <w:jc w:val="center"/>
              <w:rPr>
                <w:rFonts w:ascii="Times New Roman;sans-serif" w:hAnsi="Times New Roman;sans-serif"/>
                <w:b/>
                <w:color w:val="000000"/>
                <w:sz w:val="16"/>
              </w:rPr>
            </w:pPr>
            <w:r>
              <w:rPr>
                <w:rFonts w:ascii="Times New Roman;sans-serif" w:hAnsi="Times New Roman;sans-serif"/>
                <w:b/>
                <w:color w:val="000000"/>
                <w:sz w:val="16"/>
              </w:rPr>
              <w:t>Herewith</w:t>
            </w:r>
          </w:p>
        </w:tc>
      </w:tr>
      <w:tr>
        <w:trPr/>
        <w:tc>
          <w:tcPr>
            <w:tcW w:w="7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17">
              <w:r>
                <w:rPr>
                  <w:rStyle w:val="InternetLink"/>
                  <w:rFonts w:ascii="Times New Roman;sans-serif" w:hAnsi="Times New Roman;sans-serif"/>
                  <w:b w:val="false"/>
                  <w:color w:val="0000FF"/>
                  <w:sz w:val="18"/>
                  <w:u w:val="single"/>
                </w:rPr>
                <w:t>Third Amended and Restated Certificate of Incorporation of GeneDx Holdings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28,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18">
              <w:r>
                <w:rPr>
                  <w:rStyle w:val="InternetLink"/>
                  <w:rFonts w:ascii="Times New Roman;sans-serif" w:hAnsi="Times New Roman;sans-serif"/>
                  <w:b w:val="false"/>
                  <w:color w:val="0000FF"/>
                  <w:sz w:val="18"/>
                  <w:u w:val="single"/>
                </w:rPr>
                <w:t>First Certificate of Amendment to the Third Amended and Restated Certificate of Incorporation of GeneDx Holdings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May 2,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19">
              <w:r>
                <w:rPr>
                  <w:rStyle w:val="InternetLink"/>
                  <w:rFonts w:ascii="Times New Roman;sans-serif" w:hAnsi="Times New Roman;sans-serif"/>
                  <w:b w:val="false"/>
                  <w:color w:val="0000FF"/>
                  <w:sz w:val="18"/>
                  <w:u w:val="single"/>
                </w:rPr>
                <w:t>Second Certificate of Amendment to the Third Amended and Restated Certificate of Incorporation of GeneDx Holdings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20">
              <w:r>
                <w:rPr>
                  <w:rStyle w:val="InternetLink"/>
                  <w:rFonts w:ascii="Times New Roman;sans-serif" w:hAnsi="Times New Roman;sans-serif"/>
                  <w:b w:val="false"/>
                  <w:color w:val="0000FF"/>
                  <w:sz w:val="18"/>
                  <w:u w:val="single"/>
                </w:rPr>
                <w:t>Third Certificate of Amendment to the Third Amended and Restated Certificate of Incorporation of GeneDx Holdings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17,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21">
              <w:r>
                <w:rPr>
                  <w:rStyle w:val="InternetLink"/>
                  <w:rFonts w:ascii="Times New Roman;sans-serif" w:hAnsi="Times New Roman;sans-serif"/>
                  <w:b w:val="false"/>
                  <w:color w:val="0000FF"/>
                  <w:sz w:val="18"/>
                  <w:u w:val="single"/>
                </w:rPr>
                <w:t>Fourth Certificate of Amendment to the Third Amended and Restated Certificate of Incorporation of GeneDx Holdings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April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22">
              <w:r>
                <w:rPr>
                  <w:rStyle w:val="InternetLink"/>
                  <w:rFonts w:ascii="Times New Roman;sans-serif" w:hAnsi="Times New Roman;sans-serif"/>
                  <w:b w:val="false"/>
                  <w:color w:val="0000FF"/>
                  <w:sz w:val="18"/>
                  <w:u w:val="single"/>
                </w:rPr>
                <w:t>Amended and Restated Bylaws of GeneDx Holdings Corp., as currently in effect.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9,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nedx-51opinionforsx82023.htm">
              <w:r>
                <w:rPr>
                  <w:rStyle w:val="InternetLink"/>
                  <w:rFonts w:ascii="Times New Roman;sans-serif" w:hAnsi="Times New Roman;sans-serif"/>
                  <w:b w:val="false"/>
                  <w:color w:val="0000FF"/>
                  <w:sz w:val="18"/>
                  <w:u w:val="single"/>
                </w:rPr>
                <w:t>Opinion of Fenwick &amp; West LLP.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nsentofindependentaudito.htm">
              <w:r>
                <w:rPr>
                  <w:rStyle w:val="InternetLink"/>
                  <w:rFonts w:ascii="Times New Roman;sans-serif" w:hAnsi="Times New Roman;sans-serif"/>
                  <w:b w:val="false"/>
                  <w:color w:val="0000FF"/>
                  <w:sz w:val="18"/>
                  <w:u w:val="single"/>
                </w:rPr>
                <w:t>Consent of Ernst &amp; Young LLP, Independent Registered Public Accounting Firm for GeneDx Holdings Corp.</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enedx-51opinionforsx82023.htm">
              <w:r>
                <w:rPr>
                  <w:rStyle w:val="InternetLink"/>
                  <w:rFonts w:ascii="Times New Roman;sans-serif" w:hAnsi="Times New Roman;sans-serif"/>
                  <w:b w:val="false"/>
                  <w:color w:val="0000FF"/>
                  <w:sz w:val="18"/>
                  <w:u w:val="single"/>
                </w:rPr>
                <w:t>Consent of Fenwick &amp; West LLP (contained in Exhibit 5.1).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of Attorney (included on the signature page of this Registration Statement).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23">
              <w:r>
                <w:rPr>
                  <w:rStyle w:val="InternetLink"/>
                  <w:rFonts w:ascii="Times New Roman;sans-serif" w:hAnsi="Times New Roman;sans-serif"/>
                  <w:b w:val="false"/>
                  <w:color w:val="0000FF"/>
                  <w:sz w:val="18"/>
                  <w:u w:val="single"/>
                </w:rPr>
                <w:t>GeneDx Holdings Corp. 2023 Equity Inducement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24">
              <w:r>
                <w:rPr>
                  <w:rStyle w:val="InternetLink"/>
                  <w:rFonts w:ascii="Times New Roman;sans-serif" w:hAnsi="Times New Roman;sans-serif"/>
                  <w:b w:val="false"/>
                  <w:color w:val="0000FF"/>
                  <w:sz w:val="18"/>
                  <w:u w:val="single"/>
                  <w:shd w:fill="FFFFFF" w:val="clear"/>
                </w:rPr>
                <w:t>Form of Option Award Agreement under the 2023 Equity Inducement Plan</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53" w:after="30"/>
              <w:jc w:val="left"/>
              <w:rPr/>
            </w:pPr>
            <w:hyperlink r:id="rId25">
              <w:r>
                <w:rPr>
                  <w:rStyle w:val="InternetLink"/>
                  <w:rFonts w:ascii="Times New Roman;sans-serif" w:hAnsi="Times New Roman;sans-serif"/>
                  <w:b w:val="false"/>
                  <w:color w:val="0000FF"/>
                  <w:sz w:val="18"/>
                  <w:u w:val="single"/>
                  <w:shd w:fill="FFFFFF" w:val="clear"/>
                </w:rPr>
                <w:t>Form of Restricted Stock Unit Award Agreement under the 2023 Equity Inducement Plan</w:t>
              </w:r>
            </w:hyperlink>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001-39482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July 24,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lingfeetable.htm">
              <w:r>
                <w:rPr>
                  <w:rStyle w:val="InternetLink"/>
                  <w:rFonts w:ascii="Times New Roman;sans-serif" w:hAnsi="Times New Roman;sans-serif"/>
                  <w:b w:val="false"/>
                  <w:color w:val="0000FF"/>
                  <w:sz w:val="18"/>
                  <w:u w:val="single"/>
                </w:rPr>
                <w:t>Filing Fee Table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7660"/>
                <wp:effectExtent l="0" t="0" r="0" b="0"/>
                <wp:wrapNone/>
                <wp:docPr id="5" name="Frame5"/>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333" w:before="240" w:after="200"/>
        <w:jc w:val="left"/>
        <w:rPr>
          <w:rFonts w:ascii="Times New Roman;sans-serif" w:hAnsi="Times New Roman;sans-serif"/>
          <w:b/>
          <w:color w:val="000000"/>
          <w:sz w:val="20"/>
        </w:rPr>
      </w:pPr>
      <w:r>
        <w:rPr>
          <w:rFonts w:ascii="Times New Roman;sans-serif" w:hAnsi="Times New Roman;sans-serif"/>
          <w:b/>
          <w:color w:val="000000"/>
          <w:sz w:val="20"/>
        </w:rPr>
        <w:t>Item 9. Undertakings.</w:t>
      </w:r>
    </w:p>
    <w:p>
      <w:pPr>
        <w:pStyle w:val="TextBody"/>
        <w:bidi w:val="0"/>
        <w:spacing w:lineRule="auto" w:line="333"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A.The undersigned Registrant hereby undertakes:</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to file, during any period in which offers or sales are being made, a post-effective amendment to this Registration Statement: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to include any prospectus required by Section 10(a)(3) of the Securities Act;</w:t>
      </w:r>
    </w:p>
    <w:p>
      <w:pPr>
        <w:pStyle w:val="TextBody"/>
        <w:bidi w:val="0"/>
        <w:spacing w:before="0" w:after="0"/>
        <w:ind w:left="0" w:right="0" w:firstLine="72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20-percent change in the maximum aggregate offering price set forth in the “Calculation of Registration Fee” table in the effective Registration Statement; and</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i/>
          <w:color w:val="000000"/>
          <w:sz w:val="20"/>
        </w:rPr>
        <w:t>provided, however, </w:t>
      </w:r>
      <w:r>
        <w:rPr>
          <w:rFonts w:ascii="Times New Roman;sans-serif" w:hAnsi="Times New Roman;sans-serif"/>
          <w:b w:val="false"/>
          <w:color w:val="000000"/>
          <w:sz w:val="20"/>
        </w:rPr>
        <w:t>that paragraphs A(1)(i) and A(1)(ii)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offering thereof.</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both"/>
        <w:rPr/>
      </w:pPr>
      <w:r>
        <w:rPr/>
      </w:r>
    </w:p>
    <w:p>
      <w:pPr>
        <w:pStyle w:val="TextBody"/>
        <w:bidi w:val="0"/>
        <w:spacing w:lineRule="auto" w:line="333" w:before="0" w:after="0"/>
        <w:ind w:left="0" w:right="0" w:firstLine="720"/>
        <w:jc w:val="both"/>
        <w:rPr/>
      </w:pPr>
      <w:r>
        <w:rPr>
          <w:rFonts w:ascii="Times New Roman;sans-serif" w:hAnsi="Times New Roman;sans-serif"/>
          <w:b w:val="false"/>
          <w:color w:val="000000"/>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sans-serif" w:hAnsi="Times New Roman;sans-serif"/>
          <w:b w:val="false"/>
          <w:i/>
          <w:color w:val="000000"/>
          <w:sz w:val="20"/>
        </w:rPr>
        <w:t>bona fide</w:t>
      </w:r>
      <w:r>
        <w:rPr>
          <w:color w:val="000000"/>
        </w:rPr>
        <w:t xml:space="preserve"> </w:t>
      </w:r>
      <w:r>
        <w:rPr>
          <w:rFonts w:ascii="Times New Roman;sans-serif" w:hAnsi="Times New Roman;sans-serif"/>
          <w:b w:val="false"/>
          <w:color w:val="000000"/>
          <w:sz w:val="20"/>
        </w:rPr>
        <w:t>offering thereof.</w:t>
      </w:r>
    </w:p>
    <w:p>
      <w:pPr>
        <w:pStyle w:val="TextBody"/>
        <w:bidi w:val="0"/>
        <w:spacing w:before="0" w:after="0"/>
        <w:ind w:left="0" w:right="0" w:firstLine="720"/>
        <w:jc w:val="both"/>
        <w:rPr/>
      </w:pPr>
      <w:r>
        <w:rPr/>
      </w:r>
    </w:p>
    <w:p>
      <w:pPr>
        <w:pStyle w:val="TextBody"/>
        <w:bidi w:val="0"/>
        <w:spacing w:lineRule="auto" w:line="33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Insofar as indemnification for liabilities arising under the Securities Act may be permitted to directors, officers or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7660"/>
                <wp:effectExtent l="0" t="0" r="0" b="0"/>
                <wp:wrapNone/>
                <wp:docPr id="6" name="Frame6"/>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7660"/>
                <wp:effectExtent l="0" t="0" r="0" b="0"/>
                <wp:wrapNone/>
                <wp:docPr id="7" name="Frame7"/>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40"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40" w:before="240" w:after="283"/>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Stamford, State of Connecticut, on the 8th day of August, 2023.</w:t>
      </w:r>
    </w:p>
    <w:p>
      <w:pPr>
        <w:pStyle w:val="TextBody"/>
        <w:bidi w:val="0"/>
        <w:spacing w:before="240" w:after="283"/>
        <w:ind w:left="0" w:right="0" w:firstLine="641"/>
        <w:jc w:val="left"/>
        <w:rPr/>
      </w:pPr>
      <w:r>
        <w:rPr/>
      </w:r>
    </w:p>
    <w:tbl>
      <w:tblPr>
        <w:tblW w:w="3388" w:type="dxa"/>
        <w:jc w:val="left"/>
        <w:tblInd w:w="0" w:type="dxa"/>
        <w:tblLayout w:type="fixed"/>
        <w:tblCellMar>
          <w:top w:w="28" w:type="dxa"/>
          <w:left w:w="28" w:type="dxa"/>
          <w:bottom w:w="28" w:type="dxa"/>
          <w:right w:w="28" w:type="dxa"/>
        </w:tblCellMar>
      </w:tblPr>
      <w:tblGrid>
        <w:gridCol w:w="165"/>
        <w:gridCol w:w="145"/>
        <w:gridCol w:w="145"/>
        <w:gridCol w:w="145"/>
        <w:gridCol w:w="145"/>
        <w:gridCol w:w="145"/>
        <w:gridCol w:w="145"/>
        <w:gridCol w:w="145"/>
        <w:gridCol w:w="145"/>
        <w:gridCol w:w="219"/>
        <w:gridCol w:w="219"/>
        <w:gridCol w:w="219"/>
        <w:gridCol w:w="219"/>
        <w:gridCol w:w="219"/>
        <w:gridCol w:w="219"/>
        <w:gridCol w:w="219"/>
        <w:gridCol w:w="219"/>
        <w:gridCol w:w="311"/>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13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/s/</w:t>
            </w:r>
            <w:r>
              <w:rPr>
                <w:color w:val="000000"/>
              </w:rPr>
              <w:t xml:space="preserve"> </w:t>
            </w:r>
            <w:r>
              <w:rPr>
                <w:rFonts w:ascii="Times New Roman;sans-serif" w:hAnsi="Times New Roman;sans-serif"/>
                <w:b w:val="false"/>
                <w:color w:val="000000"/>
                <w:sz w:val="20"/>
              </w:rPr>
              <w:t>Katherine Stueland</w:t>
            </w:r>
          </w:p>
        </w:tc>
      </w:tr>
      <w:tr>
        <w:trPr/>
        <w:tc>
          <w:tcPr>
            <w:tcW w:w="13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13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240" w:after="283"/>
        <w:ind w:left="0" w:right="0" w:firstLine="641"/>
        <w:jc w:val="left"/>
        <w:rPr/>
      </w:pPr>
      <w:r>
        <w:rPr/>
      </w:r>
    </w:p>
    <w:p>
      <w:pPr>
        <w:pStyle w:val="TextBody"/>
        <w:bidi w:val="0"/>
        <w:spacing w:before="240" w:after="283"/>
        <w:ind w:left="0" w:right="0" w:firstLine="641"/>
        <w:jc w:val="left"/>
        <w:rPr/>
      </w:pPr>
      <w:r>
        <w:rPr/>
      </w:r>
    </w:p>
    <w:p>
      <w:pPr>
        <w:pStyle w:val="TextBody"/>
        <w:bidi w:val="0"/>
        <w:spacing w:before="240" w:after="283"/>
        <w:ind w:left="0" w:right="0" w:firstLine="641"/>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7660"/>
                <wp:effectExtent l="0" t="0" r="0" b="0"/>
                <wp:wrapNone/>
                <wp:docPr id="8" name="Frame8"/>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before="0" w:after="0"/>
        <w:jc w:val="center"/>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person whose signature appears below hereby constitutes and appoints Katherine Stueland, Jason Ryan and Kevin Feeley, and each of them, as his or her true and lawful attorneys-in-fact, proxies and agents, each with full power of substitution and resubstitution and full power to act without the other, for him or her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pStyle w:val="TextBody"/>
        <w:bidi w:val="0"/>
        <w:spacing w:before="0" w:after="0"/>
        <w:ind w:left="0" w:right="0" w:firstLine="360"/>
        <w:jc w:val="both"/>
        <w:rPr/>
      </w:pPr>
      <w:r>
        <w:rPr/>
      </w:r>
    </w:p>
    <w:p>
      <w:pPr>
        <w:pStyle w:val="TextBody"/>
        <w:bidi w:val="0"/>
        <w:spacing w:lineRule="auto" w:line="240"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this Registration Statement has been signed by the following persons on behalf of the Registrant in the capacities and on the dates indicated.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62"/>
        <w:gridCol w:w="230"/>
        <w:gridCol w:w="230"/>
        <w:gridCol w:w="230"/>
        <w:gridCol w:w="230"/>
        <w:gridCol w:w="230"/>
        <w:gridCol w:w="230"/>
        <w:gridCol w:w="230"/>
        <w:gridCol w:w="230"/>
        <w:gridCol w:w="109"/>
        <w:gridCol w:w="109"/>
        <w:gridCol w:w="109"/>
        <w:gridCol w:w="109"/>
        <w:gridCol w:w="109"/>
        <w:gridCol w:w="109"/>
        <w:gridCol w:w="109"/>
        <w:gridCol w:w="109"/>
        <w:gridCol w:w="109"/>
        <w:gridCol w:w="761"/>
        <w:gridCol w:w="737"/>
        <w:gridCol w:w="737"/>
        <w:gridCol w:w="737"/>
        <w:gridCol w:w="737"/>
        <w:gridCol w:w="742"/>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64"/>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restart"/>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bidi w:val="0"/>
              <w:spacing w:lineRule="auto" w:line="240" w:before="0" w:after="3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Kevin Feeley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restart"/>
            <w:tcBorders/>
            <w:tcMar>
              <w:top w:w="0" w:type="dxa"/>
              <w:left w:w="0" w:type="dxa"/>
              <w:bottom w:w="0" w:type="dxa"/>
              <w:right w:w="0" w:type="dxa"/>
            </w:tcMar>
            <w:vAlign w:val="center"/>
          </w:tcPr>
          <w:p>
            <w:pPr>
              <w:pStyle w:val="TableContents"/>
              <w:bidi w:val="0"/>
              <w:spacing w:lineRule="auto" w:line="240" w:before="5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3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&amp; Principal Accounting Officer</w:t>
            </w: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Kevin Feeley</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/s/ Joshua Ruch</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Joshua Ruch</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before="53" w:after="30"/>
              <w:jc w:val="left"/>
              <w:rPr/>
            </w:pPr>
            <w:r>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Emily Leproust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43" w:after="30"/>
              <w:jc w:val="left"/>
              <w:rPr>
                <w:rFonts w:ascii="Times New Roman;sans-serif" w:hAnsi="Times New Roman;sans-serif"/>
                <w:b w:val="false"/>
                <w:color w:val="000000"/>
                <w:sz w:val="20"/>
              </w:rPr>
            </w:pPr>
            <w:r>
              <w:rPr>
                <w:rFonts w:ascii="Times New Roman;sans-serif" w:hAnsi="Times New Roman;sans-serif"/>
                <w:b w:val="false"/>
                <w:color w:val="000000"/>
                <w:sz w:val="20"/>
              </w:rPr>
              <w:t>Emily Leproust</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Richard C. Pfenniger, Jr.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8, 2023</w:t>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Richard C. Pfenniger, Jr.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6"/>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18"/>
            <w:vMerge w:val="continue"/>
            <w:tcBorders/>
            <w:tcMar>
              <w:top w:w="0" w:type="dxa"/>
              <w:left w:w="0" w:type="dxa"/>
              <w:bottom w:w="0" w:type="dxa"/>
              <w:right w:w="0" w:type="dxa"/>
            </w:tcMar>
            <w:vAlign w:val="center"/>
          </w:tcPr>
          <w:p>
            <w:pPr>
              <w:pStyle w:val="Normal"/>
              <w:bidi w:val="0"/>
              <w:jc w:val="left"/>
              <w:rPr/>
            </w:pPr>
            <w:r>
              <w:rPr/>
            </w:r>
          </w:p>
        </w:tc>
        <w:tc>
          <w:tcPr>
            <w:tcW w:w="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7660"/>
                <wp:effectExtent l="0" t="0" r="0" b="0"/>
                <wp:wrapNone/>
                <wp:docPr id="9" name="Frame9"/>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107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Calculation of Filing Fee Table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Form S-8</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Type)</w:t>
      </w:r>
    </w:p>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9"/>
        <w:gridCol w:w="113"/>
        <w:gridCol w:w="113"/>
        <w:gridCol w:w="113"/>
        <w:gridCol w:w="113"/>
        <w:gridCol w:w="113"/>
        <w:gridCol w:w="113"/>
        <w:gridCol w:w="113"/>
        <w:gridCol w:w="113"/>
        <w:gridCol w:w="161"/>
        <w:gridCol w:w="161"/>
        <w:gridCol w:w="161"/>
        <w:gridCol w:w="161"/>
        <w:gridCol w:w="161"/>
        <w:gridCol w:w="161"/>
        <w:gridCol w:w="161"/>
        <w:gridCol w:w="161"/>
        <w:gridCol w:w="161"/>
        <w:gridCol w:w="142"/>
        <w:gridCol w:w="142"/>
        <w:gridCol w:w="142"/>
        <w:gridCol w:w="142"/>
        <w:gridCol w:w="142"/>
        <w:gridCol w:w="142"/>
        <w:gridCol w:w="142"/>
        <w:gridCol w:w="142"/>
        <w:gridCol w:w="150"/>
        <w:gridCol w:w="129"/>
        <w:gridCol w:w="129"/>
        <w:gridCol w:w="129"/>
        <w:gridCol w:w="129"/>
        <w:gridCol w:w="129"/>
        <w:gridCol w:w="129"/>
        <w:gridCol w:w="129"/>
        <w:gridCol w:w="129"/>
        <w:gridCol w:w="137"/>
        <w:gridCol w:w="157"/>
        <w:gridCol w:w="157"/>
        <w:gridCol w:w="157"/>
        <w:gridCol w:w="157"/>
        <w:gridCol w:w="157"/>
        <w:gridCol w:w="157"/>
        <w:gridCol w:w="157"/>
        <w:gridCol w:w="157"/>
        <w:gridCol w:w="159"/>
        <w:gridCol w:w="183"/>
        <w:gridCol w:w="145"/>
        <w:gridCol w:w="145"/>
        <w:gridCol w:w="145"/>
        <w:gridCol w:w="145"/>
        <w:gridCol w:w="145"/>
        <w:gridCol w:w="145"/>
        <w:gridCol w:w="145"/>
        <w:gridCol w:w="146"/>
        <w:gridCol w:w="121"/>
        <w:gridCol w:w="121"/>
        <w:gridCol w:w="121"/>
        <w:gridCol w:w="121"/>
        <w:gridCol w:w="121"/>
        <w:gridCol w:w="121"/>
        <w:gridCol w:w="121"/>
        <w:gridCol w:w="121"/>
        <w:gridCol w:w="128"/>
        <w:gridCol w:w="438"/>
        <w:gridCol w:w="438"/>
        <w:gridCol w:w="537"/>
      </w:tblGrid>
      <w:tr>
        <w:trPr/>
        <w:tc>
          <w:tcPr>
            <w:tcW w:w="12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72"/>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Table 1 - Newly Registered Securities</w:t>
            </w:r>
          </w:p>
        </w:tc>
      </w:tr>
      <w:tr>
        <w:trPr/>
        <w:tc>
          <w:tcPr>
            <w:tcW w:w="1033"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Type</w:t>
            </w:r>
          </w:p>
        </w:tc>
        <w:tc>
          <w:tcPr>
            <w:tcW w:w="1449"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Security Class Title</w:t>
            </w:r>
          </w:p>
        </w:tc>
        <w:tc>
          <w:tcPr>
            <w:tcW w:w="1286"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Calculation Rule</w:t>
            </w:r>
          </w:p>
        </w:tc>
        <w:tc>
          <w:tcPr>
            <w:tcW w:w="1169"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Amount Registered</w:t>
            </w:r>
            <w:r>
              <w:rPr>
                <w:rFonts w:ascii="Times New Roman;sans-serif" w:hAnsi="Times New Roman;sans-serif"/>
                <w:b/>
                <w:color w:val="000000"/>
                <w:sz w:val="13"/>
              </w:rPr>
              <w:t>(1)</w:t>
            </w:r>
          </w:p>
        </w:tc>
        <w:tc>
          <w:tcPr>
            <w:tcW w:w="1415"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Proposed Maximum Offering Price Per Share</w:t>
            </w:r>
          </w:p>
        </w:tc>
        <w:tc>
          <w:tcPr>
            <w:tcW w:w="1344"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Maximum Aggregate Offering Price</w:t>
            </w:r>
          </w:p>
        </w:tc>
        <w:tc>
          <w:tcPr>
            <w:tcW w:w="1096"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Fee Rate</w:t>
            </w:r>
          </w:p>
        </w:tc>
        <w:tc>
          <w:tcPr>
            <w:tcW w:w="1413"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of Registration Fee</w:t>
            </w:r>
          </w:p>
        </w:tc>
      </w:tr>
      <w:tr>
        <w:trPr/>
        <w:tc>
          <w:tcPr>
            <w:tcW w:w="1033" w:type="dxa"/>
            <w:gridSpan w:val="9"/>
            <w:tcBorders>
              <w:top w:val="single" w:sz="4" w:space="0" w:color="000000"/>
              <w:left w:val="single" w:sz="4" w:space="0" w:color="000000"/>
              <w:bottom w:val="single" w:sz="4" w:space="0" w:color="000000"/>
            </w:tcBorders>
            <w:tcMar>
              <w:top w:w="30" w:type="dxa"/>
              <w:left w:w="4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449" w:type="dxa"/>
            <w:gridSpan w:val="9"/>
            <w:tcBorders>
              <w:top w:val="single" w:sz="4" w:space="0" w:color="000000"/>
              <w:left w:val="single" w:sz="4" w:space="0" w:color="000000"/>
              <w:bottom w:val="single" w:sz="4" w:space="0" w:color="000000"/>
            </w:tcBorders>
            <w:tcMar>
              <w:top w:w="30" w:type="dxa"/>
              <w:left w:w="4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per share</w:t>
            </w:r>
          </w:p>
        </w:tc>
        <w:tc>
          <w:tcPr>
            <w:tcW w:w="1286"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 457(c) and Rule 457(h)</w:t>
            </w:r>
          </w:p>
        </w:tc>
        <w:tc>
          <w:tcPr>
            <w:tcW w:w="1169"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2"/>
                <w:shd w:fill="FFFFFF" w:val="clear"/>
              </w:rPr>
              <w:t>500,000</w:t>
            </w:r>
            <w:r>
              <w:rPr>
                <w:rFonts w:ascii="Times New Roman;sans-serif" w:hAnsi="Times New Roman;sans-serif"/>
                <w:b w:val="false"/>
                <w:color w:val="000000"/>
                <w:sz w:val="13"/>
              </w:rPr>
              <w:t>(2)</w:t>
            </w:r>
          </w:p>
        </w:tc>
        <w:tc>
          <w:tcPr>
            <w:tcW w:w="1415"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$7.38</w:t>
            </w:r>
            <w:r>
              <w:rPr>
                <w:color w:val="000000"/>
              </w:rPr>
              <w:t xml:space="preserve"> </w:t>
            </w:r>
            <w:r>
              <w:rPr>
                <w:rFonts w:ascii="Times New Roman;sans-serif" w:hAnsi="Times New Roman;sans-serif"/>
                <w:b w:val="false"/>
                <w:color w:val="000000"/>
                <w:sz w:val="13"/>
              </w:rPr>
              <w:t>(3)</w:t>
            </w:r>
          </w:p>
        </w:tc>
        <w:tc>
          <w:tcPr>
            <w:tcW w:w="1344"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$3,690,000</w:t>
            </w:r>
          </w:p>
        </w:tc>
        <w:tc>
          <w:tcPr>
            <w:tcW w:w="1096" w:type="dxa"/>
            <w:gridSpan w:val="9"/>
            <w:tcBorders>
              <w:top w:val="single" w:sz="4" w:space="0" w:color="000000"/>
              <w:left w:val="single" w:sz="4" w:space="0" w:color="000000"/>
              <w:bottom w:val="single" w:sz="4" w:space="0" w:color="000000"/>
            </w:tcBorders>
            <w:tcMar>
              <w:top w:w="30" w:type="dxa"/>
              <w:left w:w="4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0.00011020</w:t>
            </w:r>
          </w:p>
        </w:tc>
        <w:tc>
          <w:tcPr>
            <w:tcW w:w="1413"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w:t>
            </w:r>
          </w:p>
        </w:tc>
      </w:tr>
      <w:tr>
        <w:trPr/>
        <w:tc>
          <w:tcPr>
            <w:tcW w:w="4937" w:type="dxa"/>
            <w:gridSpan w:val="36"/>
            <w:tcBorders>
              <w:top w:val="single" w:sz="4" w:space="0" w:color="000000"/>
              <w:left w:val="single" w:sz="4" w:space="0" w:color="000000"/>
              <w:bottom w:val="single" w:sz="4" w:space="0" w:color="000000"/>
            </w:tcBorders>
            <w:tcMar>
              <w:top w:w="30" w:type="dxa"/>
              <w:left w:w="4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Offering Amounts</w:t>
            </w:r>
          </w:p>
        </w:tc>
        <w:tc>
          <w:tcPr>
            <w:tcW w:w="1415"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4" w:type="dxa"/>
            <w:gridSpan w:val="9"/>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$3,690,000</w:t>
            </w:r>
          </w:p>
        </w:tc>
        <w:tc>
          <w:tcPr>
            <w:tcW w:w="1096"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13"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w:t>
            </w:r>
          </w:p>
        </w:tc>
      </w:tr>
      <w:tr>
        <w:trPr/>
        <w:tc>
          <w:tcPr>
            <w:tcW w:w="4937" w:type="dxa"/>
            <w:gridSpan w:val="36"/>
            <w:tcBorders>
              <w:top w:val="single" w:sz="4" w:space="0" w:color="000000"/>
              <w:left w:val="single" w:sz="4" w:space="0" w:color="000000"/>
              <w:bottom w:val="single" w:sz="4" w:space="0" w:color="000000"/>
            </w:tcBorders>
            <w:tcMar>
              <w:top w:w="30" w:type="dxa"/>
              <w:left w:w="4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 Offsets</w:t>
            </w:r>
          </w:p>
        </w:tc>
        <w:tc>
          <w:tcPr>
            <w:tcW w:w="1415"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4"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13"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color w:val="000000"/>
              </w:rPr>
            </w:pPr>
            <w:r>
              <w:rPr>
                <w:color w:val="000000"/>
              </w:rPr>
              <w:t>—</w:t>
            </w:r>
          </w:p>
        </w:tc>
      </w:tr>
      <w:tr>
        <w:trPr/>
        <w:tc>
          <w:tcPr>
            <w:tcW w:w="4937" w:type="dxa"/>
            <w:gridSpan w:val="36"/>
            <w:tcBorders>
              <w:top w:val="single" w:sz="4" w:space="0" w:color="000000"/>
              <w:left w:val="single" w:sz="4" w:space="0" w:color="000000"/>
              <w:bottom w:val="single" w:sz="4" w:space="0" w:color="000000"/>
            </w:tcBorders>
            <w:tcMar>
              <w:top w:w="30" w:type="dxa"/>
              <w:left w:w="47"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Fee Due</w:t>
            </w:r>
          </w:p>
        </w:tc>
        <w:tc>
          <w:tcPr>
            <w:tcW w:w="1415"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4"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096" w:type="dxa"/>
            <w:gridSpan w:val="9"/>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413" w:type="dxa"/>
            <w:gridSpan w:val="9"/>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$407</w:t>
            </w:r>
          </w:p>
        </w:tc>
      </w:tr>
    </w:tbl>
    <w:p>
      <w:pPr>
        <w:pStyle w:val="TextBody"/>
        <w:bidi w:val="0"/>
        <w:spacing w:before="0" w:after="0"/>
        <w:jc w:val="both"/>
        <w:rPr/>
      </w:pPr>
      <w:r>
        <w:rPr/>
      </w:r>
    </w:p>
    <w:p>
      <w:pPr>
        <w:pStyle w:val="TextBody"/>
        <w:bidi w:val="0"/>
        <w:spacing w:lineRule="auto" w:line="240"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(1)Pursuant to Rule 416(a) under the Securities Act of 1933, as amended (the “Securities Act”), this Registration Statement shall also cover any additional shares of the Class A common stock (“Class A Common Stock”) of GeneDx Holdings Corp. (the “Registrant”) that become issuable in respect of the securities identified in the above table by reason of any stock dividend, stock split, recapitalization or other similar transaction effected without the Registrant’s receipt of consideration that increases the number of the Registrant’s outstanding shares of Class A Common Stock.</w:t>
      </w:r>
    </w:p>
    <w:p>
      <w:pPr>
        <w:pStyle w:val="TextBody"/>
        <w:bidi w:val="0"/>
        <w:spacing w:lineRule="auto" w:line="240" w:before="0" w:after="0"/>
        <w:ind w:left="0" w:right="0" w:hanging="360"/>
        <w:jc w:val="both"/>
        <w:rPr/>
      </w:pPr>
      <w:r>
        <w:rPr>
          <w:rFonts w:ascii="Times New Roman;sans-serif" w:hAnsi="Times New Roman;sans-serif"/>
          <w:b w:val="false"/>
          <w:color w:val="000000"/>
          <w:sz w:val="20"/>
        </w:rPr>
        <w:t>(2)Represents additional shares of the Registrant’s Class A Common Stock reserved for issuance upon the exercise of stock options and the settlement of restricted stock unit awards under the Registrant’s 2023 Equity Inducement Plan</w:t>
      </w:r>
      <w:r>
        <w:rPr>
          <w:color w:val="000000"/>
        </w:rPr>
        <w:t xml:space="preserve"> </w:t>
      </w:r>
      <w:r>
        <w:rPr>
          <w:rFonts w:ascii="Times New Roman;sans-serif" w:hAnsi="Times New Roman;sans-serif"/>
          <w:b w:val="false"/>
          <w:color w:val="000000"/>
          <w:sz w:val="20"/>
        </w:rPr>
        <w:t xml:space="preserve">to be granted by the Registrant to certain employees as a material inducement to their acceptance of employment with the Registrant in accordance with Nasdaq Listing Rule 5635(c)(4). </w:t>
      </w:r>
    </w:p>
    <w:p>
      <w:pPr>
        <w:pStyle w:val="TextBody"/>
        <w:bidi w:val="0"/>
        <w:spacing w:lineRule="auto" w:line="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(3)Estimated in accordance with Rules 457(c) and 457(h) of the Securities Act solely for the purpose of calculating the registration fee. The proposed maximum offering price per share of $7.38 was computed by averaging the high and low prices of a share of the Registrant’s Class A Common Stock as reported on the Nasdaq Global Select Market on August 1,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5772150" cy="7429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6"/>
                    <a:stretch>
                      <a:fillRect/>
                    </a:stretch>
                  </pic:blipFill>
                  <pic:spPr bwMode="auto">
                    <a:xfrm>
                      <a:off x="0" y="0"/>
                      <a:ext cx="5772150" cy="74295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4" w:before="0" w:after="240"/>
        <w:jc w:val="right"/>
        <w:rPr>
          <w:rFonts w:ascii="Times New Roman;sans-serif" w:hAnsi="Times New Roman;sans-serif"/>
          <w:b/>
          <w:color w:val="000000"/>
          <w:sz w:val="22"/>
        </w:rPr>
      </w:pPr>
      <w:r>
        <w:rPr>
          <w:rFonts w:ascii="Times New Roman;sans-serif" w:hAnsi="Times New Roman;sans-serif"/>
          <w:b/>
          <w:color w:val="000000"/>
          <w:sz w:val="22"/>
        </w:rPr>
        <w:t>Exhibit 5.1</w:t>
      </w:r>
    </w:p>
    <w:p>
      <w:pPr>
        <w:pStyle w:val="TextBody"/>
        <w:bidi w:val="0"/>
        <w:spacing w:lineRule="auto" w:line="240"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 xml:space="preserve">August 8, 2023 </w:t>
      </w:r>
    </w:p>
    <w:p>
      <w:pPr>
        <w:pStyle w:val="TextBody"/>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GeneDx Holdings Corp.</w:t>
        <w:br/>
        <w:t xml:space="preserve">333 Ludlow Street, North Tower </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Stamford, Connecticut 06902</w:t>
      </w:r>
    </w:p>
    <w:p>
      <w:pPr>
        <w:pStyle w:val="TextBody"/>
        <w:bidi w:val="0"/>
        <w:spacing w:lineRule="auto" w:line="240"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Ladies and Gentlemen:</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At your request, as your counsel, we have examined the Registration Statement on Form S-8 (the “</w:t>
      </w:r>
      <w:r>
        <w:rPr>
          <w:rFonts w:ascii="Times New Roman;sans-serif" w:hAnsi="Times New Roman;sans-serif"/>
          <w:b/>
          <w:i/>
          <w:color w:val="000000"/>
          <w:sz w:val="22"/>
        </w:rPr>
        <w:t>Registration Statement</w:t>
      </w:r>
      <w:r>
        <w:rPr>
          <w:color w:val="000000"/>
        </w:rPr>
        <w:t>”</w:t>
      </w:r>
      <w:r>
        <w:rPr>
          <w:rFonts w:ascii="Times New Roman;sans-serif" w:hAnsi="Times New Roman;sans-serif"/>
          <w:b w:val="false"/>
          <w:color w:val="000000"/>
          <w:sz w:val="22"/>
        </w:rPr>
        <w:t>) to be filed by GeneDx Holdings Corp.,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with the Securities and Exchange Commission (the “</w:t>
      </w:r>
      <w:r>
        <w:rPr>
          <w:rFonts w:ascii="Times New Roman;sans-serif" w:hAnsi="Times New Roman;sans-serif"/>
          <w:b/>
          <w:i/>
          <w:color w:val="000000"/>
          <w:sz w:val="22"/>
        </w:rPr>
        <w:t>Commission</w:t>
      </w:r>
      <w:r>
        <w:rPr>
          <w:color w:val="000000"/>
        </w:rPr>
        <w:t>”</w:t>
      </w:r>
      <w:r>
        <w:rPr>
          <w:rFonts w:ascii="Times New Roman;sans-serif" w:hAnsi="Times New Roman;sans-serif"/>
          <w:b w:val="false"/>
          <w:color w:val="000000"/>
          <w:sz w:val="22"/>
        </w:rPr>
        <w:t>) on or about August 8, 2023 in connection with the registration under the Securities Act of 1933, as amended (the “</w:t>
      </w:r>
      <w:r>
        <w:rPr>
          <w:rFonts w:ascii="Times New Roman;sans-serif" w:hAnsi="Times New Roman;sans-serif"/>
          <w:b/>
          <w:i/>
          <w:color w:val="000000"/>
          <w:sz w:val="22"/>
        </w:rPr>
        <w:t>Securities Act</w:t>
      </w:r>
      <w:r>
        <w:rPr>
          <w:color w:val="000000"/>
        </w:rPr>
        <w:t>”</w:t>
      </w:r>
      <w:r>
        <w:rPr>
          <w:rFonts w:ascii="Times New Roman;sans-serif" w:hAnsi="Times New Roman;sans-serif"/>
          <w:b w:val="false"/>
          <w:color w:val="000000"/>
          <w:sz w:val="22"/>
        </w:rPr>
        <w:t>), of an aggregate of 500,000 shares (the “</w:t>
      </w:r>
      <w:r>
        <w:rPr>
          <w:rFonts w:ascii="Times New Roman;sans-serif" w:hAnsi="Times New Roman;sans-serif"/>
          <w:b/>
          <w:i/>
          <w:color w:val="000000"/>
          <w:sz w:val="22"/>
        </w:rPr>
        <w:t>Shares</w:t>
      </w:r>
      <w:r>
        <w:rPr>
          <w:color w:val="000000"/>
        </w:rPr>
        <w:t>”</w:t>
      </w:r>
      <w:r>
        <w:rPr>
          <w:rFonts w:ascii="Times New Roman;sans-serif" w:hAnsi="Times New Roman;sans-serif"/>
          <w:b w:val="false"/>
          <w:color w:val="000000"/>
          <w:sz w:val="22"/>
        </w:rPr>
        <w:t>) of the Company’s Class A common stock, par value $0.0001 per share (the “</w:t>
      </w:r>
      <w:r>
        <w:rPr>
          <w:rFonts w:ascii="Times New Roman;sans-serif" w:hAnsi="Times New Roman;sans-serif"/>
          <w:b/>
          <w:i/>
          <w:color w:val="000000"/>
          <w:sz w:val="22"/>
        </w:rPr>
        <w:t>Common Stock</w:t>
      </w:r>
      <w:r>
        <w:rPr>
          <w:color w:val="000000"/>
        </w:rPr>
        <w:t>”</w:t>
      </w:r>
      <w:r>
        <w:rPr>
          <w:rFonts w:ascii="Times New Roman;sans-serif" w:hAnsi="Times New Roman;sans-serif"/>
          <w:b w:val="false"/>
          <w:color w:val="000000"/>
          <w:sz w:val="22"/>
        </w:rPr>
        <w:t>), subject to issuance by the Company upon exercise or settlement of awards to be granted under the Company’s 2023 Equity Inducement Plan (the “</w:t>
      </w:r>
      <w:r>
        <w:rPr>
          <w:rFonts w:ascii="Times New Roman;sans-serif" w:hAnsi="Times New Roman;sans-serif"/>
          <w:b/>
          <w:i/>
          <w:color w:val="000000"/>
          <w:sz w:val="22"/>
        </w:rPr>
        <w:t>2023 Inducement Plan</w:t>
      </w:r>
      <w:r>
        <w:rPr>
          <w:color w:val="000000"/>
        </w:rPr>
        <w:t>”</w:t>
      </w:r>
      <w:r>
        <w:rPr>
          <w:rFonts w:ascii="Times New Roman;sans-serif" w:hAnsi="Times New Roman;sans-serif"/>
          <w:b w:val="false"/>
          <w:color w:val="000000"/>
          <w:sz w:val="22"/>
        </w:rPr>
        <w:t>) pursuant to Nasdaq Listing Rule 5635(c)(4) as an inducement material to new employees entering into employment with the Company.</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At your request we are providing this letter to express our opinion on the matters set forth below in this letter (“</w:t>
      </w:r>
      <w:r>
        <w:rPr>
          <w:rFonts w:ascii="Times New Roman;sans-serif" w:hAnsi="Times New Roman;sans-serif"/>
          <w:b/>
          <w:i/>
          <w:color w:val="000000"/>
          <w:sz w:val="22"/>
        </w:rPr>
        <w:t>our opinion</w:t>
      </w:r>
      <w:r>
        <w:rPr>
          <w:color w:val="000000"/>
        </w:rPr>
        <w:t>”</w:t>
      </w:r>
      <w:r>
        <w:rPr>
          <w:rFonts w:ascii="Times New Roman;sans-serif" w:hAnsi="Times New Roman;sans-serif"/>
          <w:b w:val="false"/>
          <w:color w:val="000000"/>
          <w:sz w:val="22"/>
        </w:rPr>
        <w:t xml:space="preserve">).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In connection with our opinion, we have examined such matters of fact as we have deemed necessary, which included examination of originals or copies of: (a) the Company’s Third Amended and Restated Certificate</w:t>
      </w:r>
      <w:r>
        <w:rPr>
          <w:color w:val="000000"/>
        </w:rPr>
        <w:t xml:space="preserve"> </w:t>
      </w:r>
      <w:r>
        <w:rPr>
          <w:rFonts w:ascii="Times New Roman;sans-serif" w:hAnsi="Times New Roman;sans-serif"/>
          <w:b w:val="false"/>
          <w:color w:val="000000"/>
          <w:sz w:val="22"/>
        </w:rPr>
        <w:t>of Incorporation, as amended (the “</w:t>
      </w:r>
      <w:r>
        <w:rPr>
          <w:rFonts w:ascii="Times New Roman;sans-serif" w:hAnsi="Times New Roman;sans-serif"/>
          <w:b/>
          <w:i/>
          <w:color w:val="000000"/>
          <w:sz w:val="22"/>
        </w:rPr>
        <w:t>Certificate of Incorporation</w:t>
      </w:r>
      <w:r>
        <w:rPr>
          <w:color w:val="000000"/>
        </w:rPr>
        <w:t>”</w:t>
      </w:r>
      <w:r>
        <w:rPr>
          <w:rFonts w:ascii="Times New Roman;sans-serif" w:hAnsi="Times New Roman;sans-serif"/>
          <w:b w:val="false"/>
          <w:color w:val="000000"/>
          <w:sz w:val="22"/>
        </w:rPr>
        <w:t>), the Company’s Amended and Restated Bylaws (the “</w:t>
      </w:r>
      <w:r>
        <w:rPr>
          <w:rFonts w:ascii="Times New Roman;sans-serif" w:hAnsi="Times New Roman;sans-serif"/>
          <w:b/>
          <w:i/>
          <w:color w:val="000000"/>
          <w:sz w:val="22"/>
        </w:rPr>
        <w:t>Bylaws</w:t>
      </w:r>
      <w:r>
        <w:rPr>
          <w:color w:val="000000"/>
        </w:rPr>
        <w:t xml:space="preserve">” </w:t>
      </w:r>
      <w:r>
        <w:rPr>
          <w:rFonts w:ascii="Times New Roman;sans-serif" w:hAnsi="Times New Roman;sans-serif"/>
          <w:b w:val="false"/>
          <w:color w:val="000000"/>
          <w:sz w:val="22"/>
        </w:rPr>
        <w:t>and, together with the Certificate of Incorporation, the “</w:t>
      </w:r>
      <w:r>
        <w:rPr>
          <w:rFonts w:ascii="Times New Roman;sans-serif" w:hAnsi="Times New Roman;sans-serif"/>
          <w:b/>
          <w:i/>
          <w:color w:val="000000"/>
          <w:sz w:val="22"/>
        </w:rPr>
        <w:t>Charter Documents</w:t>
      </w:r>
      <w:r>
        <w:rPr>
          <w:color w:val="000000"/>
        </w:rPr>
        <w:t>”</w:t>
      </w:r>
      <w:r>
        <w:rPr>
          <w:rFonts w:ascii="Times New Roman;sans-serif" w:hAnsi="Times New Roman;sans-serif"/>
          <w:b w:val="false"/>
          <w:color w:val="000000"/>
          <w:sz w:val="22"/>
        </w:rPr>
        <w:t>), the 2023 Inducement Plan and related forms of 2023 Inducement Plan agreements for use thereunder, and the Registration Statement and the exhibits thereto, (b) certain</w:t>
      </w:r>
      <w:r>
        <w:rPr>
          <w:color w:val="000000"/>
        </w:rPr>
        <w:t xml:space="preserve"> </w:t>
      </w:r>
      <w:r>
        <w:rPr>
          <w:rFonts w:ascii="Times New Roman;sans-serif" w:hAnsi="Times New Roman;sans-serif"/>
          <w:b w:val="false"/>
          <w:color w:val="000000"/>
          <w:sz w:val="22"/>
        </w:rPr>
        <w:t>corporate proceedings</w:t>
      </w:r>
      <w:r>
        <w:rPr>
          <w:color w:val="000000"/>
        </w:rPr>
        <w:t xml:space="preserve"> </w:t>
      </w:r>
      <w:r>
        <w:rPr>
          <w:rFonts w:ascii="Times New Roman;sans-serif" w:hAnsi="Times New Roman;sans-serif"/>
          <w:b w:val="false"/>
          <w:color w:val="000000"/>
          <w:sz w:val="22"/>
        </w:rPr>
        <w:t xml:space="preserve">of the Company’s board of directors and the Company’s stockholders relating to adoption or approval of the Charter Documents and the 2023 Inducement Plan, and (c) such other documents as we have deemed advisable, and we have examined such questions of law as we have considered necessary.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In our examination of documents for purposes of this opinion, we have assumed, and express no opinion as to, the authenticity and completeness of all documents submitted to us as originals, the genuineness of signatures on documents reviewed by us, the conformity to originals and the completeness of all documents submitted to us as copies, the legal capacity of all parties executing any documents (other than the Company), the lack of any undisclosed termination or modification or waiver of any document, the absence of any extrinsic agreements or documents that might change or affect the interpretation or terms of documents, and the due authorization, execution and delivery of all documents by each party thereto other than the Company. We have also assumed that any certificates or instruments representing the Shares, when issued, will be executed by the Company and by officers of the Company duly authorized to do so. In rendering our opinion, we have also relied upon a certificate of good standing issued by the Delaware Secretary of State with respect to the Company and representations and certifications made to us by the Company, including without limitation representations in a Management Certificate addressed to us of even date herewith that the Company has available a sufficient number of authorized shares of Common Stock that are not currently outstanding or reserved for issuance under other outstanding securities or plans of the Company, to enable the Company to issue and deliver all of the Shares as of the date of this letter.</w:t>
      </w:r>
    </w:p>
    <w:p>
      <w:pPr>
        <w:pStyle w:val="TextBody"/>
        <w:bidi w:val="0"/>
        <w:spacing w:lineRule="auto" w:line="290" w:before="0" w:after="240"/>
        <w:ind w:left="0" w:right="0" w:firstLine="720"/>
        <w:jc w:val="both"/>
        <w:rPr/>
      </w:pPr>
      <w:r>
        <w:rPr>
          <w:rFonts w:ascii="Times New Roman;sans-serif" w:hAnsi="Times New Roman;sans-serif"/>
          <w:b w:val="false"/>
          <w:color w:val="000000"/>
          <w:sz w:val="22"/>
        </w:rPr>
        <w:t>We render this opinion only with respect to, and we express no opinion herein concerning the application or effect of the laws of any jurisdiction other than, the existing</w:t>
      </w:r>
      <w:r>
        <w:rPr>
          <w:color w:val="000000"/>
        </w:rPr>
        <w:t xml:space="preserve"> </w:t>
      </w:r>
      <w:r>
        <w:rPr>
          <w:rFonts w:ascii="Times New Roman;sans-serif" w:hAnsi="Times New Roman;sans-serif"/>
          <w:b w:val="false"/>
          <w:color w:val="000000"/>
          <w:sz w:val="22"/>
        </w:rPr>
        <w:t>Delaware General Corporation Law now in effect.</w:t>
      </w:r>
      <w:r>
        <w:rPr>
          <w:color w:val="000000"/>
        </w:rPr>
        <w:t xml:space="preserve"> </w:t>
      </w:r>
    </w:p>
    <w:p>
      <w:pPr>
        <w:pStyle w:val="TextBody"/>
        <w:bidi w:val="0"/>
        <w:spacing w:lineRule="auto" w:line="240"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Based upon, and subject to, the foregoing, it is our opinion that the Shares have been duly authorized and, when the Shares that may be issued and sold upon the exercise or settlement of awards to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be granted under the 2023 Inducement Plan have been issued and sold by the Company against the Company’s receipt of payment therefor (in an amount and type of consideration not less than the par value per Share) in accordance with the terms (including, without limitation, payment and authorization provisions) of the 2023 Inducement Plan, and have been duly registered on the books of the transfer agent and registrar for the Shares in the name or on behalf of the holders thereof, such Shares will be validly issued, fully paid and non-assessable. </w:t>
      </w:r>
    </w:p>
    <w:p>
      <w:pPr>
        <w:pStyle w:val="TextBody"/>
        <w:bidi w:val="0"/>
        <w:spacing w:lineRule="auto" w:line="240" w:before="0" w:after="240"/>
        <w:ind w:left="0" w:right="0" w:firstLine="748"/>
        <w:jc w:val="both"/>
        <w:rPr/>
      </w:pPr>
      <w:r>
        <w:rPr>
          <w:rFonts w:ascii="Times New Roman;sans-serif" w:hAnsi="Times New Roman;sans-serif"/>
          <w:b w:val="false"/>
          <w:color w:val="000000"/>
          <w:sz w:val="22"/>
        </w:rPr>
        <w:t>We consent to the use of this opinion as an exhibit to the Registration Statement and further consent to all references to us, if any, in the Registration Statement and any amendments or supplements thereto. We do not thereby admit that we are within the category of persons whose consent is required under Section 7 of the Securities Act or the rules and regulations of the Commission thereunder</w:t>
      </w:r>
      <w:r>
        <w:rPr>
          <w:rFonts w:ascii="Times New Roman;sans-serif" w:hAnsi="Times New Roman;sans-serif"/>
          <w:b w:val="false"/>
          <w:color w:val="000000"/>
          <w:sz w:val="20"/>
        </w:rPr>
        <w:t xml:space="preserve">. </w:t>
      </w:r>
      <w:r>
        <w:rPr>
          <w:rFonts w:ascii="Times New Roman;sans-serif" w:hAnsi="Times New Roman;sans-serif"/>
          <w:b w:val="false"/>
          <w:color w:val="000000"/>
          <w:sz w:val="22"/>
        </w:rPr>
        <w:t>This opinion is intended solely for use in connection with the issuance, sale and resale of the Shares subject to the Registration Statement, and is not to be relied upon for any other purpose. In providing this letter, we are opining only as to the specific legal issues expressly set forth above, and no opinion shall be inferred as to any other matter or matters.</w:t>
      </w:r>
      <w:r>
        <w:rPr>
          <w:color w:val="000000"/>
        </w:rPr>
        <w:t xml:space="preserve"> </w:t>
      </w:r>
      <w:r>
        <w:rPr>
          <w:rFonts w:ascii="Times New Roman;sans-serif" w:hAnsi="Times New Roman;sans-serif"/>
          <w:b w:val="false"/>
          <w:color w:val="000000"/>
          <w:sz w:val="22"/>
        </w:rPr>
        <w:t>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pStyle w:val="TextBody"/>
        <w:bidi w:val="0"/>
        <w:spacing w:before="0" w:after="240"/>
        <w:ind w:left="0" w:right="0" w:firstLine="748"/>
        <w:jc w:val="both"/>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/s/ Fenwick &amp; West LLP</w:t>
      </w:r>
    </w:p>
    <w:p>
      <w:pPr>
        <w:pStyle w:val="TextBody"/>
        <w:bidi w:val="0"/>
        <w:spacing w:before="0" w:after="0"/>
        <w:jc w:val="left"/>
        <w:rPr/>
      </w:pPr>
      <w:r>
        <w:rPr/>
      </w:r>
    </w:p>
    <w:p>
      <w:pPr>
        <w:pStyle w:val="TextBody"/>
        <w:bidi w:val="0"/>
        <w:spacing w:lineRule="auto" w:line="240"/>
        <w:jc w:val="left"/>
        <w:rPr>
          <w:rFonts w:ascii="Times New Roman;sans-serif" w:hAnsi="Times New Roman;sans-serif"/>
          <w:b/>
          <w:color w:val="000000"/>
          <w:sz w:val="22"/>
        </w:rPr>
      </w:pPr>
      <w:r>
        <w:rPr>
          <w:rFonts w:ascii="Times New Roman;sans-serif" w:hAnsi="Times New Roman;sans-serif"/>
          <w:b/>
          <w:color w:val="000000"/>
          <w:sz w:val="22"/>
        </w:rPr>
        <w:t>FENWICK &amp; WEST LLP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 (Form S-8) pertaining to the GeneDx Holdings Corp. 2023 Equity Inducement Plan of our report dated March 16, 2023, with respect to the consolidated financial statements of GeneDx Holdings Corp. included in its Annual Report (Form 10-K) for the year ended December 31, 2022, filed with the Securities and Exchange Commission.</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NY</w:t>
      </w:r>
    </w:p>
    <w:p>
      <w:pPr>
        <w:pStyle w:val="TextBody"/>
        <w:bidi w:val="0"/>
        <w:spacing w:lineRule="auto" w:line="240"/>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2023</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331/000181833123000024/wgs-20221231.htm" TargetMode="External"/><Relationship Id="rId3" Type="http://schemas.openxmlformats.org/officeDocument/2006/relationships/hyperlink" Target="https://www.sec.gov/ix?doc=/Archives/edgar/data/0001818331/000181833123000043/wgs-20230331.htm" TargetMode="External"/><Relationship Id="rId4" Type="http://schemas.openxmlformats.org/officeDocument/2006/relationships/hyperlink" Target="https://www.sec.gov/ix?doc=/Archives/edgar/data/0001818331/000181833123000006/smfr-20230109.htm" TargetMode="External"/><Relationship Id="rId5" Type="http://schemas.openxmlformats.org/officeDocument/2006/relationships/hyperlink" Target="https://www.sec.gov/ix?doc=/Archives/edgar/data/0001818331/000181833123000015/smfr-20230126.htm" TargetMode="External"/><Relationship Id="rId6" Type="http://schemas.openxmlformats.org/officeDocument/2006/relationships/hyperlink" Target="https://www.sec.gov/ix?doc=/Archives/edgar/data/0001818331/000181833123000018/smfr-20230214.htm" TargetMode="External"/><Relationship Id="rId7" Type="http://schemas.openxmlformats.org/officeDocument/2006/relationships/hyperlink" Target="https://www.sec.gov/ix?doc=/Archives/edgar/data/1818331/000181833123000027/smfr-20230412.htm" TargetMode="External"/><Relationship Id="rId8" Type="http://schemas.openxmlformats.org/officeDocument/2006/relationships/hyperlink" Target="https://www.sec.gov/ix?doc=/Archives/edgar/data/1818331/000162828023011808/smfr-20230414.htm" TargetMode="External"/><Relationship Id="rId9" Type="http://schemas.openxmlformats.org/officeDocument/2006/relationships/hyperlink" Target="https://www.sec.gov/ix?doc=/Archives/edgar/data/1818331/000181833123000030/smfr-20230424.htm" TargetMode="External"/><Relationship Id="rId10" Type="http://schemas.openxmlformats.org/officeDocument/2006/relationships/hyperlink" Target="https://www.sec.gov/ix?doc=/Archives/edgar/data/0001818331/000181833123000046/smfr-20230518.htm" TargetMode="External"/><Relationship Id="rId11" Type="http://schemas.openxmlformats.org/officeDocument/2006/relationships/hyperlink" Target="https://www.sec.gov/ix?doc=/Archives/edgar/data/0001818331/000181833123000053/smfr-20230614.htm" TargetMode="External"/><Relationship Id="rId12" Type="http://schemas.openxmlformats.org/officeDocument/2006/relationships/hyperlink" Target="https://www.sec.gov/ix?doc=/Archives/edgar/data/1818331/000181833123000056/smfr-20230721.htm" TargetMode="External"/><Relationship Id="rId13" Type="http://schemas.openxmlformats.org/officeDocument/2006/relationships/hyperlink" Target="https://www.sec.gov/Archives/edgar/data/1818331/000181833123000033/genedx-2023annualmeetingxd.htm" TargetMode="External"/><Relationship Id="rId14" Type="http://schemas.openxmlformats.org/officeDocument/2006/relationships/hyperlink" Target="https://www.sec.gov/ix?doc=/Archives/edgar/data/1818331/000181833123000024/wgs-20221231.htm" TargetMode="External"/><Relationship Id="rId15" Type="http://schemas.openxmlformats.org/officeDocument/2006/relationships/hyperlink" Target="https://www.sec.gov/Archives/edgar/data/0001818331/000121390020024549/ea126225-8a12b_cmlifescience.htm" TargetMode="External"/><Relationship Id="rId16" Type="http://schemas.openxmlformats.org/officeDocument/2006/relationships/hyperlink" Target="https://www.sec.gov/ix?doc=/Archives/edgar/data/1818331/000181833123000024/wgs-20221231.htm" TargetMode="External"/><Relationship Id="rId17" Type="http://schemas.openxmlformats.org/officeDocument/2006/relationships/hyperlink" Target="https://www.sec.gov/Archives/edgar/data/1818331/000162828021014760/exhibit31-super8xk.htm" TargetMode="External"/><Relationship Id="rId18" Type="http://schemas.openxmlformats.org/officeDocument/2006/relationships/hyperlink" Target="https://www.sec.gov/Archives/edgar/data/0001818331/000162828022011605/exhibit31-closing8xk.htm" TargetMode="External"/><Relationship Id="rId19" Type="http://schemas.openxmlformats.org/officeDocument/2006/relationships/hyperlink" Target="https://www.sec.gov/Archives/edgar/data/1818331/000181833123000006/sema4-certificateofamendme.htm" TargetMode="External"/><Relationship Id="rId20" Type="http://schemas.openxmlformats.org/officeDocument/2006/relationships/hyperlink" Target="https://www.sec.gov/Archives/edgar/data/1818331/000162828023011808/exhibit31-8xkx4172023.htm" TargetMode="External"/><Relationship Id="rId21" Type="http://schemas.openxmlformats.org/officeDocument/2006/relationships/hyperlink" Target="https://www.sec.gov/Archives/edgar/data/1818331/000181833123000030/exhibit31exhibita-genedxxc.htm" TargetMode="External"/><Relationship Id="rId22" Type="http://schemas.openxmlformats.org/officeDocument/2006/relationships/hyperlink" Target="https://www.sec.gov/Archives/edgar/data/1818331/000181833123000006/sema4-amendedandrestatedby.htm" TargetMode="External"/><Relationship Id="rId23" Type="http://schemas.openxmlformats.org/officeDocument/2006/relationships/hyperlink" Target="https://www.sec.gov/Archives/edgar/data/1818331/000181833123000056/genedx-2023equityinducemen.htm" TargetMode="External"/><Relationship Id="rId24" Type="http://schemas.openxmlformats.org/officeDocument/2006/relationships/hyperlink" Target="https://www.sec.gov/Archives/edgar/data/1818331/000181833123000056/genedx-formofinducementsto.htm" TargetMode="External"/><Relationship Id="rId25" Type="http://schemas.openxmlformats.org/officeDocument/2006/relationships/hyperlink" Target="https://www.sec.gov/Archives/edgar/data/1818331/000181833123000056/genedx-formofinducementrsu.htm" TargetMode="External"/><Relationship Id="rId26" Type="http://schemas.openxmlformats.org/officeDocument/2006/relationships/image" Target="media/image1.pn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3909</Words>
  <Characters>21110</Characters>
  <CharactersWithSpaces>24788</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