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Blackstone Tactical Opportunities</w:t>
              </w:r>
            </w:hyperlink>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Sema4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SMFR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00" w:type="dxa"/>
            <w:vAlign w:val="bottom"/>
            <w:gridSpan w:val="7"/>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gridSpan w:val="7"/>
            <w:vMerge w:val="continue"/>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Associates III - NQ L.P.</w:t>
              </w:r>
            </w:hyperlink>
          </w:p>
        </w:tc>
        <w:tc>
          <w:tcPr>
            <w:tcW w:w="2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Borders>
              <w:bottom w:val="single" w:sz="8" w:color="0000EE"/>
            </w:tcBorders>
            <w:gridSpan w:val="4"/>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4"/>
          </w:tcPr>
          <w:p>
            <w:pPr>
              <w:spacing w:after="0"/>
              <w:rPr>
                <w:sz w:val="4"/>
                <w:szCs w:val="4"/>
                <w:color w:val="auto"/>
              </w:rPr>
            </w:pPr>
          </w:p>
        </w:tc>
        <w:tc>
          <w:tcPr>
            <w:tcW w:w="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gridSpan w:val="3"/>
          </w:tcPr>
          <w:p>
            <w:pPr>
              <w:ind w:left="20"/>
              <w:spacing w:after="0" w:line="87" w:lineRule="exact"/>
              <w:rPr>
                <w:sz w:val="20"/>
                <w:szCs w:val="20"/>
                <w:color w:val="auto"/>
              </w:rPr>
            </w:pPr>
            <w:r>
              <w:rPr>
                <w:rFonts w:ascii="Arial" w:cs="Arial" w:eastAsia="Arial" w:hAnsi="Arial"/>
                <w:sz w:val="10"/>
                <w:szCs w:val="10"/>
                <w:color w:val="auto"/>
              </w:rPr>
              <w:t>below)</w:t>
            </w:r>
          </w:p>
        </w:tc>
        <w:tc>
          <w:tcPr>
            <w:tcW w:w="960" w:type="dxa"/>
            <w:vAlign w:val="bottom"/>
          </w:tcPr>
          <w:p>
            <w:pPr>
              <w:ind w:left="480"/>
              <w:spacing w:after="0" w:line="87" w:lineRule="exact"/>
              <w:rPr>
                <w:sz w:val="20"/>
                <w:szCs w:val="20"/>
                <w:color w:val="auto"/>
              </w:rPr>
            </w:pPr>
            <w:r>
              <w:rPr>
                <w:rFonts w:ascii="Arial" w:cs="Arial" w:eastAsia="Arial" w:hAnsi="Arial"/>
                <w:sz w:val="10"/>
                <w:szCs w:val="10"/>
                <w:color w:val="auto"/>
              </w:rPr>
              <w:t>below)</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9"/>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720" w:type="dxa"/>
            <w:vAlign w:val="bottom"/>
            <w:gridSpan w:val="9"/>
          </w:tcPr>
          <w:p>
            <w:pPr>
              <w:ind w:left="300"/>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345 PARK AVE.</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ind w:left="80"/>
              <w:spacing w:after="0" w:line="146" w:lineRule="exact"/>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7"/>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40" w:type="dxa"/>
            <w:vAlign w:val="bottom"/>
            <w:gridSpan w:val="7"/>
            <w:vMerge w:val="restart"/>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8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gridSpan w:val="2"/>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24"/>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7"/>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99"/>
              </w:rPr>
              <w:t>6.</w:t>
            </w:r>
          </w:p>
        </w:tc>
        <w:tc>
          <w:tcPr>
            <w:tcW w:w="720" w:type="dxa"/>
            <w:vAlign w:val="bottom"/>
          </w:tcPr>
          <w:p>
            <w:pPr>
              <w:spacing w:after="0"/>
              <w:rPr>
                <w:sz w:val="15"/>
                <w:szCs w:val="15"/>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and 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220" w:type="dxa"/>
            <w:vAlign w:val="bottom"/>
          </w:tcPr>
          <w:p>
            <w:pPr>
              <w:spacing w:after="0"/>
              <w:rPr>
                <w:sz w:val="6"/>
                <w:szCs w:val="6"/>
                <w:color w:val="auto"/>
              </w:rPr>
            </w:pPr>
          </w:p>
        </w:tc>
        <w:tc>
          <w:tcPr>
            <w:tcW w:w="8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(Instr. 3 and 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00"/>
              <w:spacing w:after="0" w:line="280" w:lineRule="exact"/>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(11)</w:t>
            </w:r>
          </w:p>
        </w:tc>
        <w:tc>
          <w:tcPr>
            <w:tcW w:w="14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2,434,863   A</w:t>
            </w:r>
          </w:p>
        </w:tc>
        <w:tc>
          <w:tcPr>
            <w:tcW w:w="5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rPr>
              <w:t>26,839,187</w:t>
            </w:r>
          </w:p>
        </w:tc>
        <w:tc>
          <w:tcPr>
            <w:tcW w:w="1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(1)(5)(7)(8)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00"/>
              <w:spacing w:after="0" w:line="280" w:lineRule="exact"/>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(11)</w:t>
            </w:r>
          </w:p>
        </w:tc>
        <w:tc>
          <w:tcPr>
            <w:tcW w:w="14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50,402</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24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555,497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line="280" w:lineRule="exact"/>
              <w:rPr>
                <w:sz w:val="20"/>
                <w:szCs w:val="20"/>
                <w:color w:val="auto"/>
              </w:rPr>
            </w:pPr>
            <w:r>
              <w:rPr>
                <w:rFonts w:ascii="Times New Roman" w:cs="Times New Roman" w:eastAsia="Times New Roman" w:hAnsi="Times New Roman"/>
                <w:sz w:val="32"/>
                <w:szCs w:val="32"/>
                <w:color w:val="0000FF"/>
                <w:w w:val="96"/>
                <w:vertAlign w:val="subscript"/>
              </w:rPr>
              <w:t>See Footnotes</w:t>
            </w:r>
            <w:r>
              <w:rPr>
                <w:rFonts w:ascii="Times New Roman" w:cs="Times New Roman" w:eastAsia="Times New Roman" w:hAnsi="Times New Roman"/>
                <w:sz w:val="11"/>
                <w:szCs w:val="11"/>
                <w:color w:val="008000"/>
                <w:w w:val="96"/>
              </w:rPr>
              <w:t>(2)(6)(7)(8)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04/29/2022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00"/>
              <w:spacing w:after="0" w:line="280" w:lineRule="exact"/>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(11)</w:t>
            </w:r>
          </w:p>
        </w:tc>
        <w:tc>
          <w:tcPr>
            <w:tcW w:w="14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14,735</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w:t>
            </w:r>
          </w:p>
        </w:tc>
        <w:tc>
          <w:tcPr>
            <w:tcW w:w="24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162,309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(3)(5)(7)(8)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40"/>
              <w:spacing w:after="0" w:line="249" w:lineRule="exact"/>
              <w:rPr>
                <w:sz w:val="20"/>
                <w:szCs w:val="20"/>
                <w:color w:val="auto"/>
              </w:rPr>
            </w:pPr>
            <w:r>
              <w:rPr>
                <w:rFonts w:ascii="Times New Roman" w:cs="Times New Roman" w:eastAsia="Times New Roman" w:hAnsi="Times New Roman"/>
                <w:sz w:val="28"/>
                <w:szCs w:val="28"/>
                <w:color w:val="0000FF"/>
                <w:vertAlign w:val="subscript"/>
              </w:rPr>
              <w:t>See Footnotes</w:t>
            </w:r>
            <w:r>
              <w:rPr>
                <w:rFonts w:ascii="Times New Roman" w:cs="Times New Roman" w:eastAsia="Times New Roman" w:hAnsi="Times New Roman"/>
                <w:sz w:val="10"/>
                <w:szCs w:val="10"/>
                <w:color w:val="008000"/>
              </w:rPr>
              <w:t>(4)(6)(7)(8)</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400" w:type="dxa"/>
            <w:vAlign w:val="bottom"/>
            <w:gridSpan w:val="6"/>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(9)(10)</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0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3"/>
          </w:tcPr>
          <w:p>
            <w:pPr>
              <w:jc w:val="center"/>
              <w:ind w:right="6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20" w:type="dxa"/>
            <w:vAlign w:val="bottom"/>
            <w:gridSpan w:val="19"/>
          </w:tcPr>
          <w:p>
            <w:pPr>
              <w:jc w:val="center"/>
              <w:ind w:right="9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20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5"/>
          </w:tcPr>
          <w:p>
            <w:pPr>
              <w:ind w:left="22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gridSpan w:val="9"/>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Blackstone Tactical Opportunities Associates III</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 NQ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BLACKSTONE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345 PARK AVE.</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BTO DE GP - NQ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BLACKSTONE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345 PARK AVENUE</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Blackstone Holdings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-2226310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Blackstone Aqua Master Sub-Fund, a sub-fund</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of Blackstone Global Master Fund ICAV</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Blackstone Alternative Solutions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Blackstone Holdings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Blackstone Holdings I/II GP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Blackstone Inc.</w:t>
              </w:r>
            </w:hyperlink>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sectPr>
          <w:pgSz w:w="11900" w:h="16838" w:orient="portrait"/>
          <w:cols w:equalWidth="0" w:num="1">
            <w:col w:w="9979"/>
          </w:cols>
          <w:pgMar w:left="480" w:top="125" w:right="1440" w:bottom="0" w:gutter="0" w:footer="0" w:header="0"/>
        </w:sectPr>
      </w:pPr>
    </w:p>
    <w:p>
      <w:pPr>
        <w:ind w:left="100"/>
        <w:spacing w:after="0"/>
        <w:rPr>
          <w:sz w:val="20"/>
          <w:szCs w:val="20"/>
          <w:color w:val="auto"/>
        </w:rPr>
      </w:pPr>
      <w:r>
        <w:rPr>
          <w:rFonts w:ascii="Times New Roman" w:cs="Times New Roman" w:eastAsia="Times New Roman" w:hAnsi="Times New Roman"/>
          <w:sz w:val="16"/>
          <w:szCs w:val="16"/>
          <w:color w:val="0000FF"/>
        </w:rPr>
        <w:t>345 PARK AVENUE</w:t>
      </w:r>
    </w:p>
    <w:p>
      <w:pPr>
        <w:sectPr>
          <w:pgSz w:w="11900" w:h="16838" w:orient="portrait"/>
          <w:cols w:equalWidth="0" w:num="1">
            <w:col w:w="9979"/>
          </w:cols>
          <w:pgMar w:left="480" w:top="125" w:right="1440" w:bottom="0" w:gutter="0" w:footer="0" w:header="0"/>
          <w:type w:val="continuous"/>
        </w:sectPr>
      </w:pPr>
    </w:p>
    <w:bookmarkStart w:id="2" w:name="page3"/>
    <w:bookmarkEnd w:id="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94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429450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Blackstone Group Management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2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SCHWARZMAN STEPHEN A</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BTO Sema4 Holdings L.P. BTO Holdings Manager L.L.C. is the general partner of BTO Sema4 Holdings L.P. Blackstone Tactical Opportunities Associates L.L.C. is the managing member of BTO Holdings Manager L.L.C. BTOA L.L.C. is the managing member of Blackstone Tactical Opportunities Associates L.L.C.</w:t>
      </w:r>
    </w:p>
    <w:p>
      <w:pPr>
        <w:spacing w:after="0" w:line="7"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Blackstone Tactical Opportunities Fund - FD L.P.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w:t>
      </w:r>
    </w:p>
    <w:p>
      <w:pPr>
        <w:spacing w:after="0" w:line="20" w:lineRule="exact"/>
        <w:rPr>
          <w:rFonts w:ascii="Times New Roman" w:cs="Times New Roman" w:eastAsia="Times New Roman" w:hAnsi="Times New Roman"/>
          <w:sz w:val="13"/>
          <w:szCs w:val="13"/>
          <w:color w:val="008000"/>
        </w:rPr>
      </w:pPr>
    </w:p>
    <w:p>
      <w:pPr>
        <w:ind w:left="20" w:right="3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Blackstone Family Tactical Opportunistic Investment Partnership III ESC L.P. BTO Side-by-Side GP L.L.C. is the general partner of Blackstone Family Tactical Opportunistic Investment Partnership III ESC L.P.</w:t>
      </w:r>
    </w:p>
    <w:p>
      <w:pPr>
        <w:spacing w:after="0" w:line="7" w:lineRule="exact"/>
        <w:rPr>
          <w:rFonts w:ascii="Times New Roman" w:cs="Times New Roman" w:eastAsia="Times New Roman" w:hAnsi="Times New Roman"/>
          <w:sz w:val="13"/>
          <w:szCs w:val="13"/>
          <w:color w:val="008000"/>
        </w:rPr>
      </w:pPr>
    </w:p>
    <w:p>
      <w:pPr>
        <w:ind w:left="20" w:right="3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directly held by Blackstone Aqua Master Sub-Fund, a sub-fund of Blackstone Global Master Fund ICAV. Blackstone Alternative Solutions L.L.C. is the investment manager of Blackstone Aqua Master Sub-Fund. Blackstone Holdings I L.P. is the sole member of Blackstone Alternative Solutions L.L.C.</w:t>
      </w:r>
    </w:p>
    <w:p>
      <w:pPr>
        <w:spacing w:after="0" w:line="7" w:lineRule="exact"/>
        <w:rPr>
          <w:rFonts w:ascii="Times New Roman" w:cs="Times New Roman" w:eastAsia="Times New Roman" w:hAnsi="Times New Roman"/>
          <w:sz w:val="13"/>
          <w:szCs w:val="13"/>
          <w:color w:val="008000"/>
        </w:rPr>
      </w:pPr>
    </w:p>
    <w:p>
      <w:pPr>
        <w:ind w:left="20" w:right="3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Holdings III L.P. is the managing member of BTOA L.L.C. and the sole member of BTO Side-by-Side GP L.L.C. Blackstone Holdings III GP L.P. is the general partner of Blackstone Holdings III L.P. Blackstone Holdings III GP Management L.L.C. is the general partner of Blackstone Holdings III GP L.P.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Holdings I/II GP L.L.C. is the general partner of each of Blackstone Holdings I L.P. and Blackstone Holdings II L.P.</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Inc. is the sole member of each of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7"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7" w:lineRule="exact"/>
        <w:rPr>
          <w:rFonts w:ascii="Times New Roman" w:cs="Times New Roman" w:eastAsia="Times New Roman" w:hAnsi="Times New Roman"/>
          <w:sz w:val="13"/>
          <w:szCs w:val="13"/>
          <w:color w:val="008000"/>
        </w:rPr>
      </w:pPr>
    </w:p>
    <w:p>
      <w:pPr>
        <w:ind w:left="20" w:right="40" w:firstLine="7"/>
        <w:spacing w:after="0" w:line="24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w:t>
      </w:r>
    </w:p>
    <w:p>
      <w:pPr>
        <w:spacing w:after="0" w:line="1" w:lineRule="exact"/>
        <w:rPr>
          <w:rFonts w:ascii="Times New Roman" w:cs="Times New Roman" w:eastAsia="Times New Roman" w:hAnsi="Times New Roman"/>
          <w:sz w:val="13"/>
          <w:szCs w:val="13"/>
          <w:color w:val="008000"/>
        </w:rPr>
      </w:pPr>
    </w:p>
    <w:p>
      <w:pPr>
        <w:ind w:left="200" w:hanging="17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36"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the limitations of the electronic filing system certain Reporting Persons are filing a separate Form 4.</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 from the Issuer.</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2 of 2.</w:t>
      </w:r>
    </w:p>
    <w:p>
      <w:pPr>
        <w:sectPr>
          <w:pgSz w:w="11900" w:h="16871" w:orient="portrait"/>
          <w:cols w:equalWidth="0" w:num="1">
            <w:col w:w="10920"/>
          </w:cols>
          <w:pgMar w:left="480" w:top="260" w:right="49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BLACKSTONE 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7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2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ASSOCIATES III - NQ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BTO DE GP - NQ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2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4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Christopher J. James,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1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Christopher J. James,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2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4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BTO DE GP - NQ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2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1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63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50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ind w:left="6560" w:right="80" w:firstLine="9"/>
        <w:spacing w:after="0" w:line="267" w:lineRule="auto"/>
        <w:tabs>
          <w:tab w:leader="none" w:pos="6719" w:val="left"/>
        </w:tabs>
        <w:numPr>
          <w:ilvl w:val="0"/>
          <w:numId w:val="5"/>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L.P., By: Blackstone Holdings I/II GP L.L.C., its general partner, By: /s/ Tabea Hsi, Name: Tabea Hsi, 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-579120</wp:posOffset>
            </wp:positionV>
            <wp:extent cx="1002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0203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-443865</wp:posOffset>
            </wp:positionV>
            <wp:extent cx="1216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160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-307975</wp:posOffset>
            </wp:positionV>
            <wp:extent cx="1292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922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-172720</wp:posOffset>
            </wp:positionV>
            <wp:extent cx="1259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5920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-37465</wp:posOffset>
            </wp:positionV>
            <wp:extent cx="1154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BLACKSTONE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8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ICAV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5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Acting solely on behalf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sub-fund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3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AQUA MASTER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99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29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71" w:orient="portrait"/>
          <w:cols w:equalWidth="0" w:num="2">
            <w:col w:w="8680" w:space="80"/>
            <w:col w:w="2160"/>
          </w:cols>
          <w:pgMar w:left="480" w:top="260"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Alternative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33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its 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1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Jonathan Feiler,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85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Jonathan Feiler,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0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ectPr>
          <w:pgSz w:w="11900" w:h="16838" w:orient="portrait"/>
          <w:cols w:equalWidth="0" w:num="1">
            <w:col w:w="10180"/>
          </w:cols>
          <w:pgMar w:left="500" w:top="125" w:right="121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251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410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SOLUTIONS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4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Jonathan Feiler,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8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Jonathan Feiler,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01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 L.P.,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5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I/II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Tabea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Hsi, Name: Tabea Hsi,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0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I/II GP L.L.C., By: /s/ Tabea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Hsi, Name: Tabea Hsi,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0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Tabea Hsi, Name: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Senior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23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252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Tabea Hsi, Name: Tabea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Hsi, Title: Senior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Stephen A. Schwarzman,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8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Stephen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67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6"/>
    </w:lvl>
  </w:abstractNum>
  <w:abstractNum w:abstractNumId="3">
    <w:nsid w:val="46E87CCD"/>
    <w:multiLevelType w:val="hybridMultilevel"/>
    <w:lvl w:ilvl="0">
      <w:lvlJc w:val="left"/>
      <w:lvlText w:val="%1."/>
      <w:numFmt w:val="decimal"/>
      <w:start w:val="10"/>
    </w:lvl>
  </w:abstractNum>
  <w:abstractNum w:abstractNumId="4">
    <w:nsid w:val="3D1B58BA"/>
    <w:multiLevelType w:val="hybridMultilevel"/>
    <w:lvl w:ilvl="0">
      <w:lvlJc w:val="left"/>
      <w:lvlText w:val="%1"/>
      <w:numFmt w:val="upperLetter"/>
      <w:start w:val="3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12" Type="http://schemas.openxmlformats.org/officeDocument/2006/relationships/hyperlink" Target="http://www.sec.gov/cgi-bin/browse-edgar?action=getcompany&amp;CIK=0001826419" TargetMode="External"/><Relationship Id="rId13"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826374" TargetMode="External"/><Relationship Id="rId16" Type="http://schemas.openxmlformats.org/officeDocument/2006/relationships/hyperlink" Target="http://www.sec.gov/cgi-bin/browse-edgar?action=getcompany&amp;CIK=0001484870" TargetMode="External"/><Relationship Id="rId18" Type="http://schemas.openxmlformats.org/officeDocument/2006/relationships/hyperlink" Target="http://www.sec.gov/cgi-bin/browse-edgar?action=getcompany&amp;CIK=0001876914" TargetMode="External"/><Relationship Id="rId19" Type="http://schemas.openxmlformats.org/officeDocument/2006/relationships/hyperlink" Target="http://www.sec.gov/cgi-bin/browse-edgar?action=getcompany&amp;CIK=0001728531" TargetMode="External"/><Relationship Id="rId20" Type="http://schemas.openxmlformats.org/officeDocument/2006/relationships/hyperlink" Target="http://www.sec.gov/cgi-bin/browse-edgar?action=getcompany&amp;CIK=0001464694" TargetMode="External"/><Relationship Id="rId21" Type="http://schemas.openxmlformats.org/officeDocument/2006/relationships/hyperlink" Target="http://www.sec.gov/cgi-bin/browse-edgar?action=getcompany&amp;CIK=0001464695" TargetMode="External"/><Relationship Id="rId22" Type="http://schemas.openxmlformats.org/officeDocument/2006/relationships/hyperlink" Target="http://www.sec.gov/cgi-bin/browse-edgar?action=getcompany&amp;CIK=0001393818" TargetMode="External"/><Relationship Id="rId24" Type="http://schemas.openxmlformats.org/officeDocument/2006/relationships/hyperlink" Target="http://www.sec.gov/cgi-bin/browse-edgar?action=getcompany&amp;CIK=0001404071" TargetMode="External"/><Relationship Id="rId25" Type="http://schemas.openxmlformats.org/officeDocument/2006/relationships/hyperlink" Target="http://www.sec.gov/cgi-bin/browse-edgar?action=getcompany&amp;CIK=0001070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2022-05-03T19:32:54Z</dcterms:created>
  <dcterms:modified xsi:type="dcterms:W3CDTF">2022-05-03T19:32:54Z</dcterms:modified>
</cp:coreProperties>
</file>