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29, 2024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89" w:right="299" w:bottom="1440" w:gutter="0" w:footer="0" w:header="0"/>
        </w:sectPr>
      </w:pPr>
    </w:p>
    <w:p>
      <w:pPr>
        <w:spacing w:after="0" w:line="18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20"/>
          </w:cols>
          <w:pgMar w:left="300" w:top="889" w:right="29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76" w:lineRule="exact"/>
        <w:rPr>
          <w:sz w:val="24"/>
          <w:szCs w:val="24"/>
          <w:color w:val="auto"/>
        </w:rPr>
      </w:pPr>
    </w:p>
    <w:p>
      <w:pPr>
        <w:sectPr>
          <w:pgSz w:w="11900" w:h="16838" w:orient="portrait"/>
          <w:cols w:equalWidth="0" w:num="2">
            <w:col w:w="6880" w:space="720"/>
            <w:col w:w="3700"/>
          </w:cols>
          <w:pgMar w:left="300" w:top="889" w:right="2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300"/>
          </w:cols>
          <w:pgMar w:left="300" w:top="889" w:right="299" w:bottom="1440" w:gutter="0" w:footer="0" w:header="0"/>
          <w:type w:val="continuous"/>
        </w:sectPr>
      </w:pP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07"/>
        </w:trPr>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9" w:right="29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October 29, 2024, GeneDx Holdings Corp. (the “Company”) issued a press release (the “Press Release”) and will hold a conference call announcing the Company's financial results for the quarter ended September 30, 2024. Copies of the Press Release and Earnings Presentation are furnished as Exhibits 99.1 and 99.2, respectively, to this Current Report on Form 8-K.</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vMerge w:val="restart"/>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80" w:type="dxa"/>
            <w:vAlign w:val="bottom"/>
            <w:vMerge w:val="restart"/>
          </w:tcPr>
          <w:p>
            <w:pPr>
              <w:spacing w:after="0"/>
              <w:rPr>
                <w:sz w:val="13"/>
                <w:szCs w:val="13"/>
                <w:color w:val="auto"/>
              </w:rPr>
            </w:pPr>
          </w:p>
        </w:tc>
        <w:tc>
          <w:tcPr>
            <w:tcW w:w="100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5"/>
              </w:rPr>
              <w:t>99.1</w:t>
            </w:r>
          </w:p>
        </w:tc>
        <w:tc>
          <w:tcPr>
            <w:tcW w:w="380" w:type="dxa"/>
            <w:vAlign w:val="bottom"/>
          </w:tcPr>
          <w:p>
            <w:pPr>
              <w:spacing w:after="0"/>
              <w:rPr>
                <w:sz w:val="15"/>
                <w:szCs w:val="15"/>
                <w:color w:val="auto"/>
              </w:rPr>
            </w:pPr>
          </w:p>
        </w:tc>
        <w:tc>
          <w:tcPr>
            <w:tcW w:w="5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October 29, 2024, regarding the registrant’s results for the quarter ended September 30, 2024</w:t>
            </w:r>
          </w:p>
        </w:tc>
        <w:tc>
          <w:tcPr>
            <w:tcW w:w="4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gridSpan w:val="2"/>
            <w:vMerge w:val="restart"/>
          </w:tcPr>
          <w:p>
            <w:pPr>
              <w:jc w:val="center"/>
              <w:ind w:left="300"/>
              <w:spacing w:after="0"/>
              <w:rPr>
                <w:sz w:val="20"/>
                <w:szCs w:val="20"/>
                <w:color w:val="auto"/>
              </w:rPr>
            </w:pPr>
            <w:r>
              <w:rPr>
                <w:rFonts w:ascii="Times New Roman" w:cs="Times New Roman" w:eastAsia="Times New Roman" w:hAnsi="Times New Roman"/>
                <w:sz w:val="12"/>
                <w:szCs w:val="12"/>
                <w:color w:val="auto"/>
                <w:w w:val="95"/>
              </w:rPr>
              <w:t>99.2</w:t>
            </w:r>
          </w:p>
        </w:tc>
        <w:tc>
          <w:tcPr>
            <w:tcW w:w="380" w:type="dxa"/>
            <w:vAlign w:val="bottom"/>
          </w:tcPr>
          <w:p>
            <w:pPr>
              <w:spacing w:after="0"/>
              <w:rPr>
                <w:sz w:val="19"/>
                <w:szCs w:val="19"/>
                <w:color w:val="auto"/>
              </w:rPr>
            </w:pP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Earnings Presentation, dated October 29, 2024</w:t>
            </w:r>
          </w:p>
        </w:tc>
        <w:tc>
          <w:tcPr>
            <w:tcW w:w="776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9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7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5"/>
        </w:trPr>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940" w:type="dxa"/>
            <w:vAlign w:val="bottom"/>
            <w:gridSpan w:val="2"/>
          </w:tcPr>
          <w:p>
            <w:pPr>
              <w:ind w:left="176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October 29, 2024</w:t>
            </w:r>
          </w:p>
        </w:tc>
        <w:tc>
          <w:tcPr>
            <w:tcW w:w="260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60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Name: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60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80"/>
          </w:cols>
          <w:pgMar w:left="300" w:top="665"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81915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Third Quarter 2024 Financial Results and Business Highlights</w:t>
      </w:r>
    </w:p>
    <w:p>
      <w:pPr>
        <w:spacing w:after="0" w:line="113" w:lineRule="exact"/>
        <w:rPr>
          <w:sz w:val="20"/>
          <w:szCs w:val="20"/>
          <w:color w:val="auto"/>
        </w:rPr>
      </w:pPr>
    </w:p>
    <w:p>
      <w:pPr>
        <w:jc w:val="center"/>
        <w:ind w:right="20"/>
        <w:spacing w:after="0" w:line="378" w:lineRule="auto"/>
        <w:rPr>
          <w:sz w:val="20"/>
          <w:szCs w:val="20"/>
          <w:color w:val="auto"/>
        </w:rPr>
      </w:pPr>
      <w:r>
        <w:rPr>
          <w:rFonts w:ascii="Times New Roman" w:cs="Times New Roman" w:eastAsia="Times New Roman" w:hAnsi="Times New Roman"/>
          <w:sz w:val="12"/>
          <w:szCs w:val="12"/>
          <w:b w:val="1"/>
          <w:bCs w:val="1"/>
          <w:color w:val="auto"/>
        </w:rPr>
        <w:t>Achieved profitability milestone with third quarter adjusted net income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$1.2M Reported third quarter 2024 revenues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b w:val="1"/>
          <w:bCs w:val="1"/>
          <w:color w:val="auto"/>
        </w:rPr>
        <w:t xml:space="preserve"> of $76.6M with 77% year-over-year growth of exome and genome test revenue Expanded third quarter 2024 adjusted gross margins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b w:val="1"/>
          <w:bCs w:val="1"/>
          <w:color w:val="auto"/>
        </w:rPr>
        <w:t xml:space="preserve"> to 64% Raising guidance to deliver between $284M and $290M in FY 2024 revenue GeneDx to host conference call today at 8:30 a.m. ET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STAMFORD, Conn., October 29, 2024 — </w:t>
      </w:r>
      <w:r>
        <w:rPr>
          <w:rFonts w:ascii="Times New Roman" w:cs="Times New Roman" w:eastAsia="Times New Roman" w:hAnsi="Times New Roman"/>
          <w:sz w:val="12"/>
          <w:szCs w:val="12"/>
          <w:color w:val="auto"/>
        </w:rPr>
        <w:t>GeneDx Holdings Corp. (Nasdaq: WGS), a leader in delivering improved health outcomes through genomic insights, today reported its financial results for the third quarter of 2024.</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delivered 77% growth on exome and genome revenues in Q3 and have reached the point of profitability, a significant milestone in our company’s history,” said Katherine Stueland, CEO of GeneDx. “Our advancements in genomics are redefining the standard of care, setting new industry standards for clinical utility and economic efficiency, and shortening the time to a diagnosis for thousands of families. With an ever-growing number of families eligible for our services, our growth outlook is healthy and sustainable. We continue to bring life-changing impact to the pediatric outpatient and NICU settings, and we are now establishing the foundation for clinically-actionable, responsible, and scalable genomic newborn screening.”</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“Once again, our quarterly performance exceeded our top and bottom-line expectations. The third quarter marked our 10th consecutive quarter of cash flow improvement and we achieved positive adjusted net income ahead of our prior target,” said Kevin Feeley, CFO of GeneDx. “With our industry-leading technology and a massive market opportunity ahead, GeneDx will continue to couple financial discipline with strategic investment to accelerate the business and provide answers for even more families in need.”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2024 Financial Results (Unaudited)</w:t>
      </w:r>
      <w:r>
        <w:rPr>
          <w:rFonts w:ascii="Times New Roman" w:cs="Times New Roman" w:eastAsia="Times New Roman" w:hAnsi="Times New Roman"/>
          <w:sz w:val="15"/>
          <w:szCs w:val="15"/>
          <w:b w:val="1"/>
          <w:bCs w:val="1"/>
          <w:color w:val="auto"/>
          <w:vertAlign w:val="superscript"/>
        </w:rPr>
        <w:t>1,2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8" w:lineRule="exact"/>
        <w:rPr>
          <w:sz w:val="20"/>
          <w:szCs w:val="20"/>
          <w:color w:val="auto"/>
        </w:rPr>
      </w:pPr>
    </w:p>
    <w:p>
      <w:pPr>
        <w:ind w:left="200" w:hanging="100"/>
        <w:spacing w:after="0"/>
        <w:tabs>
          <w:tab w:leader="none" w:pos="2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from continuing operations grew to $76.6 million, an increase of 52% year-over-year and 11% sequentially.</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company revenues were $76.9 million.</w:t>
      </w:r>
    </w:p>
    <w:p>
      <w:pPr>
        <w:spacing w:after="0" w:line="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$60.0 million, an increase of 77% year-over-year and 18% sequentially.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results volume grew to 19,262, an increase of 46% year-over-year and 7% sequentially.</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represented 33% of all test results, up from 23% in the third quarter of 2023 and up from 31% in the second quarter of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8" w:lineRule="exact"/>
        <w:rPr>
          <w:sz w:val="20"/>
          <w:szCs w:val="20"/>
          <w:color w:val="auto"/>
        </w:rPr>
      </w:pPr>
    </w:p>
    <w:p>
      <w:pPr>
        <w:ind w:left="200" w:hanging="10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from continuing operations expanded to 64%, up from 48% in the third quarter of 2023 and up from 62% in the second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company gross margin was 62%.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8" w:lineRule="exact"/>
        <w:rPr>
          <w:sz w:val="20"/>
          <w:szCs w:val="20"/>
          <w:color w:val="auto"/>
        </w:rPr>
      </w:pPr>
    </w:p>
    <w:p>
      <w:pPr>
        <w:ind w:left="200" w:hanging="100"/>
        <w:spacing w:after="0"/>
        <w:tabs>
          <w:tab w:leader="none" w:pos="2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$46.6 million, a decrease of 2% year-over-year and an increase of 4% sequentially.</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$54.8 million.</w:t>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(Loss)</w:t>
      </w:r>
    </w:p>
    <w:p>
      <w:pPr>
        <w:spacing w:after="0" w:line="118" w:lineRule="exact"/>
        <w:rPr>
          <w:sz w:val="20"/>
          <w:szCs w:val="20"/>
          <w:color w:val="auto"/>
        </w:rPr>
      </w:pPr>
    </w:p>
    <w:p>
      <w:pPr>
        <w:ind w:left="200" w:hanging="100"/>
        <w:spacing w:after="0"/>
        <w:tabs>
          <w:tab w:leader="none" w:pos="2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improved to $1.2 million, an improvement of 106% year-over-year and 143% sequentially.</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$8.3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burn and cash position</w:t>
      </w:r>
    </w:p>
    <w:p>
      <w:pPr>
        <w:spacing w:after="0" w:line="118" w:lineRule="exact"/>
        <w:rPr>
          <w:sz w:val="20"/>
          <w:szCs w:val="20"/>
          <w:color w:val="auto"/>
        </w:rPr>
      </w:pPr>
    </w:p>
    <w:p>
      <w:pPr>
        <w:ind w:left="200" w:hanging="100"/>
        <w:spacing w:after="0"/>
        <w:tabs>
          <w:tab w:leader="none" w:pos="2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net use of cash was $5.0 million in the third quarter of 2024, an improvement of 88% year-over-year and 17% sequentially.</w:t>
      </w:r>
    </w:p>
    <w:p>
      <w:pPr>
        <w:spacing w:after="0" w:line="16" w:lineRule="exact"/>
        <w:rPr>
          <w:rFonts w:ascii="Times New Roman" w:cs="Times New Roman" w:eastAsia="Times New Roman" w:hAnsi="Times New Roman"/>
          <w:sz w:val="12"/>
          <w:szCs w:val="12"/>
          <w:color w:val="auto"/>
        </w:rPr>
      </w:pPr>
    </w:p>
    <w:p>
      <w:pPr>
        <w:ind w:left="200" w:right="20" w:hanging="100"/>
        <w:spacing w:after="0" w:line="260" w:lineRule="auto"/>
        <w:tabs>
          <w:tab w:leader="none" w:pos="19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$117.4 million as of September 30, 2024, inclusive of proceeds of $14.6 million, net of fees, from the issuance of 418,653 shares of Class A common stock in connection with sales pursuant to our “at-the-market” offering during the third quarter of 2024.</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GeneDx Full Year 2024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GeneDx has updated full year 2024 guidance. Management expects GeneDx to:</w:t>
      </w:r>
    </w:p>
    <w:p>
      <w:pPr>
        <w:spacing w:after="0" w:line="98" w:lineRule="exact"/>
        <w:rPr>
          <w:sz w:val="20"/>
          <w:szCs w:val="20"/>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Drive full year 2024 revenues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color w:val="auto"/>
        </w:rPr>
        <w:t xml:space="preserve"> between $284 and $290 million (previous guidance was between $255 and $265 million);</w:t>
      </w:r>
    </w:p>
    <w:p>
      <w:pPr>
        <w:ind w:left="200" w:hanging="100"/>
        <w:spacing w:after="0" w:line="200" w:lineRule="auto"/>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 full year 2024 adjusted gross margin</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color w:val="auto"/>
        </w:rPr>
        <w:t xml:space="preserve"> profile to at least 62% (previous guidance was at least 60%);</w:t>
      </w: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between $60 to $65 million of net cash for full year 2024 (previous guidance was between $65 to $70 million)</w:t>
      </w:r>
    </w:p>
    <w:p>
      <w:pPr>
        <w:spacing w:after="0" w:line="98" w:lineRule="exact"/>
        <w:rPr>
          <w:sz w:val="20"/>
          <w:szCs w:val="20"/>
          <w:color w:val="auto"/>
        </w:rPr>
      </w:pPr>
    </w:p>
    <w:p>
      <w:pPr>
        <w:ind w:left="200" w:hanging="100"/>
        <w:spacing w:after="0"/>
        <w:tabs>
          <w:tab w:leader="none" w:pos="2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gross margin, adjusted total operating expenses and adjusted net income (loss) are non-GAAP financial measures. See appendix for a reconciliation of GAAP to Non-GAAP figures presented.</w:t>
      </w:r>
    </w:p>
    <w:p>
      <w:pPr>
        <w:spacing w:after="0" w:line="8" w:lineRule="exact"/>
        <w:rPr>
          <w:rFonts w:ascii="Times New Roman" w:cs="Times New Roman" w:eastAsia="Times New Roman" w:hAnsi="Times New Roman"/>
          <w:sz w:val="10"/>
          <w:szCs w:val="10"/>
          <w:color w:val="auto"/>
        </w:rPr>
      </w:pPr>
    </w:p>
    <w:p>
      <w:pPr>
        <w:ind w:left="200" w:hanging="100"/>
        <w:spacing w:after="0" w:line="248" w:lineRule="auto"/>
        <w:tabs>
          <w:tab w:leader="none" w:pos="2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Revenue and gross margin results from continuing operations, which we believe are representative of our ongoing business strategy exclude any revenue and cost of goods sold of the exited Legacy Sema4 diagnostic testing business for the current and all comparative periods. Total company results are labeled accordingly and include GeneDx’s continuing operations and the financial impacts of exited Legacy Sema4 business activities for the current and all comparative periods.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2024 Business Highlights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Driving sustainable growth and expanding access for more patient populations</w:t>
      </w:r>
    </w:p>
    <w:p>
      <w:pPr>
        <w:spacing w:after="0" w:line="116" w:lineRule="exact"/>
        <w:rPr>
          <w:sz w:val="20"/>
          <w:szCs w:val="20"/>
          <w:color w:val="auto"/>
        </w:rPr>
      </w:pPr>
    </w:p>
    <w:p>
      <w:pPr>
        <w:ind w:left="200" w:hanging="100"/>
        <w:spacing w:after="0"/>
        <w:tabs>
          <w:tab w:leader="none" w:pos="2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over 700,000 clinical exomes and genomes sequenced, with over 100,000 completed in the last six months alone</w:t>
      </w:r>
    </w:p>
    <w:p>
      <w:pPr>
        <w:spacing w:after="0" w:line="16" w:lineRule="exact"/>
        <w:rPr>
          <w:rFonts w:ascii="Times New Roman" w:cs="Times New Roman" w:eastAsia="Times New Roman" w:hAnsi="Times New Roman"/>
          <w:sz w:val="12"/>
          <w:szCs w:val="12"/>
          <w:color w:val="auto"/>
        </w:rPr>
      </w:pPr>
    </w:p>
    <w:p>
      <w:pPr>
        <w:ind w:left="200" w:hanging="100"/>
        <w:spacing w:after="0" w:line="25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Accelerated adoption of whole exome sequencing (WES) and whole genome sequencing (WGS) coverage by state Medicaid programs, bringing total states covering exome or genome sequencing in the pediatric outpatient setting to 30</w:t>
      </w:r>
    </w:p>
    <w:p>
      <w:pPr>
        <w:ind w:left="640" w:hanging="108"/>
        <w:spacing w:after="0"/>
        <w:tabs>
          <w:tab w:leader="none" w:pos="64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Indiana - WES and WGS (July 2024)</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Connecticut - WGS (July 2024)</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Texas - WGS (September 2024)</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Florida - WGS (October 2024)</w:t>
      </w:r>
    </w:p>
    <w:p>
      <w:pPr>
        <w:spacing w:after="0" w:line="6" w:lineRule="exact"/>
        <w:rPr>
          <w:rFonts w:ascii="Times New Roman" w:cs="Times New Roman" w:eastAsia="Times New Roman" w:hAnsi="Times New Roman"/>
          <w:sz w:val="12"/>
          <w:szCs w:val="12"/>
          <w:color w:val="auto"/>
        </w:rPr>
      </w:pPr>
    </w:p>
    <w:p>
      <w:pPr>
        <w:ind w:left="200" w:hanging="100"/>
        <w:spacing w:after="0" w:line="25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Centers for Medicare &amp; Medicaid Services issued “historic guidance” to state Medicaid agencies, underscoring their obligation to provide all medically necessary services under the Early and Periodic Screening, Diagnostic, and Treatment (EPSDT) benefit</w:t>
      </w:r>
    </w:p>
    <w:p>
      <w:pPr>
        <w:ind w:left="640" w:hanging="108"/>
        <w:spacing w:after="0" w:line="250" w:lineRule="auto"/>
        <w:tabs>
          <w:tab w:leader="none" w:pos="637"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EPSDT, every Medicaid-enrolled child under 21 is entitled to services that meet their unique medical needs. This includes diagnostics like exome and genome sequencing - some of the most powerful tools we have to unlock appropriate care, treatments, and crucial support systems for these children.</w:t>
      </w:r>
    </w:p>
    <w:p>
      <w:pPr>
        <w:ind w:left="200" w:hanging="100"/>
        <w:spacing w:after="0"/>
        <w:tabs>
          <w:tab w:leader="none" w:pos="2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the Epilepsy Partnership Program, a first-of-its-kind patient access program that is increasing access to exome and genome sequencing for pediatric epilepsy patients, by including an additional biopharma partner</w:t>
      </w:r>
    </w:p>
    <w:p>
      <w:pPr>
        <w:spacing w:after="0" w:line="6" w:lineRule="exact"/>
        <w:rPr>
          <w:rFonts w:ascii="Times New Roman" w:cs="Times New Roman" w:eastAsia="Times New Roman" w:hAnsi="Times New Roman"/>
          <w:sz w:val="12"/>
          <w:szCs w:val="12"/>
          <w:color w:val="auto"/>
        </w:rPr>
      </w:pPr>
    </w:p>
    <w:p>
      <w:pPr>
        <w:ind w:left="200" w:hanging="100"/>
        <w:spacing w:after="0" w:line="25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Collaborated with researchers from Wellcome Sanger Institute to release data from the largest and most diverse study to date, with data from more than 30,000 patients, on how recessive genetic changes contribute to developmental disorders in children</w:t>
      </w:r>
    </w:p>
    <w:p>
      <w:pPr>
        <w:ind w:left="640" w:hanging="108"/>
        <w:spacing w:after="0"/>
        <w:tabs>
          <w:tab w:leader="none" w:pos="64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23, 2024, findings from the study were published in Nature Genetics, showcasing that most new recessive developmental disorder diagnoses lie within known genes.</w:t>
      </w:r>
    </w:p>
    <w:p>
      <w:pPr>
        <w:spacing w:after="0" w:line="6" w:lineRule="exact"/>
        <w:rPr>
          <w:rFonts w:ascii="Times New Roman" w:cs="Times New Roman" w:eastAsia="Times New Roman" w:hAnsi="Times New Roman"/>
          <w:sz w:val="12"/>
          <w:szCs w:val="12"/>
          <w:color w:val="auto"/>
        </w:rPr>
      </w:pPr>
    </w:p>
    <w:p>
      <w:pPr>
        <w:ind w:left="640" w:right="20" w:hanging="108"/>
        <w:spacing w:after="0" w:line="260" w:lineRule="auto"/>
        <w:tabs>
          <w:tab w:leader="none" w:pos="655"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publication is further evidence of our commitment to the important role of diversity in genomics and belief that serving a more diverse patient population drives more definitive diagnoses for patients of all backgrounds.</w:t>
      </w:r>
    </w:p>
    <w:p>
      <w:pPr>
        <w:sectPr>
          <w:pgSz w:w="11900" w:h="16838" w:orient="portrait"/>
          <w:cols w:equalWidth="0" w:num="1">
            <w:col w:w="11300"/>
          </w:cols>
          <w:pgMar w:left="300" w:top="66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i w:val="1"/>
          <w:iCs w:val="1"/>
          <w:color w:val="auto"/>
        </w:rPr>
        <w:t>Demonstrating genome leadership in the neonatal inventive care unit (NICU)</w:t>
      </w:r>
    </w:p>
    <w:p>
      <w:pPr>
        <w:spacing w:after="0" w:line="116" w:lineRule="exact"/>
        <w:rPr>
          <w:sz w:val="20"/>
          <w:szCs w:val="20"/>
          <w:color w:val="auto"/>
        </w:rPr>
      </w:pPr>
    </w:p>
    <w:p>
      <w:pPr>
        <w:ind w:left="200" w:hanging="100"/>
        <w:spacing w:after="0"/>
        <w:tabs>
          <w:tab w:leader="none" w:pos="200" w:val="left"/>
        </w:tabs>
        <w:numPr>
          <w:ilvl w:val="0"/>
          <w:numId w:val="1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Launched improvements to our rapid whole genome sequencing product, including cheek swabs for more accessible sample collection, and shortened turnaround times to as soon as five days</w:t>
      </w:r>
    </w:p>
    <w:p>
      <w:pPr>
        <w:spacing w:after="0" w:line="16" w:lineRule="exact"/>
        <w:rPr>
          <w:rFonts w:ascii="Times New Roman" w:cs="Times New Roman" w:eastAsia="Times New Roman" w:hAnsi="Times New Roman"/>
          <w:sz w:val="12"/>
          <w:szCs w:val="12"/>
          <w:i w:val="1"/>
          <w:iCs w:val="1"/>
          <w:color w:val="auto"/>
        </w:rPr>
      </w:pPr>
    </w:p>
    <w:p>
      <w:pPr>
        <w:ind w:left="200" w:hanging="100"/>
        <w:spacing w:after="0" w:line="260" w:lineRule="auto"/>
        <w:tabs>
          <w:tab w:leader="none" w:pos="19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Progressed initiative to launch Epic Aura in the first half of 2025, which will seamlessly integrate GeneDx exome and genome testing into the ordering and resulting workflows of many of the largest health systems across the country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Leaders in genomic newborn screening (gNBS)</w:t>
      </w:r>
    </w:p>
    <w:p>
      <w:pPr>
        <w:spacing w:after="0" w:line="116" w:lineRule="exact"/>
        <w:rPr>
          <w:sz w:val="20"/>
          <w:szCs w:val="20"/>
          <w:color w:val="auto"/>
        </w:rPr>
      </w:pPr>
    </w:p>
    <w:p>
      <w:pPr>
        <w:ind w:left="200" w:hanging="100"/>
        <w:spacing w:after="0" w:line="259" w:lineRule="auto"/>
        <w:tabs>
          <w:tab w:leader="none" w:pos="19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Conducted more gNBS than any other lab in the United States and successfully executed multi-site implementation strategies across diverse patient populations, positioning GeneDx as the clear leader set to revolutionize the standard approach to NBS</w:t>
      </w:r>
    </w:p>
    <w:p>
      <w:pPr>
        <w:spacing w:after="0" w:line="1" w:lineRule="exact"/>
        <w:rPr>
          <w:rFonts w:ascii="Times New Roman" w:cs="Times New Roman" w:eastAsia="Times New Roman" w:hAnsi="Times New Roman"/>
          <w:sz w:val="12"/>
          <w:szCs w:val="12"/>
          <w:color w:val="auto"/>
        </w:rPr>
      </w:pPr>
    </w:p>
    <w:p>
      <w:pPr>
        <w:ind w:left="640" w:hanging="108"/>
        <w:spacing w:after="0" w:line="250" w:lineRule="auto"/>
        <w:tabs>
          <w:tab w:leader="none" w:pos="637"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8, 2024, data was presented at the International Conference on Newborn Sequencing (ICoNS) showcasing that GeneDx has now provided genomic newborn screenings for more than 14,000 infants through its participation in the groundbreaking GUARDIAN and Early Check research studies. Today, that number exceeds 15,000.</w:t>
      </w:r>
    </w:p>
    <w:p>
      <w:pPr>
        <w:ind w:left="200" w:hanging="100"/>
        <w:spacing w:after="0"/>
        <w:tabs>
          <w:tab w:leader="none" w:pos="2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Revealed limitations of traditional newborn screening methods and showcased the promise of advanced genomic technology to deliver equitable health care for all children</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24, 2024, findings from the GUARDIAN study were published in JAMA (Journal of the American Medical Association), a leading peer-reviewed medical journal.</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GUARDIAN goes beyond the typical newborn screening panel of about 60 conditions to now over 450-early onset genetic conditions with established effective interventions.</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the initial 11-month period, 4,000 newborns were enrolled and 3.7% of newborns had positive screenings.</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referencing our internal database, one of the largest of its kind enriched for rare disease, we find that the average age of diagnosis for children with these same conditions ranges from 7-11 years.</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newborns with true positive findings, 92% had a confirmed diagnosis for a condition not included in traditional NBS.</w:t>
      </w:r>
    </w:p>
    <w:p>
      <w:pPr>
        <w:spacing w:after="0" w:line="6" w:lineRule="exact"/>
        <w:rPr>
          <w:rFonts w:ascii="Times New Roman" w:cs="Times New Roman" w:eastAsia="Times New Roman" w:hAnsi="Times New Roman"/>
          <w:sz w:val="12"/>
          <w:szCs w:val="12"/>
          <w:color w:val="auto"/>
        </w:rPr>
      </w:pPr>
    </w:p>
    <w:p>
      <w:pPr>
        <w:ind w:left="640" w:hanging="108"/>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study highlights the wide acceptance of more advanced and modernized NBS, with 72% of families approached for the study consenting to participate.</w:t>
      </w:r>
    </w:p>
    <w:p>
      <w:pPr>
        <w:sectPr>
          <w:pgSz w:w="11900" w:h="16838" w:orient="portrait"/>
          <w:cols w:equalWidth="0" w:num="1">
            <w:col w:w="11300"/>
          </w:cols>
          <w:pgMar w:left="300" w:top="66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October 29, 2024, at 8:30 a.m.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federal securities laws, including statements regarding our future performance and our market opportunity, including our expected full year 2024 reported revenue guidance, our expectations regarding our adjusted gross margin profile in 2024, and our use of net cash in 2024.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2023, filed with the U.S. Securities and Exchange Commission (the “SEC”) on February 23, 2024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It all starts with a single test. For more information, please visit genedx.com and connect with us on LinkedIn, X, Facebook, and Instagram.</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665"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Volume and revenue in the table below include the combination of the Legacy GeneDx diagnostic business with the data and information business of Legacy Sema4.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Volume &amp; Revenue</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4"/>
              </w:rPr>
              <w:t>3Q24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2Q24</w:t>
            </w:r>
          </w:p>
        </w:tc>
        <w:tc>
          <w:tcPr>
            <w:tcW w:w="280" w:type="dxa"/>
            <w:vAlign w:val="bottom"/>
          </w:tcPr>
          <w:p>
            <w:pPr>
              <w:spacing w:after="0"/>
              <w:rPr>
                <w:sz w:val="24"/>
                <w:szCs w:val="24"/>
                <w:color w:val="auto"/>
              </w:rPr>
            </w:pPr>
          </w:p>
        </w:tc>
        <w:tc>
          <w:tcPr>
            <w:tcW w:w="1120" w:type="dxa"/>
            <w:vAlign w:val="bottom"/>
          </w:tcPr>
          <w:p>
            <w:pPr>
              <w:jc w:val="center"/>
              <w:ind w:right="221"/>
              <w:spacing w:after="0"/>
              <w:rPr>
                <w:sz w:val="20"/>
                <w:szCs w:val="20"/>
                <w:color w:val="auto"/>
              </w:rPr>
            </w:pPr>
            <w:r>
              <w:rPr>
                <w:rFonts w:ascii="Times New Roman" w:cs="Times New Roman" w:eastAsia="Times New Roman" w:hAnsi="Times New Roman"/>
                <w:sz w:val="12"/>
                <w:szCs w:val="12"/>
                <w:b w:val="1"/>
                <w:bCs w:val="1"/>
                <w:color w:val="auto"/>
              </w:rPr>
              <w:t>1Q24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4Q23</w:t>
            </w:r>
          </w:p>
        </w:tc>
        <w:tc>
          <w:tcPr>
            <w:tcW w:w="300" w:type="dxa"/>
            <w:vAlign w:val="bottom"/>
          </w:tcPr>
          <w:p>
            <w:pPr>
              <w:spacing w:after="0"/>
              <w:rPr>
                <w:sz w:val="24"/>
                <w:szCs w:val="24"/>
                <w:color w:val="auto"/>
              </w:rPr>
            </w:pPr>
          </w:p>
        </w:tc>
        <w:tc>
          <w:tcPr>
            <w:tcW w:w="1120" w:type="dxa"/>
            <w:vAlign w:val="bottom"/>
          </w:tcPr>
          <w:p>
            <w:pPr>
              <w:jc w:val="center"/>
              <w:ind w:right="241"/>
              <w:spacing w:after="0"/>
              <w:rPr>
                <w:sz w:val="20"/>
                <w:szCs w:val="20"/>
                <w:color w:val="auto"/>
              </w:rPr>
            </w:pPr>
            <w:r>
              <w:rPr>
                <w:rFonts w:ascii="Times New Roman" w:cs="Times New Roman" w:eastAsia="Times New Roman" w:hAnsi="Times New Roman"/>
                <w:sz w:val="12"/>
                <w:szCs w:val="12"/>
                <w:b w:val="1"/>
                <w:bCs w:val="1"/>
                <w:color w:val="auto"/>
                <w:w w:val="94"/>
              </w:rPr>
              <w:t>3Q23</w:t>
            </w:r>
          </w:p>
        </w:tc>
        <w:tc>
          <w:tcPr>
            <w:tcW w:w="0" w:type="dxa"/>
            <w:vAlign w:val="bottom"/>
          </w:tcPr>
          <w:p>
            <w:pPr>
              <w:spacing w:after="0"/>
              <w:rPr>
                <w:sz w:val="1"/>
                <w:szCs w:val="1"/>
                <w:color w:val="auto"/>
              </w:rPr>
            </w:pPr>
          </w:p>
        </w:tc>
      </w:tr>
      <w:tr>
        <w:trPr>
          <w:trHeight w:val="169"/>
        </w:trPr>
        <w:tc>
          <w:tcPr>
            <w:tcW w:w="2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Volumes</w:t>
            </w:r>
          </w:p>
        </w:tc>
        <w:tc>
          <w:tcPr>
            <w:tcW w:w="7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18,017</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15,663</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13,216</w:t>
            </w:r>
          </w:p>
        </w:tc>
        <w:tc>
          <w:tcPr>
            <w:tcW w:w="0" w:type="dxa"/>
            <w:vAlign w:val="bottom"/>
          </w:tcPr>
          <w:p>
            <w:pPr>
              <w:spacing w:after="0"/>
              <w:rPr>
                <w:sz w:val="1"/>
                <w:szCs w:val="1"/>
                <w:color w:val="auto"/>
              </w:rPr>
            </w:pPr>
          </w:p>
        </w:tc>
      </w:tr>
      <w:tr>
        <w:trPr>
          <w:trHeight w:val="18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5,482</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8,240</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8,556</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35,095</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34,204</w:t>
            </w: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31,763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33,692</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35,861</w:t>
            </w:r>
          </w:p>
        </w:tc>
        <w:tc>
          <w:tcPr>
            <w:tcW w:w="0" w:type="dxa"/>
            <w:vAlign w:val="bottom"/>
          </w:tcPr>
          <w:p>
            <w:pPr>
              <w:spacing w:after="0"/>
              <w:rPr>
                <w:sz w:val="1"/>
                <w:szCs w:val="1"/>
                <w:color w:val="auto"/>
              </w:rPr>
            </w:pPr>
          </w:p>
        </w:tc>
      </w:tr>
      <w:tr>
        <w:trPr>
          <w:trHeight w:val="194"/>
        </w:trPr>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59,029</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57,703</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55,223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57,595</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57,633</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20" w:type="dxa"/>
            <w:vAlign w:val="bottom"/>
          </w:tcPr>
          <w:p>
            <w:pPr>
              <w:spacing w:after="0"/>
              <w:rPr>
                <w:sz w:val="14"/>
                <w:szCs w:val="14"/>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50.7</w:t>
            </w:r>
          </w:p>
        </w:tc>
        <w:tc>
          <w:tcPr>
            <w:tcW w:w="4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39.2</w:t>
            </w:r>
          </w:p>
        </w:tc>
        <w:tc>
          <w:tcPr>
            <w:tcW w:w="6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34.0</w:t>
            </w:r>
          </w:p>
        </w:tc>
        <w:tc>
          <w:tcPr>
            <w:tcW w:w="0" w:type="dxa"/>
            <w:vAlign w:val="bottom"/>
          </w:tcPr>
          <w:p>
            <w:pPr>
              <w:spacing w:after="0"/>
              <w:rPr>
                <w:sz w:val="1"/>
                <w:szCs w:val="1"/>
                <w:color w:val="auto"/>
              </w:rPr>
            </w:pPr>
          </w:p>
        </w:tc>
      </w:tr>
      <w:tr>
        <w:trPr>
          <w:trHeight w:val="18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3.8</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13.3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80"/>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w:t>
            </w: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78"/>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w:t>
            </w:r>
          </w:p>
        </w:tc>
        <w:tc>
          <w:tcPr>
            <w:tcW w:w="720" w:type="dxa"/>
            <w:vAlign w:val="bottom"/>
          </w:tcPr>
          <w:p>
            <w:pPr>
              <w:spacing w:after="0"/>
              <w:rPr>
                <w:sz w:val="15"/>
                <w:szCs w:val="15"/>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76.6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68.9</w:t>
            </w:r>
          </w:p>
        </w:tc>
        <w:tc>
          <w:tcPr>
            <w:tcW w:w="40" w:type="dxa"/>
            <w:vAlign w:val="bottom"/>
          </w:tcPr>
          <w:p>
            <w:pPr>
              <w:spacing w:after="0"/>
              <w:rPr>
                <w:sz w:val="15"/>
                <w:szCs w:val="15"/>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58.1</w:t>
            </w:r>
          </w:p>
        </w:tc>
        <w:tc>
          <w:tcPr>
            <w:tcW w:w="6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20"/>
        </w:trPr>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120" w:type="dxa"/>
            <w:vAlign w:val="bottom"/>
            <w:gridSpan w:val="9"/>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 2024</w:t>
            </w: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 June 30, 2024</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GeneDx</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Legacy Sema4</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80" w:type="dxa"/>
            <w:vAlign w:val="bottom"/>
          </w:tcPr>
          <w:p>
            <w:pPr>
              <w:spacing w:after="0"/>
              <w:rPr>
                <w:sz w:val="10"/>
                <w:szCs w:val="10"/>
                <w:color w:val="auto"/>
              </w:rPr>
            </w:pPr>
          </w:p>
        </w:tc>
        <w:tc>
          <w:tcPr>
            <w:tcW w:w="112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GeneDx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Legacy Sema4</w:t>
            </w:r>
          </w:p>
        </w:tc>
        <w:tc>
          <w:tcPr>
            <w:tcW w:w="300" w:type="dxa"/>
            <w:vAlign w:val="bottom"/>
          </w:tcPr>
          <w:p>
            <w:pPr>
              <w:spacing w:after="0"/>
              <w:rPr>
                <w:sz w:val="10"/>
                <w:szCs w:val="10"/>
                <w:color w:val="auto"/>
              </w:rPr>
            </w:pPr>
          </w:p>
        </w:tc>
        <w:tc>
          <w:tcPr>
            <w:tcW w:w="112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
        </w:trPr>
        <w:tc>
          <w:tcPr>
            <w:tcW w:w="2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72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2"/>
                <w:szCs w:val="12"/>
                <w:color w:val="auto"/>
                <w:w w:val="97"/>
              </w:rPr>
              <w:t>$76,622</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2"/>
                <w:szCs w:val="12"/>
                <w:color w:val="auto"/>
                <w:w w:val="99"/>
              </w:rPr>
              <w:t>$252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tcBorders>
              <w:right w:val="single" w:sz="8" w:color="CCEEFF"/>
            </w:tcBorders>
            <w:shd w:val="clear" w:color="auto" w:fill="CCEEFF"/>
          </w:tcPr>
          <w:p>
            <w:pPr>
              <w:jc w:val="center"/>
              <w:ind w:right="281"/>
              <w:spacing w:after="0"/>
              <w:rPr>
                <w:sz w:val="20"/>
                <w:szCs w:val="20"/>
                <w:color w:val="auto"/>
              </w:rPr>
            </w:pPr>
            <w:r>
              <w:rPr>
                <w:rFonts w:ascii="Times New Roman" w:cs="Times New Roman" w:eastAsia="Times New Roman" w:hAnsi="Times New Roman"/>
                <w:sz w:val="12"/>
                <w:szCs w:val="12"/>
                <w:color w:val="auto"/>
                <w:w w:val="97"/>
              </w:rPr>
              <w:t>$76,874</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2"/>
                <w:szCs w:val="12"/>
                <w:color w:val="auto"/>
              </w:rPr>
              <w:t>$68,924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2"/>
                <w:szCs w:val="12"/>
                <w:color w:val="auto"/>
                <w:w w:val="96"/>
              </w:rPr>
              <w:t>$1,590</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41"/>
              <w:spacing w:after="0"/>
              <w:rPr>
                <w:sz w:val="20"/>
                <w:szCs w:val="20"/>
                <w:color w:val="auto"/>
              </w:rPr>
            </w:pPr>
            <w:r>
              <w:rPr>
                <w:rFonts w:ascii="Times New Roman" w:cs="Times New Roman" w:eastAsia="Times New Roman" w:hAnsi="Times New Roman"/>
                <w:sz w:val="12"/>
                <w:szCs w:val="12"/>
                <w:color w:val="auto"/>
                <w:w w:val="97"/>
              </w:rPr>
              <w:t>$70,514</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420" w:type="dxa"/>
            <w:vAlign w:val="bottom"/>
            <w:tcBorders>
              <w:bottom w:val="single" w:sz="8" w:color="auto"/>
            </w:tcBorders>
            <w:gridSpan w:val="2"/>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color w:val="auto"/>
              </w:rPr>
              <w:t>27,370</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2"/>
                <w:szCs w:val="12"/>
                <w:color w:val="auto"/>
              </w:rPr>
              <w:t>27,370</w:t>
            </w: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2"/>
                <w:szCs w:val="12"/>
                <w:color w:val="auto"/>
                <w:w w:val="96"/>
              </w:rPr>
              <w:t>26,523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145</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2"/>
                <w:szCs w:val="12"/>
                <w:color w:val="auto"/>
              </w:rPr>
              <w:t>26,668</w:t>
            </w:r>
          </w:p>
        </w:tc>
        <w:tc>
          <w:tcPr>
            <w:tcW w:w="0" w:type="dxa"/>
            <w:vAlign w:val="bottom"/>
          </w:tcPr>
          <w:p>
            <w:pPr>
              <w:spacing w:after="0"/>
              <w:rPr>
                <w:sz w:val="1"/>
                <w:szCs w:val="1"/>
                <w:color w:val="auto"/>
              </w:rPr>
            </w:pPr>
          </w:p>
        </w:tc>
      </w:tr>
      <w:tr>
        <w:trPr>
          <w:trHeight w:val="178"/>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w:t>
            </w:r>
          </w:p>
        </w:tc>
        <w:tc>
          <w:tcPr>
            <w:tcW w:w="72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2"/>
                <w:szCs w:val="12"/>
                <w:color w:val="auto"/>
                <w:w w:val="97"/>
              </w:rPr>
              <w:t>$49,252</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2"/>
                <w:szCs w:val="12"/>
                <w:color w:val="auto"/>
                <w:w w:val="99"/>
              </w:rPr>
              <w:t>$252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jc w:val="center"/>
              <w:ind w:right="281"/>
              <w:spacing w:after="0"/>
              <w:rPr>
                <w:sz w:val="20"/>
                <w:szCs w:val="20"/>
                <w:color w:val="auto"/>
              </w:rPr>
            </w:pPr>
            <w:r>
              <w:rPr>
                <w:rFonts w:ascii="Times New Roman" w:cs="Times New Roman" w:eastAsia="Times New Roman" w:hAnsi="Times New Roman"/>
                <w:sz w:val="12"/>
                <w:szCs w:val="12"/>
                <w:color w:val="auto"/>
                <w:w w:val="97"/>
              </w:rPr>
              <w:t>$49,504</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2"/>
                <w:szCs w:val="12"/>
                <w:color w:val="auto"/>
              </w:rPr>
              <w:t>$42,401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2"/>
                <w:szCs w:val="12"/>
                <w:color w:val="auto"/>
                <w:w w:val="96"/>
              </w:rPr>
              <w:t>$1,445</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41"/>
              <w:spacing w:after="0"/>
              <w:rPr>
                <w:sz w:val="20"/>
                <w:szCs w:val="20"/>
                <w:color w:val="auto"/>
              </w:rPr>
            </w:pPr>
            <w:r>
              <w:rPr>
                <w:rFonts w:ascii="Times New Roman" w:cs="Times New Roman" w:eastAsia="Times New Roman" w:hAnsi="Times New Roman"/>
                <w:sz w:val="12"/>
                <w:szCs w:val="12"/>
                <w:color w:val="auto"/>
                <w:w w:val="97"/>
              </w:rPr>
              <w:t>$43,846</w:t>
            </w:r>
          </w:p>
        </w:tc>
        <w:tc>
          <w:tcPr>
            <w:tcW w:w="0" w:type="dxa"/>
            <w:vAlign w:val="bottom"/>
          </w:tcPr>
          <w:p>
            <w:pPr>
              <w:spacing w:after="0"/>
              <w:rPr>
                <w:sz w:val="1"/>
                <w:szCs w:val="1"/>
                <w:color w:val="auto"/>
              </w:rPr>
            </w:pPr>
          </w:p>
        </w:tc>
      </w:tr>
      <w:tr>
        <w:trPr>
          <w:trHeight w:val="162"/>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2"/>
                <w:szCs w:val="12"/>
                <w:color w:val="auto"/>
                <w:w w:val="96"/>
              </w:rPr>
              <w:t>64.3%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281"/>
              <w:spacing w:after="0"/>
              <w:rPr>
                <w:sz w:val="20"/>
                <w:szCs w:val="20"/>
                <w:color w:val="auto"/>
              </w:rPr>
            </w:pPr>
            <w:r>
              <w:rPr>
                <w:rFonts w:ascii="Times New Roman" w:cs="Times New Roman" w:eastAsia="Times New Roman" w:hAnsi="Times New Roman"/>
                <w:sz w:val="12"/>
                <w:szCs w:val="12"/>
                <w:color w:val="auto"/>
                <w:w w:val="96"/>
              </w:rPr>
              <w:t>64.4%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221"/>
              <w:spacing w:after="0"/>
              <w:rPr>
                <w:sz w:val="20"/>
                <w:szCs w:val="20"/>
                <w:color w:val="auto"/>
              </w:rPr>
            </w:pPr>
            <w:r>
              <w:rPr>
                <w:rFonts w:ascii="Times New Roman" w:cs="Times New Roman" w:eastAsia="Times New Roman" w:hAnsi="Times New Roman"/>
                <w:sz w:val="12"/>
                <w:szCs w:val="12"/>
                <w:color w:val="auto"/>
              </w:rPr>
              <w:t>61.5%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auto"/>
              </w:rPr>
              <w:t>90.9%</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auto"/>
                <w:w w:val="96"/>
              </w:rPr>
              <w:t>62.2%</w:t>
            </w:r>
          </w:p>
        </w:tc>
        <w:tc>
          <w:tcPr>
            <w:tcW w:w="0" w:type="dxa"/>
            <w:vAlign w:val="bottom"/>
          </w:tcPr>
          <w:p>
            <w:pPr>
              <w:spacing w:after="0"/>
              <w:rPr>
                <w:sz w:val="1"/>
                <w:szCs w:val="1"/>
                <w:color w:val="auto"/>
              </w:rPr>
            </w:pPr>
          </w:p>
        </w:tc>
      </w:tr>
      <w:tr>
        <w:trPr>
          <w:trHeight w:val="325"/>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gridSpan w:val="9"/>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Three months ended September 30, 2023</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GeneDx</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Legacy Sema4</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7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7"/>
              </w:rPr>
              <w:t>$50,350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2"/>
                <w:szCs w:val="12"/>
                <w:color w:val="auto"/>
                <w:w w:val="96"/>
              </w:rPr>
              <w:t>$2,953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tcBorders>
              <w:right w:val="single" w:sz="8" w:color="CCEEFF"/>
            </w:tcBorders>
            <w:shd w:val="clear" w:color="auto" w:fill="CCEEFF"/>
          </w:tcPr>
          <w:p>
            <w:pPr>
              <w:jc w:val="center"/>
              <w:ind w:right="201"/>
              <w:spacing w:after="0"/>
              <w:rPr>
                <w:sz w:val="20"/>
                <w:szCs w:val="20"/>
                <w:color w:val="auto"/>
              </w:rPr>
            </w:pPr>
            <w:r>
              <w:rPr>
                <w:rFonts w:ascii="Times New Roman" w:cs="Times New Roman" w:eastAsia="Times New Roman" w:hAnsi="Times New Roman"/>
                <w:sz w:val="12"/>
                <w:szCs w:val="12"/>
                <w:color w:val="auto"/>
                <w:w w:val="97"/>
              </w:rPr>
              <w:t>$53,303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color w:val="auto"/>
              </w:rPr>
              <w:t>26,079</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2"/>
                <w:szCs w:val="12"/>
                <w:color w:val="auto"/>
                <w:w w:val="99"/>
              </w:rPr>
              <w:t>225</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2"/>
                <w:szCs w:val="12"/>
                <w:color w:val="auto"/>
              </w:rPr>
              <w:t>26,304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w:t>
            </w:r>
          </w:p>
        </w:tc>
        <w:tc>
          <w:tcPr>
            <w:tcW w:w="7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7"/>
              </w:rPr>
              <w:t>$24,271</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2"/>
                <w:szCs w:val="12"/>
                <w:color w:val="auto"/>
                <w:w w:val="96"/>
              </w:rPr>
              <w:t>$2,728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jc w:val="center"/>
              <w:ind w:right="201"/>
              <w:spacing w:after="0"/>
              <w:rPr>
                <w:sz w:val="20"/>
                <w:szCs w:val="20"/>
                <w:color w:val="auto"/>
              </w:rPr>
            </w:pPr>
            <w:r>
              <w:rPr>
                <w:rFonts w:ascii="Times New Roman" w:cs="Times New Roman" w:eastAsia="Times New Roman" w:hAnsi="Times New Roman"/>
                <w:sz w:val="12"/>
                <w:szCs w:val="12"/>
                <w:color w:val="auto"/>
                <w:w w:val="97"/>
              </w:rPr>
              <w:t>$26,999</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72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96"/>
              </w:rPr>
              <w:t>48.2%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auto"/>
              </w:rPr>
              <w:t>92.4%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auto"/>
                <w:w w:val="96"/>
              </w:rPr>
              <w:t>50.7%</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9" w:right="2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Depreciation and</w:t>
            </w:r>
          </w:p>
        </w:tc>
        <w:tc>
          <w:tcPr>
            <w:tcW w:w="80" w:type="dxa"/>
            <w:vAlign w:val="bottom"/>
          </w:tcPr>
          <w:p>
            <w:pPr>
              <w:spacing w:after="0"/>
              <w:rPr>
                <w:sz w:val="6"/>
                <w:szCs w:val="6"/>
                <w:color w:val="auto"/>
              </w:rPr>
            </w:pPr>
          </w:p>
        </w:tc>
        <w:tc>
          <w:tcPr>
            <w:tcW w:w="1080" w:type="dxa"/>
            <w:vAlign w:val="bottom"/>
            <w:gridSpan w:val="2"/>
          </w:tcPr>
          <w:p>
            <w:pPr>
              <w:ind w:left="220"/>
              <w:spacing w:after="0" w:line="79" w:lineRule="exact"/>
              <w:rPr>
                <w:sz w:val="20"/>
                <w:szCs w:val="20"/>
                <w:color w:val="auto"/>
              </w:rPr>
            </w:pPr>
            <w:r>
              <w:rPr>
                <w:rFonts w:ascii="Times New Roman" w:cs="Times New Roman" w:eastAsia="Times New Roman" w:hAnsi="Times New Roman"/>
                <w:sz w:val="8"/>
                <w:szCs w:val="8"/>
                <w:b w:val="1"/>
                <w:bCs w:val="1"/>
                <w:color w:val="auto"/>
              </w:rPr>
              <w:t>Stock-based</w:t>
            </w:r>
          </w:p>
        </w:tc>
        <w:tc>
          <w:tcPr>
            <w:tcW w:w="100" w:type="dxa"/>
            <w:vAlign w:val="bottom"/>
          </w:tcPr>
          <w:p>
            <w:pPr>
              <w:spacing w:after="0"/>
              <w:rPr>
                <w:sz w:val="6"/>
                <w:szCs w:val="6"/>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Restructuring costs</w:t>
            </w:r>
          </w:p>
        </w:tc>
        <w:tc>
          <w:tcPr>
            <w:tcW w:w="8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tcPr>
          <w:p>
            <w:pPr>
              <w:ind w:left="100"/>
              <w:spacing w:after="0" w:line="79" w:lineRule="exact"/>
              <w:rPr>
                <w:sz w:val="20"/>
                <w:szCs w:val="20"/>
                <w:color w:val="auto"/>
              </w:rPr>
            </w:pPr>
            <w:r>
              <w:rPr>
                <w:rFonts w:ascii="Times New Roman" w:cs="Times New Roman" w:eastAsia="Times New Roman" w:hAnsi="Times New Roman"/>
                <w:sz w:val="8"/>
                <w:szCs w:val="8"/>
                <w:b w:val="1"/>
                <w:bCs w:val="1"/>
                <w:color w:val="auto"/>
              </w:rPr>
              <w:t>Change in FV of</w:t>
            </w:r>
          </w:p>
        </w:tc>
        <w:tc>
          <w:tcPr>
            <w:tcW w:w="100" w:type="dxa"/>
            <w:vAlign w:val="bottom"/>
          </w:tcPr>
          <w:p>
            <w:pPr>
              <w:spacing w:after="0"/>
              <w:rPr>
                <w:sz w:val="6"/>
                <w:szCs w:val="6"/>
                <w:color w:val="auto"/>
              </w:rPr>
            </w:pPr>
          </w:p>
        </w:tc>
        <w:tc>
          <w:tcPr>
            <w:tcW w:w="104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Charges related to</w:t>
            </w:r>
          </w:p>
        </w:tc>
        <w:tc>
          <w:tcPr>
            <w:tcW w:w="240" w:type="dxa"/>
            <w:vAlign w:val="bottom"/>
          </w:tcPr>
          <w:p>
            <w:pPr>
              <w:spacing w:after="0"/>
              <w:rPr>
                <w:sz w:val="6"/>
                <w:szCs w:val="6"/>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17"/>
        </w:trPr>
        <w:tc>
          <w:tcPr>
            <w:tcW w:w="19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compensation expense</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9"/>
              </w:rPr>
              <w:t>financial liabilities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business exit</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77,418</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77,418</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76,874</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76,874</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29,045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27,370</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47,829</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1,495</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49,504</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64.4 %</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11,665</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10,906</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15,351</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26,145</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(2,987)</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20,319</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Impairment loss</w:t>
            </w:r>
          </w:p>
        </w:tc>
        <w:tc>
          <w:tcPr>
            <w:tcW w:w="22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2,154</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0"/>
                <w:szCs w:val="10"/>
                <w:color w:val="auto"/>
                <w:w w:val="88"/>
              </w:rPr>
              <w:t>(1,327)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38"/>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(8,312)</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5,929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0"/>
                <w:szCs w:val="10"/>
                <w:color w:val="auto"/>
                <w:w w:val="88"/>
              </w:rPr>
              <w:t>(1,327)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2023</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Depreciation and</w:t>
            </w:r>
          </w:p>
        </w:tc>
        <w:tc>
          <w:tcPr>
            <w:tcW w:w="80" w:type="dxa"/>
            <w:vAlign w:val="bottom"/>
          </w:tcPr>
          <w:p>
            <w:pPr>
              <w:spacing w:after="0"/>
              <w:rPr>
                <w:sz w:val="6"/>
                <w:szCs w:val="6"/>
                <w:color w:val="auto"/>
              </w:rPr>
            </w:pPr>
          </w:p>
        </w:tc>
        <w:tc>
          <w:tcPr>
            <w:tcW w:w="1080" w:type="dxa"/>
            <w:vAlign w:val="bottom"/>
            <w:gridSpan w:val="2"/>
          </w:tcPr>
          <w:p>
            <w:pPr>
              <w:ind w:left="220"/>
              <w:spacing w:after="0" w:line="79" w:lineRule="exact"/>
              <w:rPr>
                <w:sz w:val="20"/>
                <w:szCs w:val="20"/>
                <w:color w:val="auto"/>
              </w:rPr>
            </w:pPr>
            <w:r>
              <w:rPr>
                <w:rFonts w:ascii="Times New Roman" w:cs="Times New Roman" w:eastAsia="Times New Roman" w:hAnsi="Times New Roman"/>
                <w:sz w:val="8"/>
                <w:szCs w:val="8"/>
                <w:b w:val="1"/>
                <w:bCs w:val="1"/>
                <w:color w:val="auto"/>
              </w:rPr>
              <w:t>Stock-based</w:t>
            </w:r>
          </w:p>
        </w:tc>
        <w:tc>
          <w:tcPr>
            <w:tcW w:w="100" w:type="dxa"/>
            <w:vAlign w:val="bottom"/>
          </w:tcPr>
          <w:p>
            <w:pPr>
              <w:spacing w:after="0"/>
              <w:rPr>
                <w:sz w:val="6"/>
                <w:szCs w:val="6"/>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Restructuring costs</w:t>
            </w:r>
          </w:p>
        </w:tc>
        <w:tc>
          <w:tcPr>
            <w:tcW w:w="8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tcPr>
          <w:p>
            <w:pPr>
              <w:ind w:left="100"/>
              <w:spacing w:after="0" w:line="79" w:lineRule="exact"/>
              <w:rPr>
                <w:sz w:val="20"/>
                <w:szCs w:val="20"/>
                <w:color w:val="auto"/>
              </w:rPr>
            </w:pPr>
            <w:r>
              <w:rPr>
                <w:rFonts w:ascii="Times New Roman" w:cs="Times New Roman" w:eastAsia="Times New Roman" w:hAnsi="Times New Roman"/>
                <w:sz w:val="8"/>
                <w:szCs w:val="8"/>
                <w:b w:val="1"/>
                <w:bCs w:val="1"/>
                <w:color w:val="auto"/>
              </w:rPr>
              <w:t>Change in FV of</w:t>
            </w:r>
          </w:p>
        </w:tc>
        <w:tc>
          <w:tcPr>
            <w:tcW w:w="100" w:type="dxa"/>
            <w:vAlign w:val="bottom"/>
          </w:tcPr>
          <w:p>
            <w:pPr>
              <w:spacing w:after="0"/>
              <w:rPr>
                <w:sz w:val="6"/>
                <w:szCs w:val="6"/>
                <w:color w:val="auto"/>
              </w:rPr>
            </w:pPr>
          </w:p>
        </w:tc>
        <w:tc>
          <w:tcPr>
            <w:tcW w:w="104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Charges related to</w:t>
            </w:r>
          </w:p>
        </w:tc>
        <w:tc>
          <w:tcPr>
            <w:tcW w:w="240" w:type="dxa"/>
            <w:vAlign w:val="bottom"/>
          </w:tcPr>
          <w:p>
            <w:pPr>
              <w:spacing w:after="0"/>
              <w:rPr>
                <w:sz w:val="6"/>
                <w:szCs w:val="6"/>
                <w:color w:val="auto"/>
              </w:rPr>
            </w:pPr>
          </w:p>
        </w:tc>
        <w:tc>
          <w:tcPr>
            <w:tcW w:w="82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17"/>
        </w:trPr>
        <w:tc>
          <w:tcPr>
            <w:tcW w:w="19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compensation expense</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financial liabilities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business exit</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51,955</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51,955</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1,348</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53,303</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53,303</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28,044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26,304</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25,259</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1,613</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26,999</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50.7 %</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14,288</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13,568</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15,238</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26,099</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(5,551)</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18,790</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Impairment loss</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8,282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(8,282)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2,794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(1,014)</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1,780</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(42,967)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(22,377)</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1,053</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1,053</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0"/>
                <w:szCs w:val="10"/>
                <w:color w:val="auto"/>
                <w:w w:val="92"/>
              </w:rPr>
              <w:t>(590)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138"/>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(42,286)</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8,672</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0"/>
                <w:szCs w:val="10"/>
                <w:color w:val="auto"/>
                <w:w w:val="92"/>
              </w:rPr>
              <w:t>(590)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9,296</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(21,152)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0"/>
                <w:szCs w:val="10"/>
                <w:b w:val="1"/>
                <w:bCs w:val="1"/>
                <w:color w:val="auto"/>
              </w:rPr>
              <w:t>Three months ended June 30, 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Depreciation and</w:t>
            </w:r>
          </w:p>
        </w:tc>
        <w:tc>
          <w:tcPr>
            <w:tcW w:w="80" w:type="dxa"/>
            <w:vAlign w:val="bottom"/>
          </w:tcPr>
          <w:p>
            <w:pPr>
              <w:spacing w:after="0"/>
              <w:rPr>
                <w:sz w:val="6"/>
                <w:szCs w:val="6"/>
                <w:color w:val="auto"/>
              </w:rPr>
            </w:pPr>
          </w:p>
        </w:tc>
        <w:tc>
          <w:tcPr>
            <w:tcW w:w="1080" w:type="dxa"/>
            <w:vAlign w:val="bottom"/>
            <w:gridSpan w:val="2"/>
          </w:tcPr>
          <w:p>
            <w:pPr>
              <w:ind w:left="220"/>
              <w:spacing w:after="0" w:line="79" w:lineRule="exact"/>
              <w:rPr>
                <w:sz w:val="20"/>
                <w:szCs w:val="20"/>
                <w:color w:val="auto"/>
              </w:rPr>
            </w:pPr>
            <w:r>
              <w:rPr>
                <w:rFonts w:ascii="Times New Roman" w:cs="Times New Roman" w:eastAsia="Times New Roman" w:hAnsi="Times New Roman"/>
                <w:sz w:val="8"/>
                <w:szCs w:val="8"/>
                <w:b w:val="1"/>
                <w:bCs w:val="1"/>
                <w:color w:val="auto"/>
              </w:rPr>
              <w:t>Stock-based</w:t>
            </w:r>
          </w:p>
        </w:tc>
        <w:tc>
          <w:tcPr>
            <w:tcW w:w="100" w:type="dxa"/>
            <w:vAlign w:val="bottom"/>
          </w:tcPr>
          <w:p>
            <w:pPr>
              <w:spacing w:after="0"/>
              <w:rPr>
                <w:sz w:val="6"/>
                <w:szCs w:val="6"/>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Restructuring costs</w:t>
            </w:r>
          </w:p>
        </w:tc>
        <w:tc>
          <w:tcPr>
            <w:tcW w:w="8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tcPr>
          <w:p>
            <w:pPr>
              <w:ind w:left="100"/>
              <w:spacing w:after="0" w:line="79" w:lineRule="exact"/>
              <w:rPr>
                <w:sz w:val="20"/>
                <w:szCs w:val="20"/>
                <w:color w:val="auto"/>
              </w:rPr>
            </w:pPr>
            <w:r>
              <w:rPr>
                <w:rFonts w:ascii="Times New Roman" w:cs="Times New Roman" w:eastAsia="Times New Roman" w:hAnsi="Times New Roman"/>
                <w:sz w:val="8"/>
                <w:szCs w:val="8"/>
                <w:b w:val="1"/>
                <w:bCs w:val="1"/>
                <w:color w:val="auto"/>
              </w:rPr>
              <w:t>Change in FV of</w:t>
            </w:r>
          </w:p>
        </w:tc>
        <w:tc>
          <w:tcPr>
            <w:tcW w:w="100" w:type="dxa"/>
            <w:vAlign w:val="bottom"/>
          </w:tcPr>
          <w:p>
            <w:pPr>
              <w:spacing w:after="0"/>
              <w:rPr>
                <w:sz w:val="6"/>
                <w:szCs w:val="6"/>
                <w:color w:val="auto"/>
              </w:rPr>
            </w:pPr>
          </w:p>
        </w:tc>
        <w:tc>
          <w:tcPr>
            <w:tcW w:w="104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8"/>
                <w:szCs w:val="8"/>
                <w:b w:val="1"/>
                <w:bCs w:val="1"/>
                <w:color w:val="auto"/>
              </w:rPr>
              <w:t>Charges related to</w:t>
            </w:r>
          </w:p>
        </w:tc>
        <w:tc>
          <w:tcPr>
            <w:tcW w:w="240" w:type="dxa"/>
            <w:vAlign w:val="bottom"/>
          </w:tcPr>
          <w:p>
            <w:pPr>
              <w:spacing w:after="0"/>
              <w:rPr>
                <w:sz w:val="6"/>
                <w:szCs w:val="6"/>
                <w:color w:val="auto"/>
              </w:rPr>
            </w:pPr>
          </w:p>
        </w:tc>
        <w:tc>
          <w:tcPr>
            <w:tcW w:w="82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17"/>
        </w:trPr>
        <w:tc>
          <w:tcPr>
            <w:tcW w:w="19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compensation expense</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9"/>
              </w:rPr>
              <w:t>financial liabilities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business exit</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69,439</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69,439</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1,075</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70,514</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70,514</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27,562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26,668</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42,952</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43,846</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62.2 %</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10,902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10,309</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16,585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14,929</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25,170</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(2,974)</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19,739</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Impairment loss</w:t>
            </w:r>
          </w:p>
        </w:tc>
        <w:tc>
          <w:tcPr>
            <w:tcW w:w="22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874</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(2,005)</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(894)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(894)</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(17,890)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190</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190</w:t>
            </w:r>
          </w:p>
        </w:tc>
        <w:tc>
          <w:tcPr>
            <w:tcW w:w="0" w:type="dxa"/>
            <w:vAlign w:val="bottom"/>
          </w:tcPr>
          <w:p>
            <w:pPr>
              <w:spacing w:after="0"/>
              <w:rPr>
                <w:sz w:val="1"/>
                <w:szCs w:val="1"/>
                <w:color w:val="auto"/>
              </w:rPr>
            </w:pPr>
          </w:p>
        </w:tc>
      </w:tr>
      <w:tr>
        <w:trPr>
          <w:trHeight w:val="138"/>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(29,173)</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5,218</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3,108</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4,409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13,450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(2,740)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00" w:top="699" w:right="359" w:bottom="1440" w:gutter="0" w:footer="0" w:header="0"/>
        </w:sectPr>
      </w:pPr>
    </w:p>
    <w:bookmarkStart w:id="9" w:name="page10"/>
    <w:bookmarkEnd w:id="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September 30, 2024 (Unaudited)</w:t>
            </w:r>
          </w:p>
        </w:tc>
        <w:tc>
          <w:tcPr>
            <w:tcW w:w="280" w:type="dxa"/>
            <w:vAlign w:val="bottom"/>
          </w:tcPr>
          <w:p>
            <w:pPr>
              <w:spacing w:after="0"/>
              <w:rPr>
                <w:sz w:val="14"/>
                <w:szCs w:val="1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6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57,894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99,681</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58,566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30,467</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38,220</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32,371</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Due from related parties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10,770</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8,777</w:t>
            </w:r>
          </w:p>
        </w:tc>
      </w:tr>
      <w:tr>
        <w:trPr>
          <w:trHeight w:val="171"/>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10,598</w:t>
            </w:r>
          </w:p>
        </w:tc>
      </w:tr>
      <w:tr>
        <w:trPr>
          <w:trHeight w:val="17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186,010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182,339</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24,936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26,900</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31,452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32,479</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162,106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172,625</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Other assets </w:t>
            </w:r>
            <w:r>
              <w:rPr>
                <w:rFonts w:ascii="Times New Roman" w:cs="Times New Roman" w:eastAsia="Times New Roman" w:hAnsi="Times New Roman"/>
                <w:sz w:val="15"/>
                <w:szCs w:val="15"/>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4,336</w:t>
            </w: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4,413</w:t>
            </w:r>
          </w:p>
        </w:tc>
      </w:tr>
      <w:tr>
        <w:trPr>
          <w:trHeight w:val="185"/>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408,840</w:t>
            </w: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418,756</w:t>
            </w: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56,416</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37,456</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Due to related parties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3,647</w:t>
            </w:r>
          </w:p>
        </w:tc>
      </w:tr>
      <w:tr>
        <w:trPr>
          <w:trHeight w:val="171"/>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16,501</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16,336</w:t>
            </w:r>
          </w:p>
        </w:tc>
      </w:tr>
      <w:tr>
        <w:trPr>
          <w:trHeight w:val="178"/>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77,342</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58,818</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52,034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52,688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60,369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62,938</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14,735</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1,560</w:t>
            </w:r>
          </w:p>
        </w:tc>
      </w:tr>
      <w:tr>
        <w:trPr>
          <w:trHeight w:val="16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204,339</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190,739</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120" w:type="dxa"/>
            <w:vAlign w:val="bottom"/>
          </w:tcPr>
          <w:p>
            <w:pPr>
              <w:spacing w:after="0"/>
              <w:rPr>
                <w:sz w:val="14"/>
                <w:szCs w:val="14"/>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1,561,493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1,527,778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(1,357,912)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(1,300,188)</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w:t>
            </w:r>
          </w:p>
        </w:tc>
      </w:tr>
      <w:tr>
        <w:trPr>
          <w:trHeight w:val="16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204,501</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228,017</w:t>
            </w:r>
          </w:p>
        </w:tc>
      </w:tr>
      <w:tr>
        <w:trPr>
          <w:trHeight w:val="178"/>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408,840</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418,756</w:t>
            </w: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assets includes $987 thousand of restricted cash as of both September 30, 2024 and December 31, 2023.</w:t>
      </w:r>
    </w:p>
    <w:p>
      <w:pPr>
        <w:sectPr>
          <w:pgSz w:w="11900" w:h="16838" w:orient="portrait"/>
          <w:cols w:equalWidth="0" w:num="1">
            <w:col w:w="11308"/>
          </w:cols>
          <w:pgMar w:left="292" w:top="665"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69"/>
        </w:trPr>
        <w:tc>
          <w:tcPr>
            <w:tcW w:w="4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2023</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77,418</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51,955</w:t>
            </w:r>
          </w:p>
        </w:tc>
        <w:tc>
          <w:tcPr>
            <w:tcW w:w="6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207,961</w:t>
            </w:r>
          </w:p>
        </w:tc>
        <w:tc>
          <w:tcPr>
            <w:tcW w:w="8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140,440</w:t>
            </w: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4,708</w:t>
            </w:r>
          </w:p>
        </w:tc>
      </w:tr>
      <w:tr>
        <w:trPr>
          <w:trHeight w:val="169"/>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76,874</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53,303</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209,810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145,148</w:t>
            </w:r>
          </w:p>
        </w:tc>
      </w:tr>
      <w:tr>
        <w:trPr>
          <w:trHeight w:val="16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29,045</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28,044</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81,618</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85,896</w:t>
            </w:r>
          </w:p>
        </w:tc>
      </w:tr>
      <w:tr>
        <w:trPr>
          <w:trHeight w:val="169"/>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47,829</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25,259</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128,192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59,252</w:t>
            </w:r>
          </w:p>
        </w:tc>
      </w:tr>
      <w:tr>
        <w:trPr>
          <w:trHeight w:val="17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14,288</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34,134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46,018</w:t>
            </w: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16,763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45,397</w:t>
            </w:r>
          </w:p>
        </w:tc>
      </w:tr>
      <w:tr>
        <w:trPr>
          <w:trHeight w:val="18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26,099</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73,760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107,129</w:t>
            </w: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w:t>
            </w:r>
          </w:p>
        </w:tc>
        <w:tc>
          <w:tcPr>
            <w:tcW w:w="10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8,282</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10,402</w:t>
            </w: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 net</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5,259</w:t>
            </w:r>
          </w:p>
        </w:tc>
      </w:tr>
      <w:tr>
        <w:trPr>
          <w:trHeight w:val="169"/>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(7,780)</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(42,967)</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(32,019)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(154,953)</w:t>
            </w:r>
          </w:p>
        </w:tc>
      </w:tr>
      <w:tr>
        <w:trPr>
          <w:trHeight w:val="160"/>
        </w:trPr>
        <w:tc>
          <w:tcPr>
            <w:tcW w:w="4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income (expenses), net</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warrants and earn-out contingent liabilities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r>
      <w:tr>
        <w:trPr>
          <w:trHeight w:val="171"/>
        </w:trPr>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w:t>
            </w: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w:t>
            </w:r>
          </w:p>
        </w:tc>
      </w:tr>
      <w:tr>
        <w:trPr>
          <w:trHeight w:val="169"/>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non-operating income (expense), net</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4,444</w:t>
            </w:r>
          </w:p>
        </w:tc>
      </w:tr>
      <w:tr>
        <w:trPr>
          <w:trHeight w:val="178"/>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before income taxes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(42,458)</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(58,043)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(150,509)</w:t>
            </w:r>
          </w:p>
        </w:tc>
      </w:tr>
      <w:tr>
        <w:trPr>
          <w:trHeight w:val="171"/>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Income tax benefit</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515</w:t>
            </w:r>
          </w:p>
        </w:tc>
      </w:tr>
      <w:tr>
        <w:trPr>
          <w:trHeight w:val="194"/>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08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(8,312)</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(42,286)</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(57,724)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(149,994)</w:t>
            </w:r>
          </w:p>
        </w:tc>
      </w:tr>
      <w:tr>
        <w:trPr>
          <w:trHeight w:val="153"/>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27,095,986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25,788,747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26,593,877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23,777,327</w:t>
            </w:r>
          </w:p>
        </w:tc>
      </w:tr>
      <w:tr>
        <w:trPr>
          <w:trHeight w:val="16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net loss per share, Class A common stock</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8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w:t>
            </w:r>
          </w:p>
        </w:tc>
      </w:tr>
    </w:tbl>
    <w:p>
      <w:pPr>
        <w:sectPr>
          <w:pgSz w:w="11900" w:h="16838" w:orient="portrait"/>
          <w:cols w:equalWidth="0" w:num="1">
            <w:col w:w="11300"/>
          </w:cols>
          <w:pgMar w:left="300" w:top="665" w:right="2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w:t>
            </w:r>
          </w:p>
        </w:tc>
        <w:tc>
          <w:tcPr>
            <w:tcW w:w="1100" w:type="dxa"/>
            <w:vAlign w:val="bottom"/>
            <w:tcBorders>
              <w:bottom w:val="single" w:sz="8" w:color="auto"/>
            </w:tcBorders>
          </w:tcPr>
          <w:p>
            <w:pPr>
              <w:spacing w:after="0"/>
              <w:rPr>
                <w:sz w:val="14"/>
                <w:szCs w:val="14"/>
                <w:color w:val="auto"/>
              </w:rPr>
            </w:pPr>
          </w:p>
        </w:tc>
      </w:tr>
      <w:tr>
        <w:trPr>
          <w:trHeight w:val="169"/>
        </w:trPr>
        <w:tc>
          <w:tcPr>
            <w:tcW w:w="73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1"/>
              </w:rPr>
              <w:t>2023</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(57,724)</w:t>
            </w:r>
          </w:p>
        </w:tc>
        <w:tc>
          <w:tcPr>
            <w:tcW w:w="6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(149,994)</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0"/>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16,395</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27,640</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6,293</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warrants and contingent liabilities</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11,390</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benefit</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excess and obsolete inventory</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3,634</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Legal reserves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Change in third party payor reserves</w:t>
            </w: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(6,848)</w:t>
            </w:r>
          </w:p>
        </w:tc>
      </w:tr>
      <w:tr>
        <w:trPr>
          <w:trHeight w:val="184"/>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Gain on sale of assets</w:t>
            </w:r>
          </w:p>
        </w:tc>
        <w:tc>
          <w:tcPr>
            <w:tcW w:w="1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(2,954)</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on debt forgiveness</w:t>
            </w:r>
          </w:p>
        </w:tc>
        <w:tc>
          <w:tcPr>
            <w:tcW w:w="1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(2,750)</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Impairment loss</w:t>
            </w:r>
          </w:p>
        </w:tc>
        <w:tc>
          <w:tcPr>
            <w:tcW w:w="1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10,402</w:t>
            </w:r>
          </w:p>
        </w:tc>
      </w:tr>
      <w:tr>
        <w:trPr>
          <w:trHeight w:val="176"/>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Other</w:t>
            </w: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2,639</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1,071</w:t>
            </w:r>
          </w:p>
        </w:tc>
      </w:tr>
      <w:tr>
        <w:trPr>
          <w:trHeight w:val="184"/>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1"/>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(5,850)</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10,726</w:t>
            </w:r>
          </w:p>
        </w:tc>
      </w:tr>
      <w:tr>
        <w:trPr>
          <w:trHeight w:val="18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r>
      <w:tr>
        <w:trPr>
          <w:trHeight w:val="171"/>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(39,913)</w:t>
            </w:r>
          </w:p>
        </w:tc>
      </w:tr>
      <w:tr>
        <w:trPr>
          <w:trHeight w:val="180"/>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1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(1,372)</w:t>
            </w: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(25,313)</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(150,289)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Consideration on escrow paid for Legacy GeneDx acquisition</w:t>
            </w:r>
          </w:p>
        </w:tc>
        <w:tc>
          <w:tcPr>
            <w:tcW w:w="1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(12,144)</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(2,441)</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assets</w:t>
            </w:r>
          </w:p>
        </w:tc>
        <w:tc>
          <w:tcPr>
            <w:tcW w:w="1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3,887</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(52,725)</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(43,935)</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24,955</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16,665</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Development of internal-use software assets</w:t>
            </w:r>
          </w:p>
        </w:tc>
        <w:tc>
          <w:tcPr>
            <w:tcW w:w="1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w:t>
            </w:r>
          </w:p>
        </w:tc>
      </w:tr>
      <w:tr>
        <w:trPr>
          <w:trHeight w:val="178"/>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(29,613)</w:t>
            </w: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(38,862)</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offerings, net of issuance costs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14,589</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143,002</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Finance lease payoff and principal payments</w:t>
            </w:r>
          </w:p>
        </w:tc>
        <w:tc>
          <w:tcPr>
            <w:tcW w:w="1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(1,499)</w:t>
            </w: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(2,133)</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13,139</w:t>
            </w: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139,135</w:t>
            </w: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(41,787)</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(50,016)</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1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100,668</w:t>
            </w:r>
          </w:p>
        </w:tc>
        <w:tc>
          <w:tcPr>
            <w:tcW w:w="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138,303</w:t>
            </w:r>
          </w:p>
        </w:tc>
      </w:tr>
      <w:tr>
        <w:trPr>
          <w:trHeight w:val="194"/>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Cash, cash equivalents and restricted cash, at end of period </w:t>
            </w:r>
            <w:r>
              <w:rPr>
                <w:rFonts w:ascii="Times New Roman" w:cs="Times New Roman" w:eastAsia="Times New Roman" w:hAnsi="Times New Roman"/>
                <w:sz w:val="15"/>
                <w:szCs w:val="15"/>
                <w:color w:val="auto"/>
                <w:vertAlign w:val="superscript"/>
              </w:rPr>
              <w:t>(1)</w:t>
            </w:r>
          </w:p>
        </w:tc>
        <w:tc>
          <w:tcPr>
            <w:tcW w:w="110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58,881</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88,287</w:t>
            </w:r>
          </w:p>
        </w:tc>
      </w:tr>
      <w:tr>
        <w:trPr>
          <w:trHeight w:val="126"/>
        </w:trPr>
        <w:tc>
          <w:tcPr>
            <w:tcW w:w="7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6,068</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1,116</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taxes</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6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consideration paid for purchase of business</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6,692</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Stock consideration paid pursuant to exercise of Perceptive warrant</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12,586</w:t>
            </w:r>
          </w:p>
        </w:tc>
        <w:tc>
          <w:tcPr>
            <w:tcW w:w="6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 and accrued expenses</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w:t>
            </w:r>
          </w:p>
        </w:tc>
      </w:tr>
      <w:tr>
        <w:trPr>
          <w:trHeight w:val="162"/>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Assets acquired under capital leases obligations</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6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75"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Cash, cash equivalents and restricted cash at September 30, 2024 excludes marketable securities of $58.6 million.</w:t>
      </w:r>
    </w:p>
    <w:p>
      <w:pPr>
        <w:sectPr>
          <w:pgSz w:w="11900" w:h="16838" w:orient="portrait"/>
          <w:cols w:equalWidth="0" w:num="1">
            <w:col w:w="11308"/>
          </w:cols>
          <w:pgMar w:left="292" w:top="665" w:right="299" w:bottom="1440" w:gutter="0" w:footer="0" w:header="0"/>
        </w:sectPr>
      </w:pPr>
    </w:p>
    <w:bookmarkStart w:id="12" w:name="page13"/>
    <w:bookmarkEnd w:id="1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lvl w:ilvl="1">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2024-10-29T07:15:53Z</dcterms:created>
  <dcterms:modified xsi:type="dcterms:W3CDTF">2024-10-29T07:15:53Z</dcterms:modified>
</cp:coreProperties>
</file>