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7700" cy="6426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42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1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Schadt Eric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SEMA4 HOLDINGS CORP.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333 LUDLOW ST, NORTH TOWER, 8TH FL.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Sema4 Holdings Corp.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SMFR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58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680"/>
            <w:col w:w="3100" w:space="720"/>
            <w:col w:w="3360"/>
          </w:cols>
          <w:pgMar w:left="460" w:top="220" w:right="359" w:bottom="1158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STAMFORD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06902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2,564,847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0.1529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2,564,847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05/31/2027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2,564,847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2,264,674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0.1529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2,264,674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05/31/2027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2,264,674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401,699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401,699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10/16/2029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401,699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960,472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960,472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10/16/2029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960,472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2,311,488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0.7659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2,311,488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02/17/2030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2,311,488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-3867150</wp:posOffset>
            </wp:positionV>
            <wp:extent cx="28575" cy="3872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87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is fully vested.</w:t>
      </w:r>
    </w:p>
    <w:p>
      <w:pPr>
        <w:spacing w:after="0" w:line="4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9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business combination between the Issuer (which was formerly known as CM Life Sciences, Inc.) and Mount Sinai Genomics, Inc. d/b/a Sema4 ("Sema4"), each share of Sema4 outstanding common stock was automatically converted into the right to shares of the Issuer's Class A Common Stock based on a 1 to 123.8338 exchange ratio ("Exchange Ratio"). In addition, each outstanding Sema4 equity award was automatically converted into a corresponding equity award of the Issuer based on the Exchange Ratio and with the same terms and vesting conditions as the Sema4 equity awards.</w:t>
      </w:r>
    </w:p>
    <w:p>
      <w:pPr>
        <w:spacing w:after="0" w:line="5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of the total shares underlying the option vest in quarterly installments until fully vested, subject to the Reporting Person's continued service to the Issuer on each vesting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0" w:right="38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merger agreement provides that certain former stockholders and equity award holders of Sema4 will receive additional shares of the Issuer's Class A common stock and awards of restricted stock units upon the achievement of certain vesting conditions.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Daniel Clark,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07/26/2021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15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46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2021-07-26T17:52:11Z</dcterms:created>
  <dcterms:modified xsi:type="dcterms:W3CDTF">2021-07-26T17:52:11Z</dcterms:modified>
</cp:coreProperties>
</file>