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333-267112</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5715</wp:posOffset>
            </wp:positionV>
            <wp:extent cx="206565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100,000,000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64770</wp:posOffset>
            </wp:positionV>
            <wp:extent cx="6892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up to 100,000,000 shares of our Class A common stock (“Class A common stock”) comprising</w:t>
      </w:r>
    </w:p>
    <w:p>
      <w:pPr>
        <w:spacing w:after="0" w:line="16" w:lineRule="exact"/>
        <w:rPr>
          <w:sz w:val="24"/>
          <w:szCs w:val="24"/>
          <w:color w:val="auto"/>
        </w:rPr>
      </w:pPr>
    </w:p>
    <w:p>
      <w:pPr>
        <w:jc w:val="both"/>
        <w:ind w:right="300"/>
        <w:spacing w:after="0" w:line="254" w:lineRule="auto"/>
        <w:rPr>
          <w:sz w:val="20"/>
          <w:szCs w:val="20"/>
          <w:color w:val="auto"/>
        </w:rPr>
      </w:pPr>
      <w:r>
        <w:rPr>
          <w:rFonts w:ascii="Times New Roman" w:cs="Times New Roman" w:eastAsia="Times New Roman" w:hAnsi="Times New Roman"/>
          <w:sz w:val="18"/>
          <w:szCs w:val="18"/>
          <w:color w:val="auto"/>
        </w:rPr>
        <w:t>77,663,376 shares (the “initial shares”) that are expected to be issued following the closing of the concurrent underwritten offering described below and 22,336,624 shares (the “additional shares”) that are subject to stockholder approval to satisfy Nasdaq requirements with respect to the issuance of such shares of Class A common stock.</w:t>
      </w:r>
    </w:p>
    <w:p>
      <w:pPr>
        <w:spacing w:after="0" w:line="133"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(the “Nasdaq”) under the symbol “WGS.” We are an “emerging growth company” and a “smaller reporting company” as those terms are defined under federal securities laws and, as such, we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5" w:lineRule="exact"/>
        <w:rPr>
          <w:sz w:val="24"/>
          <w:szCs w:val="24"/>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S-8</w:t>
      </w:r>
      <w:r>
        <w:rPr>
          <w:rFonts w:ascii="Times New Roman" w:cs="Times New Roman" w:eastAsia="Times New Roman" w:hAnsi="Times New Roman"/>
          <w:sz w:val="18"/>
          <w:szCs w:val="18"/>
          <w:b w:val="1"/>
          <w:bCs w:val="1"/>
          <w:color w:val="auto"/>
        </w:rPr>
        <w:t xml:space="preserve"> of this prospectus supplement , as well as the sections entitled “Risk Factors” beginning on page 30 of our Annual Report on Form 10-K for the year ended December 31, 2021, beginning on page 46 of our Quarterly Report on Form 10-Q for the quarter ended March 31, 2022, beginning on page 60 of our Quarterly Report on Form 10-Q for the quarter ended June 30, 2022, and beginning on page 62 of our Quarterly Report on Form 10-Q for the quarter ended September 30, 2022, which reports are incorporated by reference in this prospectus supplement and the accompanying prospectus, before investing in our securities.</w:t>
      </w:r>
    </w:p>
    <w:p>
      <w:pPr>
        <w:spacing w:after="0" w:line="74"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of Class A</w:t>
            </w:r>
          </w:p>
        </w:tc>
        <w:tc>
          <w:tcPr>
            <w:tcW w:w="300" w:type="dxa"/>
            <w:vAlign w:val="bottom"/>
          </w:tcPr>
          <w:p>
            <w:pPr>
              <w:spacing w:after="0"/>
              <w:rPr>
                <w:sz w:val="13"/>
                <w:szCs w:val="13"/>
                <w:color w:val="auto"/>
              </w:rPr>
            </w:pPr>
          </w:p>
        </w:tc>
        <w:tc>
          <w:tcPr>
            <w:tcW w:w="10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0.011375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GeneDx Holdings Corp. (before fees and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0.338625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33,862,500</w:t>
            </w:r>
          </w:p>
        </w:tc>
        <w:tc>
          <w:tcPr>
            <w:tcW w:w="0" w:type="dxa"/>
            <w:vAlign w:val="bottom"/>
          </w:tcPr>
          <w:p>
            <w:pPr>
              <w:spacing w:after="0"/>
              <w:rPr>
                <w:sz w:val="1"/>
                <w:szCs w:val="1"/>
                <w:color w:val="auto"/>
              </w:rPr>
            </w:pPr>
          </w:p>
        </w:tc>
      </w:tr>
    </w:tbl>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“Plan of Distribution” for a description of fees and expenses payable in connection with the offering.</w:t>
      </w:r>
    </w:p>
    <w:p>
      <w:pPr>
        <w:spacing w:after="0" w:line="155" w:lineRule="exact"/>
        <w:rPr>
          <w:sz w:val="24"/>
          <w:szCs w:val="24"/>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We are offering to sell 328,571,429 shares of Class A common stock in connection with a concurrent underwritten offering at an offering price of $0.35 per share, equal to the offering price of this offering. We have also granted the underwriter in the concurrent underwritten offering an option for a period of 30 days to purchase up to an additional 49,285,714 shares of Class A common stock. We refer to this transaction as the concurrent underwritten offering. The concurrent underwritten offering is not contingent on the closing of this offering.</w:t>
      </w:r>
    </w:p>
    <w:p>
      <w:pPr>
        <w:spacing w:after="0" w:line="136"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pacing w:after="0" w:line="105" w:lineRule="exact"/>
        <w:rPr>
          <w:sz w:val="24"/>
          <w:szCs w:val="24"/>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Delivery of the initial shares being offered pursuant to this prospectus supplement and accompanying prospectus will be made on or about January 31, 2023, following the closing of the concurrent underwritten offering and subject to the satisfaction of certain closing conditions. We expect to call a special meeting of stockholders for the approval of a proposal to issue the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Placement Agent</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Jefferies</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26, 2023.</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8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6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140" w:type="dxa"/>
            <w:vAlign w:val="bottom"/>
          </w:tcPr>
          <w:p>
            <w:pPr>
              <w:spacing w:after="0"/>
              <w:rPr>
                <w:sz w:val="18"/>
                <w:szCs w:val="18"/>
                <w:color w:val="auto"/>
              </w:rPr>
            </w:pPr>
          </w:p>
        </w:tc>
        <w:tc>
          <w:tcPr>
            <w:tcW w:w="69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S-6</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S-8</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PRO FORMA COMBINED FINANCIAL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S-27</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14"/>
          </w:tcPr>
          <w:p>
            <w:pPr>
              <w:spacing w:after="0"/>
              <w:rPr>
                <w:sz w:val="18"/>
                <w:szCs w:val="18"/>
                <w:color w:val="auto"/>
              </w:rPr>
            </w:pPr>
          </w:p>
        </w:tc>
        <w:tc>
          <w:tcPr>
            <w:tcW w:w="45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THE SECURITIES WE ARE OFFERING</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58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18"/>
                <w:szCs w:val="18"/>
                <w:color w:val="auto"/>
              </w:rPr>
            </w:pPr>
          </w:p>
        </w:tc>
        <w:tc>
          <w:tcPr>
            <w:tcW w:w="878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DILUTION</w:t>
            </w:r>
          </w:p>
        </w:tc>
        <w:tc>
          <w:tcPr>
            <w:tcW w:w="600" w:type="dxa"/>
            <w:vAlign w:val="bottom"/>
            <w:gridSpan w:val="2"/>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50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S-54</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2700" w:type="dxa"/>
            <w:vAlign w:val="bottom"/>
            <w:gridSpan w:val="11"/>
          </w:tcPr>
          <w:p>
            <w:pPr>
              <w:spacing w:after="0"/>
              <w:rPr>
                <w:sz w:val="18"/>
                <w:szCs w:val="18"/>
                <w:color w:val="auto"/>
              </w:rPr>
            </w:pP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S-59</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S-61</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3"/>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S-61</w:t>
            </w:r>
          </w:p>
        </w:tc>
      </w:tr>
      <w:tr>
        <w:trPr>
          <w:trHeight w:val="20"/>
        </w:trPr>
        <w:tc>
          <w:tcPr>
            <w:tcW w:w="78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7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S-61</w:t>
            </w:r>
          </w:p>
        </w:tc>
      </w:tr>
      <w:tr>
        <w:trPr>
          <w:trHeight w:val="529"/>
        </w:trPr>
        <w:tc>
          <w:tcPr>
            <w:tcW w:w="67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2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4"/>
          </w:tcPr>
          <w:p>
            <w:pPr>
              <w:spacing w:after="0"/>
              <w:rPr>
                <w:sz w:val="16"/>
                <w:szCs w:val="16"/>
                <w:color w:val="auto"/>
              </w:rPr>
            </w:pP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12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00" w:type="dxa"/>
            <w:vAlign w:val="bottom"/>
            <w:gridSpan w:val="3"/>
          </w:tcPr>
          <w:p>
            <w:pPr>
              <w:spacing w:after="0"/>
              <w:rPr>
                <w:sz w:val="18"/>
                <w:szCs w:val="18"/>
                <w:color w:val="auto"/>
              </w:rPr>
            </w:pP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4"/>
          </w:tcPr>
          <w:p>
            <w:pPr>
              <w:spacing w:after="0"/>
              <w:rPr>
                <w:sz w:val="18"/>
                <w:szCs w:val="18"/>
                <w:color w:val="auto"/>
              </w:rPr>
            </w:pPr>
          </w:p>
        </w:tc>
        <w:tc>
          <w:tcPr>
            <w:tcW w:w="458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6540" w:type="dxa"/>
            <w:vAlign w:val="bottom"/>
            <w:gridSpan w:val="6"/>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1240" w:type="dxa"/>
            <w:vAlign w:val="bottom"/>
            <w:gridSpan w:val="4"/>
          </w:tcPr>
          <w:p>
            <w:pPr>
              <w:spacing w:after="0"/>
              <w:rPr>
                <w:sz w:val="18"/>
                <w:szCs w:val="18"/>
                <w:color w:val="auto"/>
              </w:rPr>
            </w:pPr>
          </w:p>
        </w:tc>
        <w:tc>
          <w:tcPr>
            <w:tcW w:w="7540" w:type="dxa"/>
            <w:vAlign w:val="bottom"/>
            <w:gridSpan w:val="12"/>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11"/>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r>
      <w:tr>
        <w:trPr>
          <w:trHeight w:val="210"/>
        </w:trPr>
        <w:tc>
          <w:tcPr>
            <w:tcW w:w="30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10"/>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r>
      <w:tr>
        <w:trPr>
          <w:trHeight w:val="20"/>
        </w:trPr>
        <w:tc>
          <w:tcPr>
            <w:tcW w:w="20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10"/>
        </w:trPr>
        <w:tc>
          <w:tcPr>
            <w:tcW w:w="34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900" w:type="dxa"/>
            <w:vAlign w:val="bottom"/>
            <w:gridSpan w:val="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r>
      <w:tr>
        <w:trPr>
          <w:trHeight w:val="210"/>
        </w:trPr>
        <w:tc>
          <w:tcPr>
            <w:tcW w:w="2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5"/>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8900" w:type="dxa"/>
            <w:vAlign w:val="bottom"/>
            <w:gridSpan w:val="1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bl>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document is part of the registration statement on Form S-3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Class A common stock and also adds to and updates information contained in the documents incorporated by reference into this prospectus supplement and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3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You should rely only on this prospectus supplement, the accompanying prospectus and the information incorporated or deemed to be incorporated by reference in this prospectus supplement and the accompanying prospectus. We have not authorized, and the placement agent has not authorized, anyone to provide you with information that is in addition to or different from that contained or incorporated by reference in this prospectus supplement and the accompanying prospectus. If anyone provides you with different or inconsistent information, you should not rely on it, and neither we nor the placement agent takes any responsibility for, and provide no assurance as to the reliability of, any other information that others may give you.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Class A common stock. Our business, financial condition, liquidity, results of operations and prospects may have changed since those dates.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not offering to sell shares of our Class A common stock in any jurisdiction where the offer or sale is not permitted. The distribution of this prospectus supplement and the offering of the Class A common stock in certain jurisdictions may be restricted by law. Persons outside the United States who come into possession of this prospectus supplement must inform themselves about, and observe any restrictions relating to, the offering of the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w:t>
      </w:r>
    </w:p>
    <w:p>
      <w:pPr>
        <w:spacing w:after="0" w:line="171"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 (f/k/a Sema4 Holdings Corp. (“Sema4 Holdings”)), the issuer of the shares of Class A common stock in this offering and the concurrent registered direct offering;</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(formerly, GeneDx, Inc., a New Jersey corporation), which we acquired on April 29, 2022 (the “Acquisition”);</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Mount Sinai Genomics, Inc. d/b/a as Sema4, a Delaware corporation, which consummated the business combination with CM Life Sciences, Inc. (“CMLS”) on July 22, 2021 (the “Business Combination”);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07"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as described in more detail herein, we are pursuing a new strategic direction focused on our whole exome and genome sequencing business coupled with our Centrellis data platform. We are in the process of exiting our reproductive and women’s health testing business, which we expect to complete by the end of the first quarter of 2023, and we also completed the exit of our somatic tumor testing services during the fourth quarter of 2022. For more information, see “</w:t>
      </w:r>
      <w:r>
        <w:rPr>
          <w:rFonts w:ascii="Times New Roman" w:cs="Times New Roman" w:eastAsia="Times New Roman" w:hAnsi="Times New Roman"/>
          <w:sz w:val="18"/>
          <w:szCs w:val="18"/>
          <w:i w:val="1"/>
          <w:iCs w:val="1"/>
          <w:color w:val="auto"/>
        </w:rPr>
        <w:t>Prospectus Supplement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Business Exits</w:t>
      </w:r>
      <w:r>
        <w:rPr>
          <w:rFonts w:ascii="Times New Roman" w:cs="Times New Roman" w:eastAsia="Times New Roman" w:hAnsi="Times New Roman"/>
          <w:sz w:val="18"/>
          <w:szCs w:val="18"/>
          <w:color w:val="auto"/>
        </w:rPr>
        <w:t>.” Unless the context otherwise requires, the description of our business and operations in this prospectus supplement assumes the completion of the exits from somatic tumor testing services and the reproductive and women’s health testing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00"/>
          </w:cols>
          <w:pgMar w:left="320" w:top="1440" w:right="379" w:bottom="1440" w:gutter="0" w:footer="0" w:header="0"/>
        </w:sectPr>
      </w:pPr>
    </w:p>
    <w:bookmarkStart w:id="4" w:name="page5"/>
    <w:bookmarkEnd w:id="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Class A common stock . You should read the entire prospectus supplement and the accompanying prospectus and the information incorporated by reference herein and therein carefully, including “Risk Factors” and the financial statements and related notes incorporated by reference herein, before making an investment decision.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are uniquely positioned to accelerate the use of genomics and leverage large-scale clinical data to enable precision medicine as the standard of care.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Legacy 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pediatric rare and ultra-rare genetic disorders. More than 20 years later, we have amassed one of the world’s largest rare disease data sets and remain a leader in genomics. In May 2022, Legacy GeneDx integrated with Sema4 Holdings, adding Centrellis®, a highly innovative health information platform to our portfolio of solutions. Centrellis® integrates digital tools and artificial intelligence and allows us to ingest and synthesize clinical and genomic data to deliver better, more comprehensive health insights.</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 our innovative health information platform. We believe exome and genome testing will become the standard of care, transforming healthcare and improving patients’ quality of life for generations by sequencing once and analyzing for a lifetime.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On September 4, 2020, CMLS completed its initial public offering. On July 22, 2021, CMLS consummated the Business Combination with Legacy Sema4. In connection with the Business Combination, CMLS changed its name to Sema4 Holdings Corp. On January 9, 2023, Sema4 Holdings Corp. changed its name to GeneDx Holdings Corp.</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 (800) 298-6470. Our website address is https://genedx.com. Information contained on our website or connected thereto does not constitute part of, and is not incorporated by reference into, this prospectus supplement or the registration statement of which it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Sema4 Business Exits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11, 2022, our board of directors approved a restructuring plan that contemplated exiting our somatic tumor testing services and the closing of our laboratory in Branford, CT, which we completed as of December 31, 2022. In connection with the plan, we also eliminated approximately 250 positions, representing about 13% of our workforce, which, combined with our prior reductions in force during 2022, resulted in the elimination of approximately 30% of the roles from the Legacy Sema4 business.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genome sequencing business coupled with our Centrellis data platform. As part of our strategic realignment, on November 11, 2022, our board of directors approved our exit from the reproductive and women’s health testing business, which includes carrier screening, noninvasive prenatal, and other ancillary reproductive testing offerings. We ceased accepting samples for reproductive and women’s health tests on December 14, 2022 and notified our customers impacted by this decision immediately. We expect to exit the operations of the reproductive and women’s health testing services by the end of the first quarter of 2023. As a result of this business exit, we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20"/>
          </w:cols>
          <w:pgMar w:left="320" w:top="1440" w:right="359" w:bottom="1440" w:gutter="0" w:footer="0" w:header="0"/>
        </w:sectPr>
      </w:pPr>
    </w:p>
    <w:bookmarkStart w:id="5" w:name="page6"/>
    <w:bookmarkEnd w:id="5"/>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approximately 500 positions, representing approximately 32.5% of our workforce, and ceased operations at our Stamford, CT laboratory. Our go-forward testing services will be consolidated and performed out of our Gaithersburg, MD laboratory which was primarily used for our pediatric and rare disease testing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requirements set forth in Nasdaq Listing Rule 5450(a)(1) (the “Minimum Bid Price Requirement”) for the last 30 consecutive trading days for continued listing on the Nasdaq Global Select Market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w:t>
      </w:r>
    </w:p>
    <w:p>
      <w:pPr>
        <w:spacing w:after="0" w:line="1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Pursuant to the Nasdaq Listing Rules, we have been provided an initial compliance period of 180 calendar days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intend to monitor the closing bid price of our Class A common stock and consider our available options to resolve the noncompliance with the Minimum Bid Price Requirement. There can be no assurance that we will be able to regain compliance with the Nasdaq’s continued listing requirements or that Nasdaq will grant us a further extension of time to regain compliance, if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“Risk Factors” below for additional disclosure regarding our compliance with Nasdaq listing qualifications.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Change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9, 2023, we changed the name of the Company from “Sema4 Holdings Corp.” to “GeneDx Holdings Corp.” pursuant to a certificate of amendment to our certificate of incorporation. In conjunction with the name change, our Class A common stock and warrants also ceased trading under the ticker symbols “SMFR” and “SMFRW” and began trading under new ticker symbols, “WGS” and “WGSWW,” respectively, on the Nasdaq on January 10,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12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10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and</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20"/>
          </w:cols>
          <w:pgMar w:left="320" w:top="1440" w:right="359" w:bottom="1440" w:gutter="0" w:footer="0" w:header="0"/>
        </w:sectPr>
      </w:pPr>
    </w:p>
    <w:bookmarkStart w:id="6" w:name="page7"/>
    <w:bookmarkEnd w:id="6"/>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least $700 million of equity securities held by non-affiliates; (iii) the date on which we have issued, in any three-year period, more than $1.0 billion in non-convertible debt securities; and (iv) December 31,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this offering and the concurrent underwritten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40"/>
          </w:cols>
          <w:pgMar w:left="320" w:top="1440" w:right="539" w:bottom="1440" w:gutter="0" w:footer="0" w:header="0"/>
        </w:sectPr>
      </w:pPr>
    </w:p>
    <w:bookmarkStart w:id="7" w:name="page8"/>
    <w:bookmarkEnd w:id="7"/>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Concurrent Underwritten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Class A Common Stock to be Outstanding Immediately After This Offering </w:t>
      </w:r>
      <w:r>
        <w:rPr>
          <w:rFonts w:ascii="Times New Roman" w:cs="Times New Roman" w:eastAsia="Times New Roman" w:hAnsi="Times New Roman"/>
          <w:sz w:val="18"/>
          <w:szCs w:val="18"/>
          <w:color w:val="auto"/>
        </w:rPr>
        <w:t>and the Concurrent Underwritten Offering</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140" w:right="220"/>
        <w:spacing w:after="0" w:line="258" w:lineRule="auto"/>
        <w:rPr>
          <w:sz w:val="20"/>
          <w:szCs w:val="20"/>
          <w:color w:val="auto"/>
        </w:rPr>
      </w:pPr>
      <w:r>
        <w:rPr>
          <w:rFonts w:ascii="Times New Roman" w:cs="Times New Roman" w:eastAsia="Times New Roman" w:hAnsi="Times New Roman"/>
          <w:sz w:val="18"/>
          <w:szCs w:val="18"/>
          <w:color w:val="auto"/>
        </w:rPr>
        <w:t>Up to 100,000,000 shares of Class A common stock comprising 77,663,376 initial shares that are expected to be issued following the closing of the concurrent underwritten offering referred to below and 22,336,624 additional shares that are subject to stockholder approval to satisfy Nasdaq requirements with respect to the issuance of such shares of Class A common stock.</w:t>
      </w:r>
    </w:p>
    <w:p>
      <w:pPr>
        <w:spacing w:after="0" w:line="8" w:lineRule="exact"/>
        <w:rPr>
          <w:sz w:val="20"/>
          <w:szCs w:val="20"/>
          <w:color w:val="auto"/>
        </w:rPr>
      </w:pPr>
    </w:p>
    <w:p>
      <w:pPr>
        <w:ind w:left="140"/>
        <w:spacing w:after="0" w:line="236" w:lineRule="auto"/>
        <w:rPr>
          <w:sz w:val="20"/>
          <w:szCs w:val="20"/>
          <w:color w:val="auto"/>
        </w:rPr>
      </w:pPr>
      <w:r>
        <w:rPr>
          <w:rFonts w:ascii="Times New Roman" w:cs="Times New Roman" w:eastAsia="Times New Roman" w:hAnsi="Times New Roman"/>
          <w:sz w:val="17"/>
          <w:szCs w:val="17"/>
          <w:color w:val="auto"/>
        </w:rPr>
        <w:t>We are offering to sell 328,521,429 shares of Class A common stock in connection with a concurrent underwritten public offering at an offering price of $0.35 per share,</w:t>
      </w:r>
    </w:p>
    <w:p>
      <w:pPr>
        <w:ind w:left="140" w:right="120"/>
        <w:spacing w:after="0" w:line="220" w:lineRule="auto"/>
        <w:rPr>
          <w:sz w:val="20"/>
          <w:szCs w:val="20"/>
          <w:color w:val="auto"/>
        </w:rPr>
      </w:pPr>
      <w:r>
        <w:rPr>
          <w:rFonts w:ascii="Times New Roman" w:cs="Times New Roman" w:eastAsia="Times New Roman" w:hAnsi="Times New Roman"/>
          <w:sz w:val="17"/>
          <w:szCs w:val="17"/>
          <w:color w:val="auto"/>
        </w:rPr>
        <w:t>equal to the offering price of this offering. We refer to this transaction as the concurrent underwritten offering. We have also granted the underwriter in the concurrent underwritten offering an option for a period of 30 days to purchase up to</w:t>
      </w:r>
    </w:p>
    <w:p>
      <w:pPr>
        <w:spacing w:after="0" w:line="2" w:lineRule="exact"/>
        <w:rPr>
          <w:sz w:val="20"/>
          <w:szCs w:val="20"/>
          <w:color w:val="auto"/>
        </w:rPr>
      </w:pPr>
    </w:p>
    <w:p>
      <w:pPr>
        <w:ind w:left="140" w:right="560"/>
        <w:spacing w:after="0" w:line="226" w:lineRule="auto"/>
        <w:rPr>
          <w:sz w:val="20"/>
          <w:szCs w:val="20"/>
          <w:color w:val="auto"/>
        </w:rPr>
      </w:pPr>
      <w:r>
        <w:rPr>
          <w:rFonts w:ascii="Times New Roman" w:cs="Times New Roman" w:eastAsia="Times New Roman" w:hAnsi="Times New Roman"/>
          <w:sz w:val="18"/>
          <w:szCs w:val="18"/>
          <w:color w:val="auto"/>
        </w:rPr>
        <w:t>an additional 49,285,714 shares of Class A common stock. The closing of the concurrent underwritten offering is not contingent upon this offering.</w:t>
      </w:r>
    </w:p>
    <w:p>
      <w:pPr>
        <w:jc w:val="both"/>
        <w:ind w:left="140" w:right="460"/>
        <w:spacing w:after="0" w:line="257" w:lineRule="auto"/>
        <w:rPr>
          <w:sz w:val="20"/>
          <w:szCs w:val="20"/>
          <w:color w:val="auto"/>
        </w:rPr>
      </w:pPr>
      <w:r>
        <w:rPr>
          <w:rFonts w:ascii="Times New Roman" w:cs="Times New Roman" w:eastAsia="Times New Roman" w:hAnsi="Times New Roman"/>
          <w:sz w:val="17"/>
          <w:szCs w:val="17"/>
          <w:color w:val="auto"/>
        </w:rPr>
        <w:t>810,000,334 shares (or 859,286,048 shares if the underwriter in the concurrent underwritten offering exercises its option to purchase additional shares in full).</w:t>
      </w:r>
    </w:p>
    <w:p>
      <w:pPr>
        <w:spacing w:after="0" w:line="453" w:lineRule="exact"/>
        <w:rPr>
          <w:sz w:val="20"/>
          <w:szCs w:val="20"/>
          <w:color w:val="auto"/>
        </w:rPr>
      </w:pPr>
    </w:p>
    <w:p>
      <w:pPr>
        <w:sectPr>
          <w:pgSz w:w="11900" w:h="16838" w:orient="portrait"/>
          <w:cols w:equalWidth="0" w:num="2">
            <w:col w:w="4740" w:space="200"/>
            <w:col w:w="6280"/>
          </w:cols>
          <w:pgMar w:left="320" w:top="1440" w:right="359" w:bottom="1440" w:gutter="0" w:footer="0" w:header="0"/>
        </w:sectPr>
      </w:pPr>
    </w:p>
    <w:p>
      <w:pPr>
        <w:ind w:left="5080" w:right="140"/>
        <w:spacing w:after="0" w:line="236"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and the concurrent underwritten offering, after deducting placement agent fees, underwriting discounts</w:t>
      </w:r>
    </w:p>
    <w:p>
      <w:pPr>
        <w:ind w:left="5080" w:right="80"/>
        <w:spacing w:after="0" w:line="208" w:lineRule="auto"/>
        <w:rPr>
          <w:sz w:val="20"/>
          <w:szCs w:val="20"/>
          <w:color w:val="auto"/>
        </w:rPr>
      </w:pPr>
      <w:r>
        <w:rPr>
          <w:rFonts w:ascii="Times New Roman" w:cs="Times New Roman" w:eastAsia="Times New Roman" w:hAnsi="Times New Roman"/>
          <w:sz w:val="18"/>
          <w:szCs w:val="18"/>
          <w:color w:val="auto"/>
        </w:rPr>
        <w:t>and commissions and other estimated offering fees and expenses payable by us, will be approximately $142.9 million, or $159.6 million if the underwriter in the concurrent underwritten offering elects to exercise in full its option to purchase</w:t>
      </w:r>
    </w:p>
    <w:p>
      <w:pPr>
        <w:spacing w:after="0" w:line="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additional shares from us)</w:t>
      </w:r>
    </w:p>
    <w:p>
      <w:pPr>
        <w:spacing w:after="0" w:line="9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 and the concurrent</w:t>
      </w:r>
    </w:p>
    <w:p>
      <w:pPr>
        <w:ind w:left="5080"/>
        <w:spacing w:after="0" w:line="219" w:lineRule="auto"/>
        <w:rPr>
          <w:sz w:val="20"/>
          <w:szCs w:val="20"/>
          <w:color w:val="auto"/>
        </w:rPr>
      </w:pPr>
      <w:r>
        <w:rPr>
          <w:rFonts w:ascii="Times New Roman" w:cs="Times New Roman" w:eastAsia="Times New Roman" w:hAnsi="Times New Roman"/>
          <w:sz w:val="18"/>
          <w:szCs w:val="18"/>
          <w:color w:val="auto"/>
        </w:rPr>
        <w:t>underwritten offering primarily for general corporate purposes, including additions</w:t>
      </w:r>
    </w:p>
    <w:p>
      <w:pPr>
        <w:ind w:left="5080"/>
        <w:spacing w:after="0" w:line="203" w:lineRule="auto"/>
        <w:rPr>
          <w:sz w:val="20"/>
          <w:szCs w:val="20"/>
          <w:color w:val="auto"/>
        </w:rPr>
      </w:pPr>
      <w:r>
        <w:rPr>
          <w:rFonts w:ascii="Times New Roman" w:cs="Times New Roman" w:eastAsia="Times New Roman" w:hAnsi="Times New Roman"/>
          <w:sz w:val="18"/>
          <w:szCs w:val="18"/>
          <w:color w:val="auto"/>
        </w:rPr>
        <w:t>to working capital, repayment or redemption of existing indebtedness, and strategic</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investment opportunities. See “</w:t>
      </w:r>
      <w:r>
        <w:rPr>
          <w:rFonts w:ascii="Times New Roman" w:cs="Times New Roman" w:eastAsia="Times New Roman" w:hAnsi="Times New Roman"/>
          <w:sz w:val="18"/>
          <w:szCs w:val="18"/>
          <w:i w:val="1"/>
          <w:iCs w:val="1"/>
          <w:color w:val="auto"/>
        </w:rPr>
        <w:t>Use of Proceeds.”</w:t>
      </w:r>
    </w:p>
    <w:p>
      <w:pPr>
        <w:spacing w:after="0" w:line="45"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Class A common stock involves significant risks. See the disclosure</w:t>
      </w:r>
    </w:p>
    <w:p>
      <w:pPr>
        <w:ind w:left="5080"/>
        <w:spacing w:after="0" w:line="219" w:lineRule="auto"/>
        <w:rPr>
          <w:sz w:val="20"/>
          <w:szCs w:val="20"/>
          <w:color w:val="auto"/>
        </w:rPr>
      </w:pP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under similar</w:t>
      </w:r>
    </w:p>
    <w:p>
      <w:pPr>
        <w:ind w:left="5080"/>
        <w:spacing w:after="0" w:line="203" w:lineRule="auto"/>
        <w:rPr>
          <w:sz w:val="20"/>
          <w:szCs w:val="20"/>
          <w:color w:val="auto"/>
        </w:rPr>
      </w:pPr>
      <w:r>
        <w:rPr>
          <w:rFonts w:ascii="Times New Roman" w:cs="Times New Roman" w:eastAsia="Times New Roman" w:hAnsi="Times New Roman"/>
          <w:sz w:val="18"/>
          <w:szCs w:val="18"/>
          <w:color w:val="auto"/>
        </w:rPr>
        <w:t>headings in other documents incorporated by reference into this prospectus</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supplement and the accompanying prospectus.</w:t>
      </w:r>
    </w:p>
    <w:p>
      <w:pPr>
        <w:spacing w:after="0" w:line="53"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Listing</w:t>
      </w:r>
      <w:r>
        <w:rPr>
          <w:sz w:val="20"/>
          <w:szCs w:val="20"/>
          <w:color w:val="auto"/>
        </w:rPr>
        <w:tab/>
      </w:r>
      <w:r>
        <w:rPr>
          <w:rFonts w:ascii="Times New Roman" w:cs="Times New Roman" w:eastAsia="Times New Roman" w:hAnsi="Times New Roman"/>
          <w:sz w:val="18"/>
          <w:szCs w:val="18"/>
          <w:color w:val="auto"/>
        </w:rPr>
        <w:t>Our Class A common stock is listed on the Nasdaq under the symbol “WGS.”</w:t>
      </w:r>
    </w:p>
    <w:p>
      <w:pPr>
        <w:spacing w:after="0" w:line="2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and the concurrent underwritten offering is based on 381,428,905 shares of our Class A common stock outstanding as of September 30, 2022, and excludes:</w:t>
      </w:r>
    </w:p>
    <w:p>
      <w:pPr>
        <w:spacing w:after="0" w:line="108" w:lineRule="exact"/>
        <w:rPr>
          <w:sz w:val="20"/>
          <w:szCs w:val="20"/>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restricted stock units (“RSUs”) (excluding the Earn-Out RSUs (as defined below)) outstanding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140"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certain RSU awards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Health, Inc.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assumes all 100,000,000 shares of our Class A common stock are issued and sold in this offering, no exercise of the underwriter’s option to purchase additional shares of our Class A common stock in the concurrent underwritten offering, no equity awards were issued under our 2021 Equity Incentive Plan and 2021 Employee Stock Purchase Plan after September 30, 2022, and that no outstanding warrants or options were exercised or terminated, and no outstanding RSUs vested and settled or terminated, after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the risk factors described in the “Risk Factors” sections of our Annual Report on Form 10-K for the fiscal year ended December 31, 2021, and our Quarterly Reports on Form 10-Q for the quarterly periods ended March 31, 2022, June 30, 2022, and September 30, 2022, respectively, which reports are incorporated herein by reference, in addition to the factors set forth below and other information contained in or incorporated by reference in this prospectus supplement and the accompanying prospectus before purchasing our securities. We may face additional risks and uncertainties that are not presently known to us, or that we currently deem immaterial, which may also impair our business or financial condition. See “Where You Can Find More Information; Incorporation by Reference” and “Cautionary Note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and the Underwritten Offering</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any proceeds from the sale of the additional shares in this offering, unless and until our stockholders first vote to approve our issuance of the additional shares in accordance with applicable Nasdaq listing rules.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do not have the right to issue and sell the 22,336,624 additional shares in this offering unless we first obtain the approval of our stockholders in accordance with applicable Nasdaq listing rules to enable us to issue such additional shares. Unless and until we obtain such stockholder approval in accordance with applicable Nasdaq listing rules, we cannot sell any additional shares in this offering. There can be no assurance that our stockholders will vote to approve our issuance of the additional shares. If our stockholders do not approve our issuance the additional shares, the investors in this offering will not be required to purchase the additional shares. As a result, we may not receive all of the expected net proceeds from sales of our Class A common stock in this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the concurrent underwritten offering and may not use them effectively.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the concurrent underwritten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and the concurrent underwritten offering, their ultimate use may vary substantially from their currently intended use. Our management might not apply our net proceeds in ways that ultimately increase the value of your investment. We expect to use the net proceeds from this offering and the concurrent underwritten offering for general corporate purposes. The failure by our management to apply these funds effectively could harm our business. Pending their use, we plan to invest the net proceeds from this offering and the concurrent underwritten offering in short-term or long-term, investment-grade, interest-bearing securities. These investments may not yield a favorable return to our stockholders. If we do not invest or apply the net proceeds from this offering and the concurrent underwritten offering in ways that enhance stockholder value, we may fail to achieve expected financial results, which could cause our stock price to decline.</w:t>
      </w:r>
    </w:p>
    <w:p>
      <w:pPr>
        <w:spacing w:after="0" w:line="13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our Class A common stock, including pursuant to our equity incentive plan and employee stock purchase plan, could result in additional dilution of the percentage ownership of our stockholders and may cause the price of our Class A common stock to decline.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our commercialization efforts related to our Centrellis platform, expanded research and development activities and costs associated with operating as a public company. To raise capital, we may sell our Class A common stock, shares of preferred stock, other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this offering and the concurrent underwritten offering, we will have 810,000,334 shares of Class A common stock outstanding based on the number of shares of Class A common stock outstanding as of September 30, 2022. This includes the shares that we sell in this offering, which may be resold in the public market immediately without restriction, unless they were purchased in this offering by our affiliates, as that term is defined in Rule 144 under the Securities Act of 1933, as amended (the “Securities Act”), in which case they would only be able to be sold in compliance with the requirements of Rule 144.</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subject to certain exceptions, the investors in this offering have agreed not to offer, sell, or agree to sell, directly or indirectly, any shares of Class A common stock without our consent for a period of six-months from the date of this prospectus supplement. See “Plan of Distribution.” However, all of the shares sold in the concurrent public offering and the remaining shares of our Class A common stock outstanding prior to this offering and the concurrent public offering will not be subject to lock-up agreements with us or the underwriter in the concurrent public offering and, except to the extent such shares are held by our affiliates, will be freely tradable without restriction under the Securities Act.</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10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meet applicable Nasdaq continued listing standards or that future noncompliance will not occur. Failure to meet applicable Nasdaq continued listing standards could result in a delisting of our Class A common stock from the Nasdaq, which could materially reduce the liquidity of our Class A common stock and result in a corresponding material reduction in the price of our Class A common stock. Your ability to sell or purchase our Class A common stock when you wish to do so would also be impaired. In addition, delisting could harm our ability to raise capital through alternative financing sources on terms acceptable to us, or at all, and may result in the inability to expand our business, potential loss of confidence by investors and employees, and fewer business development and strategic investment opportunities.</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statements included in this prospectus supplement are presented for illustrative purposes only and may not be reflective of our operating results and financial condition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1440" w:right="439" w:bottom="144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exits from the somatic tumor testing services and the reproductive and women’s health testing business.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included in this prospectus supplement are presented for illustrative purposes only and are not necessarily indicative of what our actual financial condition or results of operations would have been had the exits from the COVID-19 and somatic tumor testing services and the reproductive and women’s health testing business or the Acquisition been completed on the dates indicated. The unaudited pro forma combined financial statements are subject to a number of assumptions. Our actual results and financial condition after the exits may differ materially and adversely from the unaudited pro forma combined financial statements. For further discussion, see “</w:t>
      </w:r>
      <w:r>
        <w:rPr>
          <w:rFonts w:ascii="Times New Roman" w:cs="Times New Roman" w:eastAsia="Times New Roman" w:hAnsi="Times New Roman"/>
          <w:sz w:val="18"/>
          <w:szCs w:val="18"/>
          <w:i w:val="1"/>
          <w:iCs w:val="1"/>
          <w:color w:val="auto"/>
        </w:rPr>
        <w:t>Unaudited Pro Forma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pursuing our new strategic direction, and the historical performance of our business may not be indicative of our future operating results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whole genome testing business coupled with our Centrellis data platform. As a result, we have a limited operating history of pursuing this new strategic direction upon which to evaluate our business and forecast our future operating results and financial condition. Furthermore, when considering the historical performance of our business, investors should bear in mind that this information may not be indicative of the future results that investors should expect from us. In particular, our results could vary significantly from our historical results due to the fact that we are exiting our reproductive and women’s health testing business, which we expect to complete by the end of the first quarter of 2023, we completed the exit of our somatic tumor testing services during the fourth quarter of 2022 and we completed the exit of COVID-19 testing services during the first quarter of 2022. Further, prior to the April 2022 closing of the Acquisition, our historical results do not reflect the results of the Legacy GeneDx business that we acquired.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including net losses of $245.4 million, $241.3 million and $29.7 million for the years ended December 31, 2021, 2020 and 2019, respectively. The net loss was $240.2 million for the nine months ended September 30, 2022. As of September 30, 2022, we had an accumulated deficit of $815.7 million. We expect to continue to generate significant operating losses for the foreseeable future.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our current estimates of our cash and cash equivalents as of December 31, 2022, we do not believe these resources will be sufficient to fund our operations for the next twelve months. However, we believe that our cash and cash equivalents together with the anticipated net proceeds from this offering and the concurrent underwritten offering will be sufficient in the aggregate to fund our operations for at least the next twelve months, although there can be no guarantee that we will successfully raise all the funding we require in this offering and the concurrent underwritten offering.</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Depending on the amount of funding we receive in this offering and the concurrent underwritten offering as well as other factors, we may seek to sell common or preferred equity or convertible debt securities, enter into a credit facility or another form of third-party funding or seek other debt financing, whether in this offering, the concurrent underwritten offering or otherwise. We may also consider raising additional capital in the future to expand our business, to pursue strategic investments, to take advantage of financing opportunities or for other reasons, including to:</w:t>
      </w:r>
    </w:p>
    <w:p>
      <w:pPr>
        <w:spacing w:after="0" w:line="1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4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Centrellis solution;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 If we are unable to raise additional capital, whether in this offering, the concurrent underwritten offering or otherwise, we may be required to undertake cost-cutting measures including delaying or discontinuing certain planned investments or programs.</w:t>
      </w:r>
    </w:p>
    <w:p>
      <w:pPr>
        <w:spacing w:after="0" w:line="13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September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maintain accounting policies, procedures and controls to ensure complete, accurate and timely financial reporting in accordance with U.S.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material weaknesses identified included the following:</w:t>
      </w:r>
    </w:p>
    <w:p>
      <w:pPr>
        <w:spacing w:after="0" w:line="153" w:lineRule="exact"/>
        <w:rPr>
          <w:sz w:val="20"/>
          <w:szCs w:val="20"/>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As noted above, as of September 30, 2022, the material weaknesses had not yet been fully remediated. Furthermore, we have not yet made any conclusions as to whether the actions we have taken have remediated the material weaknesses as of December 31, 2022 because our testing, evaluation and conclusion on the effectiveness of our internal control over financial reporting as of December 31, 2022 will not be completed until sometime in March 2023.</w:t>
      </w:r>
    </w:p>
    <w:p>
      <w:pPr>
        <w:spacing w:after="0" w:line="13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17"/>
          <w:szCs w:val="17"/>
          <w:i w:val="1"/>
          <w:iCs w:val="1"/>
          <w:color w:val="auto"/>
        </w:rPr>
        <w:t>Risk Factors—Risks Related to Being a Public Company—Our internal controls over financial reporting may not be effective and our independent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7"/>
          <w:szCs w:val="17"/>
          <w:color w:val="auto"/>
        </w:rPr>
        <w:t>” in our Quarterly Report on Form 10-Q for the quarterly period ended September 30, 2022, which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reimbursement schedules, or if we are unable to comply with their requirements for reimbursement, our commercial success could be negatively affected.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third-party payors have also requested, and in the future may request, audits of the amounts paid to us. We have been required to repay certain amounts to payers as a result of such audits, including but not limited to the $42 million settlement disclosed in our Form 8-K of December 30, 2022 regarding certain overpayments to Legacy Sema4 allegedly received from a payor, and may be required to repay other payers for alleged overpayments due to lack of compliance with their reimbursement policies.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which include requirements implemented under the HITECH Act, establish federal standards with respect to the use and disclosure of protected health information, or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29" w:lineRule="exact"/>
        <w:rPr>
          <w:sz w:val="20"/>
          <w:szCs w:val="20"/>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related to the use and disclosure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related to the deidentification and aggregation of PHI;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protection of electronic PHI.</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were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healthcare fraud and abuse laws.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which prohibit payments intended to induce healthcare providers or others either to refer patients or to acquire or arrange for or recommend the acquisition of healthcare products or services. These laws constrain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employment and personal services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relators (i.e., whistleblowers), such as competitors, customers, or current/former employees, who will receive a portion of any settlement. As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(“CERT”), program, and payments may be recouped by CMS if it is determined that they were improperly made. Currently, a small percentage of our revenues are generated by payments from Medicare.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right="8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21"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3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human subjects research regulations, including but not limited to the federal Policy for Protection of Human Subjects (45 C.F.R. Part 46), the FDCA and its applicable implementing regulations at 21 C.F.R. Parts 50, 54, 56, 58 and 812,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328" w:right="20" w:hanging="328"/>
        <w:spacing w:after="0" w:line="258"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29"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25" w:lineRule="exact"/>
        <w:rPr>
          <w:rFonts w:ascii="Times New Roman" w:cs="Times New Roman" w:eastAsia="Times New Roman" w:hAnsi="Times New Roman"/>
          <w:sz w:val="18"/>
          <w:szCs w:val="18"/>
          <w:color w:val="auto"/>
        </w:rPr>
      </w:pPr>
    </w:p>
    <w:p>
      <w:pPr>
        <w:ind w:left="328" w:right="58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07" w:lineRule="exact"/>
        <w:rPr>
          <w:rFonts w:ascii="Times New Roman" w:cs="Times New Roman" w:eastAsia="Times New Roman" w:hAnsi="Times New Roman"/>
          <w:sz w:val="18"/>
          <w:szCs w:val="18"/>
          <w:color w:val="auto"/>
        </w:rPr>
      </w:pPr>
    </w:p>
    <w:p>
      <w:pPr>
        <w:jc w:val="both"/>
        <w:ind w:left="328" w:right="34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1" w:lineRule="exact"/>
        <w:rPr>
          <w:rFonts w:ascii="Times New Roman" w:cs="Times New Roman" w:eastAsia="Times New Roman" w:hAnsi="Times New Roman"/>
          <w:sz w:val="18"/>
          <w:szCs w:val="18"/>
          <w:color w:val="auto"/>
        </w:rPr>
      </w:pPr>
    </w:p>
    <w:p>
      <w:pPr>
        <w:jc w:val="both"/>
        <w:ind w:left="328" w:right="28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07" w:lineRule="exact"/>
        <w:rPr>
          <w:rFonts w:ascii="Times New Roman" w:cs="Times New Roman" w:eastAsia="Times New Roman" w:hAnsi="Times New Roman"/>
          <w:sz w:val="18"/>
          <w:szCs w:val="18"/>
          <w:color w:val="auto"/>
        </w:rPr>
      </w:pPr>
    </w:p>
    <w:p>
      <w:pPr>
        <w:ind w:left="328" w:right="280" w:hanging="328"/>
        <w:spacing w:after="0" w:line="258"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physician assistants, nurse practitioners, clinical nurse specialists, certified registered nurse anesthetists and certified nurse midwives and teaching hospitals as well as ownership and investment interests held by physicians and their immediate family members.</w:t>
      </w:r>
    </w:p>
    <w:p>
      <w:pPr>
        <w:spacing w:after="0" w:line="12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17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07" w:lineRule="exact"/>
        <w:rPr>
          <w:rFonts w:ascii="Times New Roman" w:cs="Times New Roman" w:eastAsia="Times New Roman" w:hAnsi="Times New Roman"/>
          <w:sz w:val="18"/>
          <w:szCs w:val="18"/>
          <w:color w:val="auto"/>
        </w:rPr>
      </w:pPr>
    </w:p>
    <w:p>
      <w:pPr>
        <w:ind w:left="328" w:right="32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868"/>
          </w:cols>
          <w:pgMar w:left="652" w:top="1440" w:right="379" w:bottom="1440" w:gutter="0" w:footer="0" w:header="0"/>
        </w:sectPr>
      </w:pPr>
    </w:p>
    <w:bookmarkStart w:id="20" w:name="page21"/>
    <w:bookmarkEnd w:id="20"/>
    <w:p>
      <w:pPr>
        <w:spacing w:after="0" w:line="1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 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 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technology, or other disruptions. Any such breach or interruption could compromise our networks and the information stored therein could be accessed by unauthorized parties, altered, publicly disclosed, lost or stolen.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it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of personal information from the EU to the United Kingdom will require an “adequacy mechanism,” such as the SCCs.</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the Company and historical combined financial statements of Legacy GeneDx and are adjusted to give effect to the completed Acquisition as well as the closure or abandonment of the COVID and somatic tumor testing services and the reproductive and women’s health business previously announced which have either occurred or are probable of occurring.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December 16, 2021 and August 15, 2022, the Company announced its decision to exit COVID-19 and somatic tumor testing services, respectively. Similarly, on November 11, 2022, the board of directors of the Company unanimously approved the Company’s exit from the reproductive and women’s health testing business activities, which includes carrier screening, noninvasive prenatal, and other ancillary reproductive testing offerings. These are referred to as “Exited Activities” in the statements below. On November 14, 2022, the Company announced its plan to pursue a new strategic direction focused on the Company’s exome and whole genome testing business coupled with the Company’s Centrellis data platform.</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combine the historical consolidated statements of comprehensive loss of the Company, which includes the results of Legacy Sema4 and the results of Legacy GeneDx subsequent to the April 29, 2022 Acquisition, and the applicable pre-Acquisition periods of combined statements of comprehensive loss of Legacy GeneDx, giving effect to the Acquisition, as if the Acquisition had been consummated on January 1, 2021, in addition to the adjustments for the Exited Activities.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not presented a pro forma balance sheet as of September 30, 2022 since the assets and liabilities of Legacy GeneDx are already included in the consolidated balance sheet as of September 30, 2022. In addition, at the present time, the Exited Activities do not reflect selling or divesting such businesses, the individual assets and liabilities associated with the Exited Activities will remain as assets and liabilities of the Company. We continue to evaluate the ultimate disposition of the assets of Exited Activities, which may include the sale, return to suppliers, redirect the usage to ongoing business activities or abandonment, and will record the financial effects of the Exited Activities as our estimates evolve.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financial statements should be read in conjunction with our financial statements and the related notes included in our Annual Report on Form 10-K for the year ended December 31, 2021 and our Quarterly Reports on Form 10-Q for the first, second and third quarters ended in 2022, which are incorporated by reference into this prospectus supplement. Subsequent to the unaudited pro forma combined financial statements presented, as part of its strategic realignment, the Company announced the elimination of approximately 500 positions, representing approximately 32.5% of its workforce. We have also identified indicators of impairment in the fourth quarter of 2022 related to the Exited Activities and are in the process of performing a detailed evaluation. Our evaluation will consider the fair value of the assets of the Exited Activities noted above. In addition, and in response to the significant declines in our share price through December 31, 2022, we will also evaluate the goodwill and long-lived intangible assets of the Company for impairment. Additionally, certain current and non-current assets previously utilized in the operation of reproductive and women’s health and somatic tumor testing services, primarily fixed assets and inventory, may be subject to fair market value adjustments in the future periods. As discussed above, we are evaluating the ultimate disposition of these assets, which may include a sale of any assets not expected to be used in our planned operations. Any impairments or fair market value adjustments to the carrying value of assets, if identified, will be recorded in the fourth quarter of 2022.</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unaudited pro forma combined financial statements update and supplement the unaudited pro forma combined financial information previously filed in the Company’s Current Reports on Form 8-K filed with the SEC on May 2, 2022 and August 26, 2022, which reports are incorporated by reference in this prospectus supplement. To the extent that information in the unaudited pro forma combined financial statements differs from or updates information contained in those Current Reports on Form 8-K, the information in the unaudited pro forma combined financial statements supersedes or supplements the information in those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COMBINED STATEMENT OF OPERATIONS FOR THE NINE MONTHS ENDED SEPTEMBER 30, 2022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22"/>
        </w:trPr>
        <w:tc>
          <w:tcPr>
            <w:tcW w:w="4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Exited Activities</w:t>
            </w:r>
          </w:p>
        </w:tc>
        <w:tc>
          <w:tcPr>
            <w:tcW w:w="1220" w:type="dxa"/>
            <w:vAlign w:val="bottom"/>
            <w:tcBorders>
              <w:top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Legacy GeneDx </w:t>
            </w:r>
            <w:r>
              <w:rPr>
                <w:rFonts w:ascii="Times New Roman" w:cs="Times New Roman" w:eastAsia="Times New Roman" w:hAnsi="Times New Roman"/>
                <w:sz w:val="16"/>
                <w:szCs w:val="16"/>
                <w:b w:val="1"/>
                <w:bCs w:val="1"/>
                <w:color w:val="auto"/>
                <w:vertAlign w:val="superscript"/>
              </w:rPr>
              <w:t>(A)</w:t>
            </w:r>
          </w:p>
        </w:tc>
        <w:tc>
          <w:tcPr>
            <w:tcW w:w="16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(B)</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 xml:space="preserve">Adjustments </w:t>
            </w:r>
            <w:r>
              <w:rPr>
                <w:rFonts w:ascii="Times New Roman" w:cs="Times New Roman" w:eastAsia="Times New Roman" w:hAnsi="Times New Roman"/>
                <w:sz w:val="16"/>
                <w:szCs w:val="16"/>
                <w:b w:val="1"/>
                <w:bCs w:val="1"/>
                <w:color w:val="auto"/>
                <w:w w:val="91"/>
                <w:vertAlign w:val="superscript"/>
              </w:rPr>
              <w:t>(H)</w:t>
            </w:r>
          </w:p>
        </w:tc>
        <w:tc>
          <w:tcPr>
            <w:tcW w:w="16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4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Diagnostic test revenue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167,989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(544) </w:t>
            </w:r>
            <w:r>
              <w:rPr>
                <w:rFonts w:ascii="Times New Roman" w:cs="Times New Roman" w:eastAsia="Times New Roman" w:hAnsi="Times New Roman"/>
                <w:sz w:val="10"/>
                <w:szCs w:val="10"/>
                <w:b w:val="1"/>
                <w:bCs w:val="1"/>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120,611</w:t>
            </w:r>
          </w:p>
        </w:tc>
      </w:tr>
      <w:tr>
        <w:trPr>
          <w:trHeight w:val="18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r>
      <w:tr>
        <w:trPr>
          <w:trHeight w:val="163"/>
        </w:trPr>
        <w:tc>
          <w:tcPr>
            <w:tcW w:w="4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Total revenue</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173,344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125,966</w:t>
            </w:r>
          </w:p>
        </w:tc>
      </w:tr>
      <w:tr>
        <w:trPr>
          <w:trHeight w:val="17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183,768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(135,656)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83,223</w:t>
            </w:r>
          </w:p>
        </w:tc>
      </w:tr>
      <w:tr>
        <w:trPr>
          <w:trHeight w:val="163"/>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Total gross profit (loss)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40,018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42,743</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(11,143)</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56,645</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Selling and marketing</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3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45,923</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165,369</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Related party expenses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(5,604) </w:t>
            </w:r>
            <w:r>
              <w:rPr>
                <w:rFonts w:ascii="Times New Roman" w:cs="Times New Roman" w:eastAsia="Times New Roman" w:hAnsi="Times New Roman"/>
                <w:sz w:val="10"/>
                <w:szCs w:val="10"/>
                <w:b w:val="1"/>
                <w:bCs w:val="1"/>
                <w:color w:val="auto"/>
              </w:rPr>
              <w:t>E</w:t>
            </w: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Asset impairment charges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 xml:space="preserve">(5,121) </w:t>
            </w:r>
            <w:r>
              <w:rPr>
                <w:rFonts w:ascii="Times New Roman" w:cs="Times New Roman" w:eastAsia="Times New Roman" w:hAnsi="Times New Roman"/>
                <w:sz w:val="10"/>
                <w:szCs w:val="10"/>
                <w:b w:val="1"/>
                <w:bCs w:val="1"/>
                <w:color w:val="auto"/>
              </w:rPr>
              <w:t>F</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Loss from operations</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(342,770)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(31,764)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143,007</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(229,101)</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49,756</w:t>
            </w:r>
          </w:p>
        </w:tc>
      </w:tr>
      <w:tr>
        <w:trPr>
          <w:trHeight w:val="175"/>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170"/>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(60,948) </w:t>
            </w:r>
            <w:r>
              <w:rPr>
                <w:rFonts w:ascii="Times New Roman" w:cs="Times New Roman" w:eastAsia="Times New Roman" w:hAnsi="Times New Roman"/>
                <w:sz w:val="10"/>
                <w:szCs w:val="10"/>
                <w:b w:val="1"/>
                <w:bCs w:val="1"/>
                <w:color w:val="auto"/>
              </w:rPr>
              <w:t>G</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44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(58,519)</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321,461,266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56,190,476</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377,651,742</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four months operating results of Legacy GeneDx during the pre-Acquisition period.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$3.9 million in legacy stock-based compensation expense and recording of $7.0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$1.6 million is recorded as an adjustment in selling and marketing and amortization expense for tradenames and trademarks and developed technology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$3.1 million in total is recorded as an adjustment in general and administrative. The adjustment was offset by elimination of the legacy intangible asset amortization of $5.6 million.</w:t>
      </w:r>
    </w:p>
    <w:p>
      <w:pPr>
        <w:spacing w:after="0" w:line="27" w:lineRule="exact"/>
        <w:rPr>
          <w:sz w:val="20"/>
          <w:szCs w:val="20"/>
          <w:color w:val="auto"/>
        </w:rPr>
      </w:pPr>
    </w:p>
    <w:p>
      <w:pPr>
        <w:ind w:left="332" w:hanging="332"/>
        <w:spacing w:after="0" w:line="256" w:lineRule="auto"/>
        <w:tabs>
          <w:tab w:leader="none" w:pos="31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Legacy GeneDx recorded a goodwill impairment charge of $5.1 million based on the difference between the carrying value of the business and its estimated fair value based on the fair value of consideration expected to be paid. The Company deemed the adjustment appropriate as the Company does not carry over the legacy goodwill balance recorded. Further details of the goodwill balance are disclosed in the Company’s Quarterly Reports on Form 10-Q for the second and third quarters ended in 2022, which are incorporated by reference into this prospectus supplement.</w:t>
      </w:r>
    </w:p>
    <w:p>
      <w:pPr>
        <w:spacing w:after="0" w:line="1" w:lineRule="exact"/>
        <w:rPr>
          <w:rFonts w:ascii="Times New Roman" w:cs="Times New Roman" w:eastAsia="Times New Roman" w:hAnsi="Times New Roman"/>
          <w:sz w:val="14"/>
          <w:szCs w:val="14"/>
          <w:color w:val="auto"/>
        </w:rPr>
      </w:pPr>
    </w:p>
    <w:p>
      <w:pPr>
        <w:ind w:left="332" w:right="180" w:hanging="332"/>
        <w:spacing w:after="0" w:line="261" w:lineRule="auto"/>
        <w:tabs>
          <w:tab w:leader="none" w:pos="32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elimination of the income tax benefit of $49.1 million for the Company because the acquisition is assumed to have occurred on January 1, 2021 and the tax benefit would be realized in the year of acquisition assumed. Legacy GeneDx tax benefit of $11.8 million was also eliminated as the benefit did not transfer over from OPKO.</w:t>
      </w:r>
    </w:p>
    <w:p>
      <w:pPr>
        <w:ind w:left="332" w:right="400" w:hanging="332"/>
        <w:spacing w:after="0" w:line="263" w:lineRule="auto"/>
        <w:tabs>
          <w:tab w:leader="none" w:pos="32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32"/>
          </w:cols>
          <w:pgMar w:left="328" w:top="1440" w:right="439" w:bottom="1440" w:gutter="0" w:footer="0" w:header="0"/>
        </w:sectPr>
      </w:pPr>
    </w:p>
    <w:bookmarkStart w:id="26" w:name="page27"/>
    <w:bookmarkEnd w:id="2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22"/>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ind w:right="25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Exited Activities</w:t>
            </w:r>
          </w:p>
        </w:tc>
        <w:tc>
          <w:tcPr>
            <w:tcW w:w="120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6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Legacy GeneDx</w:t>
            </w:r>
          </w:p>
        </w:tc>
        <w:tc>
          <w:tcPr>
            <w:tcW w:w="14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6"/>
              </w:rPr>
              <w:t xml:space="preserve">Adjustments </w:t>
            </w:r>
            <w:r>
              <w:rPr>
                <w:rFonts w:ascii="Times New Roman" w:cs="Times New Roman" w:eastAsia="Times New Roman" w:hAnsi="Times New Roman"/>
                <w:sz w:val="16"/>
                <w:szCs w:val="16"/>
                <w:b w:val="1"/>
                <w:bCs w:val="1"/>
                <w:color w:val="auto"/>
                <w:w w:val="96"/>
                <w:vertAlign w:val="superscript"/>
              </w:rPr>
              <w:t>(A)</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(F)</w:t>
            </w:r>
          </w:p>
        </w:tc>
        <w:tc>
          <w:tcPr>
            <w:tcW w:w="14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3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Diagnostic test revenue</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 xml:space="preserve">(2,070) </w:t>
            </w:r>
            <w:r>
              <w:rPr>
                <w:rFonts w:ascii="Times New Roman" w:cs="Times New Roman" w:eastAsia="Times New Roman" w:hAnsi="Times New Roman"/>
                <w:sz w:val="10"/>
                <w:szCs w:val="10"/>
                <w:b w:val="1"/>
                <w:bCs w:val="1"/>
                <w:color w:val="auto"/>
              </w:rPr>
              <w:t>B</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115,348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r>
      <w:tr>
        <w:trPr>
          <w:trHeight w:val="163"/>
        </w:trPr>
        <w:tc>
          <w:tcPr>
            <w:tcW w:w="4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212,195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(2,070)</w:t>
            </w:r>
          </w:p>
        </w:tc>
        <w:tc>
          <w:tcPr>
            <w:tcW w:w="3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122,443</w:t>
            </w:r>
          </w:p>
        </w:tc>
      </w:tr>
      <w:tr>
        <w:trPr>
          <w:trHeight w:val="17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services</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228,797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84,361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94,677</w:t>
            </w:r>
          </w:p>
        </w:tc>
      </w:tr>
      <w:tr>
        <w:trPr>
          <w:trHeight w:val="163"/>
        </w:trPr>
        <w:tc>
          <w:tcPr>
            <w:tcW w:w="4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Total gross profit (loss)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(3,274)</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27,766</w:t>
            </w:r>
          </w:p>
        </w:tc>
      </w:tr>
      <w:tr>
        <w:trPr>
          <w:trHeight w:val="16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Selling and marketing</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13,732</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252,630</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Related party expenses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 xml:space="preserve">(16,813) </w:t>
            </w:r>
            <w:r>
              <w:rPr>
                <w:rFonts w:ascii="Times New Roman" w:cs="Times New Roman" w:eastAsia="Times New Roman" w:hAnsi="Times New Roman"/>
                <w:sz w:val="10"/>
                <w:szCs w:val="10"/>
                <w:b w:val="1"/>
                <w:bCs w:val="1"/>
                <w:color w:val="auto"/>
              </w:rPr>
              <w:t>D</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3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Loss from operations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(446,149)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(6,859)</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(373,108)</w:t>
            </w:r>
          </w:p>
        </w:tc>
      </w:tr>
      <w:tr>
        <w:trPr>
          <w:trHeight w:val="150"/>
        </w:trPr>
        <w:tc>
          <w:tcPr>
            <w:tcW w:w="4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income (expense):</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r>
      <w:tr>
        <w:trPr>
          <w:trHeight w:val="17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3,277</w:t>
            </w:r>
          </w:p>
        </w:tc>
      </w:tr>
      <w:tr>
        <w:trPr>
          <w:trHeight w:val="175"/>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200,759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198,922</w:t>
            </w:r>
          </w:p>
        </w:tc>
      </w:tr>
      <w:tr>
        <w:trPr>
          <w:trHeight w:val="163"/>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(6,819)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(174,186)</w:t>
            </w:r>
          </w:p>
        </w:tc>
      </w:tr>
      <w:tr>
        <w:trPr>
          <w:trHeight w:val="17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49,142</w:t>
            </w:r>
          </w:p>
        </w:tc>
      </w:tr>
      <w:tr>
        <w:trPr>
          <w:trHeight w:val="175"/>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(36,892)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29,776</w:t>
            </w: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(125,044)</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108,077,439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130,000,000</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238,077,439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50"/>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(0.53)</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2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$1.8 million in legacy stock-based compensation expense and recording of $9.4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$4.9 million is recorded as an adjustment in selling and marketing and amortization expense for tradenames and trademarks and developed technology of $7.7 million in total is recorded as an adjustment in general and administrative. The adjustment was offset by elimination of the legacy intangible asset amortization of $16.8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5" w:lineRule="exact"/>
        <w:rPr>
          <w:sz w:val="20"/>
          <w:szCs w:val="20"/>
          <w:color w:val="auto"/>
        </w:rPr>
      </w:pPr>
    </w:p>
    <w:p>
      <w:pPr>
        <w:ind w:left="332" w:hanging="332"/>
        <w:spacing w:after="0" w:line="271" w:lineRule="auto"/>
        <w:tabs>
          <w:tab w:leader="none" w:pos="32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addition of the income tax benefit of $49.1 million for the Company because the acquisition is assumed to have occurred on January 1, 2021. Legacy GeneDx tax benefit of $12.5 million was also eliminated as we note OPKO to absorb this benefit.</w:t>
      </w:r>
    </w:p>
    <w:p>
      <w:pPr>
        <w:ind w:left="332" w:right="180" w:hanging="332"/>
        <w:spacing w:after="0" w:line="263" w:lineRule="auto"/>
        <w:tabs>
          <w:tab w:leader="none" w:pos="31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0892"/>
          </w:cols>
          <w:pgMar w:left="328" w:top="1440" w:right="679" w:bottom="1440" w:gutter="0" w:footer="0" w:header="0"/>
        </w:sectPr>
      </w:pPr>
    </w:p>
    <w:bookmarkStart w:id="28" w:name="page29"/>
    <w:bookmarkEnd w:id="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supplement, the accompanying prospectus and the documents incorporated by reference herein and therein may constitute forward-looking statements for purposes of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supplement, the accompanying prospectus and the documents incorporated by reference herein and therein,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application of the net proceeds from this offering and the concurrent underwritten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call a special meeting of stockholders for the approval of a proposal to issue the additional shares in this offering;</w:t>
      </w:r>
    </w:p>
    <w:p>
      <w:pPr>
        <w:spacing w:after="0" w:line="27" w:lineRule="exact"/>
        <w:rPr>
          <w:rFonts w:ascii="Times New Roman" w:cs="Times New Roman" w:eastAsia="Times New Roman" w:hAnsi="Times New Roman"/>
          <w:sz w:val="18"/>
          <w:szCs w:val="18"/>
          <w:color w:val="auto"/>
        </w:rPr>
      </w:pPr>
    </w:p>
    <w:p>
      <w:pPr>
        <w:ind w:left="660" w:right="98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pursue a new strategic direction, exit our reproductive and women’s health testing business and our ability to scale to profitability, as well as our plans to exit our somatic tumor testing services and the associated cost savings and impact on our gross margins;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other regulatory authorities;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171"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our ability to continue as a going concern, the adequacy of our reserves for third party payor claims, our estimates of the fair value of the milestone payments related to the Acquisition and our conclusions regarding the appropriateness of the carrying value of intangible assets and goodwill;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reflect our views and assumptions only as of the date of this prospectus supplement, the accompanying prospectus or such document, as applicable. Except as required by law, we assume no responsibility for updating any forward-looking statements.</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this offering and the concurrent underwritten offering will be approximately $142.9 million after deducting the placement agent fees, underwriting discounts and commissions and other estimated offering fees and expenses payable by us. If the underwriter’s option to purchase additional shares of Class A common stock is exercised in full in the concurrent underwritten offering, we estimate that we will receive net proceeds of approximately $159.6 million.</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underwritten offering primarily for general corporate purposes, including additions to working capital, repayment or redemption of existing indebtedness, and strategic investment opportunities. We expect the net proceeds from this offering and the concurrent underwritten offering, together with our existing cash, and cash equivalents, to be sufficient to fund our business operations through at least the next 12 months.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“Risk Factors” in this prospectus supplement, the accompanying prospectus and the documents incorporated by reference herein, as well as the amount of cash used in our operations. As a result, our management will have broad discretion over the uses of the net proceeds from this offering and the concurrent underwritten offering and investors will be relying on the judgment of our management regarding the application of the proceeds. Pending these uses, we intend to invest the net proceeds in short-term, interest-bearing obligations, investment-grade instruments, certificates of deposit or guaranteed obligations of the U.S. government.</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expected use of the net proceeds to us from this offering and the concurrent underwritten offering represents our intentions based upon our current plans and business conditions. As of the date of this prospectus supplement, we cannot predict with any certainty all of the particular uses for the net proceeds or the amounts that we will actually spend on the uses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offering up to 100,000,000 shares of our Class A common stock comprising 77,663,376 initial shares that are expected to be issued following the closing of the concurrent underwritten offering and 22,336,624 additional shares that are subject to stockholder approval to satisfy Nasdaq requirements with respect to the issuance of such shares of Class A common stock. The material terms and provisions of our Class A common stock and each other class of our securities which qualifies or limits our Class A common stock are described under the caption “</w:t>
      </w:r>
      <w:r>
        <w:rPr>
          <w:rFonts w:ascii="Times New Roman" w:cs="Times New Roman" w:eastAsia="Times New Roman" w:hAnsi="Times New Roman"/>
          <w:sz w:val="18"/>
          <w:szCs w:val="18"/>
          <w:i w:val="1"/>
          <w:iCs w:val="1"/>
          <w:color w:val="auto"/>
        </w:rPr>
        <w:t>Description of Our Capital Stock</w:t>
      </w:r>
      <w:r>
        <w:rPr>
          <w:rFonts w:ascii="Times New Roman" w:cs="Times New Roman" w:eastAsia="Times New Roman" w:hAnsi="Times New Roman"/>
          <w:sz w:val="18"/>
          <w:szCs w:val="18"/>
          <w:color w:val="auto"/>
        </w:rPr>
        <w:t>” starting on page 13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subject to applicable laws, and will depend on our financial condition, results of operations, capital requirements, restrictions in the agreements governing any indebtedness we may enter into, general business conditions and other factors that our board of directors considers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2022:</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71"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the sale and issuance by us of 100,000,000 shares of Class A common stock in this offering and 328,571,429 shares of Class A common stock in the concurrent underwritten offering, at the offering price of $0.35 per share, after deducting placement agent fees, the underwriting discount and commissions, and other estimated offering fees and expenses payable by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 Adjusted for this</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Offering and the</w:t>
            </w:r>
          </w:p>
        </w:tc>
        <w:tc>
          <w:tcPr>
            <w:tcW w:w="0" w:type="dxa"/>
            <w:vAlign w:val="bottom"/>
          </w:tcPr>
          <w:p>
            <w:pPr>
              <w:spacing w:after="0"/>
              <w:rPr>
                <w:sz w:val="1"/>
                <w:szCs w:val="1"/>
                <w:color w:val="auto"/>
              </w:rPr>
            </w:pPr>
          </w:p>
        </w:tc>
      </w:tr>
      <w:tr>
        <w:trPr>
          <w:trHeight w:val="1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dollars and in thousands, except share and per share amounts)</w:t>
            </w: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1"/>
                <w:szCs w:val="11"/>
                <w:color w:val="auto"/>
              </w:rPr>
            </w:pPr>
          </w:p>
        </w:tc>
        <w:tc>
          <w:tcPr>
            <w:tcW w:w="142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Concurrent</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Underwritten Offering</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381,428,905 shares issued,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810,000,334 shares issued, as adjusted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1,519,798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(815,660)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(815,660)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704,219</w:t>
            </w:r>
          </w:p>
        </w:tc>
        <w:tc>
          <w:tcPr>
            <w:tcW w:w="0" w:type="dxa"/>
            <w:vAlign w:val="bottom"/>
          </w:tcPr>
          <w:p>
            <w:pPr>
              <w:spacing w:after="0"/>
              <w:rPr>
                <w:sz w:val="1"/>
                <w:szCs w:val="1"/>
                <w:color w:val="auto"/>
              </w:rPr>
            </w:pPr>
          </w:p>
        </w:tc>
      </w:tr>
      <w:tr>
        <w:trPr>
          <w:trHeight w:val="22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1,049,155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381,428,905 shares of Class A common stock outstanding as of September 30, 2022 and excludes the following securities:</w:t>
      </w:r>
    </w:p>
    <w:p>
      <w:pPr>
        <w:spacing w:after="0" w:line="108" w:lineRule="exact"/>
        <w:rPr>
          <w:sz w:val="20"/>
          <w:szCs w:val="20"/>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 2022;</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Dilution or accretion is the amount by which the public offering price per share paid by investors in this offering differs from the net tangible book value per share of our Class A common stock immediately after this offering and the concurrent underwritten offering. Our net tangible book value of our Class A common stock as of September 30, 2022 was approximately $144.7 million, or approximately $0.3795 per share of Class A common stock based upon 381,428,905 shares outstanding as of September 30, 2022. Net tangible book value per share is equal to our total tangible assets, less our total liabilities, divided by the total number of shares outstanding as of September 30, 2022.</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Class A common stock in this offering and the concurrent underwritten offering at the offering price of $0.35 per share and after deducting commissions and estimated offering fees and expenses payable by us, our as adjusted net tangible book value as of September 30, 2022 would have been approximately $287,662,331, or $0.3551 per share of Class A common stock. This represents an immediate decrease in net tangible book value of $0.0243 per share of Class A common stock to our existing stockholders and an immediate accretion in net tangible book value of $0.0051 per share of Class A common stock to new investors purchasing Class A common stock in this offering at the public offering price.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9"/>
        </w:trPr>
        <w:tc>
          <w:tcPr>
            <w:tcW w:w="7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price per share</w:t>
            </w:r>
          </w:p>
        </w:tc>
        <w:tc>
          <w:tcPr>
            <w:tcW w:w="6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0.3500</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0.3795</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Decrease in net tangible book value per share attributable to the offering and the concurrent underwritten</w:t>
            </w: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(0.0243)</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r>
      <w:tr>
        <w:trPr>
          <w:trHeight w:val="155"/>
        </w:trPr>
        <w:tc>
          <w:tcPr>
            <w:tcW w:w="7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 and the concurrent</w:t>
            </w: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underwritten offering</w:t>
            </w:r>
          </w:p>
        </w:tc>
        <w:tc>
          <w:tcPr>
            <w:tcW w:w="640" w:type="dxa"/>
            <w:vAlign w:val="bottom"/>
          </w:tcPr>
          <w:p>
            <w:pPr>
              <w:spacing w:after="0"/>
              <w:rPr>
                <w:sz w:val="21"/>
                <w:szCs w:val="21"/>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0.3551</w:t>
            </w:r>
          </w:p>
        </w:tc>
      </w:tr>
      <w:tr>
        <w:trPr>
          <w:trHeight w:val="24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per share to new investors participating in the offering and the concurrent underwritten offering</w:t>
            </w:r>
          </w:p>
        </w:tc>
        <w:tc>
          <w:tcPr>
            <w:tcW w:w="6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underwriter in the concurrent underwritten offering exercises in full its option to purchase an additional 49,285,714 shares of Class A common stock at the offering price of $0.35 per share, our as adjusted net tangible book value per share as of September 30, 2022 would have been $0.3542 per share, representing an immediate decrease in net tangible book value of $0.0253 per share of Class A common stock to our existing stockholders and an immediate accretion in net tangible book value of $0.0042 per share of Class A common stock to new investors purchasing shares Class A common stock in this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and the concurrent underwritten offering is based on 381,428,905 shares of our Class A common stock outstanding as of September 30, 2022, and excludes:</w:t>
      </w:r>
    </w:p>
    <w:p>
      <w:pPr>
        <w:spacing w:after="0" w:line="108" w:lineRule="exact"/>
        <w:rPr>
          <w:sz w:val="20"/>
          <w:szCs w:val="20"/>
          <w:color w:val="auto"/>
        </w:rPr>
      </w:pPr>
    </w:p>
    <w:p>
      <w:pPr>
        <w:ind w:left="660" w:right="2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$l.47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left="328" w:hanging="328"/>
        <w:spacing w:after="0" w:line="261"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0768"/>
          </w:cols>
          <w:pgMar w:left="652" w:top="1440" w:right="47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We are pursuing a new strategic direction focused on our exome and genome sequencing business coupled with our Centrellis® data platform. We are in the process of exiting the reproductive and women’s health testing business, which we expect to complete by the end of the first quarter of 2023, and we also completed the exit of the somatic tumor testing business during the fourth quarter of 2022. For more information, see “Prospectus Supplement Summary—Recent Developments—Legacy Sema4 Business Exits.” Unless the context otherwise requires, the description of our business and operations below assumes the completion of the exits from the somatic tumor testing and the reproductive and women’s health testing businesses.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with conviction that what is best for patients must be embedded in every aspect of our work. At GeneDx, we believe:</w:t>
      </w:r>
    </w:p>
    <w:p>
      <w:pPr>
        <w:spacing w:after="0" w:line="171" w:lineRule="exact"/>
        <w:rPr>
          <w:sz w:val="20"/>
          <w:szCs w:val="20"/>
          <w:color w:val="auto"/>
        </w:rPr>
      </w:pPr>
    </w:p>
    <w:p>
      <w:pPr>
        <w:ind w:left="660" w:right="300" w:hanging="324"/>
        <w:spacing w:after="0" w:line="282" w:lineRule="auto"/>
        <w:rPr>
          <w:sz w:val="20"/>
          <w:szCs w:val="20"/>
          <w:color w:val="auto"/>
        </w:rPr>
      </w:pPr>
      <w:r>
        <w:rPr>
          <w:rFonts w:ascii="Times New Roman" w:cs="Times New Roman" w:eastAsia="Times New Roman" w:hAnsi="Times New Roman"/>
          <w:sz w:val="18"/>
          <w:szCs w:val="18"/>
          <w:color w:val="auto"/>
        </w:rPr>
        <w:t>– genomic information has broad utility and every person should have access to their genome—delivered expertly, ethically and responsibly—to guide health decisions throughout life;</w:t>
      </w:r>
    </w:p>
    <w:p>
      <w:pPr>
        <w:spacing w:after="0" w:line="107" w:lineRule="exact"/>
        <w:rPr>
          <w:sz w:val="20"/>
          <w:szCs w:val="20"/>
          <w:color w:val="auto"/>
        </w:rPr>
      </w:pPr>
    </w:p>
    <w:p>
      <w:pPr>
        <w:ind w:left="660" w:right="520" w:hanging="324"/>
        <w:spacing w:after="0" w:line="282" w:lineRule="auto"/>
        <w:rPr>
          <w:sz w:val="20"/>
          <w:szCs w:val="20"/>
          <w:color w:val="auto"/>
        </w:rPr>
      </w:pPr>
      <w:r>
        <w:rPr>
          <w:rFonts w:ascii="Times New Roman" w:cs="Times New Roman" w:eastAsia="Times New Roman" w:hAnsi="Times New Roman"/>
          <w:sz w:val="18"/>
          <w:szCs w:val="18"/>
          <w:color w:val="auto"/>
        </w:rPr>
        <w:t>– exome and Whole Genome Sequencing (“WGS”) will facilitate a transition from hypothesis-based to genome-guided healthcare which will improve outcomes for patients and healthcare systems that benefit society as a whole;</w:t>
      </w:r>
    </w:p>
    <w:p>
      <w:pPr>
        <w:spacing w:after="0" w:line="107" w:lineRule="exact"/>
        <w:rPr>
          <w:sz w:val="20"/>
          <w:szCs w:val="20"/>
          <w:color w:val="auto"/>
        </w:rPr>
      </w:pPr>
    </w:p>
    <w:p>
      <w:pPr>
        <w:ind w:left="660" w:right="560" w:hanging="324"/>
        <w:spacing w:after="0" w:line="282" w:lineRule="auto"/>
        <w:rPr>
          <w:sz w:val="20"/>
          <w:szCs w:val="20"/>
          <w:color w:val="auto"/>
        </w:rPr>
      </w:pPr>
      <w:r>
        <w:rPr>
          <w:rFonts w:ascii="Times New Roman" w:cs="Times New Roman" w:eastAsia="Times New Roman" w:hAnsi="Times New Roman"/>
          <w:sz w:val="18"/>
          <w:szCs w:val="18"/>
          <w:color w:val="auto"/>
        </w:rPr>
        <w:t>– the ability to curate and combine genomic information with clinical and electronic medical record (“EMR”) data will transform therapeutic development, bringing better therapies to patients, faster; and;</w:t>
      </w:r>
    </w:p>
    <w:p>
      <w:pPr>
        <w:spacing w:after="0" w:line="107" w:lineRule="exact"/>
        <w:rPr>
          <w:sz w:val="20"/>
          <w:szCs w:val="20"/>
          <w:color w:val="auto"/>
        </w:rPr>
      </w:pPr>
    </w:p>
    <w:p>
      <w:pPr>
        <w:ind w:left="660" w:right="580" w:hanging="324"/>
        <w:spacing w:after="0" w:line="282" w:lineRule="auto"/>
        <w:rPr>
          <w:sz w:val="20"/>
          <w:szCs w:val="20"/>
          <w:color w:val="auto"/>
        </w:rPr>
      </w:pPr>
      <w:r>
        <w:rPr>
          <w:rFonts w:ascii="Times New Roman" w:cs="Times New Roman" w:eastAsia="Times New Roman" w:hAnsi="Times New Roman"/>
          <w:sz w:val="18"/>
          <w:szCs w:val="18"/>
          <w:color w:val="auto"/>
        </w:rPr>
        <w:t>– patients should control and have the ability to direct the use of their genomic information to both benefit themselves and advance scientific understanding that helps others.</w:t>
      </w:r>
    </w:p>
    <w:p>
      <w:pPr>
        <w:spacing w:after="0" w:line="10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 In May 2022, GeneDx integrated with Sema4 Holdings, adding legacy Sema4’s Centrellis®, a highly innovative health information platform to our portfolio of solutions. Centrellis® integrates digital tools and artificial intelligence, allowing our scientists to ingest and synthesize clinical and genomic data to deliver better, more comprehensive health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We believe exome and genome testing will become the standard for diagnosis of genetic disease, with the potential to transform healthcare and improve patients’ quality of life for generations by sequencing once and analyzing for a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237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not just due to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are coming down. The less-discussed barrier to having actionable information lies in the ability to process a genome’s worth of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quickly and scalably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to deliver both a result that a clinician can easily act upon to help a patient, and a robust dataset that enables clinicians to drive precise diagnosis and researchers to develop and advance therapeutics.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companies in today’s genetics industry are taking a test-by-test approach to cross the chasm from genetics early adopters to genome 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will require having a robust, well-characterized dataset that can maximize answers and minimize unknowns and that can drive a new era of discovery.</w:t>
      </w:r>
    </w:p>
    <w:p>
      <w:pPr>
        <w:spacing w:after="0" w:line="1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Exome and whole genome sequencing provide the broadest view into the genomic variant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are looking comprehensively into over 20,000 genes, while panels look at anywhere from two to a few hundred genes. While most companies in the industry have grown through a focus on panels, we have focused on exome and whole genome developing structured gene-disease knowledge curated by our team of experts to power automated interpretation and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Test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genome is composed of 3 billion “letters”, or base pairs, of DNA. The exome is a portion of the genome that encodes proteins, which are involved in many different types of cellular functions. Changes in the genome and exome can change the way proteins are formed or are utilized by the cell, potentially causing disease.</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patients present with complex issues, a genetic diagnosis may be available, but a traditional genetic panel test may be too narrow to identify the cause. Some genetic disorders present with very specific symptoms, so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that read the “letters” of a single gene or a small panel of genes, may make sense for physicians to use in diagnosis. But for many other genetic diseases, patients can present with overlapping symptoms and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over 20 years of operation, GeneDx has a proven track record of expertise in genetic testing. We launched the industry’s first commercially available next generation sequencing panels in 2008, pioneered exome sequencing in 2012 and have sequenced over 400,000 exomes to date. We have performed over a million genetic tests and worked tirelessly to develop the following:</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curated database of disease-associated genomic variants.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bioinformatics and variant interpretation pipelines.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exome and whole genome sequencing testing options.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Technology with a Human Touch</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number of new patients we test grows, so does our database as new data increases the potential for greater insights. Comparing new cases against the data from previous cases helps to confirm whether a genetic variant is significant. Once new findings are identified, we aim to proactively reach out to healthcare providers and offer to reanalyze their patients’ previous results. Over time, our objective is to fully automate this reanalysis process in a convenient, easy to understand, efficient method.</w:t>
      </w:r>
    </w:p>
    <w:p>
      <w:pPr>
        <w:spacing w:after="0" w:line="12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In this new world of “one test,” people may be able to carry their genomic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their DNA blueprints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with them throughout their life. GeneDx intends to assist in providing new answers from within, decoding more insights over time. As we capture more genomic and phenotypic data, we hope to fuel a positive feedback cycle of discovery that continuously delivers more value for patients, providers and healthcare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Health Insights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Centrellis®, our health information platform, is supported and fueled by genomic information from our diagnostic business and combined with an ever growing population of clinical health records and data. We engage with patients, physicians, health systems and other partners based on principles of transparency, choice, and consent. Driven by our direct engagement with patients and strategic relationships with multiple health systems, the database we have built contains extensive Electronic Medical Record (EMR) data, totaling approximately 3.1 million patient health records and has been designed to enable Centrellis® to draw from its extensive data assets in a way that enables physicians to proactively diagnose and manage disease. Our datasets include over 20 years of records abstracted from approximately 56 million clinical documents, 47 million phenotypes and 8 million disease diagnoses. We expect our current and targeted strategic relationships will provide us with access to additional active patient cohorts and datasets to continue to build our information base and enable our iterative, data-driven business model, including our genomic test solutions franchise.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primary growth engine in the short term will be expanding our current market-leading exome sequencing capabilities in the Neonatal Intensive Care Units (“NICU”) and Pediatric Developmental Disorder setting, as well as providing interpretation and information services for customers that sequence locally but look to GeneDx for analysis and interpretation, and providing our Centrellis® platform services to biopharmaceutical partners.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unlocking the value of the products, our knowledge base, network of relationships, and expertise, our team is well positioned to lead what we believe is a nearly $30 billion global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80010</wp:posOffset>
            </wp:positionV>
            <wp:extent cx="5143500" cy="2357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00"/>
          </w:cols>
          <w:pgMar w:left="320" w:top="1440" w:right="37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08" w:lineRule="exact"/>
        <w:rPr>
          <w:sz w:val="20"/>
          <w:szCs w:val="20"/>
          <w:color w:val="auto"/>
        </w:rPr>
      </w:pPr>
    </w:p>
    <w:p>
      <w:pPr>
        <w:ind w:left="660" w:right="3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exome and genome sequencing as the first- or second-tier test over most other genetically targeted tests by leveraging decades of earned trust amongst expert geneticists;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these objectives, we plan to:</w:t>
      </w:r>
    </w:p>
    <w:p>
      <w:pPr>
        <w:spacing w:after="0" w:line="171" w:lineRule="exact"/>
        <w:rPr>
          <w:sz w:val="20"/>
          <w:szCs w:val="20"/>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 out of our commercial footprint to nearly 60 field-based sales representatives in 2023, and construct an industry-leading brand, product, marketing, communications and market access platform by leveraging decades of earned trust across the genetics community.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leaders across health systems, manufacturers, commercial and governmental payers and advocacy groups. We aim to collaborate on programs to establish definitive clinical and economic case for broad use of genomic-guided medicine. Such programs will focus 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rapid whole genome sequencing in the NICU and Pediatric Developmental Disorder settings;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disease and prevention of chronic conditions in adults;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rapid whole genome sequencing for broad newborn screening.</w:t>
      </w:r>
    </w:p>
    <w:p>
      <w:pPr>
        <w:spacing w:after="0" w:line="171" w:lineRule="exact"/>
        <w:rPr>
          <w:rFonts w:ascii="Times New Roman" w:cs="Times New Roman" w:eastAsia="Times New Roman" w:hAnsi="Times New Roman"/>
          <w:sz w:val="18"/>
          <w:szCs w:val="18"/>
          <w:color w:val="auto"/>
        </w:rPr>
      </w:pPr>
    </w:p>
    <w:p>
      <w:pPr>
        <w:ind w:left="660" w:right="80" w:hanging="328"/>
        <w:spacing w:after="0" w:line="289"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03" w:lineRule="exact"/>
        <w:rPr>
          <w:rFonts w:ascii="Times New Roman" w:cs="Times New Roman" w:eastAsia="Times New Roman" w:hAnsi="Times New Roman"/>
          <w:sz w:val="17"/>
          <w:szCs w:val="17"/>
          <w:color w:val="auto"/>
        </w:rPr>
      </w:pPr>
    </w:p>
    <w:p>
      <w:pPr>
        <w:ind w:left="660" w:right="20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Centrellis® to become a solutions provider of choice for biopharma. Such solutions will focus on three value-added services:</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Finding rare disease patients for clinical trial recruitment and/or delivery of targeted therapeutics, eventually moving into other disease areas such as cardiology and oncology.</w:t>
      </w:r>
    </w:p>
    <w:p>
      <w:pPr>
        <w:spacing w:after="0" w:line="107"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Supporting research and development for targeted therapies with analytic reports leveraging clinicogenomics data across multiple therapeutic areas with an initial emphasis in rare disease and oncology.</w:t>
      </w:r>
    </w:p>
    <w:p>
      <w:pPr>
        <w:spacing w:after="0" w:line="10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 the long term, providing a therapeutic area agnostic platform to access to data, patients and insights for real world evidence and data to support end-to-end drug discovery pipeline.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participating in several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Baylor, Centogene, Exact Sciences, Invitae, Neogenomics, Personalis, Caris and Tempus as well as other commercial and academic labs.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Seasonality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receive payment for our products and services from third-party payers, patients, business-to-business clients, and from other healthcare partners. Substantially all of our revenue for the nine-month period ending September 30, 2022 has been primarily derived from diagnostic test reports and we expect this trend to continue in the near-term. In the past 12 months, 94% of pediatric specialists in the United States who order exome testing have ordered from GeneDx. We expect over time to achieve a mix of revenue from diagnostic tests, data and information solutions, newborn screening products and information and interpretation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payer mix might cause these historical seasonal patterns to be different than future patterns of revenue or financial performance.</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information regarding our customer concentration in relation to certain of the Company’s third-party payors, see Note 2, “Summary of Significant Accounting Policies” in the Notes to our Unaudited Condensed Consolidated Financial Statements included in Part I, Item 1 of our Quarterly Report on Form 10-Q for the quarter ended September 30, 2022, which is incorporated by reference in this prospectus supplement and the accompanying prospectus. We expect incrementally less concentration among third-party payors following the exits from reproductive health and somatic tumor testing. There are no single customers representing greater than 10% of our revenues or accounts receivable.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 line and revalidate them without experiencing interruptions in our workflow. If we encounter delays or difficulties in securing, reconfiguring or revalidating equipment and materials, our business and reputation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copyrights, trademarks, customary contractual protections to protect our core 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as of January 23, 2023, we have six pending non-provisional utility patent applications and one provisional patent application. The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 The claim scope of any potentially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stemming from the present applications may be narrowed from initial filings due to any amendments that may arise throughout their prosecution.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attempt to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valuable trade secrets relate to proprietary bioinformatic tools such as:</w:t>
      </w:r>
    </w:p>
    <w:p>
      <w:pPr>
        <w:spacing w:after="0" w:line="171"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data processing methods and analytical pipelines for NGS, aCGH, MLPA, Sanger, and other genomic data, optimized and validated to the highest performance standards;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detection method to uncover notoriously difficult to detect sequence variants called mobile element insertions and partial-exon deletions;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variant analysis platforms built from the ground up for exome and genome-scale data interpretation.</w:t>
      </w:r>
    </w:p>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own or are applying for various trademarks, service marks, trade names, and product service names in the U.S and other commercially important markets. We intend to invest significant resources in the growth and protection of our reputation and trademarks.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and will continue to attract and retain a team that recognizes top talent, values diverse experiences and demographics, shares an appreciation for servant-based leadership and, enables the ability for all individuals to make a difference for patients and our organization. We are building a team obsessed with the belief that GeneDx will change the world - advancing our mission to bring broad access and utility of genomics to every day medicine to help patients across the globe. We had approximately 1,100 employees as of January 20, 2023, of which approximately 66% are women and 33% 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00"/>
          </w:cols>
          <w:pgMar w:left="320" w:top="1440" w:right="37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engagement and culture</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established a Justice, Equity, Diversity and Inclusion, or JEDI roadmap, designed to engage, develop and retain talent from diverse backgrounds by providing education and support. We are committed to an environment of inclusiveness internally and a pursuit to close gaps in health disparities.</w:t>
      </w:r>
    </w:p>
    <w:p>
      <w:pPr>
        <w:spacing w:after="0" w:line="86"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We are committed to maintaining and improving the health and safety of our employees at our Connecticut headquarters and our recently renovated laboratory and office space in Maryland, as well providing support for our teammates working remotely across and outside of the United States.</w:t>
      </w:r>
    </w:p>
    <w:p>
      <w:pPr>
        <w:spacing w:after="0" w:line="8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empower our employees to own their career path and seek out training programs to take them to the next level. We are currently in the process of developing a structure of growth opportunities and ways to understand and communicate pathways and are investing in our training and development programs and infrastructure for our employees.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organized and measure progress around shared company-wide objectives and key results to enable prioritization, crisper decision-making and data-driven evaluation of our progress. Team level objectives and key results tied to our company goals allow us each to see how our individual contributions add to the overall success of the Company and ensure that we are collectively all pulling in one direction and measuring our progress beyond simply revenue or volume.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Properties for our core operations include our corporate office and headquarters located at 333 Ludlow Street, Stamford, Connecticut 06902, our primary operating laboratory located at 207 Perry Parkway, Gaithersburg, Maryland 20877, and a satellite meeting space located at 200 Park Avenue South, New York, NY 10002; each are leased spaces. Our laboratory in Stamford, CT will fully cease operations in March 2023 and our laboratory in Branford, CT has already ceased operations as part of the Company’s recently announced exits from reproductive health and somatic tumor testing. These facilities are actively being marketed for sublet; however, the outstanding lease obligations remain obligations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and the services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and State Regulation</w:t>
      </w:r>
    </w:p>
    <w:p>
      <w:pPr>
        <w:spacing w:after="0" w:line="17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payers, for laboratory testing services. Our laboratory located in Gaithersburg, Maryland is CLIA certified to perform high complexity tests. Our laboratory located in Stamford, Connecticut is also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and Stamford laboratories have been accredited by the College of American Pathologists (“CAP”), which means that our laboratories have been certified as following CAP guidelines in operating the laboratory and in performing tests that ensure the quality of our results. Because our laboratories are accredited by CAP, which is a CMS-approved accreditation organization, CMS does not perform these biennial surveys and inspections and relies on our CAP surveys and inspections. We may also be subject to additional unannounced inspections.</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and Stamford facilities in Maryland, New York, California, Pennsylvania and Rhode Island; our Stamford laboratory also maintains a Connecticut clinical laboratory permit. In addition to having laboratory licenses in New York, our laboratories are also required to obtain approval on a test-specific basis for the tests they run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payers. We believe that we are in material compliance with CLIA and all applicable licensing laws and regulations.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 and FDA Oversight of Laboratory Developed Tests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provide our tests as LDTs. Under FDA’s regulatory framework, in vitro diagnostic devices (IVDs) are a type of medical device, including tests that can be used in the diagnosis or detection of diseases, such as cancer, or other conditions.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for FDA – announced that FDA will not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 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in the future and the extent to which such legislation may affect the FDA’s plans to regulate certain LDTs as medical devices is difficult to predict at this time. 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Companion Diagnostics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certain of our tests, we may pursue development as in vitro companion diagnostics for use in selecting the patients that may respond to our partners’ pharmaceutical products. Companion diagnostics (including those offered as LDTs) are regulated by the FDA as medical devices. The FDA issued a final guidance document in August 2014 addressing agency policy in relation to in vitro companion diagnostic tests. The guidance explains that for some drugs and therapeutic biologics, the use of a companion diagnostic test is essential for the safe and effective use of the product, such as when the use of a product is limited to a specific patient subpopulation that can be identified by using the test. According to the guidance, the FDA generally requires the therapeutic product and the companion diagnostic to be developed and approved or cleared contemporaneously. In July 2016, the FDA issued a draft guidance intended to assist sponsors of the drug or biological and in vitro companion diagnostic device on issues related to co-development of the products, and in April 2020, the FDA issued final guidance describing considerations for the development and labeling of in vitro companion diagnostic devices to support the indicated uses of multiple drug or biological oncology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U.S. For purposes of transportation, some biological materials and laboratory supplies are classified as hazardous materials and are subject to regulation by one or more of the following: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Healthcare Fraud &amp; Abuse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Physician Self-Referral Prohibitions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(“FCA”), which can result in additional civil and criminal penalties. Several states have enacted comparable self-referral laws which may be broader in scope and apply regardless of payer.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Anti-Kickback Laws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AKS that apply to all payers or to state program payers.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federal Eliminating Kickbacks in Recovery Act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payers including commercial payers and government payers,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Federal and State Fraud &amp; Abuse Healthcare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payer.</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payer.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Healthcare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fraud and abuse laws discussed above, our business potentially is subject to the following additional healthcare regulatory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Laws Governing Genetic Counseling Services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Human Subjects Research Regulations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Insurance Portability and Accountability Act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or her PHI, request restrictions on the use or disclosure of his or her PHI, or request an accounting of disclosures of his or her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or changes in state or federal laws regarding privacy or security, could result in civil and/or criminal penalties as well as significant reputational damage and could also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Consumer Privacy Act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3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CCPA does not apply to personal information that is PHI under HIPAA and that is collected by a business associate or covered entity under HIPAA. The CCPA also exempts patient information that is processed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0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Further, five new state privacy laws have gone or will go into effect in 2023, including the CPRA, the Virginia Consumer Data Protection Act, the Utah Consumer Privacy Act, the Colorado Privacy Act, and the Connecticut Data Privacy Act, and a number of other states are considering similar laws. The new state privacy laws and any potential federal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Genetic Privacy and Testing Laws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myriad laws designed to establish safeguards regarding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Data Protection Laws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and implementing laws and regulations (“UK GDPR”) applies to any data collection, use and sharing in the context of an establishment the EU or UK as well as extraterritorially to any entity outside the EU and UK when they process personal information related to an offer of goods or services to, or monitoring the behavior of, individuals who are located in the EU or UK. The GDPR and UK GDPR impose 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requirements on controllers and processors of personal data, including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 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Consumer Protection Laws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has provided guidance, tips and advice for companies. The FTC has also published past complaints and consent orders, which it urges companies use as guidance to help avoid an FTC enforcement action, even if a data breach or loss occurs.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the FTC Act, most U.S. states have unfair and deceptive acts and practices statutes, known as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payer payment rates and volumes for their tests. None of our tests meet the current definition of advanced diagnostic laboratory tests, and therefore we believe we are required to report private payer rates for our tests on an every three years basis starting next in 2024. CMS uses the rates and volumes reported by laboratories to develop Medicare payment rates for the tests equal to the volume-weighted median of the private payer payment rates for the tests. Laboratories that fail to report the required payment information may be subject to substantial civil money penalties.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payer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payer rates reported in 2017 or 2024, reduced by up to 15% per test per year in each of 2024 through 2026 (with a second round of private payer rate reporting in 2024 to establish rates for 2025 through 2027).</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denied claims and/or in substantial obligations to repay overpayments to payors. Laboratories must bill various payers, such as private third-party payers, including managed care organizations (“MCO”), and state and federal health care programs, such as Medicare and Medicaid, and each may have different billing requirements. Additionally, the audit requirements we must meet to ensure compliance with applicable laws and regulations,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80"/>
          </w:cols>
          <w:pgMar w:left="320" w:top="1440" w:right="399" w:bottom="1440" w:gutter="0" w:footer="0" w:header="0"/>
        </w:sectPr>
      </w:pPr>
    </w:p>
    <w:bookmarkStart w:id="54" w:name="page55"/>
    <w:bookmarkEnd w:id="5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our internal compliance policies and procedures, add further complexity to the billing process. Other factors that complicate billing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payers with whom we do not have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which party is responsible for payment;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the appropriate level of reimbursement.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against the Company and certain of our current and former officers. The complaint purports to bring suit on behalf of stockholders who purchased our publicly traded securities between March 14, 2022 and August 15, 2022. The complaint purports to allege that defendants made false and misleading statements about our business, operations and prospects in violation of Sections 10(b) and 20(a) of the Exchange Act, and seeks unspecified compensatory damages, fees and costs. We believe the allegations and claims made in the complaint are without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80"/>
          </w:cols>
          <w:pgMar w:left="320" w:top="1440" w:right="399" w:bottom="1440" w:gutter="0" w:footer="0" w:header="0"/>
        </w:sectPr>
      </w:pPr>
    </w:p>
    <w:bookmarkStart w:id="55" w:name="page56"/>
    <w:bookmarkEnd w:id="5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U.S. holders and non-U.S. holders (each as defined below) of the purchase, ownership, conversion and disposition, as applicable, of the shares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as applicable, of the shares of our Class A common stock .</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This discussion is limited to holders that hold our Class A common stock as a “capital asset” within the meaning of Section 1221 of the Code (generally, property held for investment). This discussion does not address all U.S. federal income tax consequences relevant to a holder’s particular circumstances, including, without limitation, the impact of the Medicare contribution tax on net investment income and the alternative minimum tax. In addition, it does not address consequences relevant to holders subject to special rules, including, without limitation:</w:t>
      </w:r>
    </w:p>
    <w:p>
      <w:pPr>
        <w:spacing w:after="0" w:line="12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stock as part of a hedge, straddle or other risk 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 regulated investment companies or 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accounting for their holdings in our stock;</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in such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stock pursuant to the exercise of any employee stock option or otherwise as compensation;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stock being taken into account in an applicable financial statement (as defined in Section 451(b) of the Code);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tax-qualified retirement plans;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60"/>
          </w:cols>
          <w:pgMar w:left="320" w:top="1440" w:right="419" w:bottom="1440" w:gutter="0" w:footer="0" w:header="0"/>
        </w:sectPr>
      </w:pPr>
    </w:p>
    <w:bookmarkStart w:id="56" w:name="page57"/>
    <w:bookmarkEnd w:id="56"/>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U.S. Holder and Non-U.S. Holder</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shares of Class A common stock (other than an entity treated as a partnership for U.S. federal income tax purposes) that, for U.S. federal income tax purposes, is or is treated as any of the following:</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which has one or more “United States persons” (within the meaning of Section 7701(a)(30) of the Code) that have the authority to control all substantive decisions of the trust, or (2) has a valid election in effect to be treated as a United States person for U.S. federal income tax purposes.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Class A common stock that is neither a “U.S. holder” nor an entity treated as a partnership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As described in the section titled “Dividend Policy,” we do not anticipate declaring or paying dividends to holders of our Class A common stock in the foreseeable future. However, if we do make distributions of cash or property on our stock, such distributions will constitute dividends for U.S. federal income tax purposes to the extent paid from our current or accumulated earnings and profits, as determined under U.S. federal income tax principles.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Dividends paid to non-corporate U.S. holders generally will qualify for taxation at reduced rates if such U.S. holders meet certain holding period and other applicable requirements. Amounts not treated as dividends for U.S. federal income tax purposes will constitute a return of capital and first be applied against and reduce a U.S. holder’s adjusted tax basis in its stock, but not below zero. Any excess will be treated as capital gain and will be treated as described below under “—</w:t>
      </w:r>
      <w:r>
        <w:rPr>
          <w:rFonts w:ascii="Times New Roman" w:cs="Times New Roman" w:eastAsia="Times New Roman" w:hAnsi="Times New Roman"/>
          <w:sz w:val="18"/>
          <w:szCs w:val="18"/>
          <w:i w:val="1"/>
          <w:iCs w:val="1"/>
          <w:color w:val="auto"/>
        </w:rPr>
        <w:t>Sale or Other Taxable Disposition</w:t>
      </w:r>
      <w:r>
        <w:rPr>
          <w:rFonts w:ascii="Times New Roman" w:cs="Times New Roman" w:eastAsia="Times New Roman" w:hAnsi="Times New Roman"/>
          <w:sz w:val="18"/>
          <w:szCs w:val="18"/>
          <w:color w:val="auto"/>
        </w:rPr>
        <w:t>.” U.S. holders should consult their tax advisors regarding the application of reduced tax rates in their particular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U.S. holder will recognize capital gain or loss on a sale or other taxable disposition of our stock equal to the difference between the amount of cash and the fair market value of any property received upon the sale or other taxable disposition and the U.S. holder’s adjusted tax basis in the shares sold or disposed of. Such capital gain or loss will be long-term capital gain or loss if the U.S. holder’s holding period for the shares sold or exchanged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40"/>
          </w:cols>
          <w:pgMar w:left="320" w:top="1440" w:right="439" w:bottom="1440" w:gutter="0" w:footer="0" w:header="0"/>
        </w:sectPr>
      </w:pPr>
    </w:p>
    <w:bookmarkStart w:id="57" w:name="page58"/>
    <w:bookmarkEnd w:id="57"/>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 than one year. Long-term capital gains recognized by certain non-corporate U.S. holders, including individuals, will be taxable at reduced rates. The deductibility of capital losses is subject to limitations.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Distributions with respect to our stock to a U.S. holder and proceeds from the sale or other taxable disposition of our stock by the U.S. holder generally are subject to information reporting to the IRS, unless the U.S. holder is an exempt recipient. Backup withholding may apply to such payments if a U.S. holder is not otherwise exempt and:</w:t>
      </w:r>
    </w:p>
    <w:p>
      <w:pPr>
        <w:spacing w:after="0" w:line="12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furnish its taxpayer identification number (“TIN”), which for an individual, is ordinarily his or her social security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furnishes an incorrect TIN;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such holder has failed to properly report payments of dividends or interest; or</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certify, under penalties of perjury, that such holder has furnished a correct TIN and that the IRS has not notified such holder that such holder is subject to backup withholding.</w:t>
      </w:r>
    </w:p>
    <w:p>
      <w:pPr>
        <w:spacing w:after="0" w:line="10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Any distributions of cash or property on our stock will constitute dividends for U.S. federal income tax purposes to the extent paid from our current and accumulated earnings and profits, as determined under U.S. federal income tax principles. Amounts not treated as dividends for U.S. federal income tax purposes will first constitute a return of capital and be applied against and reduce a non-U.S. Holder’s adjusted tax basis in its stock, but not below zero. Any excess will be treated as capital gain and will be treated as described below under “—Sale or Other Taxable Disposition.”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on our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will not be subject to U.S. federal income tax on any gain realized upon the sale or other taxable disposition of our stock unless:</w:t>
      </w:r>
    </w:p>
    <w:p>
      <w:pPr>
        <w:spacing w:after="0" w:line="108" w:lineRule="exact"/>
        <w:rPr>
          <w:sz w:val="20"/>
          <w:szCs w:val="20"/>
          <w:color w:val="auto"/>
        </w:rPr>
      </w:pPr>
    </w:p>
    <w:p>
      <w:pPr>
        <w:ind w:left="660" w:right="34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5" w:lineRule="exact"/>
        <w:rPr>
          <w:rFonts w:ascii="Times New Roman" w:cs="Times New Roman" w:eastAsia="Times New Roman" w:hAnsi="Times New Roman"/>
          <w:sz w:val="17"/>
          <w:szCs w:val="17"/>
          <w:color w:val="auto"/>
        </w:rPr>
      </w:pPr>
    </w:p>
    <w:p>
      <w:pPr>
        <w:ind w:left="660" w:right="2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constitutes a U.S. real property interest (“USRPI”) by reason of our status as a U.S. real property holding corporation (“USRPHC”) for U.S. federal income tax purposes.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5"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their tax advisors regarding potentially applicable income tax treaties that may provide for different rules. </w:t>
      </w:r>
      <w:r>
        <w:rPr>
          <w:rFonts w:ascii="Times New Roman" w:cs="Times New Roman" w:eastAsia="Times New Roman" w:hAnsi="Times New Roman"/>
          <w:sz w:val="18"/>
          <w:szCs w:val="18"/>
          <w:b w:val="1"/>
          <w:bCs w:val="1"/>
          <w:i w:val="1"/>
          <w:iCs w:val="1"/>
          <w:color w:val="auto"/>
        </w:rPr>
        <w:t>Information Reporting and Backup Withholding</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Payments of dividends on our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stock paid to the non-U.S. holder, regardless of whether such distributions constitute dividends or whether any tax was actually withheld. In addition, proceeds of the sale or other taxable disposition of our stock within the United States or conducted through certain U.S. 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stock. The U.S. Department of Treasury has issued proposed Treasury Regulations providing that the withholding provisions under FATCA do not apply with respect to the gross proceeds from a sale or other disposition of our common stock. In its preamble to such proposed regulations, the U.S. Department of the Treasury stated that taxpayers generally may rely on these proposed Treasury Regulations until final Treasury Regulations are issued.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engaged Jefferies LLC, which we refer to as the placement agent, to act as our sole placement agent to solicit offers to purchase the securities offered by this prospectus supplement and the accompanying prospectus. We are offering shares of our Class A common stock in this offering directly to certain institutional investors as arranged by the placement agent. The placement agent has agreed to use its reasonable best efforts to arrange for the sale of all of the Class A common stock offered hereby. The placement agent has no obligation to buy any of the Class A common stock from us nor is the placement agent required to arrange the purchase or sale of any specific number or dollar amount of the Class A common stock. We have agreed to indemnify the placement agent against certain liabilities, including liabilities under the Securities Act, and to contribute to payments that the placement agent may be required to make in respect of those liabilities.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subscription agreements directly with Corvex Select Equity Master Fund LP, Corvex Master Fund LP and Corvex Dynamic Equity Select Master Fund LP, which are institutional investors affiliated with Keith Meister, a member of our board of directors, to purchase our securities in this offering. The subscription agreements contain customary representations, warranties, and agreements by us, including an agreement that we use reasonable best efforts to cause the approval of the issuance of the additional shares by our stockholders under applicable Nasdaq stock market rules.</w:t>
      </w:r>
    </w:p>
    <w:p>
      <w:pPr>
        <w:spacing w:after="0" w:line="126" w:lineRule="exact"/>
        <w:rPr>
          <w:sz w:val="20"/>
          <w:szCs w:val="20"/>
          <w:color w:val="auto"/>
        </w:rPr>
      </w:pPr>
    </w:p>
    <w:p>
      <w:pPr>
        <w:jc w:val="both"/>
        <w:ind w:right="280"/>
        <w:spacing w:after="0" w:line="274" w:lineRule="auto"/>
        <w:rPr>
          <w:sz w:val="20"/>
          <w:szCs w:val="20"/>
          <w:color w:val="auto"/>
        </w:rPr>
      </w:pPr>
      <w:r>
        <w:rPr>
          <w:rFonts w:ascii="Times New Roman" w:cs="Times New Roman" w:eastAsia="Times New Roman" w:hAnsi="Times New Roman"/>
          <w:sz w:val="17"/>
          <w:szCs w:val="17"/>
          <w:color w:val="auto"/>
        </w:rPr>
        <w:t>Confirmations and definitive prospectuses will be distributed to the investors who agree to purchase shares of our Class A common stock, informing the investors of the closing date as to such shares. We currently anticipate that closing of the sale of the 77,663,376 initial shares will take place on or about January 31, 2023 following the closing of the concurrent underwritten offering. We expect to call a special meeting of stockholders for the approval of a proposal to issue the 22,336,624 additional shares. The investors will also be informed of the date and manner in which they must transmit the purchase price for their shares. On the scheduled closing date, we will receive funds in the amount of the aggregate purchase price; Jefferies LLC will receive the placement agent’ fees in accordance with the terms of our engagement and we will cause to be issued to the investors the shares that they purchased.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placement agent fees we will pay in connection with the sale of the securities in this offering, assuming the purchase of all of the securities we are offering.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placement agent fee</w:t>
            </w:r>
          </w:p>
        </w:tc>
        <w:tc>
          <w:tcPr>
            <w:tcW w:w="4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0.0114</w:t>
            </w:r>
          </w:p>
        </w:tc>
      </w:tr>
      <w:tr>
        <w:trPr>
          <w:trHeight w:val="30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4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1,137,500</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also agreed to reimburse the placement agent for certain expenses. See below.</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also reimburse the placement agent’s reasonable and documented expenses in connection with this offering, including fees and expenses of outside counsel, in the amount of up to $25,000. We estimate the total offering expenses of this offering and the concurrent underwritten offering that will be payable by us, excluding the placement agent fees and expenses referred to above, and the underwriter discounts and commissions and expenses in the concurrent underwritten offering, will be approximately $2,200,000.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 is acting as our independent financial advisor for this offering, for which we will pay a customary advisory fee.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“WGS.”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agreements, each investor has agreed that, subject to certain exceptions, during the period beginning from the date of the subscription agreement and continuing to and including the date six months after the date of this prospectus supplement (such period, the “Lock-Up Period”), the investor shall not, and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cause or direct any of its affiliates to, (i) offer, sell, contract to sell, pledge, grant any option, right or warrant to purchase, purchase any option or contract to sell, lend or otherwise transfer or dispose of any shares of Class A common stock, or any options or warrants to purchase any shares of Class A common stock, or any securities convertible into, exchangeable for or that represent the right to receive shares of Class A common stock (such shares of Class A common stock, options, rights, warrants or other securities, collectively, “Lock-Up Securities”), including without limitation any such Lock-Up Securities now owned or hereafter acquired by the investor,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investor or someone other than the investor), or transfer of any of the economic consequences of ownership, in whole or in part, directly or indirectly, of any Lock-Up Securities, whether any such transaction or arrangement (or instrument provided for thereunder) would be settled by delivery of Class A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respective affiliates have a lending relationship with us, they routinely hedge their credit exposure to us consistent with their customary risk management policies. The placement agent and its respective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placement agent and certain of its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foregoing includes a brief summary of certain provisions of the subscription agreements that we entered into and does not purport to be a complete statement of its terms and conditions. A copy of the form of subscription agreement will be filed with the SEC and incorporated by reference into the registration statement of which this prospectus supplement forms a part.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S-61.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and certain other legal matters in connection with this offering will be passed upon by Fenwick &amp; West LLP, New York, New York.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GeneDx Holdings Corp. (f/k/a Sema4 Holdings Corp.) appearing in GeneDx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as of December 31, 2021 and 2020, and for each of the two years in the period ended December 31, 2021, included in the Proxy Statement of GeneDx Holdings Corp. dated March 31, 2022, incorporated by reference in this Prospectus Supplement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 supplement.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and the accompanying prospectus or a previously filed document incorporated by reference will be deemed to be modified or superseded for purposes of this prospectus supplement and the accompanying prospectus to the extent that a statement contained in this prospectus supplement and the accompanying prospectus or a subsequently filed document incorporated by reference modifies or replaces that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5">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16">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our Quarterly Report on Form 10-Q for the quarterly period ended June 30, 2022 filed with the SEC on </w:t>
      </w:r>
      <w:hyperlink r:id="rId17">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 xml:space="preserve">, and our Quarterly Report on Form 10-Q for the quarterly period ended September 30, 2022 filed with the SEC on </w:t>
      </w:r>
      <w:hyperlink r:id="rId18">
        <w:r>
          <w:rPr>
            <w:rFonts w:ascii="Times New Roman" w:cs="Times New Roman" w:eastAsia="Times New Roman" w:hAnsi="Times New Roman"/>
            <w:sz w:val="18"/>
            <w:szCs w:val="18"/>
            <w:u w:val="single" w:color="auto"/>
            <w:color w:val="0000FF"/>
          </w:rPr>
          <w:t>November 14,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Commission on </w:t>
      </w:r>
      <w:hyperlink r:id="rId19">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and 5.02, and Exhibits </w:t>
      </w:r>
      <w:hyperlink r:id="rId20">
        <w:r>
          <w:rPr>
            <w:rFonts w:ascii="Times New Roman" w:cs="Times New Roman" w:eastAsia="Times New Roman" w:hAnsi="Times New Roman"/>
            <w:sz w:val="18"/>
            <w:szCs w:val="18"/>
            <w:color w:val="auto"/>
          </w:rPr>
          <w:t xml:space="preserve">2.1, 10.1, 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Items 4.02 and 9.01 thereto), </w:t>
        </w:r>
        <w:r>
          <w:rPr>
            <w:rFonts w:ascii="Times New Roman" w:cs="Times New Roman" w:eastAsia="Times New Roman" w:hAnsi="Times New Roman"/>
            <w:sz w:val="18"/>
            <w:szCs w:val="18"/>
            <w:u w:val="single" w:color="auto"/>
            <w:color w:val="0000FF"/>
          </w:rPr>
          <w:t>April 27,</w:t>
        </w:r>
      </w:hyperlink>
    </w:p>
    <w:p>
      <w:pPr>
        <w:ind w:left="660" w:right="40"/>
        <w:spacing w:after="0" w:line="250" w:lineRule="auto"/>
        <w:rPr>
          <w:rFonts w:ascii="Times New Roman" w:cs="Times New Roman" w:eastAsia="Times New Roman" w:hAnsi="Times New Roman"/>
          <w:sz w:val="18"/>
          <w:szCs w:val="18"/>
          <w:color w:val="000000"/>
        </w:rPr>
      </w:pPr>
      <w:hyperlink r:id="rId20">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1">
        <w:r>
          <w:rPr>
            <w:rFonts w:ascii="Times New Roman" w:cs="Times New Roman" w:eastAsia="Times New Roman" w:hAnsi="Times New Roman"/>
            <w:sz w:val="18"/>
            <w:szCs w:val="18"/>
            <w:u w:val="single" w:color="auto"/>
            <w:color w:val="0000FF"/>
          </w:rPr>
          <w:t xml:space="preserve">May 2, 2022 </w:t>
        </w:r>
      </w:hyperlink>
      <w:hyperlink r:id="rId20">
        <w:r>
          <w:rPr>
            <w:rFonts w:ascii="Times New Roman" w:cs="Times New Roman" w:eastAsia="Times New Roman" w:hAnsi="Times New Roman"/>
            <w:sz w:val="18"/>
            <w:szCs w:val="18"/>
            <w:color w:val="000000"/>
          </w:rPr>
          <w:t xml:space="preserve">(but only with respect to Items 1.01, 2.01, 3.02, 5.02, 5.03, 8.01, 9.01(a) and 9.01(b), and Exhibits 2.1, 3.1, 10.1, 10.2, </w:t>
        </w:r>
      </w:hyperlink>
      <w:r>
        <w:rPr>
          <w:rFonts w:ascii="Times New Roman" w:cs="Times New Roman" w:eastAsia="Times New Roman" w:hAnsi="Times New Roman"/>
          <w:sz w:val="18"/>
          <w:szCs w:val="18"/>
          <w:color w:val="0000FF"/>
        </w:rPr>
        <w:t xml:space="preserve">23.1, </w:t>
      </w:r>
      <w:r>
        <w:rPr>
          <w:rFonts w:ascii="Times New Roman" w:cs="Times New Roman" w:eastAsia="Times New Roman" w:hAnsi="Times New Roman"/>
          <w:sz w:val="18"/>
          <w:szCs w:val="18"/>
          <w:color w:val="000000"/>
        </w:rPr>
        <w:t xml:space="preserve">99.2 and 99.3 thereto), </w:t>
      </w:r>
      <w:hyperlink r:id="rId22">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3">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w:t>
      </w:r>
      <w:hyperlink r:id="rId24">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8.01, 9.01(a) and 9.01(b), and Exhibits 10.1, 99.2 and 99.3 thereto), </w:t>
      </w:r>
      <w:hyperlink r:id="rId25">
        <w:r>
          <w:rPr>
            <w:rFonts w:ascii="Times New Roman" w:cs="Times New Roman" w:eastAsia="Times New Roman" w:hAnsi="Times New Roman"/>
            <w:sz w:val="18"/>
            <w:szCs w:val="18"/>
            <w:u w:val="single" w:color="auto"/>
            <w:color w:val="0000FF"/>
          </w:rPr>
          <w:t>November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 2.05</w:t>
      </w:r>
    </w:p>
    <w:p>
      <w:pPr>
        <w:spacing w:after="0" w:line="1" w:lineRule="exact"/>
        <w:rPr>
          <w:rFonts w:ascii="Times New Roman" w:cs="Times New Roman" w:eastAsia="Times New Roman" w:hAnsi="Times New Roman"/>
          <w:sz w:val="18"/>
          <w:szCs w:val="18"/>
          <w:color w:val="000000"/>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thereto), </w:t>
      </w:r>
      <w:hyperlink r:id="rId26">
        <w:r>
          <w:rPr>
            <w:rFonts w:ascii="Times New Roman" w:cs="Times New Roman" w:eastAsia="Times New Roman" w:hAnsi="Times New Roman"/>
            <w:sz w:val="18"/>
            <w:szCs w:val="18"/>
            <w:u w:val="single" w:color="auto"/>
            <w:color w:val="0000FF"/>
          </w:rPr>
          <w:t>December 30, 2022</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FF"/>
          </w:rPr>
          <w:t>January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Item 5.03 thereto and Exhibits 3.1 and 3.2 thereto);</w:t>
      </w:r>
    </w:p>
    <w:p>
      <w:pPr>
        <w:spacing w:after="0" w:line="15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combined carve-out balance sheets of GeneDx, Inc. and subsidiary as of December 31, 2021 and 2020, the related audited combined carve-out statements of comprehensive loss, equity and cash flows for each of the two years in the period ended December 31, 2021, and the related notes are included in our definitive proxy statement filed with the SEC on </w:t>
      </w:r>
      <w:hyperlink r:id="rId28">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beginning on page F-41; and</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29">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August 31, 2020, as updated by the description of our Class A common stock contained in Exhibit 4.4 to our Annual Report on </w:t>
      </w:r>
      <w:hyperlink r:id="rId15">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pursuant to this prospectus supplement and the accompanying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29"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1(800) 298-6470, or by sending a written request to GeneDx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220"/>
          </w:cols>
          <w:pgMar w:left="320" w:top="144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36195</wp:posOffset>
            </wp:positionV>
            <wp:extent cx="146558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Preferred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 Warrants, Subscription Rights and Units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up to $300,000,000 aggregate dollar amount of shares of our Class A common stock (the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if permitted, any related free writing prospectus. The prospectus supplement and, if permitted, any related free writing prospectus may also add, update or change information contained in this prospectus. The total amount of these securities will have an initial aggregate offering price of up to $300,000,000.</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if permitted, related free writing prospectus carefully before you invest.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 The applicable prospectus supplement and, if permitted, any related free writing prospectus will contain information, where applicable, as to any other listing on The Nasdaq Global Select Market or any securities market or exchange of the securities covered by the prospectus supplement and, if permitted, any related free writing prospectus.</w:t>
      </w:r>
    </w:p>
    <w:p>
      <w:pPr>
        <w:spacing w:after="0" w:line="1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as well as the sections entitled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before investing in our securities.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Class A 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7, 2022</w:t>
      </w:r>
    </w:p>
    <w:p>
      <w:pPr>
        <w:sectPr>
          <w:pgSz w:w="11900" w:h="16838" w:orient="portrait"/>
          <w:cols w:equalWidth="0" w:num="1">
            <w:col w:w="11240"/>
          </w:cols>
          <w:pgMar w:left="320" w:top="1332" w:right="339" w:bottom="1440" w:gutter="0" w:footer="0" w:header="0"/>
        </w:sectPr>
      </w:pPr>
    </w:p>
    <w:bookmarkStart w:id="65" w:name="page66"/>
    <w:bookmarkEnd w:id="65"/>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080" w:type="dxa"/>
            <w:vAlign w:val="bottom"/>
            <w:gridSpan w:val="8"/>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080" w:type="dxa"/>
            <w:vAlign w:val="bottom"/>
            <w:gridSpan w:val="8"/>
            <w:vMerge w:val="continue"/>
          </w:tcPr>
          <w:p>
            <w:pPr>
              <w:spacing w:after="0"/>
              <w:rPr>
                <w:sz w:val="15"/>
                <w:szCs w:val="15"/>
                <w:color w:val="auto"/>
              </w:rPr>
            </w:pPr>
          </w:p>
        </w:tc>
        <w:tc>
          <w:tcPr>
            <w:tcW w:w="9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080" w:type="dxa"/>
            <w:vAlign w:val="bottom"/>
            <w:gridSpan w:val="8"/>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2"/>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940" w:type="dxa"/>
            <w:vAlign w:val="bottom"/>
            <w:gridSpan w:val="2"/>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4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86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26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86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66" w:name="page67"/>
    <w:bookmarkEnd w:id="6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on Form S-3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statement in one of these documents is inconsistent with a statement in another document having a later date— 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Information by Reference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3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AN ADDITIONAL PROSPECTUS OR A PROSPECTUS SUPPLEMENT.</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 the board of directors of the Company.</w:t>
      </w:r>
    </w:p>
    <w:p>
      <w:pPr>
        <w:spacing w:after="0" w:line="171"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 that certain Agreement and Plan of Merger, dated as of February 9, 2021, as amended, by and among CMLS, S-IV Sub, Inc. and Legacy Sema4.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 CMLS Holdings LLC, a Delaware limited liability company.</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 GeneDx, LLC, a Delaware limited liability company (formerly, GeneDx, Inc., a New Jersey corporation), which we acquired on April 29, 2022.</w:t>
      </w:r>
    </w:p>
    <w:p>
      <w:pPr>
        <w:spacing w:after="0" w:line="10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 the 14,758,305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 holders of shares of our Class A common stock.</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 the warrant agreement between us and Continental Stock Transfer &amp; Trust Company, as warrant agent, governing the terms of the private placement warrants and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Class A common stock, par value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offer shares of our preferred stock, par value $0.0001 per share, in one or more series. Our board of directors (the “Board”)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Class A common stock or preferred stock. In this prospectus, we refer to the senior debt securities and the subordinated debt securities together as the “debt securities.” Our Board will determine the terms of each series of debt securities being offered.</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The actual indenture we enter into in connection with an offering of debt securities may differ significantly from the form of indenture we have filed.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Class A common stock. We may issue warrants independently or together with other securities. Our Board will determine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may offer subscription rights for the purchase of Class A common stock, preferred stock or debt securities. We may issue subscription rights independently or together with other securities. Our Board will determine the terms of the subscription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75"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of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sectPr>
      </w:pPr>
    </w:p>
    <w:bookmarkStart w:id="71" w:name="page72"/>
    <w:bookmarkEnd w:id="7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our April 2022 acquisition of GeneDx;</w:t>
      </w:r>
    </w:p>
    <w:p>
      <w:pPr>
        <w:spacing w:after="0" w:line="171"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left="660" w:right="4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April 2022 acquisition of GeneDx;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1440" w:right="539" w:bottom="1440" w:gutter="0" w:footer="0" w:header="0"/>
        </w:sectPr>
      </w:pPr>
    </w:p>
    <w:bookmarkStart w:id="74" w:name="page75"/>
    <w:bookmarkEnd w:id="7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have previously been filed with the SEC:</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5">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16">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17">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4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19">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21">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22">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3">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4">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29">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General corporate purposes may include additions to working capital, repayment or redemption of existing indebtedness, and strategic investment opportunities. Unless we state otherwise in the applicable prospectus supplement,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40" w:right="399" w:bottom="1440" w:gutter="0" w:footer="0" w:header="0"/>
        </w:sectPr>
      </w:pPr>
    </w:p>
    <w:bookmarkStart w:id="76" w:name="page77"/>
    <w:bookmarkEnd w:id="7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securities, and they may use securities received from us in settlement of those derivatives to close out any related open borrowings of securities.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0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capital stock. This description also summarizes relevant provisions of the General Corporation Law of Delaware (the “DGCL”).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“Amended and Restated Certificate of Incorporation”) and our restated bylaws (our “Bylaws”),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Class A common stock, $0.0001 par value per share, and 1,000,000 shares of preferred stock, $0.0001 par value per share.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40"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“SMFR.”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$300,000,000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15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2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40" w:lineRule="exact"/>
        <w:rPr>
          <w:sz w:val="20"/>
          <w:szCs w:val="20"/>
          <w:color w:val="auto"/>
        </w:rPr>
      </w:pPr>
    </w:p>
    <w:p>
      <w:pPr>
        <w:ind w:left="660" w:right="1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base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Class A common stock or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Class A common stock. The terms and conditions of conversion or exchange will be stated in the applicable prospectus supplement. The terms will include, among others, the following:</w:t>
      </w:r>
    </w:p>
    <w:p>
      <w:pPr>
        <w:spacing w:after="0" w:line="10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form of base indenture provides that we will not consolidate with or merge into any other person or convey, transfer, sell or lease our properties and assets substantially as an entirety to any person, unless:</w:t>
      </w:r>
    </w:p>
    <w:p>
      <w:pPr>
        <w:spacing w:after="0" w:line="108" w:lineRule="exact"/>
        <w:rPr>
          <w:sz w:val="20"/>
          <w:szCs w:val="20"/>
          <w:color w:val="auto"/>
        </w:rPr>
      </w:pPr>
    </w:p>
    <w:p>
      <w:pPr>
        <w:jc w:val="both"/>
        <w:ind w:left="660" w:right="6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84" w:name="page85"/>
    <w:bookmarkEnd w:id="84"/>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including the payment of the principal of and, premium, if any, and interest on the debt securities and the performance of the other covenants under the indenture; and</w:t>
      </w:r>
    </w:p>
    <w:p>
      <w:pPr>
        <w:spacing w:after="0" w:line="108" w:lineRule="exact"/>
        <w:rPr>
          <w:sz w:val="20"/>
          <w:szCs w:val="20"/>
          <w:color w:val="auto"/>
        </w:rPr>
      </w:pPr>
    </w:p>
    <w:p>
      <w:pPr>
        <w:ind w:left="660" w:right="3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08"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3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85" w:name="page86"/>
    <w:bookmarkEnd w:id="85"/>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direct the time, method and place of conducting any proceeding for any remedy available to the trustee, subject to certain limitations specified in the indenture.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08" w:lineRule="exact"/>
        <w:rPr>
          <w:sz w:val="20"/>
          <w:szCs w:val="20"/>
          <w:color w:val="auto"/>
        </w:rPr>
      </w:pPr>
    </w:p>
    <w:p>
      <w:pPr>
        <w:ind w:left="660" w:right="54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or make any other change that does not materially and adversely affect the rights of any holder;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2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40" w:lineRule="exact"/>
        <w:rPr>
          <w:sz w:val="20"/>
          <w:szCs w:val="20"/>
          <w:color w:val="auto"/>
        </w:rPr>
      </w:pPr>
    </w:p>
    <w:p>
      <w:pPr>
        <w:ind w:left="660" w:right="2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08" w:lineRule="exact"/>
        <w:rPr>
          <w:sz w:val="20"/>
          <w:szCs w:val="20"/>
          <w:color w:val="auto"/>
        </w:rPr>
      </w:pPr>
    </w:p>
    <w:p>
      <w:pPr>
        <w:ind w:left="660" w:right="20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released from our obligations with respect to the debt securities under certain covenants contained in the base indenture, as well as any additional covenants which may be contained in the applicable supplemental indenture (which release is referred to as “covenant defeasance”).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7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71" w:lineRule="exact"/>
        <w:rPr>
          <w:sz w:val="20"/>
          <w:szCs w:val="20"/>
          <w:color w:val="auto"/>
        </w:rPr>
      </w:pPr>
    </w:p>
    <w:p>
      <w:pPr>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87" w:name="page88"/>
    <w:bookmarkEnd w:id="87"/>
    <w:p>
      <w:pPr>
        <w:spacing w:after="0" w:line="140"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6" w:lineRule="exact"/>
        <w:rPr>
          <w:sz w:val="20"/>
          <w:szCs w:val="20"/>
          <w:color w:val="auto"/>
        </w:rPr>
      </w:pPr>
    </w:p>
    <w:p>
      <w:pPr>
        <w:ind w:left="660" w:right="80" w:hanging="328"/>
        <w:spacing w:after="0" w:line="26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1440" w:right="1440" w:bottom="1440" w:gutter="0" w:footer="0" w:header="0"/>
        </w:sectPr>
      </w:pPr>
    </w:p>
    <w:bookmarkStart w:id="89" w:name="page90"/>
    <w:bookmarkEnd w:id="8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outstanding warrants to purchase 14,758,305 shares of Class A common stock that we issued in our IPO (the “public warrants”), our outstanding warrants to purchase 7,236,667 shares of Class A common stock that we issued in a private placement in connection with our IPO (the “private placement warrants”) and the warrant agreement governing our public warrants and our private placement warrants (the “warrant agreement”), which is incorporated by reference as an exhibit to the registration statement of which this prospectus forms a part. In addition, the following summary sets forth certain terms and provisions of the additional warrants we may offer pursuant to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0" w:lineRule="exact"/>
        <w:rPr>
          <w:sz w:val="20"/>
          <w:szCs w:val="20"/>
          <w:color w:val="auto"/>
        </w:rPr>
      </w:pPr>
    </w:p>
    <w:p>
      <w:pPr>
        <w:ind w:left="660" w:right="1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and private placement warrants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traded on The Nasdaq Global Select Market under the symbol “SMFRW.”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Warrants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Warrants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0"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Class A common stock or preferred stock will describe the terms of the warrants, including the following:</w:t>
      </w:r>
    </w:p>
    <w:p>
      <w:pPr>
        <w:spacing w:after="0" w:line="10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Class A common stock or preferred stock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440" w:right="419" w:bottom="1440" w:gutter="0" w:footer="0" w:header="0"/>
        </w:sectPr>
      </w:pPr>
    </w:p>
    <w:bookmarkStart w:id="94" w:name="page95"/>
    <w:bookmarkEnd w:id="94"/>
    <w:p>
      <w:pPr>
        <w:spacing w:after="0" w:line="140" w:lineRule="exact"/>
        <w:rPr>
          <w:sz w:val="20"/>
          <w:szCs w:val="20"/>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71" w:lineRule="exact"/>
        <w:rPr>
          <w:rFonts w:ascii="Times New Roman" w:cs="Times New Roman" w:eastAsia="Times New Roman" w:hAnsi="Times New Roman"/>
          <w:sz w:val="18"/>
          <w:szCs w:val="18"/>
          <w:color w:val="auto"/>
        </w:rPr>
      </w:pPr>
    </w:p>
    <w:p>
      <w:pPr>
        <w:ind w:left="540" w:hanging="328"/>
        <w:spacing w:after="0" w:line="282" w:lineRule="auto"/>
        <w:tabs>
          <w:tab w:leader="none" w:pos="5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that may be purchased upon exercise of a warrant and the exercise price for the warrants;</w:t>
      </w:r>
    </w:p>
    <w:p>
      <w:pPr>
        <w:spacing w:after="0" w:line="107"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120" w:right="440" w:firstLine="332"/>
        <w:spacing w:after="0" w:line="438" w:lineRule="auto"/>
        <w:tabs>
          <w:tab w:leader="none" w:pos="5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 to:</w:t>
      </w: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440" w:right="459" w:bottom="1440" w:gutter="0" w:footer="0" w:header="0"/>
        </w:sectPr>
      </w:pPr>
    </w:p>
    <w:bookmarkStart w:id="95" w:name="page96"/>
    <w:bookmarkEnd w:id="9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common stock, preferred stock or debt securities upon the exercise of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common stock, preferred stock or debt securities which may be purchased per each subscription right;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320" w:top="1440" w:right="399" w:bottom="1440" w:gutter="0" w:footer="0" w:header="0"/>
        </w:sectPr>
      </w:pPr>
    </w:p>
    <w:bookmarkStart w:id="96" w:name="page97"/>
    <w:bookmarkEnd w:id="96"/>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1440" w:right="539" w:bottom="1440" w:gutter="0" w:footer="0" w:header="0"/>
        </w:sectPr>
      </w:pPr>
    </w:p>
    <w:bookmarkStart w:id="97" w:name="page98"/>
    <w:bookmarkEnd w:id="9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New York, New York, will issue an opinion about certain legal matters with respect to the securities. Any underwriters or agents will be advised about legal matters relating to any offering by their own counsel.</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1520190</wp:posOffset>
            </wp:positionV>
            <wp:extent cx="206565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100,000,000 Shares of Class A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Placement Agent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490220</wp:posOffset>
            </wp:positionV>
            <wp:extent cx="1517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144780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474345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lvl w:ilvl="1">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upperLetter"/>
      <w:start w:val="1"/>
    </w:lvl>
  </w:abstractNum>
  <w:abstractNum w:abstractNumId="16">
    <w:nsid w:val="2A487CB0"/>
    <w:multiLevelType w:val="hybridMultilevel"/>
    <w:lvl w:ilvl="0">
      <w:lvlJc w:val="left"/>
      <w:lvlText w:val="(%1)"/>
      <w:numFmt w:val="upperLetter"/>
      <w:start w:val="6"/>
    </w:lvl>
  </w:abstractNum>
  <w:abstractNum w:abstractNumId="17">
    <w:nsid w:val="1D4ED43B"/>
    <w:multiLevelType w:val="hybridMultilevel"/>
    <w:lvl w:ilvl="0">
      <w:lvlJc w:val="left"/>
      <w:lvlText w:val="(%1)"/>
      <w:numFmt w:val="upperLetter"/>
      <w:start w:val="1"/>
    </w:lvl>
  </w:abstractNum>
  <w:abstractNum w:abstractNumId="18">
    <w:nsid w:val="725A06FB"/>
    <w:multiLevelType w:val="hybridMultilevel"/>
    <w:lvl w:ilvl="0">
      <w:lvlJc w:val="left"/>
      <w:lvlText w:val="(%1)"/>
      <w:numFmt w:val="upperLetter"/>
      <w:start w:val="5"/>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endash "/>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lvl w:ilvl="1">
      <w:lvlJc w:val="left"/>
      <w:lvlText w:val="◦"/>
      <w:numFmt w:val="bullet"/>
      <w:start w:val="1"/>
    </w:lvl>
  </w:abstractNum>
  <w:abstractNum w:abstractNumId="29">
    <w:nsid w:val="579478FE"/>
    <w:multiLevelType w:val="hybridMultilevel"/>
    <w:lvl w:ilvl="0">
      <w:lvlJc w:val="left"/>
      <w:lvlText w:val="•"/>
      <w:numFmt w:val="bullet"/>
      <w:start w:val="1"/>
    </w:lvl>
    <w:lvl w:ilvl="1">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lvl w:ilvl="1">
      <w:lvlJc w:val="left"/>
      <w:lvlText w:val="%2."/>
      <w:numFmt w:val="decimal"/>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9.png"/><Relationship Id="rId32" Type="http://schemas.openxmlformats.org/officeDocument/2006/relationships/image" Target="media/image10.jpe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15" Type="http://schemas.openxmlformats.org/officeDocument/2006/relationships/hyperlink" Target="https://www.sec.gov/ix?doc=/Archives/edgar/data/1818331/000181833122000037/cmlf-20211231.htm" TargetMode="External"/><Relationship Id="rId16" Type="http://schemas.openxmlformats.org/officeDocument/2006/relationships/hyperlink" Target="https://www.sec.gov/ix?doc=/Archives/edgar/data/1818331/000181833122000046/cmlf-20220331.htm" TargetMode="External"/><Relationship Id="rId17" Type="http://schemas.openxmlformats.org/officeDocument/2006/relationships/hyperlink" Target="https://www.sec.gov/ix?doc=/Archives/edgar/data/1818331/000181833122000069/cmlf-20220630.htm" TargetMode="External"/><Relationship Id="rId18" Type="http://schemas.openxmlformats.org/officeDocument/2006/relationships/hyperlink" Target="https://www.sec.gov/ix?doc=/Archives/edgar/data/1818331/000181833122000078/cmlf-20220930.htm" TargetMode="External"/><Relationship Id="rId19" Type="http://schemas.openxmlformats.org/officeDocument/2006/relationships/hyperlink" Target="https://www.sec.gov/ix?doc=/Archives/edgar/data/0001818331/000181833122000010/smfr-20220114.htm" TargetMode="External"/><Relationship Id="rId20" Type="http://schemas.openxmlformats.org/officeDocument/2006/relationships/hyperlink" Target="https://www.sec.gov/ix?doc=/Archives/edgar/data/0001818331/000162828022010817/smfr-20220427.htm" TargetMode="External"/><Relationship Id="rId21" Type="http://schemas.openxmlformats.org/officeDocument/2006/relationships/hyperlink" Target="https://www.sec.gov/ix?doc=/Archives/edgar/data/0001818331/000162828022011605/smfr-20220429.htm" TargetMode="External"/><Relationship Id="rId22" Type="http://schemas.openxmlformats.org/officeDocument/2006/relationships/hyperlink" Target="https://www.sec.gov/ix?doc=/Archives/edgar/data/1818331/000181833122000053/smfr-20220610.htm" TargetMode="External"/><Relationship Id="rId23" Type="http://schemas.openxmlformats.org/officeDocument/2006/relationships/hyperlink" Target="https://www.sec.gov/ix?doc=/Archives/edgar/data/1818331/000181833122000060/smfr-20220627.htm" TargetMode="External"/><Relationship Id="rId24" Type="http://schemas.openxmlformats.org/officeDocument/2006/relationships/hyperlink" Target="https://www.sec.gov/ix?doc=/Archives/edgar/data/0001818331/000162828022023779/smfr-20220825.htm" TargetMode="External"/><Relationship Id="rId25" Type="http://schemas.openxmlformats.org/officeDocument/2006/relationships/hyperlink" Target="https://www.sec.gov/ix?doc=/Archives/edgar/data/0001818331/000181833122000075/smfr-20221111.htm" TargetMode="External"/><Relationship Id="rId26" Type="http://schemas.openxmlformats.org/officeDocument/2006/relationships/hyperlink" Target="https://www.sec.gov/ix?doc=/Archives/edgar/data/0001818331/000181833122000080/smfr-20221228.htm" TargetMode="External"/><Relationship Id="rId27" Type="http://schemas.openxmlformats.org/officeDocument/2006/relationships/hyperlink" Target="https://www.sec.gov/ix?doc=/Archives/edgar/data/0001818331/000181833123000006/smfr-20230109.htm" TargetMode="External"/><Relationship Id="rId28" Type="http://schemas.openxmlformats.org/officeDocument/2006/relationships/hyperlink" Target="https://www.sec.gov/Archives/edgar/data/1818331/000162828022008073/sema4-2022finalproxy.htm#i9dc8683d5f754346aae9d53d48e80fdd_1049" TargetMode="External"/><Relationship Id="rId29" Type="http://schemas.openxmlformats.org/officeDocument/2006/relationships/hyperlink" Target="https://www.sec.gov/Archives/edgar/data/0001818331/000121390020024549/ea126225-8a12b_cmlifescie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2023-01-30T16:34:17Z</dcterms:created>
  <dcterms:modified xsi:type="dcterms:W3CDTF">2023-01-30T16:34:17Z</dcterms:modified>
</cp:coreProperties>
</file>