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460" w:right="479"/>
        <w:spacing w:after="0"/>
        <w:rPr>
          <w:sz w:val="20"/>
          <w:szCs w:val="20"/>
          <w:color w:val="auto"/>
        </w:rPr>
      </w:pPr>
      <w:r>
        <w:rPr>
          <w:rFonts w:ascii="Arial" w:cs="Arial" w:eastAsia="Arial" w:hAnsi="Arial"/>
          <w:sz w:val="18"/>
          <w:szCs w:val="18"/>
          <w:color w:val="auto"/>
        </w:rPr>
        <w:t>As confidentially submitted to the Securities and Exchange Commission on July 23, 2020. This draft registration statement has not been publicly filed with the Securities and Exchange Commission and all information herein remains strictly confidential</w:t>
      </w:r>
    </w:p>
    <w:p>
      <w:pPr>
        <w:spacing w:after="0" w:line="5" w:lineRule="exact"/>
        <w:rPr>
          <w:sz w:val="24"/>
          <w:szCs w:val="24"/>
          <w:color w:val="auto"/>
        </w:rPr>
      </w:pPr>
    </w:p>
    <w:p>
      <w:pPr>
        <w:ind w:left="606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54610</wp:posOffset>
            </wp:positionV>
            <wp:extent cx="514350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97155</wp:posOffset>
            </wp:positionV>
            <wp:extent cx="514350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25400"/>
                    </a:xfrm>
                    <a:prstGeom prst="rect">
                      <a:avLst/>
                    </a:prstGeom>
                    <a:noFill/>
                  </pic:spPr>
                </pic:pic>
              </a:graphicData>
            </a:graphic>
          </wp:anchor>
        </w:drawing>
      </w:r>
    </w:p>
    <w:p>
      <w:pPr>
        <w:spacing w:after="0" w:line="29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0" w:lineRule="exact"/>
        <w:rPr>
          <w:sz w:val="24"/>
          <w:szCs w:val="24"/>
          <w:color w:val="auto"/>
        </w:rPr>
      </w:pPr>
    </w:p>
    <w:p>
      <w:pPr>
        <w:ind w:left="3280"/>
        <w:spacing w:after="0"/>
        <w:rPr>
          <w:sz w:val="20"/>
          <w:szCs w:val="20"/>
          <w:color w:val="auto"/>
        </w:rPr>
      </w:pPr>
      <w:r>
        <w:rPr>
          <w:rFonts w:ascii="Arial" w:cs="Arial" w:eastAsia="Arial" w:hAnsi="Arial"/>
          <w:sz w:val="16"/>
          <w:szCs w:val="16"/>
          <w:b w:val="1"/>
          <w:bCs w:val="1"/>
          <w:color w:val="auto"/>
        </w:rPr>
        <w:t>___________________________</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FORM S-1</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REGISTRATION STATEMENT</w:t>
      </w:r>
    </w:p>
    <w:p>
      <w:pPr>
        <w:jc w:val="center"/>
        <w:ind w:right="5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19" w:lineRule="exact"/>
        <w:rPr>
          <w:sz w:val="24"/>
          <w:szCs w:val="24"/>
          <w:color w:val="auto"/>
        </w:rPr>
      </w:pPr>
    </w:p>
    <w:p>
      <w:pPr>
        <w:ind w:left="3280"/>
        <w:spacing w:after="0"/>
        <w:rPr>
          <w:sz w:val="20"/>
          <w:szCs w:val="20"/>
          <w:color w:val="auto"/>
        </w:rPr>
      </w:pPr>
      <w:r>
        <w:rPr>
          <w:rFonts w:ascii="Arial" w:cs="Arial" w:eastAsia="Arial" w:hAnsi="Arial"/>
          <w:sz w:val="16"/>
          <w:szCs w:val="16"/>
          <w:b w:val="1"/>
          <w:bCs w:val="1"/>
          <w:color w:val="auto"/>
        </w:rPr>
        <w:t>___________________________</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CM Life Sciences,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Exact name of registrant as specified in its charter</w:t>
      </w:r>
      <w:r>
        <w:rPr>
          <w:rFonts w:ascii="Arial" w:cs="Arial" w:eastAsia="Arial" w:hAnsi="Arial"/>
          <w:sz w:val="18"/>
          <w:szCs w:val="18"/>
          <w:b w:val="1"/>
          <w:bCs w:val="1"/>
          <w:color w:val="auto"/>
        </w:rPr>
        <w:t>)</w:t>
      </w:r>
    </w:p>
    <w:p>
      <w:pPr>
        <w:spacing w:after="0" w:line="40" w:lineRule="exact"/>
        <w:rPr>
          <w:sz w:val="24"/>
          <w:szCs w:val="24"/>
          <w:color w:val="auto"/>
        </w:rPr>
      </w:pPr>
    </w:p>
    <w:p>
      <w:pPr>
        <w:ind w:left="3280"/>
        <w:spacing w:after="0"/>
        <w:rPr>
          <w:sz w:val="20"/>
          <w:szCs w:val="20"/>
          <w:color w:val="auto"/>
        </w:rPr>
      </w:pPr>
      <w:r>
        <w:rPr>
          <w:rFonts w:ascii="Arial" w:cs="Arial" w:eastAsia="Arial" w:hAnsi="Arial"/>
          <w:sz w:val="16"/>
          <w:szCs w:val="16"/>
          <w:b w:val="1"/>
          <w:bCs w:val="1"/>
          <w:color w:val="auto"/>
        </w:rPr>
        <w:t>___________________________</w:t>
      </w:r>
    </w:p>
    <w:p>
      <w:pPr>
        <w:spacing w:after="0" w:line="235" w:lineRule="exact"/>
        <w:rPr>
          <w:sz w:val="24"/>
          <w:szCs w:val="24"/>
          <w:color w:val="auto"/>
        </w:rPr>
      </w:pPr>
    </w:p>
    <w:tbl>
      <w:tblPr>
        <w:tblLayout w:type="fixed"/>
        <w:tblInd w:w="460" w:type="dxa"/>
        <w:tblCellMar>
          <w:top w:w="0" w:type="dxa"/>
          <w:left w:w="0" w:type="dxa"/>
          <w:bottom w:w="0" w:type="dxa"/>
          <w:right w:w="0" w:type="dxa"/>
        </w:tblCellMar>
      </w:tblPr>
      <w:tr>
        <w:trPr>
          <w:trHeight w:val="215"/>
        </w:trPr>
        <w:tc>
          <w:tcPr>
            <w:tcW w:w="2680" w:type="dxa"/>
            <w:vAlign w:val="bottom"/>
            <w:gridSpan w:val="2"/>
          </w:tcPr>
          <w:p>
            <w:pPr>
              <w:ind w:left="920"/>
              <w:spacing w:after="0"/>
              <w:rPr>
                <w:sz w:val="20"/>
                <w:szCs w:val="20"/>
                <w:color w:val="auto"/>
              </w:rPr>
            </w:pPr>
            <w:r>
              <w:rPr>
                <w:rFonts w:ascii="Arial" w:cs="Arial" w:eastAsia="Arial" w:hAnsi="Arial"/>
                <w:sz w:val="16"/>
                <w:szCs w:val="16"/>
                <w:b w:val="1"/>
                <w:bCs w:val="1"/>
                <w:color w:val="auto"/>
              </w:rPr>
              <w:t>Delaware</w:t>
            </w:r>
          </w:p>
        </w:tc>
        <w:tc>
          <w:tcPr>
            <w:tcW w:w="2620" w:type="dxa"/>
            <w:vAlign w:val="bottom"/>
          </w:tcPr>
          <w:p>
            <w:pPr>
              <w:jc w:val="center"/>
              <w:spacing w:after="0"/>
              <w:rPr>
                <w:sz w:val="20"/>
                <w:szCs w:val="20"/>
                <w:color w:val="auto"/>
              </w:rPr>
            </w:pPr>
            <w:r>
              <w:rPr>
                <w:rFonts w:ascii="Arial" w:cs="Arial" w:eastAsia="Arial" w:hAnsi="Arial"/>
                <w:sz w:val="16"/>
                <w:szCs w:val="16"/>
                <w:b w:val="1"/>
                <w:bCs w:val="1"/>
                <w:color w:val="auto"/>
              </w:rPr>
              <w:t>6770</w:t>
            </w:r>
          </w:p>
        </w:tc>
        <w:tc>
          <w:tcPr>
            <w:tcW w:w="8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6"/>
                <w:szCs w:val="16"/>
                <w:b w:val="1"/>
                <w:bCs w:val="1"/>
                <w:color w:val="auto"/>
              </w:rPr>
              <w:t>85-1966622</w:t>
            </w:r>
          </w:p>
        </w:tc>
        <w:tc>
          <w:tcPr>
            <w:tcW w:w="0" w:type="dxa"/>
            <w:vAlign w:val="bottom"/>
          </w:tcPr>
          <w:p>
            <w:pPr>
              <w:spacing w:after="0"/>
              <w:rPr>
                <w:sz w:val="1"/>
                <w:szCs w:val="1"/>
                <w:color w:val="auto"/>
              </w:rPr>
            </w:pPr>
          </w:p>
        </w:tc>
      </w:tr>
      <w:tr>
        <w:trPr>
          <w:trHeight w:val="33"/>
        </w:trPr>
        <w:tc>
          <w:tcPr>
            <w:tcW w:w="260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600" w:type="dxa"/>
            <w:vAlign w:val="bottom"/>
          </w:tcPr>
          <w:p>
            <w:pPr>
              <w:ind w:left="160"/>
              <w:spacing w:after="0" w:line="165" w:lineRule="exact"/>
              <w:rPr>
                <w:sz w:val="20"/>
                <w:szCs w:val="20"/>
                <w:color w:val="auto"/>
              </w:rPr>
            </w:pPr>
            <w:r>
              <w:rPr>
                <w:rFonts w:ascii="Arial" w:cs="Arial" w:eastAsia="Arial" w:hAnsi="Arial"/>
                <w:sz w:val="16"/>
                <w:szCs w:val="16"/>
                <w:b w:val="1"/>
                <w:bCs w:val="1"/>
                <w:color w:val="auto"/>
              </w:rPr>
              <w:t>(State or other jurisdiction of</w:t>
            </w:r>
          </w:p>
        </w:tc>
        <w:tc>
          <w:tcPr>
            <w:tcW w:w="80" w:type="dxa"/>
            <w:vAlign w:val="bottom"/>
            <w:vMerge w:val="continue"/>
          </w:tcPr>
          <w:p>
            <w:pPr>
              <w:spacing w:after="0"/>
              <w:rPr>
                <w:sz w:val="14"/>
                <w:szCs w:val="14"/>
                <w:color w:val="auto"/>
              </w:rPr>
            </w:pPr>
          </w:p>
        </w:tc>
        <w:tc>
          <w:tcPr>
            <w:tcW w:w="262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(Primary Standard Industrial</w:t>
            </w:r>
          </w:p>
        </w:tc>
        <w:tc>
          <w:tcPr>
            <w:tcW w:w="80" w:type="dxa"/>
            <w:vAlign w:val="bottom"/>
            <w:vMerge w:val="continue"/>
          </w:tcPr>
          <w:p>
            <w:pPr>
              <w:spacing w:after="0"/>
              <w:rPr>
                <w:sz w:val="14"/>
                <w:szCs w:val="14"/>
                <w:color w:val="auto"/>
              </w:rPr>
            </w:pPr>
          </w:p>
        </w:tc>
        <w:tc>
          <w:tcPr>
            <w:tcW w:w="272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(I.R.S. Employer</w:t>
            </w:r>
          </w:p>
        </w:tc>
        <w:tc>
          <w:tcPr>
            <w:tcW w:w="0" w:type="dxa"/>
            <w:vAlign w:val="bottom"/>
          </w:tcPr>
          <w:p>
            <w:pPr>
              <w:spacing w:after="0"/>
              <w:rPr>
                <w:sz w:val="1"/>
                <w:szCs w:val="1"/>
                <w:color w:val="auto"/>
              </w:rPr>
            </w:pPr>
          </w:p>
        </w:tc>
      </w:tr>
      <w:tr>
        <w:trPr>
          <w:trHeight w:val="215"/>
        </w:trPr>
        <w:tc>
          <w:tcPr>
            <w:tcW w:w="2680" w:type="dxa"/>
            <w:vAlign w:val="bottom"/>
            <w:gridSpan w:val="2"/>
          </w:tcPr>
          <w:p>
            <w:pPr>
              <w:ind w:left="140"/>
              <w:spacing w:after="0"/>
              <w:rPr>
                <w:sz w:val="20"/>
                <w:szCs w:val="20"/>
                <w:color w:val="auto"/>
              </w:rPr>
            </w:pPr>
            <w:r>
              <w:rPr>
                <w:rFonts w:ascii="Arial" w:cs="Arial" w:eastAsia="Arial" w:hAnsi="Arial"/>
                <w:sz w:val="16"/>
                <w:szCs w:val="16"/>
                <w:b w:val="1"/>
                <w:bCs w:val="1"/>
                <w:color w:val="auto"/>
              </w:rPr>
              <w:t>incorporation or organization)</w:t>
            </w:r>
          </w:p>
        </w:tc>
        <w:tc>
          <w:tcPr>
            <w:tcW w:w="27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Classification Code Number)</w:t>
            </w:r>
          </w:p>
        </w:tc>
        <w:tc>
          <w:tcPr>
            <w:tcW w:w="2720" w:type="dxa"/>
            <w:vAlign w:val="bottom"/>
          </w:tcPr>
          <w:p>
            <w:pPr>
              <w:jc w:val="center"/>
              <w:spacing w:after="0"/>
              <w:rPr>
                <w:sz w:val="20"/>
                <w:szCs w:val="20"/>
                <w:color w:val="auto"/>
              </w:rPr>
            </w:pPr>
            <w:r>
              <w:rPr>
                <w:rFonts w:ascii="Arial" w:cs="Arial" w:eastAsia="Arial" w:hAnsi="Arial"/>
                <w:sz w:val="16"/>
                <w:szCs w:val="16"/>
                <w:b w:val="1"/>
                <w:bCs w:val="1"/>
                <w:color w:val="auto"/>
              </w:rPr>
              <w:t>Identification Number)</w:t>
            </w:r>
          </w:p>
        </w:tc>
        <w:tc>
          <w:tcPr>
            <w:tcW w:w="0" w:type="dxa"/>
            <w:vAlign w:val="bottom"/>
          </w:tcPr>
          <w:p>
            <w:pPr>
              <w:spacing w:after="0"/>
              <w:rPr>
                <w:sz w:val="1"/>
                <w:szCs w:val="1"/>
                <w:color w:val="auto"/>
              </w:rPr>
            </w:pPr>
          </w:p>
        </w:tc>
      </w:tr>
      <w:tr>
        <w:trPr>
          <w:trHeight w:val="393"/>
        </w:trPr>
        <w:tc>
          <w:tcPr>
            <w:tcW w:w="2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00" w:type="dxa"/>
            <w:vAlign w:val="bottom"/>
            <w:gridSpan w:val="2"/>
          </w:tcPr>
          <w:p>
            <w:pPr>
              <w:jc w:val="center"/>
              <w:spacing w:after="0"/>
              <w:rPr>
                <w:sz w:val="20"/>
                <w:szCs w:val="20"/>
                <w:color w:val="auto"/>
              </w:rPr>
            </w:pPr>
            <w:r>
              <w:rPr>
                <w:rFonts w:ascii="Arial" w:cs="Arial" w:eastAsia="Arial" w:hAnsi="Arial"/>
                <w:sz w:val="16"/>
                <w:szCs w:val="16"/>
                <w:b w:val="1"/>
                <w:bCs w:val="1"/>
                <w:color w:val="auto"/>
              </w:rPr>
              <w:t>c/o Corvex Management LP</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0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rPr>
              <w:t>667 Madison Avenue</w:t>
            </w:r>
          </w:p>
        </w:tc>
        <w:tc>
          <w:tcPr>
            <w:tcW w:w="2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00" w:type="dxa"/>
            <w:vAlign w:val="bottom"/>
            <w:gridSpan w:val="2"/>
          </w:tcPr>
          <w:p>
            <w:pPr>
              <w:jc w:val="center"/>
              <w:spacing w:after="0"/>
              <w:rPr>
                <w:sz w:val="20"/>
                <w:szCs w:val="20"/>
                <w:color w:val="auto"/>
              </w:rPr>
            </w:pPr>
            <w:r>
              <w:rPr>
                <w:rFonts w:ascii="Arial" w:cs="Arial" w:eastAsia="Arial" w:hAnsi="Arial"/>
                <w:sz w:val="16"/>
                <w:szCs w:val="16"/>
                <w:b w:val="1"/>
                <w:bCs w:val="1"/>
                <w:color w:val="auto"/>
              </w:rPr>
              <w:t>New York, New York 10065</w:t>
            </w:r>
          </w:p>
        </w:tc>
        <w:tc>
          <w:tcPr>
            <w:tcW w:w="2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20" w:type="dxa"/>
            <w:vAlign w:val="bottom"/>
          </w:tcPr>
          <w:p>
            <w:pPr>
              <w:jc w:val="center"/>
              <w:ind w:left="39"/>
              <w:spacing w:after="0"/>
              <w:rPr>
                <w:sz w:val="20"/>
                <w:szCs w:val="20"/>
                <w:color w:val="auto"/>
              </w:rPr>
            </w:pPr>
            <w:r>
              <w:rPr>
                <w:rFonts w:ascii="Arial" w:cs="Arial" w:eastAsia="Arial" w:hAnsi="Arial"/>
                <w:sz w:val="16"/>
                <w:szCs w:val="16"/>
                <w:b w:val="1"/>
                <w:bCs w:val="1"/>
                <w:color w:val="auto"/>
              </w:rPr>
              <w:t>(212) 474-6745</w:t>
            </w:r>
          </w:p>
        </w:tc>
        <w:tc>
          <w:tcPr>
            <w:tcW w:w="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jc w:val="center"/>
        <w:ind w:left="460" w:right="479"/>
        <w:spacing w:after="0" w:line="246" w:lineRule="auto"/>
        <w:rPr>
          <w:sz w:val="20"/>
          <w:szCs w:val="20"/>
          <w:color w:val="auto"/>
        </w:rPr>
      </w:pPr>
      <w:r>
        <w:rPr>
          <w:rFonts w:ascii="Arial" w:cs="Arial" w:eastAsia="Arial" w:hAnsi="Arial"/>
          <w:sz w:val="16"/>
          <w:szCs w:val="16"/>
          <w:b w:val="1"/>
          <w:bCs w:val="1"/>
          <w:color w:val="auto"/>
        </w:rPr>
        <w:t>(Address, including zip code, and telephone number, including area code, of registrant’s principal executive offices)</w:t>
      </w:r>
    </w:p>
    <w:p>
      <w:pPr>
        <w:spacing w:after="0" w:line="1" w:lineRule="exact"/>
        <w:rPr>
          <w:sz w:val="24"/>
          <w:szCs w:val="24"/>
          <w:color w:val="auto"/>
        </w:rPr>
      </w:pPr>
    </w:p>
    <w:p>
      <w:pPr>
        <w:ind w:left="3280"/>
        <w:spacing w:after="0"/>
        <w:rPr>
          <w:sz w:val="20"/>
          <w:szCs w:val="20"/>
          <w:color w:val="auto"/>
        </w:rPr>
      </w:pPr>
      <w:r>
        <w:rPr>
          <w:rFonts w:ascii="Arial" w:cs="Arial" w:eastAsia="Arial" w:hAnsi="Arial"/>
          <w:sz w:val="16"/>
          <w:szCs w:val="16"/>
          <w:b w:val="1"/>
          <w:bCs w:val="1"/>
          <w:color w:val="auto"/>
        </w:rPr>
        <w:t>___________________________</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Eli Casdin, Chief Executive Officer</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Keith Meister, Chairman</w:t>
      </w:r>
    </w:p>
    <w:p>
      <w:pPr>
        <w:ind w:left="3320"/>
        <w:spacing w:after="0" w:line="234" w:lineRule="auto"/>
        <w:rPr>
          <w:sz w:val="20"/>
          <w:szCs w:val="20"/>
          <w:color w:val="auto"/>
        </w:rPr>
      </w:pPr>
      <w:r>
        <w:rPr>
          <w:rFonts w:ascii="Arial" w:cs="Arial" w:eastAsia="Arial" w:hAnsi="Arial"/>
          <w:sz w:val="18"/>
          <w:szCs w:val="18"/>
          <w:b w:val="1"/>
          <w:bCs w:val="1"/>
          <w:color w:val="auto"/>
        </w:rPr>
        <w:t>c/o Corvex Management LP</w:t>
      </w:r>
    </w:p>
    <w:p>
      <w:pPr>
        <w:ind w:left="3600"/>
        <w:spacing w:after="0" w:line="235" w:lineRule="auto"/>
        <w:rPr>
          <w:sz w:val="20"/>
          <w:szCs w:val="20"/>
          <w:color w:val="auto"/>
        </w:rPr>
      </w:pPr>
      <w:r>
        <w:rPr>
          <w:rFonts w:ascii="Arial" w:cs="Arial" w:eastAsia="Arial" w:hAnsi="Arial"/>
          <w:sz w:val="18"/>
          <w:szCs w:val="18"/>
          <w:b w:val="1"/>
          <w:bCs w:val="1"/>
          <w:color w:val="auto"/>
        </w:rPr>
        <w:t>667 Madison Avenue</w:t>
      </w:r>
    </w:p>
    <w:p>
      <w:pPr>
        <w:jc w:val="center"/>
        <w:spacing w:after="0" w:line="235" w:lineRule="auto"/>
        <w:rPr>
          <w:sz w:val="20"/>
          <w:szCs w:val="20"/>
          <w:color w:val="auto"/>
        </w:rPr>
      </w:pPr>
      <w:r>
        <w:rPr>
          <w:rFonts w:ascii="Arial" w:cs="Arial" w:eastAsia="Arial" w:hAnsi="Arial"/>
          <w:sz w:val="18"/>
          <w:szCs w:val="18"/>
          <w:b w:val="1"/>
          <w:bCs w:val="1"/>
          <w:color w:val="auto"/>
        </w:rPr>
        <w:t>New York, New York 10065</w:t>
      </w:r>
    </w:p>
    <w:p>
      <w:pPr>
        <w:jc w:val="center"/>
        <w:spacing w:after="0" w:line="235" w:lineRule="auto"/>
        <w:rPr>
          <w:sz w:val="20"/>
          <w:szCs w:val="20"/>
          <w:color w:val="auto"/>
        </w:rPr>
      </w:pPr>
      <w:r>
        <w:rPr>
          <w:rFonts w:ascii="Arial" w:cs="Arial" w:eastAsia="Arial" w:hAnsi="Arial"/>
          <w:sz w:val="18"/>
          <w:szCs w:val="18"/>
          <w:b w:val="1"/>
          <w:bCs w:val="1"/>
          <w:color w:val="auto"/>
        </w:rPr>
        <w:t>(212) 474-6745</w:t>
      </w:r>
    </w:p>
    <w:p>
      <w:pPr>
        <w:jc w:val="center"/>
        <w:spacing w:after="0" w:line="235" w:lineRule="auto"/>
        <w:rPr>
          <w:sz w:val="20"/>
          <w:szCs w:val="20"/>
          <w:color w:val="auto"/>
        </w:rPr>
      </w:pPr>
      <w:r>
        <w:rPr>
          <w:rFonts w:ascii="Arial" w:cs="Arial" w:eastAsia="Arial" w:hAnsi="Arial"/>
          <w:sz w:val="18"/>
          <w:szCs w:val="18"/>
          <w:b w:val="1"/>
          <w:bCs w:val="1"/>
          <w:color w:val="auto"/>
        </w:rPr>
        <w:t>(Name, address, including zip code, and telephone number, including area code, of agent for</w:t>
      </w:r>
    </w:p>
    <w:p>
      <w:pPr>
        <w:jc w:val="center"/>
        <w:spacing w:after="0" w:line="237" w:lineRule="auto"/>
        <w:rPr>
          <w:sz w:val="20"/>
          <w:szCs w:val="20"/>
          <w:color w:val="auto"/>
        </w:rPr>
      </w:pPr>
      <w:r>
        <w:rPr>
          <w:rFonts w:ascii="Arial" w:cs="Arial" w:eastAsia="Arial" w:hAnsi="Arial"/>
          <w:sz w:val="18"/>
          <w:szCs w:val="18"/>
          <w:b w:val="1"/>
          <w:bCs w:val="1"/>
          <w:color w:val="auto"/>
        </w:rPr>
        <w:t>service)</w:t>
      </w:r>
    </w:p>
    <w:p>
      <w:pPr>
        <w:spacing w:after="0" w:line="1" w:lineRule="exact"/>
        <w:rPr>
          <w:sz w:val="24"/>
          <w:szCs w:val="24"/>
          <w:color w:val="auto"/>
        </w:rPr>
      </w:pPr>
    </w:p>
    <w:p>
      <w:pPr>
        <w:ind w:left="3280"/>
        <w:spacing w:after="0"/>
        <w:rPr>
          <w:sz w:val="20"/>
          <w:szCs w:val="20"/>
          <w:color w:val="auto"/>
        </w:rPr>
      </w:pPr>
      <w:r>
        <w:rPr>
          <w:rFonts w:ascii="Arial" w:cs="Arial" w:eastAsia="Arial" w:hAnsi="Arial"/>
          <w:sz w:val="16"/>
          <w:szCs w:val="16"/>
          <w:b w:val="1"/>
          <w:bCs w:val="1"/>
          <w:color w:val="auto"/>
        </w:rPr>
        <w:t>___________________________</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176" w:lineRule="exact"/>
        <w:rPr>
          <w:sz w:val="24"/>
          <w:szCs w:val="24"/>
          <w:color w:val="auto"/>
        </w:rPr>
      </w:pPr>
    </w:p>
    <w:tbl>
      <w:tblPr>
        <w:tblLayout w:type="fixed"/>
        <w:tblInd w:w="1320" w:type="dxa"/>
        <w:tblCellMar>
          <w:top w:w="0" w:type="dxa"/>
          <w:left w:w="0" w:type="dxa"/>
          <w:bottom w:w="0" w:type="dxa"/>
          <w:right w:w="0" w:type="dxa"/>
        </w:tblCellMar>
      </w:tblPr>
      <w:tr>
        <w:trPr>
          <w:trHeight w:val="189"/>
        </w:trPr>
        <w:tc>
          <w:tcPr>
            <w:tcW w:w="2900" w:type="dxa"/>
            <w:vAlign w:val="bottom"/>
          </w:tcPr>
          <w:p>
            <w:pPr>
              <w:jc w:val="center"/>
              <w:ind w:right="579"/>
              <w:spacing w:after="0"/>
              <w:rPr>
                <w:sz w:val="20"/>
                <w:szCs w:val="20"/>
                <w:color w:val="auto"/>
              </w:rPr>
            </w:pPr>
            <w:r>
              <w:rPr>
                <w:rFonts w:ascii="Arial" w:cs="Arial" w:eastAsia="Arial" w:hAnsi="Arial"/>
                <w:sz w:val="16"/>
                <w:szCs w:val="16"/>
                <w:b w:val="1"/>
                <w:bCs w:val="1"/>
                <w:color w:val="auto"/>
              </w:rPr>
              <w:t>Joel L. Rubinstein</w:t>
            </w:r>
          </w:p>
        </w:tc>
        <w:tc>
          <w:tcPr>
            <w:tcW w:w="3960" w:type="dxa"/>
            <w:vAlign w:val="bottom"/>
          </w:tcPr>
          <w:p>
            <w:pPr>
              <w:jc w:val="center"/>
              <w:ind w:left="559"/>
              <w:spacing w:after="0"/>
              <w:rPr>
                <w:sz w:val="20"/>
                <w:szCs w:val="20"/>
                <w:color w:val="auto"/>
              </w:rPr>
            </w:pPr>
            <w:r>
              <w:rPr>
                <w:rFonts w:ascii="Arial" w:cs="Arial" w:eastAsia="Arial" w:hAnsi="Arial"/>
                <w:sz w:val="16"/>
                <w:szCs w:val="16"/>
                <w:b w:val="1"/>
                <w:bCs w:val="1"/>
                <w:color w:val="auto"/>
              </w:rPr>
              <w:t>Gregg A. Noel</w:t>
            </w:r>
          </w:p>
        </w:tc>
      </w:tr>
      <w:tr>
        <w:trPr>
          <w:trHeight w:val="189"/>
        </w:trPr>
        <w:tc>
          <w:tcPr>
            <w:tcW w:w="2900" w:type="dxa"/>
            <w:vAlign w:val="bottom"/>
          </w:tcPr>
          <w:p>
            <w:pPr>
              <w:jc w:val="center"/>
              <w:ind w:right="579"/>
              <w:spacing w:after="0"/>
              <w:rPr>
                <w:sz w:val="20"/>
                <w:szCs w:val="20"/>
                <w:color w:val="auto"/>
              </w:rPr>
            </w:pPr>
            <w:r>
              <w:rPr>
                <w:rFonts w:ascii="Arial" w:cs="Arial" w:eastAsia="Arial" w:hAnsi="Arial"/>
                <w:sz w:val="16"/>
                <w:szCs w:val="16"/>
                <w:b w:val="1"/>
                <w:bCs w:val="1"/>
                <w:color w:val="auto"/>
              </w:rPr>
              <w:t>Colin J. Diamond</w:t>
            </w:r>
          </w:p>
        </w:tc>
        <w:tc>
          <w:tcPr>
            <w:tcW w:w="3960" w:type="dxa"/>
            <w:vAlign w:val="bottom"/>
          </w:tcPr>
          <w:p>
            <w:pPr>
              <w:jc w:val="center"/>
              <w:ind w:left="579"/>
              <w:spacing w:after="0"/>
              <w:rPr>
                <w:sz w:val="20"/>
                <w:szCs w:val="20"/>
                <w:color w:val="auto"/>
              </w:rPr>
            </w:pPr>
            <w:r>
              <w:rPr>
                <w:rFonts w:ascii="Arial" w:cs="Arial" w:eastAsia="Arial" w:hAnsi="Arial"/>
                <w:sz w:val="16"/>
                <w:szCs w:val="16"/>
                <w:b w:val="1"/>
                <w:bCs w:val="1"/>
                <w:color w:val="auto"/>
              </w:rPr>
              <w:t>Michael J. Mies</w:t>
            </w:r>
          </w:p>
        </w:tc>
      </w:tr>
      <w:tr>
        <w:trPr>
          <w:trHeight w:val="189"/>
        </w:trPr>
        <w:tc>
          <w:tcPr>
            <w:tcW w:w="2900" w:type="dxa"/>
            <w:vAlign w:val="bottom"/>
          </w:tcPr>
          <w:p>
            <w:pPr>
              <w:jc w:val="center"/>
              <w:ind w:right="579"/>
              <w:spacing w:after="0"/>
              <w:rPr>
                <w:sz w:val="20"/>
                <w:szCs w:val="20"/>
                <w:color w:val="auto"/>
              </w:rPr>
            </w:pPr>
            <w:r>
              <w:rPr>
                <w:rFonts w:ascii="Arial" w:cs="Arial" w:eastAsia="Arial" w:hAnsi="Arial"/>
                <w:sz w:val="16"/>
                <w:szCs w:val="16"/>
                <w:b w:val="1"/>
                <w:bCs w:val="1"/>
                <w:color w:val="auto"/>
              </w:rPr>
              <w:t>Daniel E. Nussen</w:t>
            </w:r>
          </w:p>
        </w:tc>
        <w:tc>
          <w:tcPr>
            <w:tcW w:w="3960" w:type="dxa"/>
            <w:vAlign w:val="bottom"/>
          </w:tcPr>
          <w:p>
            <w:pPr>
              <w:jc w:val="center"/>
              <w:ind w:left="579"/>
              <w:spacing w:after="0"/>
              <w:rPr>
                <w:sz w:val="20"/>
                <w:szCs w:val="20"/>
                <w:color w:val="auto"/>
              </w:rPr>
            </w:pPr>
            <w:r>
              <w:rPr>
                <w:rFonts w:ascii="Arial" w:cs="Arial" w:eastAsia="Arial" w:hAnsi="Arial"/>
                <w:sz w:val="16"/>
                <w:szCs w:val="16"/>
                <w:b w:val="1"/>
                <w:bCs w:val="1"/>
                <w:color w:val="auto"/>
              </w:rPr>
              <w:t>Skadden, Arps, Slate, Meagher &amp; Flom LLP</w:t>
            </w:r>
          </w:p>
        </w:tc>
      </w:tr>
      <w:tr>
        <w:trPr>
          <w:trHeight w:val="189"/>
        </w:trPr>
        <w:tc>
          <w:tcPr>
            <w:tcW w:w="2900" w:type="dxa"/>
            <w:vAlign w:val="bottom"/>
          </w:tcPr>
          <w:p>
            <w:pPr>
              <w:jc w:val="center"/>
              <w:ind w:right="579"/>
              <w:spacing w:after="0"/>
              <w:rPr>
                <w:sz w:val="20"/>
                <w:szCs w:val="20"/>
                <w:color w:val="auto"/>
              </w:rPr>
            </w:pPr>
            <w:r>
              <w:rPr>
                <w:rFonts w:ascii="Arial" w:cs="Arial" w:eastAsia="Arial" w:hAnsi="Arial"/>
                <w:sz w:val="16"/>
                <w:szCs w:val="16"/>
                <w:b w:val="1"/>
                <w:bCs w:val="1"/>
                <w:color w:val="auto"/>
              </w:rPr>
              <w:t>White &amp; Case LLP</w:t>
            </w:r>
          </w:p>
        </w:tc>
        <w:tc>
          <w:tcPr>
            <w:tcW w:w="3960" w:type="dxa"/>
            <w:vAlign w:val="bottom"/>
          </w:tcPr>
          <w:p>
            <w:pPr>
              <w:jc w:val="center"/>
              <w:ind w:left="579"/>
              <w:spacing w:after="0"/>
              <w:rPr>
                <w:sz w:val="20"/>
                <w:szCs w:val="20"/>
                <w:color w:val="auto"/>
              </w:rPr>
            </w:pPr>
            <w:r>
              <w:rPr>
                <w:rFonts w:ascii="Arial" w:cs="Arial" w:eastAsia="Arial" w:hAnsi="Arial"/>
                <w:sz w:val="16"/>
                <w:szCs w:val="16"/>
                <w:b w:val="1"/>
                <w:bCs w:val="1"/>
                <w:color w:val="auto"/>
              </w:rPr>
              <w:t>525 University Avenue</w:t>
            </w:r>
          </w:p>
        </w:tc>
      </w:tr>
      <w:tr>
        <w:trPr>
          <w:trHeight w:val="189"/>
        </w:trPr>
        <w:tc>
          <w:tcPr>
            <w:tcW w:w="2900" w:type="dxa"/>
            <w:vAlign w:val="bottom"/>
          </w:tcPr>
          <w:p>
            <w:pPr>
              <w:jc w:val="center"/>
              <w:ind w:right="579"/>
              <w:spacing w:after="0"/>
              <w:rPr>
                <w:sz w:val="20"/>
                <w:szCs w:val="20"/>
                <w:color w:val="auto"/>
              </w:rPr>
            </w:pPr>
            <w:r>
              <w:rPr>
                <w:rFonts w:ascii="Arial" w:cs="Arial" w:eastAsia="Arial" w:hAnsi="Arial"/>
                <w:sz w:val="16"/>
                <w:szCs w:val="16"/>
                <w:b w:val="1"/>
                <w:bCs w:val="1"/>
                <w:color w:val="auto"/>
              </w:rPr>
              <w:t>1221 Avenue of the Americas</w:t>
            </w:r>
          </w:p>
        </w:tc>
        <w:tc>
          <w:tcPr>
            <w:tcW w:w="3960" w:type="dxa"/>
            <w:vAlign w:val="bottom"/>
          </w:tcPr>
          <w:p>
            <w:pPr>
              <w:jc w:val="center"/>
              <w:ind w:left="579"/>
              <w:spacing w:after="0"/>
              <w:rPr>
                <w:sz w:val="20"/>
                <w:szCs w:val="20"/>
                <w:color w:val="auto"/>
              </w:rPr>
            </w:pPr>
            <w:r>
              <w:rPr>
                <w:rFonts w:ascii="Arial" w:cs="Arial" w:eastAsia="Arial" w:hAnsi="Arial"/>
                <w:sz w:val="16"/>
                <w:szCs w:val="16"/>
                <w:b w:val="1"/>
                <w:bCs w:val="1"/>
                <w:color w:val="auto"/>
              </w:rPr>
              <w:t>Palo Alto, California 94301</w:t>
            </w:r>
          </w:p>
        </w:tc>
      </w:tr>
      <w:tr>
        <w:trPr>
          <w:trHeight w:val="189"/>
        </w:trPr>
        <w:tc>
          <w:tcPr>
            <w:tcW w:w="2900" w:type="dxa"/>
            <w:vAlign w:val="bottom"/>
          </w:tcPr>
          <w:p>
            <w:pPr>
              <w:jc w:val="center"/>
              <w:ind w:right="579"/>
              <w:spacing w:after="0"/>
              <w:rPr>
                <w:sz w:val="20"/>
                <w:szCs w:val="20"/>
                <w:color w:val="auto"/>
              </w:rPr>
            </w:pPr>
            <w:r>
              <w:rPr>
                <w:rFonts w:ascii="Arial" w:cs="Arial" w:eastAsia="Arial" w:hAnsi="Arial"/>
                <w:sz w:val="16"/>
                <w:szCs w:val="16"/>
                <w:b w:val="1"/>
                <w:bCs w:val="1"/>
                <w:color w:val="auto"/>
              </w:rPr>
              <w:t>New York, New York 10020</w:t>
            </w:r>
          </w:p>
        </w:tc>
        <w:tc>
          <w:tcPr>
            <w:tcW w:w="3960" w:type="dxa"/>
            <w:vAlign w:val="bottom"/>
          </w:tcPr>
          <w:p>
            <w:pPr>
              <w:jc w:val="center"/>
              <w:ind w:left="579"/>
              <w:spacing w:after="0"/>
              <w:rPr>
                <w:sz w:val="20"/>
                <w:szCs w:val="20"/>
                <w:color w:val="auto"/>
              </w:rPr>
            </w:pPr>
            <w:r>
              <w:rPr>
                <w:rFonts w:ascii="Arial" w:cs="Arial" w:eastAsia="Arial" w:hAnsi="Arial"/>
                <w:sz w:val="16"/>
                <w:szCs w:val="16"/>
                <w:b w:val="1"/>
                <w:bCs w:val="1"/>
                <w:color w:val="auto"/>
                <w:w w:val="99"/>
              </w:rPr>
              <w:t>Tel: (650) 470-4500</w:t>
            </w:r>
          </w:p>
        </w:tc>
      </w:tr>
      <w:tr>
        <w:trPr>
          <w:trHeight w:val="215"/>
        </w:trPr>
        <w:tc>
          <w:tcPr>
            <w:tcW w:w="2900" w:type="dxa"/>
            <w:vAlign w:val="bottom"/>
          </w:tcPr>
          <w:p>
            <w:pPr>
              <w:jc w:val="center"/>
              <w:ind w:right="579"/>
              <w:spacing w:after="0"/>
              <w:rPr>
                <w:sz w:val="20"/>
                <w:szCs w:val="20"/>
                <w:color w:val="auto"/>
              </w:rPr>
            </w:pPr>
            <w:r>
              <w:rPr>
                <w:rFonts w:ascii="Arial" w:cs="Arial" w:eastAsia="Arial" w:hAnsi="Arial"/>
                <w:sz w:val="16"/>
                <w:szCs w:val="16"/>
                <w:b w:val="1"/>
                <w:bCs w:val="1"/>
                <w:color w:val="auto"/>
              </w:rPr>
              <w:t>Tel: (212) 819-8200</w:t>
            </w:r>
          </w:p>
        </w:tc>
        <w:tc>
          <w:tcPr>
            <w:tcW w:w="3960" w:type="dxa"/>
            <w:vAlign w:val="bottom"/>
          </w:tcPr>
          <w:p>
            <w:pPr>
              <w:spacing w:after="0"/>
              <w:rPr>
                <w:sz w:val="18"/>
                <w:szCs w:val="18"/>
                <w:color w:val="auto"/>
              </w:rPr>
            </w:pPr>
          </w:p>
        </w:tc>
      </w:tr>
    </w:tbl>
    <w:p>
      <w:pPr>
        <w:spacing w:after="0" w:line="204" w:lineRule="exact"/>
        <w:rPr>
          <w:sz w:val="24"/>
          <w:szCs w:val="24"/>
          <w:color w:val="auto"/>
        </w:rPr>
      </w:pPr>
    </w:p>
    <w:p>
      <w:pPr>
        <w:ind w:left="3280"/>
        <w:spacing w:after="0"/>
        <w:rPr>
          <w:sz w:val="20"/>
          <w:szCs w:val="20"/>
          <w:color w:val="auto"/>
        </w:rPr>
      </w:pPr>
      <w:r>
        <w:rPr>
          <w:rFonts w:ascii="Arial" w:cs="Arial" w:eastAsia="Arial" w:hAnsi="Arial"/>
          <w:sz w:val="16"/>
          <w:szCs w:val="16"/>
          <w:b w:val="1"/>
          <w:bCs w:val="1"/>
          <w:color w:val="auto"/>
        </w:rPr>
        <w:t>___________________________</w:t>
      </w:r>
    </w:p>
    <w:p>
      <w:pPr>
        <w:spacing w:after="0" w:line="31" w:lineRule="exact"/>
        <w:rPr>
          <w:sz w:val="24"/>
          <w:szCs w:val="24"/>
          <w:color w:val="auto"/>
        </w:rPr>
      </w:pPr>
    </w:p>
    <w:p>
      <w:pPr>
        <w:ind w:left="460" w:right="999"/>
        <w:spacing w:after="0" w:line="260" w:lineRule="auto"/>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As soon as practicable after the</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 date of this registration statement.</w:t>
      </w:r>
    </w:p>
    <w:p>
      <w:pPr>
        <w:spacing w:after="0" w:line="1" w:lineRule="exact"/>
        <w:rPr>
          <w:sz w:val="24"/>
          <w:szCs w:val="24"/>
          <w:color w:val="auto"/>
        </w:rPr>
      </w:pPr>
    </w:p>
    <w:p>
      <w:pPr>
        <w:ind w:left="460" w:right="519"/>
        <w:spacing w:after="0" w:line="260" w:lineRule="auto"/>
        <w:rPr>
          <w:sz w:val="20"/>
          <w:szCs w:val="20"/>
          <w:color w:val="auto"/>
        </w:rPr>
      </w:pPr>
      <w:r>
        <w:rPr>
          <w:rFonts w:ascii="Arial" w:cs="Arial" w:eastAsia="Arial" w:hAnsi="Arial"/>
          <w:sz w:val="16"/>
          <w:szCs w:val="16"/>
          <w:color w:val="auto"/>
        </w:rPr>
        <w:t>If any of the securities being registered on this Form are to be offered on a delayed or continuous basis pursuant to Rule 415 under the Securities Act of 1933 check the following box. £</w:t>
      </w:r>
    </w:p>
    <w:p>
      <w:pPr>
        <w:spacing w:after="0" w:line="6" w:lineRule="exact"/>
        <w:rPr>
          <w:sz w:val="24"/>
          <w:szCs w:val="24"/>
          <w:color w:val="auto"/>
        </w:rPr>
      </w:pPr>
    </w:p>
    <w:p>
      <w:pPr>
        <w:ind w:left="460" w:right="739"/>
        <w:spacing w:after="0" w:line="252" w:lineRule="auto"/>
        <w:rPr>
          <w:sz w:val="20"/>
          <w:szCs w:val="20"/>
          <w:color w:val="auto"/>
        </w:rPr>
      </w:pPr>
      <w:r>
        <w:rPr>
          <w:rFonts w:ascii="Arial" w:cs="Arial" w:eastAsia="Arial" w:hAnsi="Arial"/>
          <w:sz w:val="16"/>
          <w:szCs w:val="16"/>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spacing w:after="0" w:line="1" w:lineRule="exact"/>
        <w:rPr>
          <w:sz w:val="24"/>
          <w:szCs w:val="24"/>
          <w:color w:val="auto"/>
        </w:rPr>
      </w:pPr>
    </w:p>
    <w:p>
      <w:pPr>
        <w:ind w:left="460" w:right="919"/>
        <w:spacing w:after="0" w:line="252" w:lineRule="auto"/>
        <w:rPr>
          <w:sz w:val="20"/>
          <w:szCs w:val="20"/>
          <w:color w:val="auto"/>
        </w:rPr>
      </w:pPr>
      <w:r>
        <w:rPr>
          <w:rFonts w:ascii="Arial" w:cs="Arial" w:eastAsia="Arial" w:hAnsi="Arial"/>
          <w:sz w:val="16"/>
          <w:szCs w:val="16"/>
          <w:color w:val="auto"/>
        </w:rPr>
        <w:t>If this Form is a post-effective amendment filed pursuant to Rule 462(c) under the Securities Act, check the following box and list the Securities Act registration statement number of the earlier effective registration statement for the same offering. £</w:t>
      </w:r>
    </w:p>
    <w:p>
      <w:pPr>
        <w:spacing w:after="0" w:line="1" w:lineRule="exact"/>
        <w:rPr>
          <w:sz w:val="24"/>
          <w:szCs w:val="24"/>
          <w:color w:val="auto"/>
        </w:rPr>
      </w:pPr>
    </w:p>
    <w:p>
      <w:pPr>
        <w:ind w:left="460" w:right="919"/>
        <w:spacing w:after="0" w:line="253" w:lineRule="auto"/>
        <w:rPr>
          <w:sz w:val="20"/>
          <w:szCs w:val="20"/>
          <w:color w:val="auto"/>
        </w:rPr>
      </w:pPr>
      <w:r>
        <w:rPr>
          <w:rFonts w:ascii="Arial" w:cs="Arial" w:eastAsia="Arial" w:hAnsi="Arial"/>
          <w:sz w:val="16"/>
          <w:szCs w:val="16"/>
          <w:color w:val="auto"/>
        </w:rPr>
        <w:t>If this Form is a post-effective amendment filed pursuant to Rule 462(d) under the Securities Act, check the following box and list the Securities Act registration statement number of the earlier effective registration statement for the same offering. £</w:t>
      </w:r>
    </w:p>
    <w:p>
      <w:pPr>
        <w:spacing w:after="0" w:line="12" w:lineRule="exact"/>
        <w:rPr>
          <w:sz w:val="24"/>
          <w:szCs w:val="24"/>
          <w:color w:val="auto"/>
        </w:rPr>
      </w:pPr>
    </w:p>
    <w:p>
      <w:pPr>
        <w:ind w:left="460" w:right="479"/>
        <w:spacing w:after="0" w:line="25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16" w:lineRule="exact"/>
        <w:rPr>
          <w:sz w:val="24"/>
          <w:szCs w:val="24"/>
          <w:color w:val="auto"/>
        </w:rPr>
      </w:pPr>
    </w:p>
    <w:tbl>
      <w:tblPr>
        <w:tblLayout w:type="fixed"/>
        <w:tblInd w:w="460" w:type="dxa"/>
        <w:tblCellMar>
          <w:top w:w="0" w:type="dxa"/>
          <w:left w:w="0" w:type="dxa"/>
          <w:bottom w:w="0" w:type="dxa"/>
          <w:right w:w="0" w:type="dxa"/>
        </w:tblCellMar>
      </w:tblPr>
      <w:tr>
        <w:trPr>
          <w:trHeight w:val="195"/>
        </w:trPr>
        <w:tc>
          <w:tcPr>
            <w:tcW w:w="16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260" w:type="dxa"/>
            <w:vAlign w:val="bottom"/>
          </w:tcPr>
          <w:p>
            <w:pPr>
              <w:ind w:left="20"/>
              <w:spacing w:after="0"/>
              <w:rPr>
                <w:sz w:val="20"/>
                <w:szCs w:val="20"/>
                <w:color w:val="auto"/>
              </w:rPr>
            </w:pPr>
            <w:r>
              <w:rPr>
                <w:rFonts w:ascii="Arial" w:cs="Arial" w:eastAsia="Arial" w:hAnsi="Arial"/>
                <w:sz w:val="16"/>
                <w:szCs w:val="16"/>
                <w:color w:val="auto"/>
              </w:rPr>
              <w:t>£</w:t>
            </w:r>
          </w:p>
        </w:tc>
        <w:tc>
          <w:tcPr>
            <w:tcW w:w="3100" w:type="dxa"/>
            <w:vAlign w:val="bottom"/>
          </w:tcPr>
          <w:p>
            <w:pPr>
              <w:ind w:left="1120"/>
              <w:spacing w:after="0"/>
              <w:rPr>
                <w:sz w:val="20"/>
                <w:szCs w:val="20"/>
                <w:color w:val="auto"/>
              </w:rPr>
            </w:pPr>
            <w:r>
              <w:rPr>
                <w:rFonts w:ascii="Arial" w:cs="Arial" w:eastAsia="Arial" w:hAnsi="Arial"/>
                <w:sz w:val="16"/>
                <w:szCs w:val="16"/>
                <w:color w:val="auto"/>
              </w:rPr>
              <w:t>Accelerated filer</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r>
      <w:tr>
        <w:trPr>
          <w:trHeight w:val="284"/>
        </w:trPr>
        <w:tc>
          <w:tcPr>
            <w:tcW w:w="1640" w:type="dxa"/>
            <w:vAlign w:val="bottom"/>
          </w:tcPr>
          <w:p>
            <w:pPr>
              <w:spacing w:after="0"/>
              <w:rPr>
                <w:sz w:val="20"/>
                <w:szCs w:val="20"/>
                <w:color w:val="auto"/>
              </w:rPr>
            </w:pPr>
            <w:r>
              <w:rPr>
                <w:rFonts w:ascii="Arial" w:cs="Arial" w:eastAsia="Arial" w:hAnsi="Arial"/>
                <w:sz w:val="16"/>
                <w:szCs w:val="16"/>
                <w:color w:val="auto"/>
              </w:rPr>
              <w:t>Non-accelerated filer</w:t>
            </w:r>
          </w:p>
        </w:tc>
        <w:tc>
          <w:tcPr>
            <w:tcW w:w="1260" w:type="dxa"/>
            <w:vAlign w:val="bottom"/>
          </w:tcPr>
          <w:p>
            <w:pPr>
              <w:ind w:left="20"/>
              <w:spacing w:after="0"/>
              <w:rPr>
                <w:sz w:val="20"/>
                <w:szCs w:val="20"/>
                <w:color w:val="auto"/>
              </w:rPr>
            </w:pPr>
            <w:r>
              <w:rPr>
                <w:rFonts w:ascii="Arial" w:cs="Arial" w:eastAsia="Arial" w:hAnsi="Arial"/>
                <w:sz w:val="16"/>
                <w:szCs w:val="16"/>
                <w:color w:val="auto"/>
              </w:rPr>
              <w:t>S</w:t>
            </w:r>
          </w:p>
        </w:tc>
        <w:tc>
          <w:tcPr>
            <w:tcW w:w="3100" w:type="dxa"/>
            <w:vAlign w:val="bottom"/>
          </w:tcPr>
          <w:p>
            <w:pPr>
              <w:ind w:left="1120"/>
              <w:spacing w:after="0"/>
              <w:rPr>
                <w:sz w:val="20"/>
                <w:szCs w:val="20"/>
                <w:color w:val="auto"/>
              </w:rPr>
            </w:pPr>
            <w:r>
              <w:rPr>
                <w:rFonts w:ascii="Arial" w:cs="Arial" w:eastAsia="Arial" w:hAnsi="Arial"/>
                <w:sz w:val="16"/>
                <w:szCs w:val="16"/>
                <w:color w:val="auto"/>
              </w:rPr>
              <w:t>Smaller reporting company</w:t>
            </w:r>
          </w:p>
        </w:tc>
        <w:tc>
          <w:tcPr>
            <w:tcW w:w="160" w:type="dxa"/>
            <w:vAlign w:val="bottom"/>
          </w:tcPr>
          <w:p>
            <w:pPr>
              <w:ind w:left="40"/>
              <w:spacing w:after="0"/>
              <w:rPr>
                <w:sz w:val="20"/>
                <w:szCs w:val="20"/>
                <w:color w:val="auto"/>
              </w:rPr>
            </w:pPr>
            <w:r>
              <w:rPr>
                <w:rFonts w:ascii="Arial" w:cs="Arial" w:eastAsia="Arial" w:hAnsi="Arial"/>
                <w:sz w:val="16"/>
                <w:szCs w:val="16"/>
                <w:color w:val="auto"/>
                <w:w w:val="93"/>
              </w:rPr>
              <w:t>S</w:t>
            </w:r>
          </w:p>
        </w:tc>
      </w:tr>
      <w:tr>
        <w:trPr>
          <w:trHeight w:val="283"/>
        </w:trPr>
        <w:tc>
          <w:tcPr>
            <w:tcW w:w="1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100" w:type="dxa"/>
            <w:vAlign w:val="bottom"/>
          </w:tcPr>
          <w:p>
            <w:pPr>
              <w:ind w:left="1120"/>
              <w:spacing w:after="0"/>
              <w:rPr>
                <w:sz w:val="20"/>
                <w:szCs w:val="20"/>
                <w:color w:val="auto"/>
              </w:rPr>
            </w:pPr>
            <w:r>
              <w:rPr>
                <w:rFonts w:ascii="Arial" w:cs="Arial" w:eastAsia="Arial" w:hAnsi="Arial"/>
                <w:sz w:val="16"/>
                <w:szCs w:val="16"/>
                <w:color w:val="auto"/>
              </w:rPr>
              <w:t>Emerging growth company</w:t>
            </w:r>
          </w:p>
        </w:tc>
        <w:tc>
          <w:tcPr>
            <w:tcW w:w="160" w:type="dxa"/>
            <w:vAlign w:val="bottom"/>
          </w:tcPr>
          <w:p>
            <w:pPr>
              <w:ind w:left="40"/>
              <w:spacing w:after="0"/>
              <w:rPr>
                <w:sz w:val="20"/>
                <w:szCs w:val="20"/>
                <w:color w:val="auto"/>
              </w:rPr>
            </w:pPr>
            <w:r>
              <w:rPr>
                <w:rFonts w:ascii="Arial" w:cs="Arial" w:eastAsia="Arial" w:hAnsi="Arial"/>
                <w:sz w:val="16"/>
                <w:szCs w:val="16"/>
                <w:color w:val="auto"/>
                <w:w w:val="93"/>
              </w:rPr>
              <w:t>S</w:t>
            </w:r>
          </w:p>
        </w:tc>
      </w:tr>
    </w:tbl>
    <w:p>
      <w:pPr>
        <w:spacing w:after="0" w:line="210" w:lineRule="exact"/>
        <w:rPr>
          <w:sz w:val="24"/>
          <w:szCs w:val="24"/>
          <w:color w:val="auto"/>
        </w:rPr>
      </w:pPr>
    </w:p>
    <w:p>
      <w:pPr>
        <w:jc w:val="both"/>
        <w:ind w:left="460" w:right="839"/>
        <w:spacing w:after="0" w:line="253"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7(a)(2)(B) of the Securities Act.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238125</wp:posOffset>
            </wp:positionV>
            <wp:extent cx="51435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55" w:right="1440" w:bottom="241"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3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Proposed</w:t>
            </w:r>
          </w:p>
        </w:tc>
        <w:tc>
          <w:tcPr>
            <w:tcW w:w="40" w:type="dxa"/>
            <w:vAlign w:val="bottom"/>
          </w:tcPr>
          <w:p>
            <w:pPr>
              <w:spacing w:after="0"/>
              <w:rPr>
                <w:sz w:val="14"/>
                <w:szCs w:val="14"/>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Proposed</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3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Maximum</w:t>
            </w:r>
          </w:p>
        </w:tc>
        <w:tc>
          <w:tcPr>
            <w:tcW w:w="40" w:type="dxa"/>
            <w:vAlign w:val="bottom"/>
          </w:tcPr>
          <w:p>
            <w:pPr>
              <w:spacing w:after="0"/>
              <w:rPr>
                <w:sz w:val="14"/>
                <w:szCs w:val="14"/>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Maximum</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3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Amount Being</w:t>
            </w:r>
          </w:p>
        </w:tc>
        <w:tc>
          <w:tcPr>
            <w:tcW w:w="100" w:type="dxa"/>
            <w:vAlign w:val="bottom"/>
          </w:tcPr>
          <w:p>
            <w:pPr>
              <w:spacing w:after="0"/>
              <w:rPr>
                <w:sz w:val="14"/>
                <w:szCs w:val="14"/>
                <w:color w:val="auto"/>
              </w:rPr>
            </w:pPr>
          </w:p>
        </w:tc>
        <w:tc>
          <w:tcPr>
            <w:tcW w:w="10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Offering Price</w:t>
            </w:r>
          </w:p>
        </w:tc>
        <w:tc>
          <w:tcPr>
            <w:tcW w:w="4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Aggregate</w:t>
            </w:r>
          </w:p>
        </w:tc>
        <w:tc>
          <w:tcPr>
            <w:tcW w:w="18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Amount of</w:t>
            </w:r>
          </w:p>
        </w:tc>
      </w:tr>
      <w:tr>
        <w:trPr>
          <w:trHeight w:val="216"/>
        </w:trPr>
        <w:tc>
          <w:tcPr>
            <w:tcW w:w="3400" w:type="dxa"/>
            <w:vAlign w:val="bottom"/>
            <w:gridSpan w:val="2"/>
          </w:tcPr>
          <w:p>
            <w:pPr>
              <w:spacing w:after="0"/>
              <w:rPr>
                <w:sz w:val="20"/>
                <w:szCs w:val="20"/>
                <w:color w:val="auto"/>
              </w:rPr>
            </w:pPr>
            <w:r>
              <w:rPr>
                <w:rFonts w:ascii="Arial" w:cs="Arial" w:eastAsia="Arial" w:hAnsi="Arial"/>
                <w:sz w:val="14"/>
                <w:szCs w:val="14"/>
                <w:b w:val="1"/>
                <w:bCs w:val="1"/>
                <w:color w:val="auto"/>
              </w:rPr>
              <w:t>Title of Each Class of Security Being Registered</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Registered</w:t>
            </w:r>
          </w:p>
        </w:tc>
        <w:tc>
          <w:tcPr>
            <w:tcW w:w="100" w:type="dxa"/>
            <w:vAlign w:val="bottom"/>
          </w:tcPr>
          <w:p>
            <w:pPr>
              <w:spacing w:after="0"/>
              <w:rPr>
                <w:sz w:val="18"/>
                <w:szCs w:val="18"/>
                <w:color w:val="auto"/>
              </w:rPr>
            </w:pPr>
          </w:p>
        </w:tc>
        <w:tc>
          <w:tcPr>
            <w:tcW w:w="10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9"/>
              </w:rPr>
              <w:t>per Security</w:t>
            </w:r>
            <w:r>
              <w:rPr>
                <w:rFonts w:ascii="Arial" w:cs="Arial" w:eastAsia="Arial" w:hAnsi="Arial"/>
                <w:sz w:val="16"/>
                <w:szCs w:val="16"/>
                <w:b w:val="1"/>
                <w:bCs w:val="1"/>
                <w:color w:val="auto"/>
                <w:w w:val="99"/>
                <w:vertAlign w:val="superscript"/>
              </w:rPr>
              <w:t>(1)</w:t>
            </w:r>
          </w:p>
        </w:tc>
        <w:tc>
          <w:tcPr>
            <w:tcW w:w="40" w:type="dxa"/>
            <w:vAlign w:val="bottom"/>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Offering Price</w:t>
            </w:r>
            <w:r>
              <w:rPr>
                <w:rFonts w:ascii="Arial" w:cs="Arial" w:eastAsia="Arial" w:hAnsi="Arial"/>
                <w:sz w:val="16"/>
                <w:szCs w:val="16"/>
                <w:b w:val="1"/>
                <w:bCs w:val="1"/>
                <w:color w:val="auto"/>
                <w:w w:val="98"/>
                <w:vertAlign w:val="superscript"/>
              </w:rPr>
              <w:t>(1)</w:t>
            </w:r>
          </w:p>
        </w:tc>
        <w:tc>
          <w:tcPr>
            <w:tcW w:w="1240" w:type="dxa"/>
            <w:vAlign w:val="bottom"/>
            <w:gridSpan w:val="3"/>
          </w:tcPr>
          <w:p>
            <w:pPr>
              <w:jc w:val="center"/>
              <w:spacing w:after="0"/>
              <w:rPr>
                <w:sz w:val="20"/>
                <w:szCs w:val="20"/>
                <w:color w:val="auto"/>
              </w:rPr>
            </w:pPr>
            <w:r>
              <w:rPr>
                <w:rFonts w:ascii="Arial" w:cs="Arial" w:eastAsia="Arial" w:hAnsi="Arial"/>
                <w:sz w:val="14"/>
                <w:szCs w:val="14"/>
                <w:b w:val="1"/>
                <w:bCs w:val="1"/>
                <w:color w:val="auto"/>
              </w:rPr>
              <w:t>Registration Fee</w:t>
            </w:r>
          </w:p>
        </w:tc>
      </w:tr>
      <w:tr>
        <w:trPr>
          <w:trHeight w:val="195"/>
        </w:trPr>
        <w:tc>
          <w:tcPr>
            <w:tcW w:w="33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Units, each consisting of one share of</w:t>
            </w:r>
          </w:p>
        </w:tc>
        <w:tc>
          <w:tcPr>
            <w:tcW w:w="6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r>
      <w:tr>
        <w:trPr>
          <w:trHeight w:val="203"/>
        </w:trPr>
        <w:tc>
          <w:tcPr>
            <w:tcW w:w="34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Class A common stock, $0.0001 par</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0"/>
        </w:trPr>
        <w:tc>
          <w:tcPr>
            <w:tcW w:w="340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value, and one-third of one redeemable</w:t>
            </w:r>
          </w:p>
        </w:tc>
        <w:tc>
          <w:tcPr>
            <w:tcW w:w="10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40,250,000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46"/>
        </w:trPr>
        <w:tc>
          <w:tcPr>
            <w:tcW w:w="3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warrant</w:t>
            </w:r>
            <w:r>
              <w:rPr>
                <w:rFonts w:ascii="Arial" w:cs="Arial" w:eastAsia="Arial" w:hAnsi="Arial"/>
                <w:sz w:val="21"/>
                <w:szCs w:val="21"/>
                <w:color w:val="auto"/>
                <w:vertAlign w:val="superscript"/>
              </w:rPr>
              <w:t>(2)</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Units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$ 402,500,000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52,244.50</w:t>
            </w:r>
          </w:p>
        </w:tc>
        <w:tc>
          <w:tcPr>
            <w:tcW w:w="140" w:type="dxa"/>
            <w:vAlign w:val="bottom"/>
            <w:shd w:val="clear" w:color="auto" w:fill="CCEEFF"/>
          </w:tcPr>
          <w:p>
            <w:pPr>
              <w:spacing w:after="0"/>
              <w:rPr>
                <w:sz w:val="21"/>
                <w:szCs w:val="21"/>
                <w:color w:val="auto"/>
              </w:rPr>
            </w:pPr>
          </w:p>
        </w:tc>
      </w:tr>
      <w:tr>
        <w:trPr>
          <w:trHeight w:val="199"/>
        </w:trPr>
        <w:tc>
          <w:tcPr>
            <w:tcW w:w="3400" w:type="dxa"/>
            <w:vAlign w:val="bottom"/>
            <w:gridSpan w:val="2"/>
          </w:tcPr>
          <w:p>
            <w:pPr>
              <w:spacing w:after="0" w:line="200" w:lineRule="exact"/>
              <w:rPr>
                <w:sz w:val="20"/>
                <w:szCs w:val="20"/>
                <w:color w:val="auto"/>
              </w:rPr>
            </w:pPr>
            <w:r>
              <w:rPr>
                <w:rFonts w:ascii="Arial" w:cs="Arial" w:eastAsia="Arial" w:hAnsi="Arial"/>
                <w:sz w:val="18"/>
                <w:szCs w:val="18"/>
                <w:color w:val="auto"/>
              </w:rPr>
              <w:t>Shares of Class A common stock</w:t>
            </w:r>
          </w:p>
        </w:tc>
        <w:tc>
          <w:tcPr>
            <w:tcW w:w="1040" w:type="dxa"/>
            <w:vAlign w:val="bottom"/>
          </w:tcPr>
          <w:p>
            <w:pPr>
              <w:jc w:val="center"/>
              <w:spacing w:after="0" w:line="200" w:lineRule="exact"/>
              <w:rPr>
                <w:sz w:val="20"/>
                <w:szCs w:val="20"/>
                <w:color w:val="auto"/>
              </w:rPr>
            </w:pPr>
            <w:r>
              <w:rPr>
                <w:rFonts w:ascii="Arial" w:cs="Arial" w:eastAsia="Arial" w:hAnsi="Arial"/>
                <w:sz w:val="18"/>
                <w:szCs w:val="18"/>
                <w:color w:val="auto"/>
                <w:w w:val="99"/>
              </w:rPr>
              <w:t>40,250,000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46"/>
        </w:trPr>
        <w:tc>
          <w:tcPr>
            <w:tcW w:w="3400" w:type="dxa"/>
            <w:vAlign w:val="bottom"/>
            <w:gridSpan w:val="2"/>
          </w:tcPr>
          <w:p>
            <w:pPr>
              <w:ind w:left="180"/>
              <w:spacing w:after="0"/>
              <w:rPr>
                <w:sz w:val="20"/>
                <w:szCs w:val="20"/>
                <w:color w:val="auto"/>
              </w:rPr>
            </w:pPr>
            <w:r>
              <w:rPr>
                <w:rFonts w:ascii="Arial" w:cs="Arial" w:eastAsia="Arial" w:hAnsi="Arial"/>
                <w:sz w:val="18"/>
                <w:szCs w:val="18"/>
                <w:color w:val="auto"/>
              </w:rPr>
              <w:t>included as part of the units</w:t>
            </w:r>
            <w:r>
              <w:rPr>
                <w:rFonts w:ascii="Arial" w:cs="Arial" w:eastAsia="Arial" w:hAnsi="Arial"/>
                <w:sz w:val="21"/>
                <w:szCs w:val="21"/>
                <w:color w:val="auto"/>
                <w:vertAlign w:val="superscript"/>
              </w:rPr>
              <w:t>(3)</w:t>
            </w:r>
          </w:p>
        </w:tc>
        <w:tc>
          <w:tcPr>
            <w:tcW w:w="1040" w:type="dxa"/>
            <w:vAlign w:val="bottom"/>
          </w:tcPr>
          <w:p>
            <w:pPr>
              <w:jc w:val="center"/>
              <w:spacing w:after="0"/>
              <w:rPr>
                <w:sz w:val="20"/>
                <w:szCs w:val="20"/>
                <w:color w:val="auto"/>
              </w:rPr>
            </w:pPr>
            <w:r>
              <w:rPr>
                <w:rFonts w:ascii="Arial" w:cs="Arial" w:eastAsia="Arial" w:hAnsi="Arial"/>
                <w:sz w:val="18"/>
                <w:szCs w:val="18"/>
                <w:color w:val="auto"/>
              </w:rPr>
              <w:t>Shares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ind w:left="740"/>
              <w:spacing w:after="0" w:line="246" w:lineRule="exact"/>
              <w:rPr>
                <w:sz w:val="20"/>
                <w:szCs w:val="20"/>
                <w:color w:val="auto"/>
              </w:rPr>
            </w:pPr>
            <w:r>
              <w:rPr>
                <w:rFonts w:ascii="Arial" w:cs="Arial" w:eastAsia="Arial" w:hAnsi="Arial"/>
                <w:sz w:val="28"/>
                <w:szCs w:val="28"/>
                <w:color w:val="auto"/>
                <w:w w:val="96"/>
                <w:vertAlign w:val="subscript"/>
              </w:rPr>
              <w:t>—</w:t>
            </w:r>
            <w:r>
              <w:rPr>
                <w:rFonts w:ascii="Arial" w:cs="Arial" w:eastAsia="Arial" w:hAnsi="Arial"/>
                <w:sz w:val="10"/>
                <w:szCs w:val="10"/>
                <w:color w:val="auto"/>
                <w:w w:val="96"/>
              </w:rPr>
              <w:t>(4)</w:t>
            </w:r>
          </w:p>
        </w:tc>
      </w:tr>
      <w:tr>
        <w:trPr>
          <w:trHeight w:val="199"/>
        </w:trPr>
        <w:tc>
          <w:tcPr>
            <w:tcW w:w="3400" w:type="dxa"/>
            <w:vAlign w:val="bottom"/>
            <w:gridSpan w:val="2"/>
            <w:shd w:val="clear" w:color="auto" w:fill="CCEEFF"/>
          </w:tcPr>
          <w:p>
            <w:pPr>
              <w:spacing w:after="0" w:line="200" w:lineRule="exact"/>
              <w:rPr>
                <w:sz w:val="20"/>
                <w:szCs w:val="20"/>
                <w:color w:val="auto"/>
              </w:rPr>
            </w:pPr>
            <w:r>
              <w:rPr>
                <w:rFonts w:ascii="Arial" w:cs="Arial" w:eastAsia="Arial" w:hAnsi="Arial"/>
                <w:sz w:val="18"/>
                <w:szCs w:val="18"/>
                <w:color w:val="auto"/>
              </w:rPr>
              <w:t>Redeemable warrants included as part of</w:t>
            </w:r>
          </w:p>
        </w:tc>
        <w:tc>
          <w:tcPr>
            <w:tcW w:w="1040" w:type="dxa"/>
            <w:vAlign w:val="bottom"/>
            <w:shd w:val="clear" w:color="auto" w:fill="CCEEFF"/>
          </w:tcPr>
          <w:p>
            <w:pPr>
              <w:jc w:val="center"/>
              <w:spacing w:after="0" w:line="200" w:lineRule="exact"/>
              <w:rPr>
                <w:sz w:val="20"/>
                <w:szCs w:val="20"/>
                <w:color w:val="auto"/>
              </w:rPr>
            </w:pPr>
            <w:r>
              <w:rPr>
                <w:rFonts w:ascii="Arial" w:cs="Arial" w:eastAsia="Arial" w:hAnsi="Arial"/>
                <w:sz w:val="18"/>
                <w:szCs w:val="18"/>
                <w:color w:val="auto"/>
                <w:w w:val="99"/>
              </w:rPr>
              <w:t>13,416,667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46"/>
        </w:trPr>
        <w:tc>
          <w:tcPr>
            <w:tcW w:w="3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the units</w:t>
            </w:r>
            <w:r>
              <w:rPr>
                <w:rFonts w:ascii="Arial" w:cs="Arial" w:eastAsia="Arial" w:hAnsi="Arial"/>
                <w:sz w:val="21"/>
                <w:szCs w:val="21"/>
                <w:color w:val="auto"/>
                <w:vertAlign w:val="superscript"/>
              </w:rPr>
              <w:t>(3)</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Warrants</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ind w:left="740"/>
              <w:spacing w:after="0" w:line="246" w:lineRule="exact"/>
              <w:rPr>
                <w:sz w:val="20"/>
                <w:szCs w:val="20"/>
                <w:color w:val="auto"/>
              </w:rPr>
            </w:pPr>
            <w:r>
              <w:rPr>
                <w:rFonts w:ascii="Arial" w:cs="Arial" w:eastAsia="Arial" w:hAnsi="Arial"/>
                <w:sz w:val="28"/>
                <w:szCs w:val="28"/>
                <w:color w:val="auto"/>
                <w:w w:val="96"/>
                <w:vertAlign w:val="subscript"/>
              </w:rPr>
              <w:t>—</w:t>
            </w:r>
            <w:r>
              <w:rPr>
                <w:rFonts w:ascii="Arial" w:cs="Arial" w:eastAsia="Arial" w:hAnsi="Arial"/>
                <w:sz w:val="10"/>
                <w:szCs w:val="10"/>
                <w:color w:val="auto"/>
                <w:w w:val="96"/>
              </w:rPr>
              <w:t>(4)</w:t>
            </w:r>
          </w:p>
        </w:tc>
      </w:tr>
      <w:tr>
        <w:trPr>
          <w:trHeight w:val="250"/>
        </w:trPr>
        <w:tc>
          <w:tcPr>
            <w:tcW w:w="34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$ 402,500,000</w:t>
            </w:r>
          </w:p>
        </w:tc>
        <w:tc>
          <w:tcPr>
            <w:tcW w:w="8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52,244.</w:t>
            </w:r>
            <w:r>
              <w:rPr>
                <w:rFonts w:ascii="Arial" w:cs="Arial" w:eastAsia="Arial" w:hAnsi="Arial"/>
                <w:sz w:val="18"/>
                <w:szCs w:val="18"/>
                <w:u w:val="single" w:color="auto"/>
                <w:color w:val="auto"/>
              </w:rPr>
              <w:t>50</w:t>
            </w:r>
          </w:p>
        </w:tc>
        <w:tc>
          <w:tcPr>
            <w:tcW w:w="140" w:type="dxa"/>
            <w:vAlign w:val="bottom"/>
          </w:tcPr>
          <w:p>
            <w:pPr>
              <w:spacing w:after="0"/>
              <w:rPr>
                <w:sz w:val="21"/>
                <w:szCs w:val="21"/>
                <w:color w:val="auto"/>
              </w:rPr>
            </w:pPr>
          </w:p>
        </w:tc>
      </w:tr>
      <w:tr>
        <w:trPr>
          <w:trHeight w:val="20"/>
        </w:trPr>
        <w:tc>
          <w:tcPr>
            <w:tcW w:w="3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86" w:lineRule="exact"/>
        <w:rPr>
          <w:sz w:val="20"/>
          <w:szCs w:val="20"/>
          <w:color w:val="auto"/>
        </w:rPr>
      </w:pPr>
    </w:p>
    <w:p>
      <w:pPr>
        <w:ind w:left="880" w:right="539" w:hanging="426"/>
        <w:spacing w:after="0" w:line="216" w:lineRule="auto"/>
        <w:tabs>
          <w:tab w:leader="none" w:pos="882"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calculating the registration fee pursuant to Rule 457(a) under the Securities Act of 1933, as amended (the “Securities Act”).</w:t>
      </w:r>
    </w:p>
    <w:p>
      <w:pPr>
        <w:ind w:left="880" w:right="639" w:hanging="426"/>
        <w:spacing w:after="0" w:line="216" w:lineRule="auto"/>
        <w:tabs>
          <w:tab w:leader="none" w:pos="882" w:val="left"/>
        </w:tabs>
        <w:numPr>
          <w:ilvl w:val="0"/>
          <w:numId w:val="1"/>
        </w:numPr>
        <w:rPr>
          <w:rFonts w:ascii="Arial" w:cs="Arial" w:eastAsia="Arial" w:hAnsi="Arial"/>
          <w:sz w:val="13"/>
          <w:szCs w:val="13"/>
          <w:color w:val="auto"/>
        </w:rPr>
      </w:pPr>
      <w:r>
        <w:rPr>
          <w:rFonts w:ascii="Arial" w:cs="Arial" w:eastAsia="Arial" w:hAnsi="Arial"/>
          <w:sz w:val="13"/>
          <w:szCs w:val="13"/>
          <w:color w:val="auto"/>
        </w:rPr>
        <w:t>Includes 5,250,000 units, consisting of 5,250,000 shares of Class A common stock and 1,750,000 redeemable warrants, which may be issued upon exercise of a 45-day option granted to the underwriters to cover over-allotments, if any.</w:t>
      </w:r>
    </w:p>
    <w:p>
      <w:pPr>
        <w:ind w:left="880" w:right="579" w:hanging="426"/>
        <w:spacing w:after="0" w:line="216" w:lineRule="auto"/>
        <w:tabs>
          <w:tab w:leader="none" w:pos="882" w:val="left"/>
        </w:tabs>
        <w:numPr>
          <w:ilvl w:val="0"/>
          <w:numId w:val="1"/>
        </w:numPr>
        <w:rPr>
          <w:rFonts w:ascii="Arial" w:cs="Arial" w:eastAsia="Arial" w:hAnsi="Arial"/>
          <w:sz w:val="13"/>
          <w:szCs w:val="13"/>
          <w:color w:val="auto"/>
        </w:rPr>
      </w:pPr>
      <w:r>
        <w:rPr>
          <w:rFonts w:ascii="Arial" w:cs="Arial" w:eastAsia="Arial" w:hAnsi="Arial"/>
          <w:sz w:val="13"/>
          <w:szCs w:val="13"/>
          <w:color w:val="auto"/>
        </w:rPr>
        <w:t>Pursuant to Rule 416 under the Securities Act, there are also being registered an indeterminable number of additional securities as may be issued to prevent dilution resulting from stock splits, stock dividends or similar transactions.</w:t>
      </w:r>
    </w:p>
    <w:p>
      <w:pPr>
        <w:ind w:left="880" w:hanging="426"/>
        <w:spacing w:after="0"/>
        <w:tabs>
          <w:tab w:leader="none" w:pos="880" w:val="left"/>
        </w:tabs>
        <w:numPr>
          <w:ilvl w:val="0"/>
          <w:numId w:val="1"/>
        </w:numPr>
        <w:rPr>
          <w:rFonts w:ascii="Arial" w:cs="Arial" w:eastAsia="Arial" w:hAnsi="Arial"/>
          <w:sz w:val="13"/>
          <w:szCs w:val="13"/>
          <w:color w:val="auto"/>
        </w:rPr>
      </w:pPr>
      <w:r>
        <w:rPr>
          <w:rFonts w:ascii="Arial" w:cs="Arial" w:eastAsia="Arial" w:hAnsi="Arial"/>
          <w:sz w:val="13"/>
          <w:szCs w:val="13"/>
          <w:color w:val="auto"/>
        </w:rPr>
        <w:t>No fee pursuant to Rule 457(g) under the Securities Act.</w:t>
      </w:r>
    </w:p>
    <w:p>
      <w:pPr>
        <w:spacing w:after="0" w:line="2" w:lineRule="exact"/>
        <w:rPr>
          <w:sz w:val="20"/>
          <w:szCs w:val="20"/>
          <w:color w:val="auto"/>
        </w:rPr>
      </w:pPr>
    </w:p>
    <w:p>
      <w:pPr>
        <w:ind w:left="3280"/>
        <w:spacing w:after="0"/>
        <w:rPr>
          <w:sz w:val="20"/>
          <w:szCs w:val="20"/>
          <w:color w:val="auto"/>
        </w:rPr>
      </w:pPr>
      <w:r>
        <w:rPr>
          <w:rFonts w:ascii="Arial" w:cs="Arial" w:eastAsia="Arial" w:hAnsi="Arial"/>
          <w:sz w:val="16"/>
          <w:szCs w:val="16"/>
          <w:b w:val="1"/>
          <w:bCs w:val="1"/>
          <w:color w:val="auto"/>
        </w:rPr>
        <w:t>___________________________</w:t>
      </w:r>
    </w:p>
    <w:p>
      <w:pPr>
        <w:spacing w:after="0" w:line="147" w:lineRule="exact"/>
        <w:rPr>
          <w:sz w:val="20"/>
          <w:szCs w:val="20"/>
          <w:color w:val="auto"/>
        </w:rPr>
      </w:pPr>
    </w:p>
    <w:p>
      <w:pPr>
        <w:ind w:left="460" w:right="639"/>
        <w:spacing w:after="0" w:line="242"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256540</wp:posOffset>
            </wp:positionV>
            <wp:extent cx="514350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299720</wp:posOffset>
            </wp:positionV>
            <wp:extent cx="514350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565150</wp:posOffset>
            </wp:positionV>
            <wp:extent cx="5143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 w:name="page3"/>
    <w:bookmarkEnd w:id="2"/>
    <w:p>
      <w:pPr>
        <w:ind w:left="460" w:right="459"/>
        <w:spacing w:after="0" w:line="247" w:lineRule="auto"/>
        <w:rPr>
          <w:sz w:val="20"/>
          <w:szCs w:val="20"/>
          <w:color w:val="auto"/>
        </w:rPr>
      </w:pPr>
      <w:r>
        <w:rPr>
          <w:rFonts w:ascii="Arial" w:cs="Arial" w:eastAsia="Arial" w:hAnsi="Arial"/>
          <w:sz w:val="14"/>
          <w:szCs w:val="14"/>
          <w:color w:val="EA0029"/>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jurisdiction where the offer or sale is not permitted.</w:t>
      </w:r>
    </w:p>
    <w:p>
      <w:pPr>
        <w:spacing w:after="0" w:line="276" w:lineRule="exact"/>
        <w:rPr>
          <w:sz w:val="20"/>
          <w:szCs w:val="20"/>
          <w:color w:val="auto"/>
        </w:rPr>
      </w:pPr>
    </w:p>
    <w:tbl>
      <w:tblPr>
        <w:tblLayout w:type="fixed"/>
        <w:tblInd w:w="4260" w:type="dxa"/>
        <w:tblCellMar>
          <w:top w:w="0" w:type="dxa"/>
          <w:left w:w="0" w:type="dxa"/>
          <w:bottom w:w="0" w:type="dxa"/>
          <w:right w:w="0" w:type="dxa"/>
        </w:tblCellMar>
      </w:tblPr>
      <w:tr>
        <w:trPr>
          <w:trHeight w:val="207"/>
        </w:trPr>
        <w:tc>
          <w:tcPr>
            <w:tcW w:w="3420" w:type="dxa"/>
            <w:vAlign w:val="bottom"/>
          </w:tcPr>
          <w:p>
            <w:pPr>
              <w:spacing w:after="0"/>
              <w:rPr>
                <w:sz w:val="20"/>
                <w:szCs w:val="20"/>
                <w:color w:val="auto"/>
              </w:rPr>
            </w:pPr>
            <w:r>
              <w:rPr>
                <w:rFonts w:ascii="Arial" w:cs="Arial" w:eastAsia="Arial" w:hAnsi="Arial"/>
                <w:sz w:val="18"/>
                <w:szCs w:val="18"/>
                <w:color w:val="EA0029"/>
              </w:rPr>
              <w:t>SUBJECT TO COMPLETION, DATED</w:t>
            </w:r>
          </w:p>
        </w:tc>
        <w:tc>
          <w:tcPr>
            <w:tcW w:w="880" w:type="dxa"/>
            <w:vAlign w:val="bottom"/>
          </w:tcPr>
          <w:p>
            <w:pPr>
              <w:jc w:val="right"/>
              <w:spacing w:after="0"/>
              <w:rPr>
                <w:sz w:val="20"/>
                <w:szCs w:val="20"/>
                <w:color w:val="auto"/>
              </w:rPr>
            </w:pPr>
            <w:r>
              <w:rPr>
                <w:rFonts w:ascii="Arial" w:cs="Arial" w:eastAsia="Arial" w:hAnsi="Arial"/>
                <w:sz w:val="18"/>
                <w:szCs w:val="18"/>
                <w:color w:val="EA0029"/>
              </w:rPr>
              <w:t>, 2020</w:t>
            </w:r>
          </w:p>
        </w:tc>
      </w:tr>
    </w:tbl>
    <w:p>
      <w:pPr>
        <w:ind w:left="460"/>
        <w:spacing w:after="0" w:line="237" w:lineRule="auto"/>
        <w:rPr>
          <w:sz w:val="20"/>
          <w:szCs w:val="20"/>
          <w:color w:val="auto"/>
        </w:rPr>
      </w:pPr>
      <w:r>
        <w:rPr>
          <w:rFonts w:ascii="Arial" w:cs="Arial" w:eastAsia="Arial" w:hAnsi="Arial"/>
          <w:sz w:val="18"/>
          <w:szCs w:val="18"/>
          <w:b w:val="1"/>
          <w:bCs w:val="1"/>
          <w:color w:val="auto"/>
        </w:rPr>
        <w:t>PRELIMINARY PROSPECTUS</w:t>
      </w:r>
    </w:p>
    <w:p>
      <w:pPr>
        <w:jc w:val="center"/>
        <w:spacing w:after="0"/>
        <w:rPr>
          <w:sz w:val="20"/>
          <w:szCs w:val="20"/>
          <w:color w:val="auto"/>
        </w:rPr>
      </w:pPr>
      <w:r>
        <w:rPr>
          <w:rFonts w:ascii="Arial" w:cs="Arial" w:eastAsia="Arial" w:hAnsi="Arial"/>
          <w:sz w:val="25"/>
          <w:szCs w:val="25"/>
          <w:b w:val="1"/>
          <w:bCs w:val="1"/>
          <w:color w:val="auto"/>
        </w:rPr>
        <w:t>$350,000,000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CM Life Sciences,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35,000,000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109220</wp:posOffset>
            </wp:positionV>
            <wp:extent cx="5143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51" w:lineRule="exact"/>
        <w:rPr>
          <w:sz w:val="20"/>
          <w:szCs w:val="20"/>
          <w:color w:val="auto"/>
        </w:rPr>
      </w:pPr>
    </w:p>
    <w:p>
      <w:pPr>
        <w:ind w:left="460" w:right="619"/>
        <w:spacing w:after="0" w:line="244" w:lineRule="auto"/>
        <w:rPr>
          <w:sz w:val="20"/>
          <w:szCs w:val="20"/>
          <w:color w:val="auto"/>
        </w:rPr>
      </w:pPr>
      <w:r>
        <w:rPr>
          <w:rFonts w:ascii="Arial" w:cs="Arial" w:eastAsia="Arial" w:hAnsi="Arial"/>
          <w:sz w:val="14"/>
          <w:szCs w:val="14"/>
          <w:color w:val="auto"/>
        </w:rPr>
        <w:t>CM Life Sciences, Inc. is a blank check company formed as a Delaware corporation for the purpose of effecting a merger, capital stock exchange, asset acquisition, stock purchase, reorganization or similar business combination with one or more businesses, which we refer to as our initial business combination. We have not selected any specific business combination target and we have not, nor has anyone on our behalf, engaged in any substantive discussions, directly or indirectly, with any business combination target with respect to an initial business combination with us. While we may pursue an initial business combination target in any industry, sector or geographic region, we intend to focus our efforts on the life sciences sector.</w:t>
      </w:r>
    </w:p>
    <w:p>
      <w:pPr>
        <w:spacing w:after="0" w:line="57" w:lineRule="exact"/>
        <w:rPr>
          <w:sz w:val="20"/>
          <w:szCs w:val="20"/>
          <w:color w:val="auto"/>
        </w:rPr>
      </w:pPr>
    </w:p>
    <w:p>
      <w:pPr>
        <w:ind w:left="460" w:right="519"/>
        <w:spacing w:after="0" w:line="243" w:lineRule="auto"/>
        <w:rPr>
          <w:sz w:val="20"/>
          <w:szCs w:val="20"/>
          <w:color w:val="auto"/>
        </w:rPr>
      </w:pPr>
      <w:r>
        <w:rPr>
          <w:rFonts w:ascii="Arial" w:cs="Arial" w:eastAsia="Arial" w:hAnsi="Arial"/>
          <w:sz w:val="14"/>
          <w:szCs w:val="14"/>
          <w:color w:val="auto"/>
        </w:rPr>
        <w:t>This is an initial public offering of our securities. Each unit has an offering price of $10.00 and consists of one share of Class A common stock and one-third of one redeemable warrant. Each whole warrant entitles the holder thereof to purchase one share of Class A common stock at a price of $11.50 per share, subject to adjustment as described herein. Only whole warrants are exercisable. No fractional warrants will be issued upon separation of the units and only whole warrants will trade. The warrants will become exercisable on the later of 30 days after the completion of our initial business combination or 12 months from the closing of this offering, and will expire five years after the completion of our initial business combination or earlier upon redemption or our liquidation, as described herein. The underwriters have a 45-day option from the date of this prospectus to purchase up to 5,250,000 additional units to cover over-allotments, if any.</w:t>
      </w:r>
    </w:p>
    <w:p>
      <w:pPr>
        <w:spacing w:after="0" w:line="59" w:lineRule="exact"/>
        <w:rPr>
          <w:sz w:val="20"/>
          <w:szCs w:val="20"/>
          <w:color w:val="auto"/>
        </w:rPr>
      </w:pPr>
    </w:p>
    <w:p>
      <w:pPr>
        <w:ind w:left="460" w:right="479"/>
        <w:spacing w:after="0" w:line="243" w:lineRule="auto"/>
        <w:rPr>
          <w:sz w:val="20"/>
          <w:szCs w:val="20"/>
          <w:color w:val="auto"/>
        </w:rPr>
      </w:pPr>
      <w:r>
        <w:rPr>
          <w:rFonts w:ascii="Arial" w:cs="Arial" w:eastAsia="Arial" w:hAnsi="Arial"/>
          <w:sz w:val="14"/>
          <w:szCs w:val="14"/>
          <w:color w:val="auto"/>
        </w:rPr>
        <w:t>We will provide our public stockholders with the opportunity to redeem all or a portion of their shares of Class A common stock upon the completion of our initial business combination at a per-share price, payable in cash, equal to the aggregate amount then on deposit in the trust account described below as of two business days prior to the consummation of our initial business combination, including interest earned on the funds held in the trust account and not previously released to us to pay our taxes, divided by the number of then outstanding shares of Class A common stock that were sold as part of the units in this offering, which we refer to collectively as our public shares, subject to the limitations and on the conditions described herein. If we are unable to complete our initial business combination within 24 months from the closing of this offering, we will redeem 100% of the public shares at a per 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subject to applicable law and certain conditions as further described herein.</w:t>
      </w:r>
    </w:p>
    <w:p>
      <w:pPr>
        <w:spacing w:after="0" w:line="70" w:lineRule="exact"/>
        <w:rPr>
          <w:sz w:val="20"/>
          <w:szCs w:val="20"/>
          <w:color w:val="auto"/>
        </w:rPr>
      </w:pPr>
    </w:p>
    <w:p>
      <w:pPr>
        <w:ind w:left="460" w:right="499"/>
        <w:spacing w:after="0" w:line="245" w:lineRule="auto"/>
        <w:rPr>
          <w:sz w:val="20"/>
          <w:szCs w:val="20"/>
          <w:color w:val="auto"/>
        </w:rPr>
      </w:pPr>
      <w:r>
        <w:rPr>
          <w:rFonts w:ascii="Arial" w:cs="Arial" w:eastAsia="Arial" w:hAnsi="Arial"/>
          <w:sz w:val="14"/>
          <w:szCs w:val="14"/>
          <w:color w:val="auto"/>
        </w:rPr>
        <w:t>Our sponsor, CMLS Holdings LLC, has committed to purchase an aggregate of 6,000,000 private placement warrants (or 6,700,000 warrants if the underwriters’ over-allotment option is exercised in full), each exercisable to purchase one share of Class A common stock at $11.50 per share, at a price of $1.50 per warrant, or $9,000,000 in the aggregate (or $10,050,000 if the underwriters’ over-allotment option is exercised in full), in a private placement that will close simultaneously with the closing of this offering.</w:t>
      </w:r>
    </w:p>
    <w:p>
      <w:pPr>
        <w:spacing w:after="0" w:line="56" w:lineRule="exact"/>
        <w:rPr>
          <w:sz w:val="20"/>
          <w:szCs w:val="20"/>
          <w:color w:val="auto"/>
        </w:rPr>
      </w:pPr>
    </w:p>
    <w:p>
      <w:pPr>
        <w:jc w:val="both"/>
        <w:ind w:left="460" w:right="499"/>
        <w:spacing w:after="0" w:line="247" w:lineRule="auto"/>
        <w:rPr>
          <w:sz w:val="20"/>
          <w:szCs w:val="20"/>
          <w:color w:val="auto"/>
        </w:rPr>
      </w:pPr>
      <w:r>
        <w:rPr>
          <w:rFonts w:ascii="Arial" w:cs="Arial" w:eastAsia="Arial" w:hAnsi="Arial"/>
          <w:sz w:val="14"/>
          <w:szCs w:val="14"/>
          <w:color w:val="auto"/>
        </w:rPr>
        <w:t>Our initial stockholders currently own an aggregate of 10,062,500 shares of Class B common stock (up to 1,312,500 shares of which are subject to forfeiture depending on the extent to which the underwriters’ over-allotment option is exercised), which will automatically convert into shares of Class A common stock concurrently with or immediately following the consummation of our initial business combination on a one-for-one basis, subject to the adjustments described herein.</w:t>
      </w:r>
    </w:p>
    <w:p>
      <w:pPr>
        <w:spacing w:after="0" w:line="53" w:lineRule="exact"/>
        <w:rPr>
          <w:sz w:val="20"/>
          <w:szCs w:val="20"/>
          <w:color w:val="auto"/>
        </w:rPr>
      </w:pPr>
    </w:p>
    <w:p>
      <w:pPr>
        <w:ind w:left="460" w:right="499"/>
        <w:spacing w:after="0" w:line="242" w:lineRule="auto"/>
        <w:rPr>
          <w:sz w:val="20"/>
          <w:szCs w:val="20"/>
          <w:color w:val="auto"/>
        </w:rPr>
      </w:pPr>
      <w:r>
        <w:rPr>
          <w:rFonts w:ascii="Arial" w:cs="Arial" w:eastAsia="Arial" w:hAnsi="Arial"/>
          <w:sz w:val="14"/>
          <w:szCs w:val="14"/>
          <w:color w:val="auto"/>
        </w:rPr>
        <w:t>We have entered into separate forward purchase agreements with affiliates of our sponsor, Casdin Capital, LLC (“Casdin Capital”) and Corvex Management LP (“Corvex Management”), in their capacities as investment advisors on behalf of one or more investment funds, clients or accounts managed by each of Casdin Capital and Corvex Management, respectively (collectively, their “Clients”), pursuant to which, subject to the conditions described below, they will cause certain Clients to purchase from us up to an aggregate amount of 15,000,000 shares of Class A common stock, or the forward purchase shares, for $10.00 per forward purchase share, or an aggregate amount of up to $150,000,000, in a private placement that will close concurrently with the closing of our initial business combination. The respective obligations of Casdin Capital and Corvex Management to cause Clients to purchase forward purchase shares will, among other things, be conditioned on our completing an initial business combination with a company engaged in a business that is within the investment objectives of the Clients purchasing forward purchase shares and on the business combination (including the target assets or business, and the terms of the business combination) being reasonably acceptable to such Clients as determined by Casdin Capital or Corvex Management, as relevant, as investment advisors on behalf of such Clients. See “Summary — The Offering — Forward Purchase Agreements.”</w:t>
      </w:r>
    </w:p>
    <w:p>
      <w:pPr>
        <w:spacing w:after="0" w:line="239" w:lineRule="exact"/>
        <w:rPr>
          <w:sz w:val="20"/>
          <w:szCs w:val="20"/>
          <w:color w:val="auto"/>
        </w:rPr>
      </w:pPr>
    </w:p>
    <w:p>
      <w:pPr>
        <w:ind w:left="460" w:right="499"/>
        <w:spacing w:after="0" w:line="244" w:lineRule="auto"/>
        <w:rPr>
          <w:sz w:val="20"/>
          <w:szCs w:val="20"/>
          <w:color w:val="auto"/>
        </w:rPr>
      </w:pPr>
      <w:r>
        <w:rPr>
          <w:rFonts w:ascii="Arial" w:cs="Arial" w:eastAsia="Arial" w:hAnsi="Arial"/>
          <w:sz w:val="14"/>
          <w:szCs w:val="14"/>
          <w:color w:val="auto"/>
        </w:rPr>
        <w:t>Currently, there is no public market for our units, Class A common stock or warrants. We intend to apply to have our units listed on Nasdaq Capital Market, or Nasdaq, under the symbol “CMLFU” on or promptly after the date of this prospectus. We cannot guarantee that our securities will be approved for listing on Nasdaq. We expect the shares of Class A common stock and warrants comprising the units to begin separate trading on the 52</w:t>
      </w:r>
      <w:r>
        <w:rPr>
          <w:rFonts w:ascii="Arial" w:cs="Arial" w:eastAsia="Arial" w:hAnsi="Arial"/>
          <w:sz w:val="14"/>
          <w:szCs w:val="14"/>
          <w:color w:val="auto"/>
          <w:vertAlign w:val="superscript"/>
        </w:rPr>
        <w:t>nd</w:t>
      </w:r>
      <w:r>
        <w:rPr>
          <w:rFonts w:ascii="Arial" w:cs="Arial" w:eastAsia="Arial" w:hAnsi="Arial"/>
          <w:sz w:val="14"/>
          <w:szCs w:val="14"/>
          <w:color w:val="auto"/>
        </w:rPr>
        <w:t xml:space="preserve"> day following the date of this prospectus unless Jefferies LLC informs us of its decision to allow earlier separate trading, subject to our satisfaction of certain conditions. Once the securities comprising the units begin separate trading, we expect that the Class A common stock and warrants will be listed on Nasdaq under the symbols “CMLF” and “CMLFW,” respectively.</w:t>
      </w:r>
    </w:p>
    <w:p>
      <w:pPr>
        <w:spacing w:after="0" w:line="38" w:lineRule="exact"/>
        <w:rPr>
          <w:sz w:val="20"/>
          <w:szCs w:val="20"/>
          <w:color w:val="auto"/>
        </w:rPr>
      </w:pPr>
    </w:p>
    <w:p>
      <w:pPr>
        <w:ind w:left="460" w:right="599"/>
        <w:spacing w:after="0" w:line="252" w:lineRule="auto"/>
        <w:rPr>
          <w:sz w:val="20"/>
          <w:szCs w:val="20"/>
          <w:color w:val="auto"/>
        </w:rPr>
      </w:pPr>
      <w:r>
        <w:rPr>
          <w:rFonts w:ascii="Arial" w:cs="Arial" w:eastAsia="Arial" w:hAnsi="Arial"/>
          <w:sz w:val="14"/>
          <w:szCs w:val="14"/>
          <w:b w:val="1"/>
          <w:bCs w:val="1"/>
          <w:color w:val="auto"/>
        </w:rPr>
        <w:t>We are an “emerging growth company” and “small reporting company” under applicable federal securities laws and will be subject to reduced public company reporting requirements. Investing in our securities involves a high degree of risk. See “</w:t>
      </w:r>
      <w:r>
        <w:rPr>
          <w:rFonts w:ascii="Arial" w:cs="Arial" w:eastAsia="Arial" w:hAnsi="Arial"/>
          <w:sz w:val="14"/>
          <w:szCs w:val="14"/>
          <w:b w:val="1"/>
          <w:bCs w:val="1"/>
          <w:u w:val="single" w:color="auto"/>
          <w:color w:val="auto"/>
        </w:rPr>
        <w:t>Risk Factors</w:t>
      </w:r>
      <w:r>
        <w:rPr>
          <w:rFonts w:ascii="Arial" w:cs="Arial" w:eastAsia="Arial" w:hAnsi="Arial"/>
          <w:sz w:val="14"/>
          <w:szCs w:val="14"/>
          <w:b w:val="1"/>
          <w:bCs w:val="1"/>
          <w:color w:val="auto"/>
        </w:rPr>
        <w:t>” beginning on page 30 for a discussion of information that should be considered in connection with an investment in our securities. Investors will not be entitled to protections normally afforded to investors in Rule 419 blank check offerings.</w:t>
      </w:r>
    </w:p>
    <w:p>
      <w:pPr>
        <w:spacing w:after="0" w:line="32" w:lineRule="exact"/>
        <w:rPr>
          <w:sz w:val="20"/>
          <w:szCs w:val="20"/>
          <w:color w:val="auto"/>
        </w:rPr>
      </w:pPr>
    </w:p>
    <w:p>
      <w:pPr>
        <w:ind w:left="460" w:right="779"/>
        <w:spacing w:after="0" w:line="263" w:lineRule="auto"/>
        <w:rPr>
          <w:sz w:val="20"/>
          <w:szCs w:val="20"/>
          <w:color w:val="auto"/>
        </w:rPr>
      </w:pPr>
      <w:r>
        <w:rPr>
          <w:rFonts w:ascii="Arial" w:cs="Arial" w:eastAsia="Arial" w:hAnsi="Arial"/>
          <w:sz w:val="14"/>
          <w:szCs w:val="14"/>
          <w:b w:val="1"/>
          <w:bCs w:val="1"/>
          <w:color w:val="auto"/>
        </w:rPr>
        <w:t>Neither the U.S.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100965</wp:posOffset>
            </wp:positionV>
            <wp:extent cx="51435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220" w:lineRule="exact"/>
        <w:rPr>
          <w:sz w:val="20"/>
          <w:szCs w:val="20"/>
          <w:color w:val="auto"/>
        </w:rPr>
      </w:pPr>
    </w:p>
    <w:tbl>
      <w:tblPr>
        <w:tblLayout w:type="fixed"/>
        <w:tblInd w:w="880" w:type="dxa"/>
        <w:tblCellMar>
          <w:top w:w="0" w:type="dxa"/>
          <w:left w:w="0" w:type="dxa"/>
          <w:bottom w:w="0" w:type="dxa"/>
          <w:right w:w="0" w:type="dxa"/>
        </w:tblCellMar>
      </w:tblPr>
      <w:tr>
        <w:trPr>
          <w:trHeight w:val="190"/>
        </w:trPr>
        <w:tc>
          <w:tcPr>
            <w:tcW w:w="40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PER UNIT</w:t>
            </w:r>
          </w:p>
        </w:tc>
        <w:tc>
          <w:tcPr>
            <w:tcW w:w="220" w:type="dxa"/>
            <w:vAlign w:val="bottom"/>
          </w:tcPr>
          <w:p>
            <w:pPr>
              <w:spacing w:after="0"/>
              <w:rPr>
                <w:sz w:val="16"/>
                <w:szCs w:val="16"/>
                <w:color w:val="auto"/>
              </w:rPr>
            </w:pPr>
          </w:p>
        </w:tc>
        <w:tc>
          <w:tcPr>
            <w:tcW w:w="102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r>
      <w:tr>
        <w:trPr>
          <w:trHeight w:val="25"/>
        </w:trPr>
        <w:tc>
          <w:tcPr>
            <w:tcW w:w="40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Public offering price</w:t>
            </w:r>
          </w:p>
        </w:tc>
        <w:tc>
          <w:tcPr>
            <w:tcW w:w="14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10.00</w:t>
            </w: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350,000,000</w:t>
            </w:r>
          </w:p>
        </w:tc>
      </w:tr>
      <w:tr>
        <w:trPr>
          <w:trHeight w:val="284"/>
        </w:trPr>
        <w:tc>
          <w:tcPr>
            <w:tcW w:w="4020" w:type="dxa"/>
            <w:vAlign w:val="bottom"/>
          </w:tcPr>
          <w:p>
            <w:pPr>
              <w:spacing w:after="0"/>
              <w:rPr>
                <w:sz w:val="20"/>
                <w:szCs w:val="20"/>
                <w:color w:val="auto"/>
              </w:rPr>
            </w:pPr>
            <w:r>
              <w:rPr>
                <w:rFonts w:ascii="Arial" w:cs="Arial" w:eastAsia="Arial" w:hAnsi="Arial"/>
                <w:sz w:val="14"/>
                <w:szCs w:val="14"/>
                <w:color w:val="auto"/>
              </w:rPr>
              <w:t>Underwriting discounts and commissions</w:t>
            </w:r>
            <w:r>
              <w:rPr>
                <w:rFonts w:ascii="Arial" w:cs="Arial" w:eastAsia="Arial" w:hAnsi="Arial"/>
                <w:sz w:val="21"/>
                <w:szCs w:val="21"/>
                <w:color w:val="auto"/>
                <w:vertAlign w:val="superscript"/>
              </w:rPr>
              <w:t>(1)</w:t>
            </w:r>
          </w:p>
        </w:tc>
        <w:tc>
          <w:tcPr>
            <w:tcW w:w="14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0.55</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19,250,000</w:t>
            </w:r>
          </w:p>
        </w:tc>
      </w:tr>
      <w:tr>
        <w:trPr>
          <w:trHeight w:val="258"/>
        </w:trPr>
        <w:tc>
          <w:tcPr>
            <w:tcW w:w="4020" w:type="dxa"/>
            <w:vAlign w:val="bottom"/>
            <w:shd w:val="clear" w:color="auto" w:fill="CCEEFF"/>
          </w:tcPr>
          <w:p>
            <w:pPr>
              <w:spacing w:after="0"/>
              <w:rPr>
                <w:sz w:val="20"/>
                <w:szCs w:val="20"/>
                <w:color w:val="auto"/>
              </w:rPr>
            </w:pPr>
            <w:r>
              <w:rPr>
                <w:rFonts w:ascii="Arial" w:cs="Arial" w:eastAsia="Arial" w:hAnsi="Arial"/>
                <w:sz w:val="14"/>
                <w:szCs w:val="14"/>
                <w:color w:val="auto"/>
              </w:rPr>
              <w:t>Proceeds, before expenses, to us</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9.45</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330,750,000</w:t>
            </w:r>
          </w:p>
        </w:tc>
      </w:tr>
      <w:tr>
        <w:trPr>
          <w:trHeight w:val="26"/>
        </w:trPr>
        <w:tc>
          <w:tcPr>
            <w:tcW w:w="40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170" w:lineRule="exact"/>
        <w:rPr>
          <w:sz w:val="20"/>
          <w:szCs w:val="20"/>
          <w:color w:val="auto"/>
        </w:rPr>
      </w:pPr>
    </w:p>
    <w:p>
      <w:pPr>
        <w:ind w:left="880" w:right="539" w:hanging="426"/>
        <w:spacing w:after="0"/>
        <w:tabs>
          <w:tab w:leader="none" w:pos="882" w:val="left"/>
        </w:tabs>
        <w:numPr>
          <w:ilvl w:val="0"/>
          <w:numId w:val="2"/>
        </w:numPr>
        <w:rPr>
          <w:rFonts w:ascii="Arial" w:cs="Arial" w:eastAsia="Arial" w:hAnsi="Arial"/>
          <w:sz w:val="12"/>
          <w:szCs w:val="12"/>
          <w:color w:val="auto"/>
        </w:rPr>
      </w:pPr>
      <w:r>
        <w:rPr>
          <w:rFonts w:ascii="Arial" w:cs="Arial" w:eastAsia="Arial" w:hAnsi="Arial"/>
          <w:sz w:val="12"/>
          <w:szCs w:val="12"/>
          <w:color w:val="auto"/>
        </w:rPr>
        <w:t>$0.20 per unit, or $7,000,000 in the aggregate (or $8,050,000 if the underwriters’ over-allotment option is exercised in full), is payable upon the closing of this offering. Includes $0.35 per unit, or $12,250,000 in the aggregate (or up to $14,087,500 in the aggregate if the underwriters’ over-allotment option is exercised in full) payable to the underwriters for deferred underwriting commissions to be placed in a trust account located in the United States and released to the underwriters only upon the completion of an initial business combination. See also “Underwriting” for a description of compensation and other items of value payable to the underwriters.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20320</wp:posOffset>
            </wp:positionV>
            <wp:extent cx="51435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205" w:lineRule="exact"/>
        <w:rPr>
          <w:sz w:val="20"/>
          <w:szCs w:val="20"/>
          <w:color w:val="auto"/>
        </w:rPr>
      </w:pPr>
    </w:p>
    <w:p>
      <w:pPr>
        <w:ind w:left="460" w:right="479"/>
        <w:spacing w:after="0" w:line="244" w:lineRule="auto"/>
        <w:rPr>
          <w:sz w:val="20"/>
          <w:szCs w:val="20"/>
          <w:color w:val="auto"/>
        </w:rPr>
      </w:pPr>
      <w:r>
        <w:rPr>
          <w:rFonts w:ascii="Arial" w:cs="Arial" w:eastAsia="Arial" w:hAnsi="Arial"/>
          <w:sz w:val="14"/>
          <w:szCs w:val="14"/>
          <w:color w:val="auto"/>
        </w:rPr>
        <w:t>Of the proceeds we receive from this offering and the sale of the private placement warrants described in this prospectus, $350.0 million, or $402.5 million if the underwriters’ over-allotment option is exercised in full ($10.00 per unit in any case), will be deposited into a trust account in the United States with Continental Stock Transfer &amp; Trust Company acting as trustee, after deducting $7,000,000 in underwriting discounts and commissions payable upon the closing of this offering (or $8,050,000 if the underwriters’ over-allotment option is exercised in full) and an aggregate of $2.0 million to pay fees and expenses in connection with the closing of this offering and for working capital following the closing of this offering.</w:t>
      </w:r>
    </w:p>
    <w:p>
      <w:pPr>
        <w:sectPr>
          <w:pgSz w:w="11900" w:h="16838" w:orient="portrait"/>
          <w:cols w:equalWidth="0" w:num="1">
            <w:col w:w="9019"/>
          </w:cols>
          <w:pgMar w:left="1440" w:top="293" w:right="1440" w:bottom="0" w:gutter="0" w:footer="0" w:header="0"/>
        </w:sectPr>
      </w:pPr>
    </w:p>
    <w:bookmarkStart w:id="3" w:name="page4"/>
    <w:bookmarkEnd w:id="3"/>
    <w:p>
      <w:pPr>
        <w:jc w:val="center"/>
        <w:ind w:right="19"/>
        <w:spacing w:after="0"/>
        <w:rPr>
          <w:sz w:val="20"/>
          <w:szCs w:val="20"/>
          <w:color w:val="auto"/>
        </w:rPr>
      </w:pPr>
      <w:r>
        <w:rPr>
          <w:rFonts w:ascii="Arial" w:cs="Arial" w:eastAsia="Arial" w:hAnsi="Arial"/>
          <w:sz w:val="14"/>
          <w:szCs w:val="14"/>
          <w:color w:val="auto"/>
        </w:rPr>
        <w:t>The underwriters are offering the units for sale on a firm commitment basis. The underwriters expect to deliver the units to the</w:t>
      </w:r>
    </w:p>
    <w:p>
      <w:pPr>
        <w:spacing w:after="0" w:line="1" w:lineRule="exact"/>
        <w:rPr>
          <w:sz w:val="20"/>
          <w:szCs w:val="20"/>
          <w:color w:val="auto"/>
        </w:rPr>
      </w:pPr>
    </w:p>
    <w:tbl>
      <w:tblPr>
        <w:tblLayout w:type="fixed"/>
        <w:tblInd w:w="3240" w:type="dxa"/>
        <w:tblCellMar>
          <w:top w:w="0" w:type="dxa"/>
          <w:left w:w="0" w:type="dxa"/>
          <w:bottom w:w="0" w:type="dxa"/>
          <w:right w:w="0" w:type="dxa"/>
        </w:tblCellMar>
      </w:tblPr>
      <w:tr>
        <w:trPr>
          <w:trHeight w:val="172"/>
        </w:trPr>
        <w:tc>
          <w:tcPr>
            <w:tcW w:w="1780" w:type="dxa"/>
            <w:vAlign w:val="bottom"/>
          </w:tcPr>
          <w:p>
            <w:pPr>
              <w:spacing w:after="0"/>
              <w:rPr>
                <w:sz w:val="20"/>
                <w:szCs w:val="20"/>
                <w:color w:val="auto"/>
              </w:rPr>
            </w:pPr>
            <w:r>
              <w:rPr>
                <w:rFonts w:ascii="Arial" w:cs="Arial" w:eastAsia="Arial" w:hAnsi="Arial"/>
                <w:sz w:val="14"/>
                <w:szCs w:val="14"/>
                <w:color w:val="auto"/>
              </w:rPr>
              <w:t>purchasers on or about</w:t>
            </w:r>
          </w:p>
        </w:tc>
        <w:tc>
          <w:tcPr>
            <w:tcW w:w="740" w:type="dxa"/>
            <w:vAlign w:val="bottom"/>
          </w:tcPr>
          <w:p>
            <w:pPr>
              <w:jc w:val="right"/>
              <w:spacing w:after="0"/>
              <w:rPr>
                <w:sz w:val="20"/>
                <w:szCs w:val="20"/>
                <w:color w:val="auto"/>
              </w:rPr>
            </w:pPr>
            <w:r>
              <w:rPr>
                <w:rFonts w:ascii="Arial" w:cs="Arial" w:eastAsia="Arial" w:hAnsi="Arial"/>
                <w:sz w:val="14"/>
                <w:szCs w:val="14"/>
                <w:color w:val="auto"/>
              </w:rPr>
              <w:t>, 2020.</w:t>
            </w:r>
          </w:p>
        </w:tc>
      </w:tr>
    </w:tbl>
    <w:p>
      <w:pPr>
        <w:jc w:val="center"/>
        <w:ind w:right="19"/>
        <w:spacing w:after="0"/>
        <w:rPr>
          <w:sz w:val="20"/>
          <w:szCs w:val="20"/>
          <w:color w:val="auto"/>
        </w:rPr>
      </w:pPr>
      <w:r>
        <w:rPr>
          <w:rFonts w:ascii="Arial" w:cs="Arial" w:eastAsia="Arial" w:hAnsi="Arial"/>
          <w:sz w:val="29"/>
          <w:szCs w:val="29"/>
          <w:b w:val="1"/>
          <w:bCs w:val="1"/>
          <w:color w:val="auto"/>
        </w:rPr>
        <w:t>Jefferies</w:t>
      </w:r>
    </w:p>
    <w:p>
      <w:pPr>
        <w:spacing w:after="0" w:line="115" w:lineRule="exact"/>
        <w:rPr>
          <w:sz w:val="20"/>
          <w:szCs w:val="20"/>
          <w:color w:val="auto"/>
        </w:rPr>
      </w:pPr>
    </w:p>
    <w:p>
      <w:pPr>
        <w:jc w:val="center"/>
        <w:ind w:right="-300"/>
        <w:spacing w:after="0"/>
        <w:rPr>
          <w:sz w:val="20"/>
          <w:szCs w:val="20"/>
          <w:color w:val="auto"/>
        </w:rPr>
      </w:pPr>
      <w:r>
        <w:rPr>
          <w:rFonts w:ascii="Arial" w:cs="Arial" w:eastAsia="Arial" w:hAnsi="Arial"/>
          <w:sz w:val="14"/>
          <w:szCs w:val="14"/>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246380</wp:posOffset>
            </wp:positionV>
            <wp:extent cx="51435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44" w:right="1440"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2"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rPr>
              <w:t>Page</w:t>
            </w:r>
          </w:p>
        </w:tc>
      </w:tr>
      <w:tr>
        <w:trPr>
          <w:trHeight w:val="26"/>
        </w:trPr>
        <w:tc>
          <w:tcPr>
            <w:tcW w:w="76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43"/>
        </w:trPr>
        <w:tc>
          <w:tcPr>
            <w:tcW w:w="76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Summary</w:t>
              </w:r>
            </w:hyperlink>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r>
      <w:tr>
        <w:trPr>
          <w:trHeight w:val="257"/>
        </w:trPr>
        <w:tc>
          <w:tcPr>
            <w:tcW w:w="7600" w:type="dxa"/>
            <w:vAlign w:val="bottom"/>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Summary Financial Data</w:t>
              </w:r>
            </w:hyperlink>
          </w:p>
        </w:tc>
        <w:tc>
          <w:tcPr>
            <w:tcW w:w="500" w:type="dxa"/>
            <w:vAlign w:val="bottom"/>
          </w:tcPr>
          <w:p>
            <w:pPr>
              <w:jc w:val="center"/>
              <w:spacing w:after="0"/>
              <w:rPr>
                <w:sz w:val="20"/>
                <w:szCs w:val="20"/>
                <w:color w:val="auto"/>
              </w:rPr>
            </w:pPr>
            <w:r>
              <w:rPr>
                <w:rFonts w:ascii="Arial" w:cs="Arial" w:eastAsia="Arial" w:hAnsi="Arial"/>
                <w:sz w:val="18"/>
                <w:szCs w:val="18"/>
                <w:color w:val="auto"/>
                <w:w w:val="99"/>
              </w:rPr>
              <w:t>29</w:t>
            </w:r>
          </w:p>
        </w:tc>
      </w:tr>
      <w:tr>
        <w:trPr>
          <w:trHeight w:val="27"/>
        </w:trPr>
        <w:tc>
          <w:tcPr>
            <w:tcW w:w="76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63"/>
        </w:trPr>
        <w:tc>
          <w:tcPr>
            <w:tcW w:w="76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Risk Factors</w:t>
              </w:r>
            </w:hyperlink>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30</w:t>
            </w:r>
          </w:p>
        </w:tc>
      </w:tr>
      <w:tr>
        <w:trPr>
          <w:trHeight w:val="257"/>
        </w:trPr>
        <w:tc>
          <w:tcPr>
            <w:tcW w:w="7600" w:type="dxa"/>
            <w:vAlign w:val="bottom"/>
          </w:tcPr>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Cautionary Note Regarding Forward-Looking Statements</w:t>
              </w:r>
            </w:hyperlink>
          </w:p>
        </w:tc>
        <w:tc>
          <w:tcPr>
            <w:tcW w:w="500" w:type="dxa"/>
            <w:vAlign w:val="bottom"/>
          </w:tcPr>
          <w:p>
            <w:pPr>
              <w:jc w:val="center"/>
              <w:spacing w:after="0"/>
              <w:rPr>
                <w:sz w:val="20"/>
                <w:szCs w:val="20"/>
                <w:color w:val="auto"/>
              </w:rPr>
            </w:pPr>
            <w:r>
              <w:rPr>
                <w:rFonts w:ascii="Arial" w:cs="Arial" w:eastAsia="Arial" w:hAnsi="Arial"/>
                <w:sz w:val="18"/>
                <w:szCs w:val="18"/>
                <w:color w:val="auto"/>
                <w:w w:val="99"/>
              </w:rPr>
              <w:t>61</w:t>
            </w:r>
          </w:p>
        </w:tc>
      </w:tr>
      <w:tr>
        <w:trPr>
          <w:trHeight w:val="27"/>
        </w:trPr>
        <w:tc>
          <w:tcPr>
            <w:tcW w:w="76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64"/>
        </w:trPr>
        <w:tc>
          <w:tcPr>
            <w:tcW w:w="76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Use of Proceeds</w:t>
              </w:r>
            </w:hyperlink>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62</w:t>
            </w:r>
          </w:p>
        </w:tc>
      </w:tr>
      <w:tr>
        <w:trPr>
          <w:trHeight w:val="257"/>
        </w:trPr>
        <w:tc>
          <w:tcPr>
            <w:tcW w:w="7600" w:type="dxa"/>
            <w:vAlign w:val="bottom"/>
          </w:tcPr>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Dividend Policy</w:t>
              </w:r>
            </w:hyperlink>
          </w:p>
        </w:tc>
        <w:tc>
          <w:tcPr>
            <w:tcW w:w="500" w:type="dxa"/>
            <w:vAlign w:val="bottom"/>
          </w:tcPr>
          <w:p>
            <w:pPr>
              <w:jc w:val="center"/>
              <w:spacing w:after="0"/>
              <w:rPr>
                <w:sz w:val="20"/>
                <w:szCs w:val="20"/>
                <w:color w:val="auto"/>
              </w:rPr>
            </w:pPr>
            <w:r>
              <w:rPr>
                <w:rFonts w:ascii="Arial" w:cs="Arial" w:eastAsia="Arial" w:hAnsi="Arial"/>
                <w:sz w:val="18"/>
                <w:szCs w:val="18"/>
                <w:color w:val="auto"/>
                <w:w w:val="99"/>
              </w:rPr>
              <w:t>65</w:t>
            </w:r>
          </w:p>
        </w:tc>
      </w:tr>
      <w:tr>
        <w:trPr>
          <w:trHeight w:val="27"/>
        </w:trPr>
        <w:tc>
          <w:tcPr>
            <w:tcW w:w="76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63"/>
        </w:trPr>
        <w:tc>
          <w:tcPr>
            <w:tcW w:w="76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Dilution</w:t>
              </w:r>
            </w:hyperlink>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66</w:t>
            </w:r>
          </w:p>
        </w:tc>
      </w:tr>
      <w:tr>
        <w:trPr>
          <w:trHeight w:val="257"/>
        </w:trPr>
        <w:tc>
          <w:tcPr>
            <w:tcW w:w="7600" w:type="dxa"/>
            <w:vAlign w:val="bottom"/>
          </w:tcPr>
          <w:p>
            <w:pPr>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Capitalization</w:t>
              </w:r>
            </w:hyperlink>
          </w:p>
        </w:tc>
        <w:tc>
          <w:tcPr>
            <w:tcW w:w="500" w:type="dxa"/>
            <w:vAlign w:val="bottom"/>
          </w:tcPr>
          <w:p>
            <w:pPr>
              <w:jc w:val="center"/>
              <w:spacing w:after="0"/>
              <w:rPr>
                <w:sz w:val="20"/>
                <w:szCs w:val="20"/>
                <w:color w:val="auto"/>
              </w:rPr>
            </w:pPr>
            <w:r>
              <w:rPr>
                <w:rFonts w:ascii="Arial" w:cs="Arial" w:eastAsia="Arial" w:hAnsi="Arial"/>
                <w:sz w:val="18"/>
                <w:szCs w:val="18"/>
                <w:color w:val="auto"/>
                <w:w w:val="99"/>
              </w:rPr>
              <w:t>68</w:t>
            </w:r>
          </w:p>
        </w:tc>
      </w:tr>
      <w:tr>
        <w:trPr>
          <w:trHeight w:val="27"/>
        </w:trPr>
        <w:tc>
          <w:tcPr>
            <w:tcW w:w="76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63"/>
        </w:trPr>
        <w:tc>
          <w:tcPr>
            <w:tcW w:w="76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Management’s Discussion and Analysis of Financial Condition and Results of Operations</w:t>
              </w:r>
            </w:hyperlink>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69</w:t>
            </w:r>
          </w:p>
        </w:tc>
      </w:tr>
      <w:tr>
        <w:trPr>
          <w:trHeight w:val="257"/>
        </w:trPr>
        <w:tc>
          <w:tcPr>
            <w:tcW w:w="7600" w:type="dxa"/>
            <w:vAlign w:val="bottom"/>
          </w:tcPr>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Proposed Business</w:t>
              </w:r>
            </w:hyperlink>
          </w:p>
        </w:tc>
        <w:tc>
          <w:tcPr>
            <w:tcW w:w="500" w:type="dxa"/>
            <w:vAlign w:val="bottom"/>
          </w:tcPr>
          <w:p>
            <w:pPr>
              <w:jc w:val="center"/>
              <w:spacing w:after="0"/>
              <w:rPr>
                <w:sz w:val="20"/>
                <w:szCs w:val="20"/>
                <w:color w:val="auto"/>
              </w:rPr>
            </w:pPr>
            <w:r>
              <w:rPr>
                <w:rFonts w:ascii="Arial" w:cs="Arial" w:eastAsia="Arial" w:hAnsi="Arial"/>
                <w:sz w:val="18"/>
                <w:szCs w:val="18"/>
                <w:color w:val="auto"/>
                <w:w w:val="99"/>
              </w:rPr>
              <w:t>74</w:t>
            </w:r>
          </w:p>
        </w:tc>
      </w:tr>
      <w:tr>
        <w:trPr>
          <w:trHeight w:val="27"/>
        </w:trPr>
        <w:tc>
          <w:tcPr>
            <w:tcW w:w="76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64"/>
        </w:trPr>
        <w:tc>
          <w:tcPr>
            <w:tcW w:w="76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Management</w:t>
              </w:r>
            </w:hyperlink>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99</w:t>
            </w:r>
          </w:p>
        </w:tc>
      </w:tr>
      <w:tr>
        <w:trPr>
          <w:trHeight w:val="257"/>
        </w:trPr>
        <w:tc>
          <w:tcPr>
            <w:tcW w:w="7600" w:type="dxa"/>
            <w:vAlign w:val="bottom"/>
          </w:tcPr>
          <w:p>
            <w:pPr>
              <w:spacing w:after="0"/>
              <w:rPr>
                <w:rFonts w:ascii="Arial" w:cs="Arial" w:eastAsia="Arial" w:hAnsi="Arial"/>
                <w:sz w:val="18"/>
                <w:szCs w:val="18"/>
                <w:u w:val="single" w:color="auto"/>
                <w:color w:val="0000EE"/>
              </w:rPr>
            </w:pPr>
            <w:hyperlink w:anchor="page113">
              <w:r>
                <w:rPr>
                  <w:rFonts w:ascii="Arial" w:cs="Arial" w:eastAsia="Arial" w:hAnsi="Arial"/>
                  <w:sz w:val="18"/>
                  <w:szCs w:val="18"/>
                  <w:u w:val="single" w:color="auto"/>
                  <w:color w:val="0000EE"/>
                </w:rPr>
                <w:t>Principal Stockholders</w:t>
              </w:r>
            </w:hyperlink>
          </w:p>
        </w:tc>
        <w:tc>
          <w:tcPr>
            <w:tcW w:w="500" w:type="dxa"/>
            <w:vAlign w:val="bottom"/>
          </w:tcPr>
          <w:p>
            <w:pPr>
              <w:jc w:val="center"/>
              <w:spacing w:after="0"/>
              <w:rPr>
                <w:sz w:val="20"/>
                <w:szCs w:val="20"/>
                <w:color w:val="auto"/>
              </w:rPr>
            </w:pPr>
            <w:r>
              <w:rPr>
                <w:rFonts w:ascii="Arial" w:cs="Arial" w:eastAsia="Arial" w:hAnsi="Arial"/>
                <w:sz w:val="18"/>
                <w:szCs w:val="18"/>
                <w:color w:val="auto"/>
                <w:w w:val="99"/>
              </w:rPr>
              <w:t>107</w:t>
            </w:r>
          </w:p>
        </w:tc>
      </w:tr>
      <w:tr>
        <w:trPr>
          <w:trHeight w:val="27"/>
        </w:trPr>
        <w:tc>
          <w:tcPr>
            <w:tcW w:w="76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63"/>
        </w:trPr>
        <w:tc>
          <w:tcPr>
            <w:tcW w:w="76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16">
              <w:r>
                <w:rPr>
                  <w:rFonts w:ascii="Arial" w:cs="Arial" w:eastAsia="Arial" w:hAnsi="Arial"/>
                  <w:sz w:val="18"/>
                  <w:szCs w:val="18"/>
                  <w:u w:val="single" w:color="auto"/>
                  <w:color w:val="0000EE"/>
                </w:rPr>
                <w:t>Certain Relationships and Related Party Transactions</w:t>
              </w:r>
            </w:hyperlink>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110</w:t>
            </w:r>
          </w:p>
        </w:tc>
      </w:tr>
      <w:tr>
        <w:trPr>
          <w:trHeight w:val="257"/>
        </w:trPr>
        <w:tc>
          <w:tcPr>
            <w:tcW w:w="7600" w:type="dxa"/>
            <w:vAlign w:val="bottom"/>
          </w:tcPr>
          <w:p>
            <w:pPr>
              <w:spacing w:after="0"/>
              <w:rPr>
                <w:rFonts w:ascii="Arial" w:cs="Arial" w:eastAsia="Arial" w:hAnsi="Arial"/>
                <w:sz w:val="18"/>
                <w:szCs w:val="18"/>
                <w:u w:val="single" w:color="auto"/>
                <w:color w:val="0000EE"/>
              </w:rPr>
            </w:pPr>
            <w:hyperlink w:anchor="page118">
              <w:r>
                <w:rPr>
                  <w:rFonts w:ascii="Arial" w:cs="Arial" w:eastAsia="Arial" w:hAnsi="Arial"/>
                  <w:sz w:val="18"/>
                  <w:szCs w:val="18"/>
                  <w:u w:val="single" w:color="auto"/>
                  <w:color w:val="0000EE"/>
                </w:rPr>
                <w:t>Description of Securities</w:t>
              </w:r>
            </w:hyperlink>
          </w:p>
        </w:tc>
        <w:tc>
          <w:tcPr>
            <w:tcW w:w="500" w:type="dxa"/>
            <w:vAlign w:val="bottom"/>
          </w:tcPr>
          <w:p>
            <w:pPr>
              <w:jc w:val="center"/>
              <w:spacing w:after="0"/>
              <w:rPr>
                <w:sz w:val="20"/>
                <w:szCs w:val="20"/>
                <w:color w:val="auto"/>
              </w:rPr>
            </w:pPr>
            <w:r>
              <w:rPr>
                <w:rFonts w:ascii="Arial" w:cs="Arial" w:eastAsia="Arial" w:hAnsi="Arial"/>
                <w:sz w:val="18"/>
                <w:szCs w:val="18"/>
                <w:color w:val="auto"/>
                <w:w w:val="99"/>
              </w:rPr>
              <w:t>112</w:t>
            </w:r>
          </w:p>
        </w:tc>
      </w:tr>
      <w:tr>
        <w:trPr>
          <w:trHeight w:val="27"/>
        </w:trPr>
        <w:tc>
          <w:tcPr>
            <w:tcW w:w="76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63"/>
        </w:trPr>
        <w:tc>
          <w:tcPr>
            <w:tcW w:w="76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34">
              <w:r>
                <w:rPr>
                  <w:rFonts w:ascii="Arial" w:cs="Arial" w:eastAsia="Arial" w:hAnsi="Arial"/>
                  <w:sz w:val="18"/>
                  <w:szCs w:val="18"/>
                  <w:u w:val="single" w:color="auto"/>
                  <w:color w:val="0000EE"/>
                </w:rPr>
                <w:t>U.S. Federal Income Tax Considerations</w:t>
              </w:r>
            </w:hyperlink>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128</w:t>
            </w:r>
          </w:p>
        </w:tc>
      </w:tr>
      <w:tr>
        <w:trPr>
          <w:trHeight w:val="257"/>
        </w:trPr>
        <w:tc>
          <w:tcPr>
            <w:tcW w:w="7600" w:type="dxa"/>
            <w:vAlign w:val="bottom"/>
          </w:tcPr>
          <w:p>
            <w:pPr>
              <w:spacing w:after="0"/>
              <w:rPr>
                <w:rFonts w:ascii="Arial" w:cs="Arial" w:eastAsia="Arial" w:hAnsi="Arial"/>
                <w:sz w:val="18"/>
                <w:szCs w:val="18"/>
                <w:u w:val="single" w:color="auto"/>
                <w:color w:val="0000EE"/>
              </w:rPr>
            </w:pPr>
            <w:hyperlink w:anchor="page142">
              <w:r>
                <w:rPr>
                  <w:rFonts w:ascii="Arial" w:cs="Arial" w:eastAsia="Arial" w:hAnsi="Arial"/>
                  <w:sz w:val="18"/>
                  <w:szCs w:val="18"/>
                  <w:u w:val="single" w:color="auto"/>
                  <w:color w:val="0000EE"/>
                </w:rPr>
                <w:t>Underwriting</w:t>
              </w:r>
            </w:hyperlink>
          </w:p>
        </w:tc>
        <w:tc>
          <w:tcPr>
            <w:tcW w:w="500" w:type="dxa"/>
            <w:vAlign w:val="bottom"/>
          </w:tcPr>
          <w:p>
            <w:pPr>
              <w:jc w:val="center"/>
              <w:spacing w:after="0"/>
              <w:rPr>
                <w:sz w:val="20"/>
                <w:szCs w:val="20"/>
                <w:color w:val="auto"/>
              </w:rPr>
            </w:pPr>
            <w:r>
              <w:rPr>
                <w:rFonts w:ascii="Arial" w:cs="Arial" w:eastAsia="Arial" w:hAnsi="Arial"/>
                <w:sz w:val="18"/>
                <w:szCs w:val="18"/>
                <w:color w:val="auto"/>
                <w:w w:val="99"/>
              </w:rPr>
              <w:t>136</w:t>
            </w:r>
          </w:p>
        </w:tc>
      </w:tr>
      <w:tr>
        <w:trPr>
          <w:trHeight w:val="27"/>
        </w:trPr>
        <w:tc>
          <w:tcPr>
            <w:tcW w:w="76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63"/>
        </w:trPr>
        <w:tc>
          <w:tcPr>
            <w:tcW w:w="76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50">
              <w:r>
                <w:rPr>
                  <w:rFonts w:ascii="Arial" w:cs="Arial" w:eastAsia="Arial" w:hAnsi="Arial"/>
                  <w:sz w:val="18"/>
                  <w:szCs w:val="18"/>
                  <w:u w:val="single" w:color="auto"/>
                  <w:color w:val="0000EE"/>
                </w:rPr>
                <w:t>Legal Matters</w:t>
              </w:r>
            </w:hyperlink>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144</w:t>
            </w:r>
          </w:p>
        </w:tc>
      </w:tr>
      <w:tr>
        <w:trPr>
          <w:trHeight w:val="257"/>
        </w:trPr>
        <w:tc>
          <w:tcPr>
            <w:tcW w:w="7600" w:type="dxa"/>
            <w:vAlign w:val="bottom"/>
          </w:tcPr>
          <w:p>
            <w:pPr>
              <w:spacing w:after="0"/>
              <w:rPr>
                <w:rFonts w:ascii="Arial" w:cs="Arial" w:eastAsia="Arial" w:hAnsi="Arial"/>
                <w:sz w:val="18"/>
                <w:szCs w:val="18"/>
                <w:u w:val="single" w:color="auto"/>
                <w:color w:val="0000EE"/>
              </w:rPr>
            </w:pPr>
            <w:hyperlink w:anchor="page150">
              <w:r>
                <w:rPr>
                  <w:rFonts w:ascii="Arial" w:cs="Arial" w:eastAsia="Arial" w:hAnsi="Arial"/>
                  <w:sz w:val="18"/>
                  <w:szCs w:val="18"/>
                  <w:u w:val="single" w:color="auto"/>
                  <w:color w:val="0000EE"/>
                </w:rPr>
                <w:t>Experts</w:t>
              </w:r>
            </w:hyperlink>
          </w:p>
        </w:tc>
        <w:tc>
          <w:tcPr>
            <w:tcW w:w="500" w:type="dxa"/>
            <w:vAlign w:val="bottom"/>
          </w:tcPr>
          <w:p>
            <w:pPr>
              <w:jc w:val="center"/>
              <w:spacing w:after="0"/>
              <w:rPr>
                <w:sz w:val="20"/>
                <w:szCs w:val="20"/>
                <w:color w:val="auto"/>
              </w:rPr>
            </w:pPr>
            <w:r>
              <w:rPr>
                <w:rFonts w:ascii="Arial" w:cs="Arial" w:eastAsia="Arial" w:hAnsi="Arial"/>
                <w:sz w:val="18"/>
                <w:szCs w:val="18"/>
                <w:color w:val="auto"/>
                <w:w w:val="99"/>
              </w:rPr>
              <w:t>144</w:t>
            </w:r>
          </w:p>
        </w:tc>
      </w:tr>
      <w:tr>
        <w:trPr>
          <w:trHeight w:val="27"/>
        </w:trPr>
        <w:tc>
          <w:tcPr>
            <w:tcW w:w="76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63"/>
        </w:trPr>
        <w:tc>
          <w:tcPr>
            <w:tcW w:w="76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50">
              <w:r>
                <w:rPr>
                  <w:rFonts w:ascii="Arial" w:cs="Arial" w:eastAsia="Arial" w:hAnsi="Arial"/>
                  <w:sz w:val="18"/>
                  <w:szCs w:val="18"/>
                  <w:u w:val="single" w:color="auto"/>
                  <w:color w:val="0000EE"/>
                </w:rPr>
                <w:t>Where You Can Find Additional Information</w:t>
              </w:r>
            </w:hyperlink>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144</w:t>
            </w:r>
          </w:p>
        </w:tc>
      </w:tr>
      <w:tr>
        <w:trPr>
          <w:trHeight w:val="257"/>
        </w:trPr>
        <w:tc>
          <w:tcPr>
            <w:tcW w:w="7600" w:type="dxa"/>
            <w:vAlign w:val="bottom"/>
          </w:tcPr>
          <w:p>
            <w:pPr>
              <w:spacing w:after="0"/>
              <w:rPr>
                <w:rFonts w:ascii="Arial" w:cs="Arial" w:eastAsia="Arial" w:hAnsi="Arial"/>
                <w:sz w:val="18"/>
                <w:szCs w:val="18"/>
                <w:u w:val="single" w:color="auto"/>
                <w:color w:val="0000EE"/>
              </w:rPr>
            </w:pPr>
            <w:hyperlink w:anchor="page151">
              <w:r>
                <w:rPr>
                  <w:rFonts w:ascii="Arial" w:cs="Arial" w:eastAsia="Arial" w:hAnsi="Arial"/>
                  <w:sz w:val="18"/>
                  <w:szCs w:val="18"/>
                  <w:u w:val="single" w:color="auto"/>
                  <w:color w:val="0000EE"/>
                </w:rPr>
                <w:t>Index to Financial Statements</w:t>
              </w:r>
            </w:hyperlink>
          </w:p>
        </w:tc>
        <w:tc>
          <w:tcPr>
            <w:tcW w:w="500" w:type="dxa"/>
            <w:vAlign w:val="bottom"/>
          </w:tcPr>
          <w:p>
            <w:pPr>
              <w:jc w:val="center"/>
              <w:spacing w:after="0"/>
              <w:rPr>
                <w:sz w:val="20"/>
                <w:szCs w:val="20"/>
                <w:color w:val="auto"/>
              </w:rPr>
            </w:pPr>
            <w:r>
              <w:rPr>
                <w:rFonts w:ascii="Arial" w:cs="Arial" w:eastAsia="Arial" w:hAnsi="Arial"/>
                <w:sz w:val="18"/>
                <w:szCs w:val="18"/>
                <w:color w:val="auto"/>
              </w:rPr>
              <w:t>F-1</w:t>
            </w:r>
          </w:p>
        </w:tc>
      </w:tr>
    </w:tbl>
    <w:p>
      <w:pPr>
        <w:spacing w:after="0" w:line="215"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We are responsible for the information contained in this prospectus. We have not, and the underwriters have not, authorized anyone to provide you with different information, and neither we nor the underwriters take responsibility for any other information others may give to you. We are not, and the underwriters are not, making an offer to sell securities in any jurisdiction where the offer or sale is not permitted. You should not assume that the information contained in this prospectus is accurate as of any date other than the date on the front of this prospectus.</w:t>
      </w:r>
    </w:p>
    <w:p>
      <w:pPr>
        <w:spacing w:after="0" w:line="124"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Until , 2020, all dealers that effect transactions in these securities, whether or not participating in this offering, may be required to deliver a prospectus. This is in addition to the dealer’s obligation to deliver a prospectus when acting as an underwriter and with respect to unsold allotments or subscriptions.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TRADEMARKS</w:t>
      </w:r>
    </w:p>
    <w:p>
      <w:pPr>
        <w:spacing w:after="0" w:line="166" w:lineRule="exact"/>
        <w:rPr>
          <w:sz w:val="20"/>
          <w:szCs w:val="20"/>
          <w:color w:val="auto"/>
        </w:rPr>
      </w:pPr>
    </w:p>
    <w:p>
      <w:pPr>
        <w:ind w:left="460" w:right="479"/>
        <w:spacing w:after="0" w:line="233" w:lineRule="auto"/>
        <w:rPr>
          <w:sz w:val="20"/>
          <w:szCs w:val="20"/>
          <w:color w:val="auto"/>
        </w:rPr>
      </w:pPr>
      <w:r>
        <w:rPr>
          <w:rFonts w:ascii="Arial" w:cs="Arial" w:eastAsia="Arial" w:hAnsi="Arial"/>
          <w:sz w:val="18"/>
          <w:szCs w:val="18"/>
          <w:color w:val="auto"/>
        </w:rPr>
        <w:t xml:space="preserve">This prospectus contains references to trademarks and service marks belonging to other entities. Solely for convenience, trademarks and trade names referred to in this prospectus may appear without the </w:t>
      </w:r>
      <w:r>
        <w:rPr>
          <w:rFonts w:ascii="Arial" w:cs="Arial" w:eastAsia="Arial" w:hAnsi="Arial"/>
          <w:sz w:val="20"/>
          <w:szCs w:val="20"/>
          <w:color w:val="auto"/>
          <w:vertAlign w:val="superscript"/>
        </w:rPr>
        <w:t>®</w:t>
      </w:r>
      <w:r>
        <w:rPr>
          <w:rFonts w:ascii="Arial" w:cs="Arial" w:eastAsia="Arial" w:hAnsi="Arial"/>
          <w:sz w:val="18"/>
          <w:szCs w:val="18"/>
          <w:color w:val="auto"/>
        </w:rPr>
        <w:t xml:space="preserve"> or ™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25" w:right="1440"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411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7310" cy="8411845"/>
                    </a:xfrm>
                    <a:prstGeom prst="rect">
                      <a:avLst/>
                    </a:prstGeom>
                    <a:noFill/>
                  </pic:spPr>
                </pic:pic>
              </a:graphicData>
            </a:graphic>
          </wp:anchor>
        </w:drawing>
        <w:t>SUMMARY</w:t>
      </w:r>
    </w:p>
    <w:p>
      <w:pPr>
        <w:spacing w:after="0" w:line="135" w:lineRule="exact"/>
        <w:rPr>
          <w:sz w:val="20"/>
          <w:szCs w:val="20"/>
          <w:color w:val="auto"/>
        </w:rPr>
      </w:pPr>
    </w:p>
    <w:p>
      <w:pPr>
        <w:ind w:left="540" w:right="619"/>
        <w:spacing w:after="0" w:line="242" w:lineRule="auto"/>
        <w:rPr>
          <w:sz w:val="20"/>
          <w:szCs w:val="20"/>
          <w:color w:val="auto"/>
        </w:rPr>
      </w:pPr>
      <w:r>
        <w:rPr>
          <w:rFonts w:ascii="Arial" w:cs="Arial" w:eastAsia="Arial" w:hAnsi="Arial"/>
          <w:sz w:val="18"/>
          <w:szCs w:val="18"/>
          <w:i w:val="1"/>
          <w:iCs w:val="1"/>
          <w:color w:val="auto"/>
        </w:rPr>
        <w:t>This summary only highlights the more detailed information appearing elsewhere in this prospectus. As this is a summary, it does not contain all of the information that you should consider in making an investment decision. You should read this entire prospectus carefully, including the information under “Risk Factors” and our financial statements and the related notes included elsewhere in this prospectus, before investing.</w:t>
      </w:r>
    </w:p>
    <w:p>
      <w:pPr>
        <w:spacing w:after="0" w:line="13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Unless otherwise stated in this prospectus or the context otherwise requires, references to:</w:t>
      </w:r>
    </w:p>
    <w:p>
      <w:pPr>
        <w:spacing w:after="0" w:line="18" w:lineRule="exact"/>
        <w:rPr>
          <w:sz w:val="20"/>
          <w:szCs w:val="20"/>
          <w:color w:val="auto"/>
        </w:rPr>
      </w:pPr>
    </w:p>
    <w:p>
      <w:pPr>
        <w:ind w:left="1200" w:right="1339" w:hanging="332"/>
        <w:spacing w:after="0" w:line="253" w:lineRule="auto"/>
        <w:tabs>
          <w:tab w:leader="none" w:pos="1189"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“we,” “us,” “company” or “our company” are to CM Life Sciences, Inc., a Delaware corporation;</w:t>
      </w:r>
    </w:p>
    <w:p>
      <w:pPr>
        <w:ind w:left="1200" w:right="599" w:hanging="332"/>
        <w:spacing w:after="0" w:line="247" w:lineRule="auto"/>
        <w:tabs>
          <w:tab w:leader="none" w:pos="1189"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“amended and restated certificate of incorporation” are to our second amended and restated certificate of incorporation, which will be adopted prior to the consummation of this offering;</w:t>
      </w:r>
    </w:p>
    <w:p>
      <w:pPr>
        <w:spacing w:after="0" w:line="3" w:lineRule="exact"/>
        <w:rPr>
          <w:rFonts w:ascii="Arial" w:cs="Arial" w:eastAsia="Arial" w:hAnsi="Arial"/>
          <w:sz w:val="18"/>
          <w:szCs w:val="18"/>
          <w:color w:val="auto"/>
        </w:rPr>
      </w:pPr>
    </w:p>
    <w:p>
      <w:pPr>
        <w:ind w:left="1180" w:hanging="312"/>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“common stock” are to our Class A common stock and our Class B common stock;</w:t>
      </w:r>
    </w:p>
    <w:p>
      <w:pPr>
        <w:spacing w:after="0" w:line="36" w:lineRule="exact"/>
        <w:rPr>
          <w:rFonts w:ascii="Arial" w:cs="Arial" w:eastAsia="Arial" w:hAnsi="Arial"/>
          <w:sz w:val="18"/>
          <w:szCs w:val="18"/>
          <w:color w:val="auto"/>
        </w:rPr>
      </w:pPr>
    </w:p>
    <w:p>
      <w:pPr>
        <w:ind w:left="1200" w:right="859" w:hanging="332"/>
        <w:spacing w:after="0" w:line="253" w:lineRule="auto"/>
        <w:tabs>
          <w:tab w:leader="none" w:pos="1189"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“DGCL” refers to the Delaware General Corporation Law as the same may be amended from time to time;</w:t>
      </w:r>
    </w:p>
    <w:p>
      <w:pPr>
        <w:ind w:left="1180" w:hanging="312"/>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“directors” are to our current directors and director nominees;</w:t>
      </w:r>
    </w:p>
    <w:p>
      <w:pPr>
        <w:spacing w:after="0" w:line="30" w:lineRule="exact"/>
        <w:rPr>
          <w:rFonts w:ascii="Arial" w:cs="Arial" w:eastAsia="Arial" w:hAnsi="Arial"/>
          <w:sz w:val="18"/>
          <w:szCs w:val="18"/>
          <w:color w:val="auto"/>
        </w:rPr>
      </w:pPr>
    </w:p>
    <w:p>
      <w:pPr>
        <w:ind w:left="1200" w:right="579" w:hanging="332"/>
        <w:spacing w:after="0" w:line="245" w:lineRule="auto"/>
        <w:tabs>
          <w:tab w:leader="none" w:pos="1189"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“founder shares” are to shares of Class B common stock initially purchased by our sponsor in a private placement prior to this offering and the shares of Class A common stock that will be issued upon the automatic conversion of the shares of Class B common stock at the time of our initial business combination as described herein;</w:t>
      </w:r>
    </w:p>
    <w:p>
      <w:pPr>
        <w:spacing w:after="0" w:line="5" w:lineRule="exact"/>
        <w:rPr>
          <w:rFonts w:ascii="Arial" w:cs="Arial" w:eastAsia="Arial" w:hAnsi="Arial"/>
          <w:sz w:val="18"/>
          <w:szCs w:val="18"/>
          <w:color w:val="auto"/>
        </w:rPr>
      </w:pPr>
    </w:p>
    <w:p>
      <w:pPr>
        <w:ind w:left="1200" w:right="639" w:hanging="332"/>
        <w:spacing w:after="0" w:line="244" w:lineRule="auto"/>
        <w:tabs>
          <w:tab w:leader="none" w:pos="1239"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“forward purchase agreements” are to the forward purchase agreements providing for the sale of forward purchase shares by us to Casdin Capital, Corvex Management or their respective affiliates in a private placement that would close concurrently with the closing of our initial business combination;</w:t>
      </w:r>
    </w:p>
    <w:p>
      <w:pPr>
        <w:ind w:left="1200" w:right="759" w:hanging="332"/>
        <w:spacing w:after="0" w:line="247" w:lineRule="auto"/>
        <w:tabs>
          <w:tab w:leader="none" w:pos="1239"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“forward purchase shares” are to the shares of our Class A common stock that may be issued to Casdin Capital, Corvex Management or their respective affiliate pursuant to the forward purchase agreements;</w:t>
      </w:r>
    </w:p>
    <w:p>
      <w:pPr>
        <w:spacing w:after="0" w:line="3" w:lineRule="exact"/>
        <w:rPr>
          <w:rFonts w:ascii="Arial" w:cs="Arial" w:eastAsia="Arial" w:hAnsi="Arial"/>
          <w:sz w:val="18"/>
          <w:szCs w:val="18"/>
          <w:color w:val="auto"/>
        </w:rPr>
      </w:pPr>
    </w:p>
    <w:p>
      <w:pPr>
        <w:ind w:left="1180" w:hanging="312"/>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“initial stockholders” are to holders of our founder shares prior to this offering;</w:t>
      </w:r>
    </w:p>
    <w:p>
      <w:pPr>
        <w:spacing w:after="0" w:line="36" w:lineRule="exact"/>
        <w:rPr>
          <w:rFonts w:ascii="Arial" w:cs="Arial" w:eastAsia="Arial" w:hAnsi="Arial"/>
          <w:sz w:val="18"/>
          <w:szCs w:val="18"/>
          <w:color w:val="auto"/>
        </w:rPr>
      </w:pPr>
    </w:p>
    <w:p>
      <w:pPr>
        <w:ind w:left="1180" w:hanging="312"/>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“management” or our “management team” are to our executive officers and directors;</w:t>
      </w:r>
    </w:p>
    <w:p>
      <w:pPr>
        <w:spacing w:after="0" w:line="27" w:lineRule="exact"/>
        <w:rPr>
          <w:rFonts w:ascii="Arial" w:cs="Arial" w:eastAsia="Arial" w:hAnsi="Arial"/>
          <w:sz w:val="18"/>
          <w:szCs w:val="18"/>
          <w:color w:val="auto"/>
        </w:rPr>
      </w:pPr>
    </w:p>
    <w:p>
      <w:pPr>
        <w:ind w:left="1200" w:right="1299" w:hanging="332"/>
        <w:spacing w:after="0" w:line="255" w:lineRule="auto"/>
        <w:tabs>
          <w:tab w:leader="none" w:pos="1189"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“private placement warrants” are to the warrants issued to our sponsor in a private placement simultaneously with the closing of this offering;</w:t>
      </w:r>
    </w:p>
    <w:p>
      <w:pPr>
        <w:jc w:val="both"/>
        <w:ind w:left="1200" w:right="1039" w:hanging="332"/>
        <w:spacing w:after="0" w:line="273" w:lineRule="auto"/>
        <w:tabs>
          <w:tab w:leader="none" w:pos="1189"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“public shares” are to shares of Class A common stock sold as part of the units in this offering (whether they are purchased in this offering or thereafter in the open market);</w:t>
      </w:r>
    </w:p>
    <w:p>
      <w:pPr>
        <w:ind w:left="1200" w:right="639" w:hanging="332"/>
        <w:spacing w:after="0" w:line="242" w:lineRule="auto"/>
        <w:tabs>
          <w:tab w:leader="none" w:pos="1189"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“public stockholders” are to the holders of our public shares, including our initial stockholders and management team to the extent our initial stockholders and/or members of our management team purchase public shares, provided that each initial stockholder’s and member of our management team’s status as a “public stockholder” will only exist with respect to such public shares; and</w:t>
      </w:r>
    </w:p>
    <w:p>
      <w:pPr>
        <w:spacing w:after="0" w:line="1" w:lineRule="exact"/>
        <w:rPr>
          <w:rFonts w:ascii="Arial" w:cs="Arial" w:eastAsia="Arial" w:hAnsi="Arial"/>
          <w:sz w:val="18"/>
          <w:szCs w:val="18"/>
          <w:color w:val="auto"/>
        </w:rPr>
      </w:pPr>
    </w:p>
    <w:p>
      <w:pPr>
        <w:ind w:left="1200" w:right="899" w:hanging="332"/>
        <w:spacing w:after="0" w:line="247" w:lineRule="auto"/>
        <w:tabs>
          <w:tab w:leader="none" w:pos="1189"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“sponsor” are to CMLS Holdings LLC, a Delaware limited liability company, which is controlled by C-LSH LLC (an entity affiliated with Eli Casdin) and M-LSH LLC (an entity affiliated with Keith Meister), the members of the sponsor.</w:t>
      </w:r>
    </w:p>
    <w:p>
      <w:pPr>
        <w:spacing w:after="0" w:line="130" w:lineRule="exact"/>
        <w:rPr>
          <w:sz w:val="20"/>
          <w:szCs w:val="20"/>
          <w:color w:val="auto"/>
        </w:rPr>
      </w:pPr>
    </w:p>
    <w:p>
      <w:pPr>
        <w:jc w:val="both"/>
        <w:ind w:left="540" w:right="659"/>
        <w:spacing w:after="0"/>
        <w:rPr>
          <w:sz w:val="20"/>
          <w:szCs w:val="20"/>
          <w:color w:val="auto"/>
        </w:rPr>
      </w:pPr>
      <w:r>
        <w:rPr>
          <w:rFonts w:ascii="Arial" w:cs="Arial" w:eastAsia="Arial" w:hAnsi="Arial"/>
          <w:sz w:val="18"/>
          <w:szCs w:val="18"/>
          <w:color w:val="auto"/>
        </w:rPr>
        <w:t>Unless we tell you otherwise, the information in this prospectus assumes that the underwriters will not exercise their over-allotment option and the forfeiture of 1,312,500 founder shares by our initial stockholders for no consideration.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w:t>
      </w:r>
    </w:p>
    <w:p>
      <w:pPr>
        <w:spacing w:after="0" w:line="153" w:lineRule="exact"/>
        <w:rPr>
          <w:sz w:val="20"/>
          <w:szCs w:val="20"/>
          <w:color w:val="auto"/>
        </w:rPr>
      </w:pPr>
    </w:p>
    <w:p>
      <w:pPr>
        <w:ind w:left="540" w:right="619"/>
        <w:spacing w:after="0" w:line="236" w:lineRule="auto"/>
        <w:rPr>
          <w:sz w:val="20"/>
          <w:szCs w:val="20"/>
          <w:color w:val="auto"/>
        </w:rPr>
      </w:pPr>
      <w:r>
        <w:rPr>
          <w:rFonts w:ascii="Arial" w:cs="Arial" w:eastAsia="Arial" w:hAnsi="Arial"/>
          <w:sz w:val="18"/>
          <w:szCs w:val="18"/>
          <w:color w:val="auto"/>
        </w:rPr>
        <w:t>We are a newly organized blank check company incorporated in July 2020 as a Delaware corporation for the purpose of effecting a merger, capital stock exchange, asset acquisition, stock purchase, reorganization or similar business combination with one or more businesses, which we refer to throughout this prospectus as our initial business combination. To date our efforts have been limited to organizational activities as well as activities related to this offering. We have not selected any specific business combination target and we have not, nor has anyone on our behalf, engaged in any substantive discussions, directly or indirectly, with any business combination target with respect to an initial business combination with us. While we may pursue an initial business combination target in any industry, sector or geographic region, we intend to capitalize on our management team’s background and experience to identify promising opportunities in the life sciences sector.</w:t>
      </w:r>
    </w:p>
    <w:p>
      <w:pPr>
        <w:sectPr>
          <w:pgSz w:w="11900" w:h="16838" w:orient="portrait"/>
          <w:cols w:equalWidth="0" w:num="1">
            <w:col w:w="9019"/>
          </w:cols>
          <w:pgMar w:left="1440" w:top="535" w:right="1440" w:bottom="1440" w:gutter="0" w:footer="0" w:header="0"/>
        </w:sect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35" w:right="1440" w:bottom="1440" w:gutter="0" w:footer="0" w:header="0"/>
          <w:type w:val="continuous"/>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6690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7310" cy="8669020"/>
                    </a:xfrm>
                    <a:prstGeom prst="rect">
                      <a:avLst/>
                    </a:prstGeom>
                    <a:noFill/>
                  </pic:spPr>
                </pic:pic>
              </a:graphicData>
            </a:graphic>
          </wp:anchor>
        </w:drawing>
        <w:t>OUR FOUNDERS</w:t>
      </w:r>
    </w:p>
    <w:p>
      <w:pPr>
        <w:spacing w:after="0" w:line="126" w:lineRule="exact"/>
        <w:rPr>
          <w:sz w:val="20"/>
          <w:szCs w:val="20"/>
          <w:color w:val="auto"/>
        </w:rPr>
      </w:pPr>
    </w:p>
    <w:p>
      <w:pPr>
        <w:ind w:left="540" w:right="699"/>
        <w:spacing w:after="0" w:line="238" w:lineRule="auto"/>
        <w:rPr>
          <w:sz w:val="20"/>
          <w:szCs w:val="20"/>
          <w:color w:val="auto"/>
        </w:rPr>
      </w:pPr>
      <w:r>
        <w:rPr>
          <w:rFonts w:ascii="Arial" w:cs="Arial" w:eastAsia="Arial" w:hAnsi="Arial"/>
          <w:sz w:val="18"/>
          <w:szCs w:val="18"/>
          <w:color w:val="auto"/>
        </w:rPr>
        <w:t>Our team intends to leverage the strong life sciences knowledge base and public and private market experience of our sponsor with the goal of executing a successful business combination in the life sciences sector. Our sponsor is an affiliate of Eli Casdin, founder and Chief Investment Officer of Casdin Capital, and of Keith Meister, founder and Chief Investment Officer of Corvex Management, two leading investment firms.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Eli Casdin and Casdin Capital</w:t>
      </w:r>
    </w:p>
    <w:p>
      <w:pPr>
        <w:spacing w:after="0" w:line="126" w:lineRule="exact"/>
        <w:rPr>
          <w:sz w:val="20"/>
          <w:szCs w:val="20"/>
          <w:color w:val="auto"/>
        </w:rPr>
      </w:pPr>
    </w:p>
    <w:p>
      <w:pPr>
        <w:ind w:left="540" w:right="579"/>
        <w:spacing w:after="0" w:line="237" w:lineRule="auto"/>
        <w:rPr>
          <w:sz w:val="20"/>
          <w:szCs w:val="20"/>
          <w:color w:val="auto"/>
        </w:rPr>
      </w:pPr>
      <w:r>
        <w:rPr>
          <w:rFonts w:ascii="Arial" w:cs="Arial" w:eastAsia="Arial" w:hAnsi="Arial"/>
          <w:sz w:val="18"/>
          <w:szCs w:val="18"/>
          <w:color w:val="auto"/>
        </w:rPr>
        <w:t>Founded by industry veteran Eli Casdin, Casdin Capital launched in 2011 as a leading thematic investor in the fast growing life sciences industry. Casdin Capital’s investment strategy includes but also extends beyond traditional drug development, finding opportunity in the vast universe of companies at the epicenter of innovation, spanning biotechnology and its many constituents. Companies beyond drug developers include developers of molecular-based diagnostics, providers of tools, developers of technology and data assets and operators of service companies that support research, development and product commercialization.</w:t>
      </w:r>
    </w:p>
    <w:p>
      <w:pPr>
        <w:spacing w:after="0" w:line="95" w:lineRule="exact"/>
        <w:rPr>
          <w:sz w:val="20"/>
          <w:szCs w:val="20"/>
          <w:color w:val="auto"/>
        </w:rPr>
      </w:pPr>
    </w:p>
    <w:p>
      <w:pPr>
        <w:ind w:left="540" w:right="559"/>
        <w:spacing w:after="0" w:line="237" w:lineRule="auto"/>
        <w:rPr>
          <w:sz w:val="20"/>
          <w:szCs w:val="20"/>
          <w:color w:val="auto"/>
        </w:rPr>
      </w:pPr>
      <w:r>
        <w:rPr>
          <w:rFonts w:ascii="Arial" w:cs="Arial" w:eastAsia="Arial" w:hAnsi="Arial"/>
          <w:sz w:val="18"/>
          <w:szCs w:val="18"/>
          <w:color w:val="auto"/>
        </w:rPr>
        <w:t>With nearly two decades of experience and a family history in the space that reaches back decades further, Mr. Casdin serves as both Casdin Capital’s Chief Executive and Chief Investment Officer. His track record is based on an ability to find opportunities on both the ‘bio’ and ‘tech’ sides and his understanding of where the two intersect. We believe that Mr. Casdin’s interest in industry synergy and his overall vision and understanding of the life sciences industry will open us to a large investment universe and help us identify significant inefficiencies.</w:t>
      </w:r>
    </w:p>
    <w:p>
      <w:pPr>
        <w:spacing w:after="0" w:line="97" w:lineRule="exact"/>
        <w:rPr>
          <w:sz w:val="20"/>
          <w:szCs w:val="20"/>
          <w:color w:val="auto"/>
        </w:rPr>
      </w:pPr>
    </w:p>
    <w:p>
      <w:pPr>
        <w:ind w:left="540" w:right="579"/>
        <w:spacing w:after="0" w:line="237" w:lineRule="auto"/>
        <w:rPr>
          <w:sz w:val="20"/>
          <w:szCs w:val="20"/>
          <w:color w:val="auto"/>
        </w:rPr>
      </w:pPr>
      <w:r>
        <w:rPr>
          <w:rFonts w:ascii="Arial" w:cs="Arial" w:eastAsia="Arial" w:hAnsi="Arial"/>
          <w:sz w:val="18"/>
          <w:szCs w:val="18"/>
          <w:color w:val="auto"/>
        </w:rPr>
        <w:t>With this broad industry lens and a long-term view, Mr. Casdin has been active in the private and public side of the capital market since 2011, investing in 69 private companies and holding over 30 public company positions as of June 30, 2020. As one of the early cross-over funds, Casdin Capital has also participated in 22 crossover investment rounds, 21 initial public offerings following crossover investments and 41 total initial public offerings. Casdin Capital currently has 42 private portfolio companies and an active deal flow that brought it into conversation with hundreds of companies across the industry in the first few months of 2020 alone.</w:t>
      </w:r>
    </w:p>
    <w:p>
      <w:pPr>
        <w:spacing w:after="0" w:line="95" w:lineRule="exact"/>
        <w:rPr>
          <w:sz w:val="20"/>
          <w:szCs w:val="20"/>
          <w:color w:val="auto"/>
        </w:rPr>
      </w:pPr>
    </w:p>
    <w:p>
      <w:pPr>
        <w:ind w:left="540" w:right="559"/>
        <w:spacing w:after="0" w:line="236" w:lineRule="auto"/>
        <w:rPr>
          <w:sz w:val="20"/>
          <w:szCs w:val="20"/>
          <w:color w:val="auto"/>
        </w:rPr>
      </w:pPr>
      <w:r>
        <w:rPr>
          <w:rFonts w:ascii="Arial" w:cs="Arial" w:eastAsia="Arial" w:hAnsi="Arial"/>
          <w:sz w:val="18"/>
          <w:szCs w:val="18"/>
          <w:color w:val="auto"/>
        </w:rPr>
        <w:t>Casdin Capital’s thematic investment approach and focus on an investor/partner model has allowed the firm to forge strong relationships with companies, scientists and stakeholders, which we intend to draw upon as we identify opportunities for our initial business combination. Relying on deep research and a rich network of contacts to identify the connections between the science, technology and sharp, experienced management teams, Casdin Capital’s proven track record stems from working with management teams and scientists as valuable industry partners. We believe these robust partnerships and a focus on the entire life sciences continuum is what sets Casdin Capital apart from and in front of its peers and will allow us to spot new opportunities and potential challenges long before most investors understand the space.</w:t>
      </w:r>
    </w:p>
    <w:p>
      <w:pPr>
        <w:spacing w:after="0" w:line="18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Keith Meister and Corvex Management</w:t>
      </w:r>
    </w:p>
    <w:p>
      <w:pPr>
        <w:spacing w:after="0" w:line="126" w:lineRule="exact"/>
        <w:rPr>
          <w:sz w:val="20"/>
          <w:szCs w:val="20"/>
          <w:color w:val="auto"/>
        </w:rPr>
      </w:pPr>
    </w:p>
    <w:p>
      <w:pPr>
        <w:ind w:left="540" w:right="819"/>
        <w:spacing w:after="0" w:line="237" w:lineRule="auto"/>
        <w:rPr>
          <w:sz w:val="20"/>
          <w:szCs w:val="20"/>
          <w:color w:val="auto"/>
        </w:rPr>
      </w:pPr>
      <w:r>
        <w:rPr>
          <w:rFonts w:ascii="Arial" w:cs="Arial" w:eastAsia="Arial" w:hAnsi="Arial"/>
          <w:sz w:val="18"/>
          <w:szCs w:val="18"/>
          <w:color w:val="auto"/>
        </w:rPr>
        <w:t>Keith Meister is the Founder and Chief Investment Officer of Corvex Management, a New York based investment advisor. As Chief Investment Officer of Corvex Management, Mr. Meister is focused on investing in high-quality businesses that benefit from constructive shareholder engagement. Since inception, Corvex Management has invested more than $6 billion through its funds, special purpose vehicles and co-investments specifically for situations offering the opportunity for extensive engagement or board representations.</w:t>
      </w:r>
    </w:p>
    <w:p>
      <w:pPr>
        <w:spacing w:after="0" w:line="97" w:lineRule="exact"/>
        <w:rPr>
          <w:sz w:val="20"/>
          <w:szCs w:val="20"/>
          <w:color w:val="auto"/>
        </w:rPr>
      </w:pPr>
    </w:p>
    <w:p>
      <w:pPr>
        <w:ind w:left="540" w:right="779"/>
        <w:spacing w:after="0" w:line="236" w:lineRule="auto"/>
        <w:rPr>
          <w:sz w:val="20"/>
          <w:szCs w:val="20"/>
          <w:color w:val="auto"/>
        </w:rPr>
      </w:pPr>
      <w:r>
        <w:rPr>
          <w:rFonts w:ascii="Arial" w:cs="Arial" w:eastAsia="Arial" w:hAnsi="Arial"/>
          <w:sz w:val="18"/>
          <w:szCs w:val="18"/>
          <w:color w:val="auto"/>
        </w:rPr>
        <w:t>Mr. Meister’s active investing approach identifies asymmetric risk/reward opportunities and underscores a particular skill in finding synergies across diversified holdings. Focused on identifying market dislocations and adept at spotting differentiated points of view, the Corvex Management team has built success not only by creating a concentrated portfolio based on deep industry understanding and a willingness to take the longer-term view, but also by capitalizing on market inefficiencies and short-term volatility. Critical to that success is Mr. Meister’s track record effecting change at companies, even without a controlling stake, by creating buy-in from management teams, directors, and shareholders. Mr. Meister and his team have an extensive history of partnership and collaboration with key stakeholders, leading industry experts and like-minded shareholders, and are known for maintaining productive, ongoing dialogues with boards, management teams, and advisors.</w:t>
      </w:r>
    </w:p>
    <w:p>
      <w:pPr>
        <w:spacing w:after="0" w:line="97" w:lineRule="exact"/>
        <w:rPr>
          <w:sz w:val="20"/>
          <w:szCs w:val="20"/>
          <w:color w:val="auto"/>
        </w:rPr>
      </w:pPr>
    </w:p>
    <w:p>
      <w:pPr>
        <w:ind w:left="540" w:right="599"/>
        <w:spacing w:after="0" w:line="238" w:lineRule="auto"/>
        <w:rPr>
          <w:sz w:val="20"/>
          <w:szCs w:val="20"/>
          <w:color w:val="auto"/>
        </w:rPr>
      </w:pPr>
      <w:r>
        <w:rPr>
          <w:rFonts w:ascii="Arial" w:cs="Arial" w:eastAsia="Arial" w:hAnsi="Arial"/>
          <w:sz w:val="18"/>
          <w:szCs w:val="18"/>
          <w:color w:val="auto"/>
        </w:rPr>
        <w:t>We expect to benefit from Mr. Meister’s significant experience as a director of 14 public companies, which includes a long history of working with boards and management teams to create shareholder value through improved corporate governance, capital allocation, and operations. Since founding Corvex Management, Mr. Meister has served on the</w:t>
      </w:r>
    </w:p>
    <w:p>
      <w:pPr>
        <w:sectPr>
          <w:pgSz w:w="11900" w:h="16838" w:orient="portrait"/>
          <w:cols w:equalWidth="0" w:num="1">
            <w:col w:w="9019"/>
          </w:cols>
          <w:pgMar w:left="1440" w:top="535" w:right="1440" w:bottom="1440" w:gutter="0" w:footer="0" w:header="0"/>
        </w:sect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35" w:right="1440" w:bottom="1440" w:gutter="0" w:footer="0" w:header="0"/>
          <w:type w:val="continuous"/>
        </w:sectPr>
      </w:pPr>
    </w:p>
    <w:bookmarkStart w:id="7" w:name="page8"/>
    <w:bookmarkEnd w:id="7"/>
    <w:p>
      <w:pPr>
        <w:ind w:left="540" w:right="579"/>
        <w:spacing w:after="0" w:line="23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2486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7310" cy="8248650"/>
                    </a:xfrm>
                    <a:prstGeom prst="rect">
                      <a:avLst/>
                    </a:prstGeom>
                    <a:noFill/>
                  </pic:spPr>
                </pic:pic>
              </a:graphicData>
            </a:graphic>
          </wp:anchor>
        </w:drawing>
        <w:t>boards of directors of MGM Resorts International (NYSE: MGM), Yum Brands, Inc. (NYSE: YUM), The Williams Companies (NYSE: WMB), ADT, Inc. (NYSE: ADT), Ralcorp Holdings, Inc. and Motorola Mobility, Inc. Mr. Meister also brings to CM Life Sciences the experience of having helped these companies enter into transactions with an aggregate value of over $80 billion involving spin-offs, asset dispositions, acquisitions, mergers, recapitalizations, and various forms of capital market transactions.</w:t>
      </w:r>
    </w:p>
    <w:p>
      <w:pPr>
        <w:spacing w:after="0" w:line="97" w:lineRule="exact"/>
        <w:rPr>
          <w:sz w:val="20"/>
          <w:szCs w:val="20"/>
          <w:color w:val="auto"/>
        </w:rPr>
      </w:pPr>
    </w:p>
    <w:p>
      <w:pPr>
        <w:ind w:left="540" w:right="619"/>
        <w:spacing w:after="0" w:line="237" w:lineRule="auto"/>
        <w:rPr>
          <w:sz w:val="20"/>
          <w:szCs w:val="20"/>
          <w:color w:val="auto"/>
        </w:rPr>
      </w:pPr>
      <w:r>
        <w:rPr>
          <w:rFonts w:ascii="Arial" w:cs="Arial" w:eastAsia="Arial" w:hAnsi="Arial"/>
          <w:sz w:val="18"/>
          <w:szCs w:val="18"/>
          <w:color w:val="auto"/>
        </w:rPr>
        <w:t>Prior to founding Corvex Management, Mr. Meister was Chief Executive Officer / Principal Executive Officer of Icahn Enterprises L.P. (NYSE: IEP), a diversified holding company, from 2003 through 2010. During his term as CEO/PEO, Icahn Enterprises grew from $1.5 billion to $18 billion in total assets while generating over 20% annual returns for shareholders. As CEO/PEO of Icahn Enterprises, Mr. Meister was responsible for overseeing a portfolio of holdings that spanned a wide range of industries including automotive, gaming, oil &amp; gas, general industrial and asset management.</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MANAGEMENT AND BOARD OF DIRECTORS</w:t>
      </w:r>
    </w:p>
    <w:p>
      <w:pPr>
        <w:spacing w:after="0" w:line="104" w:lineRule="exact"/>
        <w:rPr>
          <w:sz w:val="20"/>
          <w:szCs w:val="20"/>
          <w:color w:val="auto"/>
        </w:rPr>
      </w:pPr>
    </w:p>
    <w:p>
      <w:pPr>
        <w:ind w:left="540" w:right="599"/>
        <w:spacing w:after="0" w:line="237" w:lineRule="auto"/>
        <w:rPr>
          <w:sz w:val="20"/>
          <w:szCs w:val="20"/>
          <w:color w:val="auto"/>
        </w:rPr>
      </w:pPr>
      <w:r>
        <w:rPr>
          <w:rFonts w:ascii="Arial" w:cs="Arial" w:eastAsia="Arial" w:hAnsi="Arial"/>
          <w:sz w:val="18"/>
          <w:szCs w:val="18"/>
          <w:b w:val="1"/>
          <w:bCs w:val="1"/>
          <w:i w:val="1"/>
          <w:iCs w:val="1"/>
          <w:color w:val="auto"/>
        </w:rPr>
        <w:t>Eli Casdin</w:t>
      </w:r>
      <w:r>
        <w:rPr>
          <w:rFonts w:ascii="Arial" w:cs="Arial" w:eastAsia="Arial" w:hAnsi="Arial"/>
          <w:sz w:val="18"/>
          <w:szCs w:val="18"/>
          <w:color w:val="auto"/>
        </w:rPr>
        <w:t>, our Chief Executive Officer, is founder and Chief Investment Officer of Casdin Capital.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Casdin founded Casdin Capital in 2011. For the last 17 years he has analyzed and invested in disruptive technologies and business models in life sciences and healthcare. Prior to founding Casdin Capital, Mr. Casdin was a vice president at Alliance Bernstein’s “thematic” based investment group where he researched and invested in the implications of new technologies for the life sciences and healthcare sectors. The black book, “The Dawn of Molecular Medicine,” co-authored by Mr. Casdin, details the early, yet already accelerating, wave of innovations in life sciences, and the next wave of investment opportunities. Mr. Casdin’s prior experience includes time at Bear Stearns and Cooper Hill Partners, a healthcare focused investment firm. Mr. Casdin earned a B.S. from Columbia University and an MBA from Columbia Business School. Mr. Casdin serves on the board of directors for Exact Sciences Coporation (Nasdaq: EXAS), and also serves a director or observer on the boards of a number of privately held life sciences companies. He has previously served as a director or observer on other, now public, boards, including Invitae Corporation (NYSE: NVTA), Relay Therapeutics, Inc. (Nasdaq: RLAY), and Magenta Therapeutics (Nasdaq: MGTA). Mr. Casdin is currently a member of the New York Genome Center Board and a member of The Columbia University School of General Studies Board of Visitors.</w:t>
      </w:r>
    </w:p>
    <w:p>
      <w:pPr>
        <w:spacing w:after="0" w:line="78" w:lineRule="exact"/>
        <w:rPr>
          <w:sz w:val="20"/>
          <w:szCs w:val="20"/>
          <w:color w:val="auto"/>
        </w:rPr>
      </w:pPr>
    </w:p>
    <w:p>
      <w:pPr>
        <w:ind w:left="540" w:right="579"/>
        <w:spacing w:after="0" w:line="238" w:lineRule="auto"/>
        <w:rPr>
          <w:sz w:val="20"/>
          <w:szCs w:val="20"/>
          <w:color w:val="auto"/>
        </w:rPr>
      </w:pPr>
      <w:r>
        <w:rPr>
          <w:rFonts w:ascii="Arial" w:cs="Arial" w:eastAsia="Arial" w:hAnsi="Arial"/>
          <w:sz w:val="18"/>
          <w:szCs w:val="18"/>
          <w:b w:val="1"/>
          <w:bCs w:val="1"/>
          <w:i w:val="1"/>
          <w:iCs w:val="1"/>
          <w:color w:val="auto"/>
        </w:rPr>
        <w:t>Keith A. Meister</w:t>
      </w:r>
      <w:r>
        <w:rPr>
          <w:rFonts w:ascii="Arial" w:cs="Arial" w:eastAsia="Arial" w:hAnsi="Arial"/>
          <w:sz w:val="18"/>
          <w:szCs w:val="18"/>
          <w:color w:val="auto"/>
        </w:rPr>
        <w:t>, our Chairman of the Board, is Managing Partner and Chief Investment Officer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Corvex Management, which he founded in December 2010. Prior to founding Corvex Management, Mr. Meister served as Chief Executive Officer and then Principal Executive Officer and Vice Chairman of the Board of Icahn Enterprises L.P. (NYSE: IEP) from August 2003 to August 2010. From their launch in November 2004 to August 2010, Mr. Meister also served as Senior Managing Director of the General Partners of Icahn Partners LP and affiliated funds. Mr. Meister currently serves on the board of directors for MGM Resorts International (NYSE: MGM) and has previously served as a director on numerous other public boards including: Yum! Brands, Inc. (NYSE: YUM), The Williams Companies, Inc. (NYSE: WMB), ADT, Inc. (NYSE: ADT), Ralcorp Holdings, Inc. and Motorola, Inc. (now Motorola Solutions, Inc., NYSE: MSI/Motorola Mobility, Inc.), among others. He is a director for Roar Digital, LLC, chairman of the board of directors for Harlem Children’s Zone and a member of the board of trustees for the American Museum of Natural History. Mr. Meister received an A.B. in government, cum laude, from Harvard College in 1995.</w:t>
      </w:r>
    </w:p>
    <w:p>
      <w:pPr>
        <w:spacing w:after="0" w:line="72" w:lineRule="exact"/>
        <w:rPr>
          <w:sz w:val="20"/>
          <w:szCs w:val="20"/>
          <w:color w:val="auto"/>
        </w:rPr>
      </w:pPr>
    </w:p>
    <w:p>
      <w:pPr>
        <w:ind w:left="540" w:right="659"/>
        <w:spacing w:after="0" w:line="237" w:lineRule="auto"/>
        <w:rPr>
          <w:sz w:val="20"/>
          <w:szCs w:val="20"/>
          <w:color w:val="auto"/>
        </w:rPr>
      </w:pPr>
      <w:r>
        <w:rPr>
          <w:rFonts w:ascii="Arial" w:cs="Arial" w:eastAsia="Arial" w:hAnsi="Arial"/>
          <w:sz w:val="18"/>
          <w:szCs w:val="18"/>
          <w:b w:val="1"/>
          <w:bCs w:val="1"/>
          <w:i w:val="1"/>
          <w:iCs w:val="1"/>
          <w:color w:val="auto"/>
        </w:rPr>
        <w:t>Munib Islam</w:t>
      </w:r>
      <w:r>
        <w:rPr>
          <w:rFonts w:ascii="Arial" w:cs="Arial" w:eastAsia="Arial" w:hAnsi="Arial"/>
          <w:sz w:val="18"/>
          <w:szCs w:val="18"/>
          <w:color w:val="auto"/>
        </w:rPr>
        <w:t>, who will serve as a Director following completion of this offering, served as Co-Chief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 Officer and a Partner at Third Point LLC, an investment management firm from mid-2019 through 2020. Mr. Islam was integrally involved in the operations of Third Point, including investing, risk management, marketing, hiring, and talent development. Prior to becoming co-Chief Investment Officer, he served as Head of Equities at Third Point, and in such role, Mr. Islam spearheaded research on Third Point’s strategic block investments globally, including investments in Sony Corporation (NYSE: SNE), Campbell’s Soup Corporation (NYSE: CPB), Nestlé S.A. (OTCMKTS: NSRGY) and DowDuPont Inc. Mr. Islam also served on the board of directors and executive selection and audit committees of Baxter International, Inc. (NYSE: BAX), currently an approximately $45 billion health care company, from 2015 through 2019. From 2008 to 2011, he worked at Highbridge Capital, where he was a Managing Director and Portfolio Manager of Highbridge’s European Value Equities fund. Mr. Islam first joined Third Point in 2004, after working at Oak Hill Capital and at Lazard LLC. He received a B.A. in Economics, magna cum laude, from Dartmouth College and an MBA from the Graduate School of Business at Stanford University. He currently sits on the Boards of the Stanford Business School Trust and the Brearley School in New York City.</w:t>
      </w:r>
    </w:p>
    <w:p>
      <w:pPr>
        <w:sectPr>
          <w:pgSz w:w="11900" w:h="16838" w:orient="portrait"/>
          <w:cols w:equalWidth="0" w:num="1">
            <w:col w:w="9019"/>
          </w:cols>
          <w:pgMar w:left="1440" w:top="449" w:right="1440"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49" w:right="1440" w:bottom="1440" w:gutter="0" w:footer="0" w:header="0"/>
          <w:type w:val="continuous"/>
        </w:sectPr>
      </w:pPr>
    </w:p>
    <w:bookmarkStart w:id="8" w:name="page9"/>
    <w:bookmarkEnd w:id="8"/>
    <w:p>
      <w:pPr>
        <w:ind w:left="540" w:right="1159"/>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5744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7310" cy="8574405"/>
                    </a:xfrm>
                    <a:prstGeom prst="rect">
                      <a:avLst/>
                    </a:prstGeom>
                    <a:noFill/>
                  </pic:spPr>
                </pic:pic>
              </a:graphicData>
            </a:graphic>
          </wp:anchor>
        </w:drawing>
        <w:t>We believe our management team is well positioned to take advantage of the growing set of investment opportunities focused on the healthcare industry, and that our extensive existing relationships with portfolio companies along with our ongoing efforts to identify investment opportunities will allow us to generate an attractive transaction for our stockholders.</w:t>
      </w:r>
    </w:p>
    <w:p>
      <w:pPr>
        <w:spacing w:after="0" w:line="124" w:lineRule="exact"/>
        <w:rPr>
          <w:sz w:val="20"/>
          <w:szCs w:val="20"/>
          <w:color w:val="auto"/>
        </w:rPr>
      </w:pPr>
    </w:p>
    <w:p>
      <w:pPr>
        <w:ind w:left="540" w:right="579"/>
        <w:spacing w:after="0" w:line="236" w:lineRule="auto"/>
        <w:rPr>
          <w:sz w:val="20"/>
          <w:szCs w:val="20"/>
          <w:color w:val="auto"/>
        </w:rPr>
      </w:pPr>
      <w:r>
        <w:rPr>
          <w:rFonts w:ascii="Arial" w:cs="Arial" w:eastAsia="Arial" w:hAnsi="Arial"/>
          <w:sz w:val="18"/>
          <w:szCs w:val="18"/>
          <w:color w:val="auto"/>
        </w:rPr>
        <w:t>Past performance of our management team does not guarantee either (i) success with respect to any business combination we may consummate or (ii) that we will be able to identify a suitable candidate for our initial business combination. You should not rely on the historical performance record of our management team or their respective affiliates or any related investment’s performance as indicative of our future performance of an investment in the company or the returns the company will, or is likely to, generate going forward. None of the members of our management team has any experience with blank check companies or special purpose acquisition companies. For more information on the experience and background of our management team, see the section entitled “Management.”</w:t>
      </w:r>
    </w:p>
    <w:p>
      <w:pPr>
        <w:spacing w:after="0" w:line="99" w:lineRule="exact"/>
        <w:rPr>
          <w:sz w:val="20"/>
          <w:szCs w:val="20"/>
          <w:color w:val="auto"/>
        </w:rPr>
      </w:pPr>
    </w:p>
    <w:p>
      <w:pPr>
        <w:ind w:left="540" w:right="579"/>
        <w:spacing w:after="0" w:line="235" w:lineRule="auto"/>
        <w:rPr>
          <w:sz w:val="20"/>
          <w:szCs w:val="20"/>
          <w:color w:val="auto"/>
        </w:rPr>
      </w:pPr>
      <w:r>
        <w:rPr>
          <w:rFonts w:ascii="Arial" w:cs="Arial" w:eastAsia="Arial" w:hAnsi="Arial"/>
          <w:sz w:val="18"/>
          <w:szCs w:val="18"/>
          <w:color w:val="auto"/>
        </w:rPr>
        <w:t>We believe our ability to complete an initial business combination may be enhanced by our having entered into forward purchase agreements with affiliates of our sponsor, Casdin Capital and Corvex Management, in their capacities as investment advisors on behalf of their Clients, pursuant to which, subject to the conditions described below, they will cause certain Clients to purchase from us up to an aggregate amount of 15,000,000 shares of Class A common stock, or the forward purchase shares, for $10.00 per forward purchase share, or an aggregate amount of up to $150,000,000, in a private placement that will close concurrently with the closing of our initial business combination. The amount of forward purchase shares sold pursuant to the forward purchase agreements will be determined in our discretion based on our need for additional capital to consummate the initial business combination. Under each forward purchase agreement, we are required to approach Casdin Capital and Corvex Management if we propose to raise additional capital by issuing any equity, or securities convertible into, exchangeable or exercisable for equity securities in connection with the initial business combination. The respective obligations of Casdin Capital and Corvex Management to cause Clients to purchase forward purchase shares will, among other things, be conditioned on our completing an initial business combination with a company engaged in a business that is within the investment objectives of the Clients purchasing forward purchase shares and on the business combination (including the target assets or business, and the terms of the business combination) being reasonably acceptable to such Clients as determined by Casdin Capital or Corvex Management, as relevant, as investment advisors on behalf of such Clients. In determining whether a target is reasonably acceptable to Clients, we expect that Casdin Capital or Corvex Management, as relevant, would consider many of the same criteria as we will consider, but will also consider whether the investment is an appropriate investment for such Clients. Each of Casdin Capital and Corvex Management will have the right to transfer a portion of the purchase obligation under the forward purchase agreement to third parties, or upon mutual agreement, to each other, subject to compliance with applicable securities laws. To the extent that we obtain alternative financing to fund the initial business combination and the Clients participate in such financing, the aggregate commitment under the forward purchase agreement will be reduced by the amount of such alternative financing. Please see the risk factor entitled “In evaluating a prospective target business for our initial business combination, our management will consider the availability of funds from the sale of the forward purchase shares, which may be used as part of the consideration to the sellers in the initial business combination. If all or some of the forward purchase shares are not purchased under the forward purchase agreement, we may decide not to consummate our initial business combination, or if we decide to, we may lack sufficient funds to consummate our initial business combination” for more information.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INDUSTRY OPPORTUNITY</w:t>
      </w:r>
    </w:p>
    <w:p>
      <w:pPr>
        <w:spacing w:after="0" w:line="126" w:lineRule="exact"/>
        <w:rPr>
          <w:sz w:val="20"/>
          <w:szCs w:val="20"/>
          <w:color w:val="auto"/>
        </w:rPr>
      </w:pPr>
    </w:p>
    <w:p>
      <w:pPr>
        <w:ind w:left="540" w:right="659"/>
        <w:spacing w:after="0" w:line="236" w:lineRule="auto"/>
        <w:rPr>
          <w:sz w:val="20"/>
          <w:szCs w:val="20"/>
          <w:color w:val="auto"/>
        </w:rPr>
      </w:pPr>
      <w:r>
        <w:rPr>
          <w:rFonts w:ascii="Arial" w:cs="Arial" w:eastAsia="Arial" w:hAnsi="Arial"/>
          <w:sz w:val="18"/>
          <w:szCs w:val="18"/>
          <w:color w:val="auto"/>
        </w:rPr>
        <w:t>CM Life Sciences was founded to take advantage of a dynamic life sciences sector that continues to be buoyed by innovation. With a broadening set of applications for biotechnology that includes research tools and infrastructure, diagnostics, therapeutics, data, and industrial outputs, the life sciences sector offers compelling opportunities for investors who possess a broad overview and understand the trends and themes. CM Life Sciences is that type of investment partnership, combining the unique industry experience, operational expertise, and investment savvy of Mr. Casdin and Mr. Meister to bring together strong companies and management teams and work with them to capitalize on the near- and far-term opportunities.</w:t>
      </w:r>
    </w:p>
    <w:p>
      <w:pPr>
        <w:spacing w:after="0" w:line="100" w:lineRule="exact"/>
        <w:rPr>
          <w:sz w:val="20"/>
          <w:szCs w:val="20"/>
          <w:color w:val="auto"/>
        </w:rPr>
      </w:pPr>
    </w:p>
    <w:p>
      <w:pPr>
        <w:ind w:left="540" w:right="579"/>
        <w:spacing w:after="0" w:line="238" w:lineRule="auto"/>
        <w:rPr>
          <w:sz w:val="20"/>
          <w:szCs w:val="20"/>
          <w:color w:val="auto"/>
        </w:rPr>
      </w:pPr>
      <w:r>
        <w:rPr>
          <w:rFonts w:ascii="Arial" w:cs="Arial" w:eastAsia="Arial" w:hAnsi="Arial"/>
          <w:sz w:val="18"/>
          <w:szCs w:val="18"/>
          <w:color w:val="auto"/>
        </w:rPr>
        <w:t>Healthcare spending in the United States currently exceeds $3.6 trillion, and the Center for Medicare and Medicaid Services estimates that number will soon approach 20% of total U.S. Gross Domestic Product. Investors are just now beginning to recognize that life sciences will be a major beneficiary of that growth. The momentum of discovery and propagation of science and technologies combined with the appeal of early-stage industry formation creates dynamic</w:t>
      </w:r>
    </w:p>
    <w:p>
      <w:pPr>
        <w:sectPr>
          <w:pgSz w:w="11900" w:h="16838" w:orient="portrait"/>
          <w:cols w:equalWidth="0" w:num="1">
            <w:col w:w="9019"/>
          </w:cols>
          <w:pgMar w:left="1440" w:top="449" w:right="1440" w:bottom="1440" w:gutter="0" w:footer="0" w:header="0"/>
        </w:sect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49" w:right="1440" w:bottom="1440" w:gutter="0" w:footer="0" w:header="0"/>
          <w:type w:val="continuous"/>
        </w:sectPr>
      </w:pPr>
    </w:p>
    <w:bookmarkStart w:id="9" w:name="page10"/>
    <w:bookmarkEnd w:id="9"/>
    <w:p>
      <w:pPr>
        <w:ind w:left="540" w:right="10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1800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7310" cy="8180070"/>
                    </a:xfrm>
                    <a:prstGeom prst="rect">
                      <a:avLst/>
                    </a:prstGeom>
                    <a:noFill/>
                  </pic:spPr>
                </pic:pic>
              </a:graphicData>
            </a:graphic>
          </wp:anchor>
        </w:drawing>
        <w:t>investment opportunities and significant advantages to knowledgeable specialists. New drugs generally receive significant attention and biotechnology investor focus, but there also exists tremendous opportunity in the broader and bigger industry of “bio” and “technology.”</w:t>
      </w:r>
    </w:p>
    <w:p>
      <w:pPr>
        <w:spacing w:after="0" w:line="95" w:lineRule="exact"/>
        <w:rPr>
          <w:sz w:val="20"/>
          <w:szCs w:val="20"/>
          <w:color w:val="auto"/>
        </w:rPr>
      </w:pPr>
    </w:p>
    <w:p>
      <w:pPr>
        <w:jc w:val="both"/>
        <w:ind w:left="540" w:right="559"/>
        <w:spacing w:after="0" w:line="234" w:lineRule="auto"/>
        <w:rPr>
          <w:sz w:val="20"/>
          <w:szCs w:val="20"/>
          <w:color w:val="auto"/>
        </w:rPr>
      </w:pPr>
      <w:r>
        <w:rPr>
          <w:rFonts w:ascii="Arial" w:cs="Arial" w:eastAsia="Arial" w:hAnsi="Arial"/>
          <w:sz w:val="18"/>
          <w:szCs w:val="18"/>
          <w:color w:val="auto"/>
        </w:rPr>
        <w:t>The development of therapeutics are a powerful expression of this opportunity. That said, we intend to broaden the investment aperture even within this application to include the products and services that enable the discovery, development, manufacture and commercialization of these therapies.</w:t>
      </w:r>
    </w:p>
    <w:p>
      <w:pPr>
        <w:spacing w:after="0" w:line="2" w:lineRule="exact"/>
        <w:rPr>
          <w:sz w:val="20"/>
          <w:szCs w:val="20"/>
          <w:color w:val="auto"/>
        </w:rPr>
      </w:pPr>
    </w:p>
    <w:p>
      <w:pPr>
        <w:ind w:left="540" w:right="619"/>
        <w:spacing w:after="0" w:line="236" w:lineRule="auto"/>
        <w:rPr>
          <w:sz w:val="20"/>
          <w:szCs w:val="20"/>
          <w:color w:val="auto"/>
        </w:rPr>
      </w:pPr>
      <w:r>
        <w:rPr>
          <w:rFonts w:ascii="Arial" w:cs="Arial" w:eastAsia="Arial" w:hAnsi="Arial"/>
          <w:sz w:val="18"/>
          <w:szCs w:val="18"/>
          <w:color w:val="auto"/>
        </w:rPr>
        <w:t>The momentum of research and development strategies of the biopharmaceutical industry makes this clear, with global R&amp;D expenditures projected by Statista to be $182 billion in 2019, with more than $70 billion in estimated expenditures on U.S. health and medical R&amp;D from federal, state and local governments and other industry sources. These figures encompass spending on all steps from discovery through clinical development and highlight the scope and scale of opportunity for therapeutic ecosystem industry players. U.S. Food and Drug Administration (FDA) approval of new drugs increased approximately 40% comparing 2010 to 2014 numbers with those of 2015 to 2019, and the base case outlook in the next five years forecasts that net medicine spending in the United States will increase from $344 billion in 2018 to $420 billion in 2023. Therefore, the industry is in a powerful growth mode.</w:t>
      </w:r>
    </w:p>
    <w:p>
      <w:pPr>
        <w:spacing w:after="0" w:line="98" w:lineRule="exact"/>
        <w:rPr>
          <w:sz w:val="20"/>
          <w:szCs w:val="20"/>
          <w:color w:val="auto"/>
        </w:rPr>
      </w:pPr>
    </w:p>
    <w:p>
      <w:pPr>
        <w:ind w:left="540" w:right="659"/>
        <w:spacing w:after="0" w:line="237" w:lineRule="auto"/>
        <w:rPr>
          <w:sz w:val="20"/>
          <w:szCs w:val="20"/>
          <w:color w:val="auto"/>
        </w:rPr>
      </w:pPr>
      <w:r>
        <w:rPr>
          <w:rFonts w:ascii="Arial" w:cs="Arial" w:eastAsia="Arial" w:hAnsi="Arial"/>
          <w:sz w:val="18"/>
          <w:szCs w:val="18"/>
          <w:color w:val="auto"/>
        </w:rPr>
        <w:t>While certain enabling life sciences company’s products get embedded early and have long lucrative life cycles with high profitability, the industry, by and large, remains fragmented, with most companies under-resourced and under-scaled. CM Life Sciences will offer significant and under-appreciated opportunities to consolidate these strong but fledgling companies, a common strategy in every major industry but one possible only now that the life sciences industry has ripened. We will focus our search for business combination targets in three separate areas of the larger life sciences industry, including:</w:t>
      </w:r>
    </w:p>
    <w:p>
      <w:pPr>
        <w:spacing w:after="0" w:line="14" w:lineRule="exact"/>
        <w:rPr>
          <w:sz w:val="20"/>
          <w:szCs w:val="20"/>
          <w:color w:val="auto"/>
        </w:rPr>
      </w:pPr>
    </w:p>
    <w:p>
      <w:pPr>
        <w:ind w:left="1200" w:right="559" w:hanging="332"/>
        <w:spacing w:after="0" w:line="236" w:lineRule="auto"/>
        <w:tabs>
          <w:tab w:leader="none" w:pos="1189" w:val="left"/>
        </w:tabs>
        <w:numPr>
          <w:ilvl w:val="0"/>
          <w:numId w:val="4"/>
        </w:numPr>
        <w:rPr>
          <w:rFonts w:ascii="Arial" w:cs="Arial" w:eastAsia="Arial" w:hAnsi="Arial"/>
          <w:sz w:val="18"/>
          <w:szCs w:val="18"/>
          <w:color w:val="auto"/>
        </w:rPr>
      </w:pPr>
      <w:r>
        <w:rPr>
          <w:rFonts w:ascii="Arial" w:cs="Arial" w:eastAsia="Arial" w:hAnsi="Arial"/>
          <w:sz w:val="18"/>
          <w:szCs w:val="18"/>
          <w:color w:val="auto"/>
        </w:rPr>
        <w:t>Life Sciences Tools: Research markets endeavor to understand complex biological systems through the use of analytical technologies. These applications create adjacent opportunities for tools in areas such as sample preparation and in regulated downstream “applied markets.” With life sciences tools comprising an approximately $30 billion global market opportunity, the research spending across industry, academia, and government also supports long term GDP-plus growth. Cyclical innovation adds to the growth profile, particularly with the current wave of innovation in the ’omics fields. We identify particular opportunities around the industry’s tools, technology and data analysis and its coordination with the various end-customer segments to take advantage of the attractive fundamental trends.</w:t>
      </w:r>
    </w:p>
    <w:p>
      <w:pPr>
        <w:spacing w:after="0" w:line="30" w:lineRule="exact"/>
        <w:rPr>
          <w:rFonts w:ascii="Arial" w:cs="Arial" w:eastAsia="Arial" w:hAnsi="Arial"/>
          <w:sz w:val="18"/>
          <w:szCs w:val="18"/>
          <w:color w:val="auto"/>
        </w:rPr>
      </w:pPr>
    </w:p>
    <w:p>
      <w:pPr>
        <w:ind w:left="1200" w:right="559" w:hanging="332"/>
        <w:spacing w:after="0" w:line="236" w:lineRule="auto"/>
        <w:tabs>
          <w:tab w:leader="none" w:pos="1189" w:val="left"/>
        </w:tabs>
        <w:numPr>
          <w:ilvl w:val="0"/>
          <w:numId w:val="4"/>
        </w:numPr>
        <w:rPr>
          <w:rFonts w:ascii="Arial" w:cs="Arial" w:eastAsia="Arial" w:hAnsi="Arial"/>
          <w:sz w:val="18"/>
          <w:szCs w:val="18"/>
          <w:color w:val="auto"/>
        </w:rPr>
      </w:pPr>
      <w:r>
        <w:rPr>
          <w:rFonts w:ascii="Arial" w:cs="Arial" w:eastAsia="Arial" w:hAnsi="Arial"/>
          <w:sz w:val="18"/>
          <w:szCs w:val="18"/>
          <w:color w:val="auto"/>
        </w:rPr>
        <w:t>Synthetic Biology: So called Read/Write technologies, which describe the ability to sequence and synthesize genetic information, are powering the genomic revolution. These technologies have matured to the point where biological systems can be harnessed and manipulated towards a broad variety of applications that include diagnostic, therapeutic and broader industrial solutions. Given the flexibility of biological systems, investment opportunities exist for those who can identify applications outside a traditionally narrow focus. Many of these applications introduce the opportunity to create new products and new markets, as well as to enable more efficient and more environmentally sustainable manufacturing of existing products.</w:t>
      </w:r>
    </w:p>
    <w:p>
      <w:pPr>
        <w:spacing w:after="0" w:line="31" w:lineRule="exact"/>
        <w:rPr>
          <w:rFonts w:ascii="Arial" w:cs="Arial" w:eastAsia="Arial" w:hAnsi="Arial"/>
          <w:sz w:val="18"/>
          <w:szCs w:val="18"/>
          <w:color w:val="auto"/>
        </w:rPr>
      </w:pPr>
    </w:p>
    <w:p>
      <w:pPr>
        <w:ind w:left="1200" w:right="559" w:hanging="332"/>
        <w:spacing w:after="0" w:line="236" w:lineRule="auto"/>
        <w:tabs>
          <w:tab w:leader="none" w:pos="1189" w:val="left"/>
        </w:tabs>
        <w:numPr>
          <w:ilvl w:val="0"/>
          <w:numId w:val="4"/>
        </w:numPr>
        <w:rPr>
          <w:rFonts w:ascii="Arial" w:cs="Arial" w:eastAsia="Arial" w:hAnsi="Arial"/>
          <w:sz w:val="18"/>
          <w:szCs w:val="18"/>
          <w:color w:val="auto"/>
        </w:rPr>
      </w:pPr>
      <w:r>
        <w:rPr>
          <w:rFonts w:ascii="Arial" w:cs="Arial" w:eastAsia="Arial" w:hAnsi="Arial"/>
          <w:sz w:val="18"/>
          <w:szCs w:val="18"/>
          <w:color w:val="auto"/>
        </w:rPr>
        <w:t>Diagnostics: The diagnostics industry is leveraging advances in biological tools and broader technologies, including cloud computing and data sciences. These new tools have ushered in advances in risk prediction, therapeutic regimen tailoring, and outcomes analysis, to name just a few. The results have been immediate, both to patient outcomes and industry value, but we believe that the potential of these tools is only now being realized. We believe use of “diagnostic” to describe this dynamic category is a misnomer, and prefer the term “molecular information.” The synergy created by a limited set of publicly investable opportunities and, structurally, the imbalance between channel and content capabilities across industry players is likely to drive powerful new investment opportunities. With progress in regulatory and reimbursement systems, we believe investment opportunities will continue to expand.</w:t>
      </w:r>
    </w:p>
    <w:p>
      <w:pPr>
        <w:spacing w:after="0" w:line="97" w:lineRule="exact"/>
        <w:rPr>
          <w:sz w:val="20"/>
          <w:szCs w:val="20"/>
          <w:color w:val="auto"/>
        </w:rPr>
      </w:pPr>
    </w:p>
    <w:p>
      <w:pPr>
        <w:ind w:left="540" w:right="659"/>
        <w:spacing w:after="0" w:line="237" w:lineRule="auto"/>
        <w:rPr>
          <w:sz w:val="20"/>
          <w:szCs w:val="20"/>
          <w:color w:val="auto"/>
        </w:rPr>
      </w:pPr>
      <w:r>
        <w:rPr>
          <w:rFonts w:ascii="Arial" w:cs="Arial" w:eastAsia="Arial" w:hAnsi="Arial"/>
          <w:sz w:val="18"/>
          <w:szCs w:val="18"/>
          <w:color w:val="auto"/>
        </w:rPr>
        <w:t>We believe that the current state of the life sciences IPO market will enhance our ability to locate attractive targets. Approximately 180 biotechnology companies have gone public since 2016 in the United States. Despite the current level of IPO activity, in February 2020, there were estimated to be approximately 9,500 life sciences companies globally, only a fraction of which are publicly traded. As these companies mature, they will need partners to complement, enhance, and extend their reach. CM Life Sciences is positioned to be a major participant in that process.</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49" w:right="1440"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5058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7310" cy="8505825"/>
                    </a:xfrm>
                    <a:prstGeom prst="rect">
                      <a:avLst/>
                    </a:prstGeom>
                    <a:noFill/>
                  </pic:spPr>
                </pic:pic>
              </a:graphicData>
            </a:graphic>
          </wp:anchor>
        </w:drawing>
        <w:t>ACQUISITION STRATEGY</w:t>
      </w:r>
    </w:p>
    <w:p>
      <w:pPr>
        <w:spacing w:after="0" w:line="126" w:lineRule="exact"/>
        <w:rPr>
          <w:sz w:val="20"/>
          <w:szCs w:val="20"/>
          <w:color w:val="auto"/>
        </w:rPr>
      </w:pPr>
    </w:p>
    <w:p>
      <w:pPr>
        <w:ind w:left="540" w:right="599"/>
        <w:spacing w:after="0" w:line="238" w:lineRule="auto"/>
        <w:rPr>
          <w:sz w:val="20"/>
          <w:szCs w:val="20"/>
          <w:color w:val="auto"/>
        </w:rPr>
      </w:pPr>
      <w:r>
        <w:rPr>
          <w:rFonts w:ascii="Arial" w:cs="Arial" w:eastAsia="Arial" w:hAnsi="Arial"/>
          <w:sz w:val="18"/>
          <w:szCs w:val="18"/>
          <w:color w:val="auto"/>
        </w:rPr>
        <w:t>CM Life Sciences has a focused acquisition strategy. We believe that the rise in both the number and quality of companies entering the genomics space today presages significant consolidation and restructuring. Our comprehensive understanding of the science, strong ties to the industry, and broad experience guiding public companies gives us a competitive advantage to help shape, and profit from, this key moment in the maturation of the industry.</w:t>
      </w:r>
    </w:p>
    <w:p>
      <w:pPr>
        <w:spacing w:after="0" w:line="94" w:lineRule="exact"/>
        <w:rPr>
          <w:sz w:val="20"/>
          <w:szCs w:val="20"/>
          <w:color w:val="auto"/>
        </w:rPr>
      </w:pPr>
    </w:p>
    <w:p>
      <w:pPr>
        <w:ind w:left="540" w:right="619"/>
        <w:spacing w:after="0" w:line="236" w:lineRule="auto"/>
        <w:rPr>
          <w:sz w:val="20"/>
          <w:szCs w:val="20"/>
          <w:color w:val="auto"/>
        </w:rPr>
      </w:pPr>
      <w:r>
        <w:rPr>
          <w:rFonts w:ascii="Arial" w:cs="Arial" w:eastAsia="Arial" w:hAnsi="Arial"/>
          <w:sz w:val="18"/>
          <w:szCs w:val="18"/>
          <w:color w:val="auto"/>
        </w:rPr>
        <w:t>Not only do we anticipate CM Life Sciences will have the advantage in sourcing transactions and creating strong, publicly listed life sciences companies, but the broad vision and on-the-ground expertise of our management team should allow us to see opportunities and synergies even before the target company’s management or board may. With robust partnerships and deep relationships dating back to the industry’s beginnings, our management and board have a track record of identifying potential opportunities and potential challenges, long before most other investors. With over two decades of research, diligence, formal and informal advising, and Board stewardship, we believe our founders are uniquely suited to bridge the gap between private promises and public profits; creating significant shareholder value by structuring companies for the public market typically inaccessible to private equity buyers.</w:t>
      </w:r>
    </w:p>
    <w:p>
      <w:pPr>
        <w:spacing w:after="0" w:line="98" w:lineRule="exact"/>
        <w:rPr>
          <w:sz w:val="20"/>
          <w:szCs w:val="20"/>
          <w:color w:val="auto"/>
        </w:rPr>
      </w:pPr>
    </w:p>
    <w:p>
      <w:pPr>
        <w:ind w:left="540" w:right="559"/>
        <w:spacing w:after="0" w:line="235" w:lineRule="auto"/>
        <w:rPr>
          <w:sz w:val="20"/>
          <w:szCs w:val="20"/>
          <w:color w:val="auto"/>
        </w:rPr>
      </w:pPr>
      <w:r>
        <w:rPr>
          <w:rFonts w:ascii="Arial" w:cs="Arial" w:eastAsia="Arial" w:hAnsi="Arial"/>
          <w:sz w:val="18"/>
          <w:szCs w:val="18"/>
          <w:color w:val="auto"/>
        </w:rPr>
        <w:t>Over the years, Casdin Capital has developed a rich, reflective and repeatable scientific process as rigorous as any found in relevant research labs, which we intend to draw upon as we evaluate targets. Our strategy is to seek out every possible data point and test every possible hypothesis. By methodically breaking down core elements, from treatments to management teams to political-historical context, and examining them from all angles, testing theories as we go, our leadership team learns and grows in step with the life sciences industry itself. When we assess company targets and the mechanisms for solving them, whether a drug or a technology application, we will seek to understand their innovative methodologies, not just their market potential. Beyond the science, we will also scrutinize target markets and competitors, question CEOs, Executive Teams and Boards on their ability to measure outcomes and push toward solutions, and create models for everything from commercial launch capabilities to regulatory hurdles to an entire team’s industry expertise and history. Deep knowledge of the science and its applications is only the beginning. Our experience continually reminds us to focus on leadership’s ability to grow a business and create an empowered workforce, and we seek companies that create the drive and resilience necessary to reach ambitious goals and, ultimately, market success.</w:t>
      </w:r>
    </w:p>
    <w:p>
      <w:pPr>
        <w:spacing w:after="0" w:line="105" w:lineRule="exact"/>
        <w:rPr>
          <w:sz w:val="20"/>
          <w:szCs w:val="20"/>
          <w:color w:val="auto"/>
        </w:rPr>
      </w:pPr>
    </w:p>
    <w:p>
      <w:pPr>
        <w:ind w:left="540" w:right="599"/>
        <w:spacing w:after="0" w:line="236" w:lineRule="auto"/>
        <w:rPr>
          <w:sz w:val="20"/>
          <w:szCs w:val="20"/>
          <w:color w:val="auto"/>
        </w:rPr>
      </w:pPr>
      <w:r>
        <w:rPr>
          <w:rFonts w:ascii="Arial" w:cs="Arial" w:eastAsia="Arial" w:hAnsi="Arial"/>
          <w:sz w:val="18"/>
          <w:szCs w:val="18"/>
          <w:color w:val="auto"/>
        </w:rPr>
        <w:t>With over four decades of combined experience in structuring and executing strategic investments and capital market transactions, our founders bring together a unique understanding of the industry and the world of corporate governance. Together Mr. Casdin and Mr. Meister specifically have bought, sold, combined and separated businesses and assets across industries and geographies, and together are strategically situated to identify and capitalize on industry consolidation. We also know that many companies lack the resources, infrastructure, and governance experience required to transition into successful public companies. Our team’s long-standing experience leading large, publicly traded corporations at the board and executive levels opens the door to many companies not yet envisioning themselves in the public market. We believe our experience structuring and executing complex transactions is as key an advantage when completing an initial business combination as it is when identifying future opportunities sparked by it.</w:t>
      </w:r>
    </w:p>
    <w:p>
      <w:pPr>
        <w:spacing w:after="0" w:line="97" w:lineRule="exact"/>
        <w:rPr>
          <w:sz w:val="20"/>
          <w:szCs w:val="20"/>
          <w:color w:val="auto"/>
        </w:rPr>
      </w:pPr>
    </w:p>
    <w:p>
      <w:pPr>
        <w:ind w:left="540" w:right="579"/>
        <w:spacing w:after="0" w:line="234" w:lineRule="auto"/>
        <w:rPr>
          <w:sz w:val="20"/>
          <w:szCs w:val="20"/>
          <w:color w:val="auto"/>
        </w:rPr>
      </w:pPr>
      <w:r>
        <w:rPr>
          <w:rFonts w:ascii="Arial" w:cs="Arial" w:eastAsia="Arial" w:hAnsi="Arial"/>
          <w:sz w:val="18"/>
          <w:szCs w:val="18"/>
          <w:color w:val="auto"/>
        </w:rPr>
        <w:t>Casdin Capital’s investments in 69 private companies and their diligencing of hundreds of other investments every year has allowed them to map the far reaches of an industry most are just beginning to explore. As of June 30</w:t>
      </w:r>
      <w:r>
        <w:rPr>
          <w:rFonts w:ascii="Arial" w:cs="Arial" w:eastAsia="Arial" w:hAnsi="Arial"/>
          <w:sz w:val="20"/>
          <w:szCs w:val="20"/>
          <w:color w:val="auto"/>
          <w:vertAlign w:val="superscript"/>
        </w:rPr>
        <w:t>th</w:t>
      </w:r>
      <w:r>
        <w:rPr>
          <w:rFonts w:ascii="Arial" w:cs="Arial" w:eastAsia="Arial" w:hAnsi="Arial"/>
          <w:sz w:val="18"/>
          <w:szCs w:val="18"/>
          <w:color w:val="auto"/>
        </w:rPr>
        <w:t>, 2020, Casdin has interests in 42 private portfolio companies and in these companies they have partnered with 45 of the leading venture and healthcare investing firms and strategic arms of large incumbents, including Google Ventures, Arch Ventures, Atlas Ventures, Third Rock Ventures, Flagship Ventures, Wuxi Apptec (OTCMKTS: WUXIF), Danaher Corporation (NYSE: DHR), Viking Global, Warburg Pincus and Andreesson Horowitz. We expect that this deep understanding and these strong relationships will provide CM Life Sciences a pipeline of proprietary opportunities that will continue to increase as new players enter the space, and as established players continue to branch out. CM Life Sciences is not prohibited from pursuing combinations with companies affiliated with our sponsor, executive officers, or directors. In the event we seek to complete a combination with a target that is affiliated with our sponsor, we would obtain an opinion of an independent investment banking firm which is a member of FINRA or a valuation or appraisal firm stating that such an initial business combination is fair to our company from a financial point of view. Our amended and restated certificate of incorporation provides that a target will not be deemed an affiliate solely by virtue of ownership by our sponsor or its affiliates, or any of their or our executive officers or directors, of less than 10% of its common stock, individually or in the aggregate. Moreover, we anticipate value-creation opportunities from combining private companies already in the portfolios of our affiliates,</w:t>
      </w:r>
    </w:p>
    <w:p>
      <w:pPr>
        <w:sectPr>
          <w:pgSz w:w="11900" w:h="16838" w:orient="portrait"/>
          <w:cols w:equalWidth="0" w:num="1">
            <w:col w:w="9019"/>
          </w:cols>
          <w:pgMar w:left="1440" w:top="427" w:right="1440" w:bottom="1440" w:gutter="0" w:footer="0" w:header="0"/>
        </w:sect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27" w:right="1440" w:bottom="1440" w:gutter="0" w:footer="0" w:header="0"/>
          <w:type w:val="continuous"/>
        </w:sectPr>
      </w:pPr>
    </w:p>
    <w:bookmarkStart w:id="11" w:name="page12"/>
    <w:bookmarkEnd w:id="11"/>
    <w:p>
      <w:pPr>
        <w:ind w:left="540" w:right="1039"/>
        <w:spacing w:after="0" w:line="24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3775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7310" cy="8377555"/>
                    </a:xfrm>
                    <a:prstGeom prst="rect">
                      <a:avLst/>
                    </a:prstGeom>
                    <a:noFill/>
                  </pic:spPr>
                </pic:pic>
              </a:graphicData>
            </a:graphic>
          </wp:anchor>
        </w:drawing>
        <w:t>Casdin Capital and Corvex Management, presenting unique opportunities at the partnership’s inception and opening us to other dynamic platforms across the industry.</w:t>
      </w:r>
    </w:p>
    <w:p>
      <w:pPr>
        <w:spacing w:after="0" w:line="89" w:lineRule="exact"/>
        <w:rPr>
          <w:sz w:val="20"/>
          <w:szCs w:val="20"/>
          <w:color w:val="auto"/>
        </w:rPr>
      </w:pPr>
    </w:p>
    <w:p>
      <w:pPr>
        <w:ind w:left="540" w:right="579"/>
        <w:spacing w:after="0" w:line="236" w:lineRule="auto"/>
        <w:rPr>
          <w:sz w:val="20"/>
          <w:szCs w:val="20"/>
          <w:color w:val="auto"/>
        </w:rPr>
      </w:pPr>
      <w:r>
        <w:rPr>
          <w:rFonts w:ascii="Arial" w:cs="Arial" w:eastAsia="Arial" w:hAnsi="Arial"/>
          <w:sz w:val="18"/>
          <w:szCs w:val="18"/>
          <w:color w:val="auto"/>
        </w:rPr>
        <w:t>Casdin Capital has developed relationships going back to the unlocking of the human genome, and today is a familiar and trusted participant in this dynamic and complex industry, as well-versed in the science as in the business models that underpin it. We intend to leverage Casdin Capital’s position as more than just an investor, but a key partner to major and emerging companies, to work with the most successful and innovative industry professionals, the ones who will continue to drive growth and profits over the next few decades. Combined with Corvex Management, our leadership team is diverse and deep, with strengths in science and business, in research and investing, capital markets and corporate board rooms, and as alert to industry realignments as they are to subtle market moves. Success and strong returns come as much from our collective dedication as it does from our area-expertise. Our seasoned management team and board intends to leverage information from industry experts, scientists, management teams, and corporate directors to proceed with discipline and rigor to complete an attractive business combination that will produce attractive returns for our shareholders.</w:t>
      </w:r>
    </w:p>
    <w:p>
      <w:pPr>
        <w:spacing w:after="0" w:line="95" w:lineRule="exact"/>
        <w:rPr>
          <w:sz w:val="20"/>
          <w:szCs w:val="20"/>
          <w:color w:val="auto"/>
        </w:rPr>
      </w:pPr>
    </w:p>
    <w:p>
      <w:pPr>
        <w:jc w:val="both"/>
        <w:ind w:left="540" w:right="659"/>
        <w:spacing w:after="0"/>
        <w:rPr>
          <w:sz w:val="20"/>
          <w:szCs w:val="20"/>
          <w:color w:val="auto"/>
        </w:rPr>
      </w:pPr>
      <w:r>
        <w:rPr>
          <w:rFonts w:ascii="Arial" w:cs="Arial" w:eastAsia="Arial" w:hAnsi="Arial"/>
          <w:sz w:val="18"/>
          <w:szCs w:val="18"/>
          <w:color w:val="auto"/>
        </w:rPr>
        <w:t>Consistent with this strategy, we have identified the following criteria to evaluate prospective target businesses. We intend to seek to acquire companies in the Life Sciences Tools, Synthetic Biology and Diagnostics fields and that we believe:</w:t>
      </w:r>
    </w:p>
    <w:p>
      <w:pPr>
        <w:spacing w:after="0" w:line="14" w:lineRule="exact"/>
        <w:rPr>
          <w:sz w:val="20"/>
          <w:szCs w:val="20"/>
          <w:color w:val="auto"/>
        </w:rPr>
      </w:pPr>
    </w:p>
    <w:p>
      <w:pPr>
        <w:ind w:left="1200" w:right="979" w:hanging="332"/>
        <w:spacing w:after="0" w:line="246" w:lineRule="auto"/>
        <w:tabs>
          <w:tab w:leader="none" w:pos="1189" w:val="left"/>
        </w:tabs>
        <w:numPr>
          <w:ilvl w:val="0"/>
          <w:numId w:val="5"/>
        </w:numPr>
        <w:rPr>
          <w:rFonts w:ascii="Arial" w:cs="Arial" w:eastAsia="Arial" w:hAnsi="Arial"/>
          <w:sz w:val="18"/>
          <w:szCs w:val="18"/>
          <w:color w:val="auto"/>
        </w:rPr>
      </w:pPr>
      <w:r>
        <w:rPr>
          <w:rFonts w:ascii="Arial" w:cs="Arial" w:eastAsia="Arial" w:hAnsi="Arial"/>
          <w:sz w:val="18"/>
          <w:szCs w:val="18"/>
          <w:color w:val="auto"/>
        </w:rPr>
        <w:t>have a potential scientific or other business advantage or opportunity in the markets in which they operate;</w:t>
      </w:r>
    </w:p>
    <w:p>
      <w:pPr>
        <w:spacing w:after="0" w:line="21" w:lineRule="exact"/>
        <w:rPr>
          <w:rFonts w:ascii="Arial" w:cs="Arial" w:eastAsia="Arial" w:hAnsi="Arial"/>
          <w:sz w:val="18"/>
          <w:szCs w:val="18"/>
          <w:color w:val="auto"/>
        </w:rPr>
      </w:pPr>
    </w:p>
    <w:p>
      <w:pPr>
        <w:ind w:left="1180" w:hanging="312"/>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have strong and experienced management teams or key personnel; and</w:t>
      </w:r>
    </w:p>
    <w:p>
      <w:pPr>
        <w:spacing w:after="0" w:line="36" w:lineRule="exact"/>
        <w:rPr>
          <w:rFonts w:ascii="Arial" w:cs="Arial" w:eastAsia="Arial" w:hAnsi="Arial"/>
          <w:sz w:val="18"/>
          <w:szCs w:val="18"/>
          <w:color w:val="auto"/>
        </w:rPr>
      </w:pPr>
    </w:p>
    <w:p>
      <w:pPr>
        <w:ind w:left="1180" w:hanging="312"/>
        <w:spacing w:after="0"/>
        <w:tabs>
          <w:tab w:leader="none" w:pos="1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will offer attractive risk-adjusted equity returns for our shareholders.</w:t>
      </w:r>
    </w:p>
    <w:p>
      <w:pPr>
        <w:spacing w:after="0" w:line="104" w:lineRule="exact"/>
        <w:rPr>
          <w:sz w:val="20"/>
          <w:szCs w:val="20"/>
          <w:color w:val="auto"/>
        </w:rPr>
      </w:pPr>
    </w:p>
    <w:p>
      <w:pPr>
        <w:ind w:left="540" w:right="579"/>
        <w:spacing w:after="0" w:line="236" w:lineRule="auto"/>
        <w:rPr>
          <w:sz w:val="20"/>
          <w:szCs w:val="20"/>
          <w:color w:val="auto"/>
        </w:rPr>
      </w:pPr>
      <w:r>
        <w:rPr>
          <w:rFonts w:ascii="Arial" w:cs="Arial" w:eastAsia="Arial" w:hAnsi="Arial"/>
          <w:sz w:val="18"/>
          <w:szCs w:val="18"/>
          <w:color w:val="auto"/>
        </w:rPr>
        <w:t>These criteria are not intended to be exhaustive. Any evaluation relating to the merits of a particular initial business combination may be based, to the extent relevant, on these general guidelines as well as other considerations, factors and criteria that our management team may deem relevant. In the event that we decide to enter into our initial business combination with a target business that we believe does not meet the above criteria and guidelines, we will disclose that the target business does not meet the above criteria in our stockholder communications related to our initial business combination, which, as discussed in this prospectus, would be in the form of proxy materials or tender offer documents, as applicable, that we would file with the SEC.</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INITIAL BUSINESS COMBINATION</w:t>
      </w:r>
    </w:p>
    <w:p>
      <w:pPr>
        <w:spacing w:after="0" w:line="153" w:lineRule="exact"/>
        <w:rPr>
          <w:sz w:val="20"/>
          <w:szCs w:val="20"/>
          <w:color w:val="auto"/>
        </w:rPr>
      </w:pPr>
    </w:p>
    <w:p>
      <w:pPr>
        <w:ind w:left="540" w:right="579"/>
        <w:spacing w:after="0" w:line="236" w:lineRule="auto"/>
        <w:rPr>
          <w:sz w:val="20"/>
          <w:szCs w:val="20"/>
          <w:color w:val="auto"/>
        </w:rPr>
      </w:pPr>
      <w:r>
        <w:rPr>
          <w:rFonts w:ascii="Arial" w:cs="Arial" w:eastAsia="Arial" w:hAnsi="Arial"/>
          <w:sz w:val="18"/>
          <w:szCs w:val="18"/>
          <w:color w:val="auto"/>
        </w:rPr>
        <w:t>Nasdaq rules require that we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our signing a definitive agreement in connection with our initial business combination. Our board of directors will make the determination as to the fair market value of our initial business combination. If our board of directors is not able to independently determine the fair market value of our initial business combination, we will obtain an opinion from an independent investment banking firm which is a member of FINRA or a valuation or appraisal firm with respect to the satisfaction of such criteria. While we consider it unlikely that our board of directors will not be able to make an independent determination of the fair market value of our initial business combination, it may be unable to do so if it is less familiar or experienced with the business of a particular target or if there is a significant amount of uncertainty as to the value of the target’s assets or prospects.</w:t>
      </w:r>
    </w:p>
    <w:p>
      <w:pPr>
        <w:spacing w:after="0" w:line="135" w:lineRule="exact"/>
        <w:rPr>
          <w:sz w:val="20"/>
          <w:szCs w:val="20"/>
          <w:color w:val="auto"/>
        </w:rPr>
      </w:pPr>
    </w:p>
    <w:p>
      <w:pPr>
        <w:ind w:left="540" w:right="579"/>
        <w:spacing w:after="0" w:line="250" w:lineRule="auto"/>
        <w:rPr>
          <w:sz w:val="20"/>
          <w:szCs w:val="20"/>
          <w:color w:val="auto"/>
        </w:rPr>
      </w:pPr>
      <w:r>
        <w:rPr>
          <w:rFonts w:ascii="Arial" w:cs="Arial" w:eastAsia="Arial" w:hAnsi="Arial"/>
          <w:sz w:val="17"/>
          <w:szCs w:val="17"/>
          <w:color w:val="auto"/>
        </w:rPr>
        <w:t>We anticipate structuring our initial business combination so that the post-transaction company in which our public stockholders own shares will own or acquire 100% of the equity interests or assets of the target business or businesses. We may, however, structure our initial business combination such that the post-transaction company owns or acquires less than 100% of such interests or assets of the target business in order to meet certain objectives of the target management team or stockholders or for other reasons, but we will only complete such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of 1940, as amended, or the Investment Company Act. Even if the post-transaction company owns or acquires 50% or more of the voting securities of the target, our stockholders prior to the business combination may collectively own a minority interest in the post-transaction company, depending on valuations ascribed to the target and us in the business combination transaction. For example, we could pursue a transaction in which we issue a substantial number of new shares in exchange for</w:t>
      </w:r>
    </w:p>
    <w:p>
      <w:pPr>
        <w:sectPr>
          <w:pgSz w:w="11900" w:h="16838" w:orient="portrait"/>
          <w:cols w:equalWidth="0" w:num="1">
            <w:col w:w="9019"/>
          </w:cols>
          <w:pgMar w:left="1440" w:top="449"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449" w:right="1440" w:bottom="1440" w:gutter="0" w:footer="0" w:header="0"/>
          <w:type w:val="continuous"/>
        </w:sectPr>
      </w:pPr>
    </w:p>
    <w:bookmarkStart w:id="12" w:name="page13"/>
    <w:bookmarkEnd w:id="12"/>
    <w:p>
      <w:pPr>
        <w:ind w:left="540" w:right="759"/>
        <w:spacing w:after="0" w:line="24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7880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7310" cy="7880350"/>
                    </a:xfrm>
                    <a:prstGeom prst="rect">
                      <a:avLst/>
                    </a:prstGeom>
                    <a:noFill/>
                  </pic:spPr>
                </pic:pic>
              </a:graphicData>
            </a:graphic>
          </wp:anchor>
        </w:drawing>
        <w:t>all of the outstanding capital stock of a target. In this case, we would acquire a 100% controlling interest in the target. However, as a result of the issuance of a substantial number of new shares, our stockholders immediately prior to our initial business combination could own less than a majority of our outstanding shares subsequent to our initial business combination. If less than</w:t>
      </w:r>
    </w:p>
    <w:p>
      <w:pPr>
        <w:spacing w:after="0" w:line="2" w:lineRule="exact"/>
        <w:rPr>
          <w:sz w:val="20"/>
          <w:szCs w:val="20"/>
          <w:color w:val="auto"/>
        </w:rPr>
      </w:pPr>
    </w:p>
    <w:p>
      <w:pPr>
        <w:ind w:left="540" w:right="559"/>
        <w:spacing w:after="0" w:line="238" w:lineRule="auto"/>
        <w:rPr>
          <w:sz w:val="20"/>
          <w:szCs w:val="20"/>
          <w:color w:val="auto"/>
        </w:rPr>
      </w:pPr>
      <w:r>
        <w:rPr>
          <w:rFonts w:ascii="Arial" w:cs="Arial" w:eastAsia="Arial" w:hAnsi="Arial"/>
          <w:sz w:val="18"/>
          <w:szCs w:val="18"/>
          <w:color w:val="auto"/>
        </w:rPr>
        <w:t>100% of the equity interests or assets of a target business or businesses are owned or acquired by the post-transaction company, the portion of such business or businesses that is owned or acquired is what will be taken into account for purposes of the 80% of net assets test described above. If the business combination involves more than one target business, the 80% of net assets test will be based on the aggregate value of all of the target businesses.</w:t>
      </w:r>
    </w:p>
    <w:p>
      <w:pPr>
        <w:spacing w:after="0" w:line="135" w:lineRule="exact"/>
        <w:rPr>
          <w:sz w:val="20"/>
          <w:szCs w:val="20"/>
          <w:color w:val="auto"/>
        </w:rPr>
      </w:pPr>
    </w:p>
    <w:p>
      <w:pPr>
        <w:ind w:left="540" w:right="579"/>
        <w:spacing w:after="0" w:line="237" w:lineRule="auto"/>
        <w:rPr>
          <w:sz w:val="20"/>
          <w:szCs w:val="20"/>
          <w:color w:val="auto"/>
        </w:rPr>
      </w:pPr>
      <w:r>
        <w:rPr>
          <w:rFonts w:ascii="Arial" w:cs="Arial" w:eastAsia="Arial" w:hAnsi="Arial"/>
          <w:sz w:val="18"/>
          <w:szCs w:val="18"/>
          <w:color w:val="auto"/>
        </w:rPr>
        <w:t>Prior to the date of this prospectus, we will file a Registration Statement on Form 8-A with the SEC to voluntarily register our securities under Section 12 of the Securities Exchange Act of 1934, as amended, or the Exchange Act. As a result, we will be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SOURCING OF POTENTIAL INITIAL BUSINESS COMBINATION TARGETS</w:t>
      </w:r>
    </w:p>
    <w:p>
      <w:pPr>
        <w:spacing w:after="0" w:line="166" w:lineRule="exact"/>
        <w:rPr>
          <w:sz w:val="20"/>
          <w:szCs w:val="20"/>
          <w:color w:val="auto"/>
        </w:rPr>
      </w:pPr>
    </w:p>
    <w:p>
      <w:pPr>
        <w:ind w:left="540" w:right="579"/>
        <w:spacing w:after="0" w:line="236" w:lineRule="auto"/>
        <w:rPr>
          <w:sz w:val="20"/>
          <w:szCs w:val="20"/>
          <w:color w:val="auto"/>
        </w:rPr>
      </w:pPr>
      <w:r>
        <w:rPr>
          <w:rFonts w:ascii="Arial" w:cs="Arial" w:eastAsia="Arial" w:hAnsi="Arial"/>
          <w:sz w:val="18"/>
          <w:szCs w:val="18"/>
          <w:color w:val="auto"/>
        </w:rPr>
        <w:t>We are not prohibited from pursuing an initial business combination with a company that is affiliated with our sponsor, executive officers or directors, or completing the business combination through a joint venture or other form of shared ownership with our sponsor, executive officers or directors. In the event we seek to complete an initial business combination with a target that is affiliated with our sponsor, executive officers or directors, we, or a committee of independent directors, would obtain an opinion from an independent investment banking firm which is a member of FINRA or a valuation or appraisal firm stating that such an initial business combination is fair to our company from a financial point of view. Our amended and restated certificate of incorporation provides that a target will not be deemed an affiliate solely by virtue of ownership by our sponsor or its affiliates, or any of their or our executive officers or directors, of less than 10% of its common stock, individually or in the aggregate.</w:t>
      </w:r>
    </w:p>
    <w:p>
      <w:pPr>
        <w:spacing w:after="0" w:line="124" w:lineRule="exact"/>
        <w:rPr>
          <w:sz w:val="20"/>
          <w:szCs w:val="20"/>
          <w:color w:val="auto"/>
        </w:rPr>
      </w:pPr>
    </w:p>
    <w:p>
      <w:pPr>
        <w:ind w:left="540" w:right="659"/>
        <w:spacing w:after="0" w:line="237" w:lineRule="auto"/>
        <w:rPr>
          <w:sz w:val="20"/>
          <w:szCs w:val="20"/>
          <w:color w:val="auto"/>
        </w:rPr>
      </w:pPr>
      <w:r>
        <w:rPr>
          <w:rFonts w:ascii="Arial" w:cs="Arial" w:eastAsia="Arial" w:hAnsi="Arial"/>
          <w:sz w:val="18"/>
          <w:szCs w:val="18"/>
          <w:color w:val="auto"/>
        </w:rPr>
        <w:t>Members of our management team and our independent directors will directly or indirectly own founder shares and/or private placement warrants following this offering and, accordingly,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135" w:lineRule="exact"/>
        <w:rPr>
          <w:sz w:val="20"/>
          <w:szCs w:val="20"/>
          <w:color w:val="auto"/>
        </w:rPr>
      </w:pPr>
    </w:p>
    <w:p>
      <w:pPr>
        <w:ind w:left="540" w:right="619"/>
        <w:spacing w:after="0" w:line="235" w:lineRule="auto"/>
        <w:rPr>
          <w:sz w:val="20"/>
          <w:szCs w:val="20"/>
          <w:color w:val="auto"/>
        </w:rPr>
      </w:pPr>
      <w:r>
        <w:rPr>
          <w:rFonts w:ascii="Arial" w:cs="Arial" w:eastAsia="Arial" w:hAnsi="Arial"/>
          <w:sz w:val="18"/>
          <w:szCs w:val="18"/>
          <w:color w:val="auto"/>
        </w:rPr>
        <w:t>Each of our officers and directors presently has, and any of them in the future may have additional, fiduciary or contractual obligations to another entity pursuant to which such officer or director is or will be required to present a business combination opportunity to such entity. Accordingly, if any of our officers or directors becomes aware of a business combination opportunity which is suitable for an entity to which he or she has then current fiduciary or contractual obligations, he or she will honor his or her fiduciary or contractual obligations to present such business combination opportunity to such other entity. Our amended and restated certificate of incorporation will provide that we renounce our interest in any corporate opportunity offered to any director or officer unless such opportunity is expressly offered to such person solely in his or her capacity as a director or officer of the company and such opportunity is one we are legally and contractually permitted to undertake and would otherwise be reasonable for us to pursue, and to the extent the director or officer is permitted to refer that opportunity to us without violating another legal obligation. We do not believe, however, that the fiduciary duties or contractual obligations of our officers or directors will materially affect our ability to complete our initial business combination.</w:t>
      </w:r>
    </w:p>
    <w:p>
      <w:pPr>
        <w:spacing w:after="0" w:line="146" w:lineRule="exact"/>
        <w:rPr>
          <w:sz w:val="20"/>
          <w:szCs w:val="20"/>
          <w:color w:val="auto"/>
        </w:rPr>
      </w:pPr>
    </w:p>
    <w:p>
      <w:pPr>
        <w:ind w:left="540" w:right="699"/>
        <w:spacing w:after="0" w:line="237" w:lineRule="auto"/>
        <w:rPr>
          <w:sz w:val="20"/>
          <w:szCs w:val="20"/>
          <w:color w:val="auto"/>
        </w:rPr>
      </w:pPr>
      <w:r>
        <w:rPr>
          <w:rFonts w:ascii="Arial" w:cs="Arial" w:eastAsia="Arial" w:hAnsi="Arial"/>
          <w:sz w:val="18"/>
          <w:szCs w:val="18"/>
          <w:color w:val="auto"/>
        </w:rPr>
        <w:t>In addition, our sponsor and our officers and directors may sponsor or form other special purpose acquisition companies similar to ours or may pursue other business or investment ventures during the period in which we are seeking an initial business combination. Any such companies, businesses or investments may present additional conflicts of interest in pursuing an initial business combination. However, we do not believe that any such potential conflicts would materially affect our ability to complete our initial business combination.</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76" w:right="1440"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5222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7310" cy="5222875"/>
                    </a:xfrm>
                    <a:prstGeom prst="rect">
                      <a:avLst/>
                    </a:prstGeom>
                    <a:noFill/>
                  </pic:spPr>
                </pic:pic>
              </a:graphicData>
            </a:graphic>
          </wp:anchor>
        </w:drawing>
        <w:t>CORPORATE INFORMATION</w:t>
      </w:r>
    </w:p>
    <w:p>
      <w:pPr>
        <w:spacing w:after="0" w:line="153" w:lineRule="exact"/>
        <w:rPr>
          <w:sz w:val="20"/>
          <w:szCs w:val="20"/>
          <w:color w:val="auto"/>
        </w:rPr>
      </w:pPr>
    </w:p>
    <w:p>
      <w:pPr>
        <w:ind w:left="540" w:right="839"/>
        <w:spacing w:after="0" w:line="230" w:lineRule="auto"/>
        <w:rPr>
          <w:sz w:val="20"/>
          <w:szCs w:val="20"/>
          <w:color w:val="auto"/>
        </w:rPr>
      </w:pPr>
      <w:r>
        <w:rPr>
          <w:rFonts w:ascii="Arial" w:cs="Arial" w:eastAsia="Arial" w:hAnsi="Arial"/>
          <w:sz w:val="18"/>
          <w:szCs w:val="18"/>
          <w:color w:val="auto"/>
        </w:rPr>
        <w:t>Our executive offices are located at 667 Madison Avenue, 2</w:t>
      </w:r>
      <w:r>
        <w:rPr>
          <w:rFonts w:ascii="Arial" w:cs="Arial" w:eastAsia="Arial" w:hAnsi="Arial"/>
          <w:sz w:val="20"/>
          <w:szCs w:val="20"/>
          <w:color w:val="auto"/>
          <w:vertAlign w:val="superscript"/>
        </w:rPr>
        <w:t>nd</w:t>
      </w:r>
      <w:r>
        <w:rPr>
          <w:rFonts w:ascii="Arial" w:cs="Arial" w:eastAsia="Arial" w:hAnsi="Arial"/>
          <w:sz w:val="18"/>
          <w:szCs w:val="18"/>
          <w:color w:val="auto"/>
        </w:rPr>
        <w:t xml:space="preserve"> Floor, New York, New York 10065, and our telephone number is (212) 474-6745.</w:t>
      </w:r>
    </w:p>
    <w:p>
      <w:pPr>
        <w:spacing w:after="0" w:line="135" w:lineRule="exact"/>
        <w:rPr>
          <w:sz w:val="20"/>
          <w:szCs w:val="20"/>
          <w:color w:val="auto"/>
        </w:rPr>
      </w:pPr>
    </w:p>
    <w:p>
      <w:pPr>
        <w:ind w:left="540" w:right="559"/>
        <w:spacing w:after="0" w:line="236" w:lineRule="auto"/>
        <w:rPr>
          <w:sz w:val="20"/>
          <w:szCs w:val="20"/>
          <w:color w:val="auto"/>
        </w:rPr>
      </w:pPr>
      <w:r>
        <w:rPr>
          <w:rFonts w:ascii="Arial" w:cs="Arial" w:eastAsia="Arial" w:hAnsi="Arial"/>
          <w:sz w:val="18"/>
          <w:szCs w:val="18"/>
          <w:color w:val="auto"/>
        </w:rPr>
        <w:t>We are an “emerging growth company,” as defined in Section 2(a) of the Securities Act, as modified by the Jumpstart Our Business Startups Act of 2012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37" w:lineRule="exact"/>
        <w:rPr>
          <w:sz w:val="20"/>
          <w:szCs w:val="20"/>
          <w:color w:val="auto"/>
        </w:rPr>
      </w:pPr>
    </w:p>
    <w:p>
      <w:pPr>
        <w:ind w:left="540" w:right="559"/>
        <w:spacing w:after="0" w:line="237"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will remain an emerging growth company until the earlier of (1) the last day of the fiscal year</w:t>
      </w:r>
    </w:p>
    <w:p>
      <w:pPr>
        <w:ind w:left="540" w:right="559" w:firstLine="4"/>
        <w:spacing w:after="0" w:line="237" w:lineRule="auto"/>
        <w:tabs>
          <w:tab w:leader="none" w:pos="81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following the fifth anniversary of the completion of this offering, (b) in which we have total annual gross revenue of at least $1.07 billion, or (c) in which we are deemed to be a large accelerated filer, which means the market value of our Class A common stock that is held by non-affiliates exceeds $700 million as of the prior June 30, and (2) the date on which we have issued more than $1.0 billion in non-convertible debt securities during the prior three-year period. References herein to “emerging growth company” will have the meaning associated with it in the JOBS Act.</w:t>
      </w:r>
    </w:p>
    <w:p>
      <w:pPr>
        <w:spacing w:after="0" w:line="137" w:lineRule="exact"/>
        <w:rPr>
          <w:sz w:val="20"/>
          <w:szCs w:val="20"/>
          <w:color w:val="auto"/>
        </w:rPr>
      </w:pPr>
    </w:p>
    <w:p>
      <w:pPr>
        <w:ind w:left="540" w:right="719"/>
        <w:spacing w:after="0" w:line="242" w:lineRule="auto"/>
        <w:rPr>
          <w:sz w:val="20"/>
          <w:szCs w:val="20"/>
          <w:color w:val="auto"/>
        </w:rPr>
      </w:pPr>
      <w:r>
        <w:rPr>
          <w:rFonts w:ascii="Arial" w:cs="Arial" w:eastAsia="Arial" w:hAnsi="Arial"/>
          <w:sz w:val="17"/>
          <w:szCs w:val="17"/>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exceeds $250 million as of the prior June 30</w:t>
      </w:r>
      <w:r>
        <w:rPr>
          <w:rFonts w:ascii="Arial" w:cs="Arial" w:eastAsia="Arial" w:hAnsi="Arial"/>
          <w:sz w:val="19"/>
          <w:szCs w:val="19"/>
          <w:color w:val="auto"/>
          <w:vertAlign w:val="superscript"/>
        </w:rPr>
        <w:t>th</w:t>
      </w:r>
      <w:r>
        <w:rPr>
          <w:rFonts w:ascii="Arial" w:cs="Arial" w:eastAsia="Arial" w:hAnsi="Arial"/>
          <w:sz w:val="17"/>
          <w:szCs w:val="17"/>
          <w:color w:val="auto"/>
        </w:rPr>
        <w:t>, or</w:t>
      </w:r>
    </w:p>
    <w:p>
      <w:pPr>
        <w:spacing w:after="0" w:line="4" w:lineRule="exact"/>
        <w:rPr>
          <w:sz w:val="20"/>
          <w:szCs w:val="20"/>
          <w:color w:val="auto"/>
        </w:rPr>
      </w:pPr>
    </w:p>
    <w:p>
      <w:pPr>
        <w:ind w:left="540" w:right="759" w:firstLine="4"/>
        <w:spacing w:after="0" w:line="274" w:lineRule="auto"/>
        <w:tabs>
          <w:tab w:leader="none" w:pos="81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annual revenues exceeded $100 million during such completed fiscal year and the market value of our common stock held by non-affiliates exceeds $700 million as of the prior June 30.</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35" w:right="1440"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90030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7310" cy="9003030"/>
                    </a:xfrm>
                    <a:prstGeom prst="rect">
                      <a:avLst/>
                    </a:prstGeom>
                    <a:noFill/>
                  </pic:spPr>
                </pic:pic>
              </a:graphicData>
            </a:graphic>
          </wp:anchor>
        </w:drawing>
        <w:t>THE OFFERING</w:t>
      </w:r>
    </w:p>
    <w:p>
      <w:pPr>
        <w:spacing w:after="0" w:line="153" w:lineRule="exact"/>
        <w:rPr>
          <w:sz w:val="20"/>
          <w:szCs w:val="20"/>
          <w:color w:val="auto"/>
        </w:rPr>
      </w:pPr>
    </w:p>
    <w:p>
      <w:pPr>
        <w:ind w:left="540" w:right="579"/>
        <w:spacing w:after="0" w:line="237" w:lineRule="auto"/>
        <w:rPr>
          <w:sz w:val="20"/>
          <w:szCs w:val="20"/>
          <w:color w:val="auto"/>
        </w:rPr>
      </w:pPr>
      <w:r>
        <w:rPr>
          <w:rFonts w:ascii="Arial" w:cs="Arial" w:eastAsia="Arial" w:hAnsi="Arial"/>
          <w:sz w:val="18"/>
          <w:szCs w:val="18"/>
          <w:color w:val="auto"/>
        </w:rPr>
        <w:t>In making your decision on whether to invest in our securities, you should take into account not only the backgrounds of the members of our management team, but also the special risks we face as a blank check company and the fact that this offering is not being conducted in compliance with Rule 419 promulgated under the Securities Act. You will not be entitled to protections normally afforded to investors in Rule 419 blank check offerings. You should carefully consider these and the other risks set forth in the section below entitled “Risk Factors” in this prospectus.</w:t>
      </w:r>
    </w:p>
    <w:p>
      <w:pPr>
        <w:sectPr>
          <w:pgSz w:w="11900" w:h="16838" w:orient="portrait"/>
          <w:cols w:equalWidth="0" w:num="1">
            <w:col w:w="9019"/>
          </w:cols>
          <w:pgMar w:left="1440" w:top="535" w:right="1440" w:bottom="1440" w:gutter="0" w:footer="0" w:header="0"/>
        </w:sectPr>
      </w:pPr>
    </w:p>
    <w:p>
      <w:pPr>
        <w:spacing w:after="0" w:line="31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Securities offered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Proposed Nasdaq symbols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720" w:right="320" w:hanging="179"/>
        <w:spacing w:after="0"/>
        <w:rPr>
          <w:sz w:val="20"/>
          <w:szCs w:val="20"/>
          <w:color w:val="auto"/>
        </w:rPr>
      </w:pPr>
      <w:r>
        <w:rPr>
          <w:rFonts w:ascii="Arial" w:cs="Arial" w:eastAsia="Arial" w:hAnsi="Arial"/>
          <w:sz w:val="18"/>
          <w:szCs w:val="18"/>
          <w:color w:val="auto"/>
        </w:rPr>
        <w:t>Trading commencement and separation of shares of Class A common stock and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720" w:hanging="179"/>
        <w:spacing w:after="0"/>
        <w:rPr>
          <w:sz w:val="20"/>
          <w:szCs w:val="20"/>
          <w:color w:val="auto"/>
        </w:rPr>
      </w:pPr>
      <w:r>
        <w:rPr>
          <w:rFonts w:ascii="Arial" w:cs="Arial" w:eastAsia="Arial" w:hAnsi="Arial"/>
          <w:sz w:val="18"/>
          <w:szCs w:val="18"/>
          <w:color w:val="auto"/>
        </w:rPr>
        <w:t>Separate trading of the Class A common stock and warrants is prohibited until we have filed a Current Report on Form 8-K</w: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ind w:right="559"/>
        <w:spacing w:after="0"/>
        <w:rPr>
          <w:sz w:val="20"/>
          <w:szCs w:val="20"/>
          <w:color w:val="auto"/>
        </w:rPr>
      </w:pPr>
      <w:r>
        <w:rPr>
          <w:rFonts w:ascii="Arial" w:cs="Arial" w:eastAsia="Arial" w:hAnsi="Arial"/>
          <w:sz w:val="18"/>
          <w:szCs w:val="18"/>
          <w:color w:val="auto"/>
        </w:rPr>
        <w:t>35,000,000 units (or 40,250,000 units if the underwriter’s over-allotment option is exercised in full), at $10.00 per unit, each unit consisting of:</w:t>
      </w:r>
    </w:p>
    <w:p>
      <w:pPr>
        <w:spacing w:after="0" w:line="176" w:lineRule="exact"/>
        <w:rPr>
          <w:sz w:val="20"/>
          <w:szCs w:val="20"/>
          <w:color w:val="auto"/>
        </w:rPr>
      </w:pPr>
    </w:p>
    <w:p>
      <w:pPr>
        <w:ind w:left="420" w:hanging="205"/>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one share of Class A common stock; and</w:t>
      </w:r>
    </w:p>
    <w:p>
      <w:pPr>
        <w:spacing w:after="0" w:line="184" w:lineRule="exact"/>
        <w:rPr>
          <w:rFonts w:ascii="Arial" w:cs="Arial" w:eastAsia="Arial" w:hAnsi="Arial"/>
          <w:sz w:val="18"/>
          <w:szCs w:val="18"/>
          <w:color w:val="auto"/>
        </w:rPr>
      </w:pPr>
    </w:p>
    <w:p>
      <w:pPr>
        <w:ind w:right="1139" w:firstLine="215"/>
        <w:spacing w:after="0" w:line="453" w:lineRule="auto"/>
        <w:tabs>
          <w:tab w:leader="none" w:pos="429" w:val="left"/>
        </w:tabs>
        <w:numPr>
          <w:ilvl w:val="0"/>
          <w:numId w:val="8"/>
        </w:numPr>
        <w:rPr>
          <w:rFonts w:ascii="Arial" w:cs="Arial" w:eastAsia="Arial" w:hAnsi="Arial"/>
          <w:sz w:val="18"/>
          <w:szCs w:val="18"/>
          <w:color w:val="auto"/>
        </w:rPr>
      </w:pPr>
      <w:r>
        <w:rPr>
          <w:rFonts w:ascii="Arial" w:cs="Arial" w:eastAsia="Arial" w:hAnsi="Arial"/>
          <w:sz w:val="18"/>
          <w:szCs w:val="18"/>
          <w:color w:val="auto"/>
        </w:rPr>
        <w:t>one-third of one redeemable warrant. Units: “CMLFU”</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Class A common stock: “CMLF”</w:t>
      </w:r>
    </w:p>
    <w:p>
      <w:pPr>
        <w:spacing w:after="0" w:line="18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Warrants: “CMLFW”</w:t>
      </w:r>
    </w:p>
    <w:p>
      <w:pPr>
        <w:spacing w:after="0" w:line="200" w:lineRule="exact"/>
        <w:rPr>
          <w:sz w:val="20"/>
          <w:szCs w:val="20"/>
          <w:color w:val="auto"/>
        </w:rPr>
      </w:pPr>
    </w:p>
    <w:p>
      <w:pPr>
        <w:spacing w:after="0" w:line="390" w:lineRule="exact"/>
        <w:rPr>
          <w:sz w:val="20"/>
          <w:szCs w:val="20"/>
          <w:color w:val="auto"/>
        </w:rPr>
      </w:pPr>
    </w:p>
    <w:p>
      <w:pPr>
        <w:ind w:right="579"/>
        <w:spacing w:after="0" w:line="234" w:lineRule="auto"/>
        <w:rPr>
          <w:sz w:val="20"/>
          <w:szCs w:val="20"/>
          <w:color w:val="auto"/>
        </w:rPr>
      </w:pPr>
      <w:r>
        <w:rPr>
          <w:rFonts w:ascii="Arial" w:cs="Arial" w:eastAsia="Arial" w:hAnsi="Arial"/>
          <w:sz w:val="18"/>
          <w:szCs w:val="18"/>
          <w:color w:val="auto"/>
        </w:rPr>
        <w:t>The units are expected to begin trading on or promptly after the date of this prospectus</w:t>
      </w:r>
      <w:r>
        <w:rPr>
          <w:rFonts w:ascii="Arial" w:cs="Arial" w:eastAsia="Arial" w:hAnsi="Arial"/>
          <w:sz w:val="18"/>
          <w:szCs w:val="18"/>
          <w:i w:val="1"/>
          <w:iCs w:val="1"/>
          <w:color w:val="auto"/>
        </w:rPr>
        <w:t>.</w:t>
      </w:r>
      <w:r>
        <w:rPr>
          <w:rFonts w:ascii="Arial" w:cs="Arial" w:eastAsia="Arial" w:hAnsi="Arial"/>
          <w:sz w:val="18"/>
          <w:szCs w:val="18"/>
          <w:color w:val="auto"/>
        </w:rPr>
        <w:t xml:space="preserve"> The shares of Class A common stock and warrants comprising the units will begin separate trading on the 52</w:t>
      </w:r>
      <w:r>
        <w:rPr>
          <w:rFonts w:ascii="Arial" w:cs="Arial" w:eastAsia="Arial" w:hAnsi="Arial"/>
          <w:sz w:val="20"/>
          <w:szCs w:val="20"/>
          <w:color w:val="auto"/>
          <w:vertAlign w:val="superscript"/>
        </w:rPr>
        <w:t>nd</w:t>
      </w:r>
      <w:r>
        <w:rPr>
          <w:rFonts w:ascii="Arial" w:cs="Arial" w:eastAsia="Arial" w:hAnsi="Arial"/>
          <w:sz w:val="18"/>
          <w:szCs w:val="18"/>
          <w:color w:val="auto"/>
        </w:rPr>
        <w:t xml:space="preserve"> day following the date of this prospectus unless Jefferies LLC informs us of its decision to allow earlier separate trading, subject to our having filed the Current Report on Form 8-K described below and having issued a press release announcing when such separate trading will begin</w:t>
      </w:r>
      <w:r>
        <w:rPr>
          <w:rFonts w:ascii="Arial" w:cs="Arial" w:eastAsia="Arial" w:hAnsi="Arial"/>
          <w:sz w:val="18"/>
          <w:szCs w:val="18"/>
          <w:i w:val="1"/>
          <w:iCs w:val="1"/>
          <w:color w:val="auto"/>
        </w:rPr>
        <w:t>.</w:t>
      </w:r>
      <w:r>
        <w:rPr>
          <w:rFonts w:ascii="Arial" w:cs="Arial" w:eastAsia="Arial" w:hAnsi="Arial"/>
          <w:sz w:val="18"/>
          <w:szCs w:val="18"/>
          <w:color w:val="auto"/>
        </w:rPr>
        <w:t xml:space="preserve"> Once the shares of Class A common stock and warrants commence separate trading, holders will have the option to continue to hold units or separate their units into the component securities</w:t>
      </w:r>
      <w:r>
        <w:rPr>
          <w:rFonts w:ascii="Arial" w:cs="Arial" w:eastAsia="Arial" w:hAnsi="Arial"/>
          <w:sz w:val="18"/>
          <w:szCs w:val="18"/>
          <w:i w:val="1"/>
          <w:iCs w:val="1"/>
          <w:color w:val="auto"/>
        </w:rPr>
        <w:t>.</w:t>
      </w:r>
      <w:r>
        <w:rPr>
          <w:rFonts w:ascii="Arial" w:cs="Arial" w:eastAsia="Arial" w:hAnsi="Arial"/>
          <w:sz w:val="18"/>
          <w:szCs w:val="18"/>
          <w:color w:val="auto"/>
        </w:rPr>
        <w:t xml:space="preserve"> Holders will need to have their brokers contact our transfer agent in order to separate the units into shares of Class A common stock and warrants</w:t>
      </w:r>
      <w:r>
        <w:rPr>
          <w:rFonts w:ascii="Arial" w:cs="Arial" w:eastAsia="Arial" w:hAnsi="Arial"/>
          <w:sz w:val="18"/>
          <w:szCs w:val="18"/>
          <w:i w:val="1"/>
          <w:iCs w:val="1"/>
          <w:color w:val="auto"/>
        </w:rPr>
        <w:t>.</w:t>
      </w:r>
      <w:r>
        <w:rPr>
          <w:rFonts w:ascii="Arial" w:cs="Arial" w:eastAsia="Arial" w:hAnsi="Arial"/>
          <w:sz w:val="18"/>
          <w:szCs w:val="18"/>
          <w:color w:val="auto"/>
        </w:rPr>
        <w:t xml:space="preserve"> No fractional warrants will be issued upon separation of the units and only whole warrants will trade</w:t>
      </w:r>
      <w:r>
        <w:rPr>
          <w:rFonts w:ascii="Arial" w:cs="Arial" w:eastAsia="Arial" w:hAnsi="Arial"/>
          <w:sz w:val="18"/>
          <w:szCs w:val="18"/>
          <w:i w:val="1"/>
          <w:iCs w:val="1"/>
          <w:color w:val="auto"/>
        </w:rPr>
        <w:t>.</w:t>
      </w:r>
      <w:r>
        <w:rPr>
          <w:rFonts w:ascii="Arial" w:cs="Arial" w:eastAsia="Arial" w:hAnsi="Arial"/>
          <w:sz w:val="18"/>
          <w:szCs w:val="18"/>
          <w:color w:val="auto"/>
        </w:rPr>
        <w:t xml:space="preserve"> Accordingly, unless you purchase at least three units, you will not be able to receive or trade a whole warrant.</w:t>
      </w:r>
    </w:p>
    <w:p>
      <w:pPr>
        <w:spacing w:after="0" w:line="200" w:lineRule="exact"/>
        <w:rPr>
          <w:sz w:val="20"/>
          <w:szCs w:val="20"/>
          <w:color w:val="auto"/>
        </w:rPr>
      </w:pPr>
    </w:p>
    <w:p>
      <w:pPr>
        <w:spacing w:after="0" w:line="387" w:lineRule="exact"/>
        <w:rPr>
          <w:sz w:val="20"/>
          <w:szCs w:val="20"/>
          <w:color w:val="auto"/>
        </w:rPr>
      </w:pPr>
    </w:p>
    <w:p>
      <w:pPr>
        <w:ind w:right="599"/>
        <w:spacing w:after="0" w:line="235" w:lineRule="auto"/>
        <w:rPr>
          <w:sz w:val="20"/>
          <w:szCs w:val="20"/>
          <w:color w:val="auto"/>
        </w:rPr>
      </w:pPr>
      <w:r>
        <w:rPr>
          <w:rFonts w:ascii="Arial" w:cs="Arial" w:eastAsia="Arial" w:hAnsi="Arial"/>
          <w:sz w:val="18"/>
          <w:szCs w:val="18"/>
          <w:color w:val="auto"/>
        </w:rPr>
        <w:t>In no event will the Class A common stock and warrants be traded separately until we have filed with the SEC a Current Report on Form 8-K which includes an audited balance sheet reflecting our receipt of the gross proceeds at the closing of this offering</w:t>
      </w:r>
      <w:r>
        <w:rPr>
          <w:rFonts w:ascii="Arial" w:cs="Arial" w:eastAsia="Arial" w:hAnsi="Arial"/>
          <w:sz w:val="18"/>
          <w:szCs w:val="18"/>
          <w:i w:val="1"/>
          <w:iCs w:val="1"/>
          <w:color w:val="auto"/>
        </w:rPr>
        <w:t>.</w:t>
      </w:r>
      <w:r>
        <w:rPr>
          <w:rFonts w:ascii="Arial" w:cs="Arial" w:eastAsia="Arial" w:hAnsi="Arial"/>
          <w:sz w:val="18"/>
          <w:szCs w:val="18"/>
          <w:color w:val="auto"/>
        </w:rPr>
        <w:t xml:space="preserve"> We will file the Current Report on Form 8-K promptly after the closing of this offering, which closing is anticipated to take place three business days from the date of this prospectus</w:t>
      </w:r>
      <w:r>
        <w:rPr>
          <w:rFonts w:ascii="Arial" w:cs="Arial" w:eastAsia="Arial" w:hAnsi="Arial"/>
          <w:sz w:val="18"/>
          <w:szCs w:val="18"/>
          <w:i w:val="1"/>
          <w:iCs w:val="1"/>
          <w:color w:val="auto"/>
        </w:rPr>
        <w:t>.</w:t>
      </w:r>
      <w:r>
        <w:rPr>
          <w:rFonts w:ascii="Arial" w:cs="Arial" w:eastAsia="Arial" w:hAnsi="Arial"/>
          <w:sz w:val="18"/>
          <w:szCs w:val="18"/>
          <w:color w:val="auto"/>
        </w:rPr>
        <w:t xml:space="preserve"> If the underwriters’ over-allotment option is exercised following the initial filing of such Current Report on Form 8-K, a second or amended Current Report on Form 8-K will be filed to provide updated financial information to reflect the exercise of the underwriters’ over-allotment option.</w:t>
      </w:r>
    </w:p>
    <w:p>
      <w:pPr>
        <w:spacing w:after="0" w:line="200" w:lineRule="exact"/>
        <w:rPr>
          <w:sz w:val="20"/>
          <w:szCs w:val="20"/>
          <w:color w:val="auto"/>
        </w:rPr>
      </w:pPr>
    </w:p>
    <w:p>
      <w:pPr>
        <w:sectPr>
          <w:pgSz w:w="11900" w:h="16838" w:orient="portrait"/>
          <w:cols w:equalWidth="0" w:num="2">
            <w:col w:w="4240" w:space="260"/>
            <w:col w:w="4519"/>
          </w:cols>
          <w:pgMar w:left="1440" w:top="535" w:right="1440" w:bottom="1440" w:gutter="0" w:footer="0" w:header="0"/>
          <w:type w:val="continuous"/>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35" w:right="1440" w:bottom="1440" w:gutter="0" w:footer="0" w:header="0"/>
          <w:type w:val="continuous"/>
        </w:sectPr>
      </w:pPr>
    </w:p>
    <w:bookmarkStart w:id="15" w:name="page16"/>
    <w:bookmarkEnd w:id="15"/>
    <w:tbl>
      <w:tblPr>
        <w:tblLayout w:type="fixed"/>
        <w:tblInd w:w="540" w:type="dxa"/>
        <w:tblCellMar>
          <w:top w:w="0" w:type="dxa"/>
          <w:left w:w="0" w:type="dxa"/>
          <w:bottom w:w="0" w:type="dxa"/>
          <w:right w:w="0" w:type="dxa"/>
        </w:tblCellMar>
      </w:tblPr>
      <w:tr>
        <w:trPr>
          <w:trHeight w:val="217"/>
        </w:trPr>
        <w:tc>
          <w:tcPr>
            <w:tcW w:w="3420" w:type="dxa"/>
            <w:vAlign w:val="bottom"/>
          </w:tcPr>
          <w:p>
            <w:pPr>
              <w:spacing w:after="0"/>
              <w:rPr>
                <w:sz w:val="20"/>
                <w:szCs w:val="20"/>
                <w:color w:val="auto"/>
              </w:rPr>
            </w:pPr>
            <w:r>
              <w:rPr>
                <w:rFonts w:ascii="Arial" w:cs="Arial" w:eastAsia="Arial" w:hAnsi="Arial"/>
                <w:sz w:val="18"/>
                <w:szCs w:val="18"/>
                <w:color w:val="auto"/>
              </w:rPr>
              <w:t>Units:</w:t>
            </w:r>
          </w:p>
        </w:tc>
        <w:tc>
          <w:tcPr>
            <w:tcW w:w="1300" w:type="dxa"/>
            <w:vAlign w:val="bottom"/>
          </w:tcPr>
          <w:p>
            <w:pPr>
              <w:spacing w:after="0"/>
              <w:rPr>
                <w:sz w:val="18"/>
                <w:szCs w:val="18"/>
                <w:color w:val="auto"/>
              </w:rPr>
            </w:pPr>
          </w:p>
        </w:tc>
      </w:tr>
      <w:tr>
        <w:trPr>
          <w:trHeight w:val="432"/>
        </w:trPr>
        <w:tc>
          <w:tcPr>
            <w:tcW w:w="3420" w:type="dxa"/>
            <w:vAlign w:val="bottom"/>
          </w:tcPr>
          <w:p>
            <w:pPr>
              <w:spacing w:after="0"/>
              <w:rPr>
                <w:sz w:val="20"/>
                <w:szCs w:val="20"/>
                <w:color w:val="auto"/>
              </w:rPr>
            </w:pPr>
            <w:r>
              <w:rPr>
                <w:rFonts w:ascii="Arial" w:cs="Arial" w:eastAsia="Arial" w:hAnsi="Arial"/>
                <w:sz w:val="18"/>
                <w:szCs w:val="18"/>
                <w:color w:val="auto"/>
              </w:rPr>
              <w:t>Number outstanding before this offering</w:t>
            </w:r>
          </w:p>
        </w:tc>
        <w:tc>
          <w:tcPr>
            <w:tcW w:w="1300" w:type="dxa"/>
            <w:vAlign w:val="bottom"/>
          </w:tcPr>
          <w:p>
            <w:pPr>
              <w:ind w:left="260"/>
              <w:spacing w:after="0"/>
              <w:rPr>
                <w:sz w:val="20"/>
                <w:szCs w:val="20"/>
                <w:color w:val="auto"/>
              </w:rPr>
            </w:pPr>
            <w:r>
              <w:rPr>
                <w:rFonts w:ascii="Arial" w:cs="Arial" w:eastAsia="Arial" w:hAnsi="Arial"/>
                <w:sz w:val="18"/>
                <w:szCs w:val="18"/>
                <w:color w:val="auto"/>
              </w:rPr>
              <w:t>0</w:t>
            </w:r>
          </w:p>
        </w:tc>
      </w:tr>
      <w:tr>
        <w:trPr>
          <w:trHeight w:val="442"/>
        </w:trPr>
        <w:tc>
          <w:tcPr>
            <w:tcW w:w="3420" w:type="dxa"/>
            <w:vAlign w:val="bottom"/>
          </w:tcPr>
          <w:p>
            <w:pPr>
              <w:spacing w:after="0"/>
              <w:rPr>
                <w:sz w:val="20"/>
                <w:szCs w:val="20"/>
                <w:color w:val="auto"/>
              </w:rPr>
            </w:pPr>
            <w:r>
              <w:rPr>
                <w:rFonts w:ascii="Arial" w:cs="Arial" w:eastAsia="Arial" w:hAnsi="Arial"/>
                <w:sz w:val="18"/>
                <w:szCs w:val="18"/>
                <w:color w:val="auto"/>
              </w:rPr>
              <w:t>Number outstanding after this offering</w:t>
            </w:r>
          </w:p>
        </w:tc>
        <w:tc>
          <w:tcPr>
            <w:tcW w:w="1300" w:type="dxa"/>
            <w:vAlign w:val="bottom"/>
          </w:tcPr>
          <w:p>
            <w:pPr>
              <w:ind w:left="260"/>
              <w:spacing w:after="0"/>
              <w:rPr>
                <w:sz w:val="20"/>
                <w:szCs w:val="20"/>
                <w:color w:val="auto"/>
              </w:rPr>
            </w:pPr>
            <w:r>
              <w:rPr>
                <w:rFonts w:ascii="Arial" w:cs="Arial" w:eastAsia="Arial" w:hAnsi="Arial"/>
                <w:sz w:val="18"/>
                <w:szCs w:val="18"/>
                <w:color w:val="auto"/>
                <w:w w:val="95"/>
              </w:rPr>
              <w:t>35,000,000</w:t>
            </w:r>
            <w:r>
              <w:rPr>
                <w:rFonts w:ascii="Arial" w:cs="Arial" w:eastAsia="Arial" w:hAnsi="Arial"/>
                <w:sz w:val="20"/>
                <w:szCs w:val="20"/>
                <w:color w:val="auto"/>
                <w:w w:val="95"/>
                <w:vertAlign w:val="superscript"/>
              </w:rPr>
              <w:t>(1)</w:t>
            </w:r>
          </w:p>
        </w:tc>
      </w:tr>
      <w:tr>
        <w:trPr>
          <w:trHeight w:val="341"/>
        </w:trPr>
        <w:tc>
          <w:tcPr>
            <w:tcW w:w="3420" w:type="dxa"/>
            <w:vAlign w:val="bottom"/>
          </w:tcPr>
          <w:p>
            <w:pPr>
              <w:spacing w:after="0"/>
              <w:rPr>
                <w:sz w:val="20"/>
                <w:szCs w:val="20"/>
                <w:color w:val="auto"/>
              </w:rPr>
            </w:pPr>
            <w:r>
              <w:rPr>
                <w:rFonts w:ascii="Arial" w:cs="Arial" w:eastAsia="Arial" w:hAnsi="Arial"/>
                <w:sz w:val="18"/>
                <w:szCs w:val="18"/>
                <w:color w:val="auto"/>
              </w:rPr>
              <w:t>Common stock:</w:t>
            </w:r>
          </w:p>
        </w:tc>
        <w:tc>
          <w:tcPr>
            <w:tcW w:w="13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9019"/>
          </w:cols>
          <w:pgMar w:left="1440" w:top="517" w:right="1440" w:bottom="1440" w:gutter="0" w:footer="0" w:header="0"/>
        </w:sectPr>
      </w:pPr>
      <w:r>
        <w:rPr>
          <w:sz w:val="20"/>
          <w:szCs w:val="20"/>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61741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7310" cy="6174105"/>
                    </a:xfrm>
                    <a:prstGeom prst="rect">
                      <a:avLst/>
                    </a:prstGeom>
                    <a:noFill/>
                  </pic:spPr>
                </pic:pic>
              </a:graphicData>
            </a:graphic>
          </wp:anchor>
        </w:drawing>
      </w:r>
    </w:p>
    <w:p>
      <w:pPr>
        <w:spacing w:after="0" w:line="175" w:lineRule="exact"/>
        <w:rPr>
          <w:sz w:val="20"/>
          <w:szCs w:val="20"/>
          <w:color w:val="auto"/>
        </w:rPr>
      </w:pPr>
    </w:p>
    <w:p>
      <w:pPr>
        <w:ind w:left="540" w:right="400"/>
        <w:spacing w:after="0" w:line="453" w:lineRule="auto"/>
        <w:rPr>
          <w:sz w:val="20"/>
          <w:szCs w:val="20"/>
          <w:color w:val="auto"/>
        </w:rPr>
      </w:pPr>
      <w:r>
        <w:rPr>
          <w:rFonts w:ascii="Arial" w:cs="Arial" w:eastAsia="Arial" w:hAnsi="Arial"/>
          <w:sz w:val="18"/>
          <w:szCs w:val="18"/>
          <w:color w:val="auto"/>
        </w:rPr>
        <w:t>Number outstanding before this offering Number outstanding after this offering Warrants:</w:t>
      </w:r>
    </w:p>
    <w:p>
      <w:pPr>
        <w:spacing w:after="0" w:line="2" w:lineRule="exact"/>
        <w:rPr>
          <w:sz w:val="20"/>
          <w:szCs w:val="20"/>
          <w:color w:val="auto"/>
        </w:rPr>
      </w:pPr>
    </w:p>
    <w:p>
      <w:pPr>
        <w:jc w:val="both"/>
        <w:ind w:left="720" w:hanging="179"/>
        <w:spacing w:after="0"/>
        <w:rPr>
          <w:sz w:val="20"/>
          <w:szCs w:val="20"/>
          <w:color w:val="auto"/>
        </w:rPr>
      </w:pPr>
      <w:r>
        <w:rPr>
          <w:rFonts w:ascii="Arial" w:cs="Arial" w:eastAsia="Arial" w:hAnsi="Arial"/>
          <w:sz w:val="18"/>
          <w:szCs w:val="18"/>
          <w:color w:val="auto"/>
        </w:rPr>
        <w:t>Number of private placement warrants to be sold in a private placement simultaneously with this offering</w:t>
      </w:r>
    </w:p>
    <w:p>
      <w:pPr>
        <w:spacing w:after="0" w:line="176" w:lineRule="exact"/>
        <w:rPr>
          <w:sz w:val="20"/>
          <w:szCs w:val="20"/>
          <w:color w:val="auto"/>
        </w:rPr>
      </w:pPr>
    </w:p>
    <w:p>
      <w:pPr>
        <w:jc w:val="center"/>
        <w:ind w:left="540" w:right="140"/>
        <w:spacing w:after="0" w:line="274" w:lineRule="auto"/>
        <w:rPr>
          <w:sz w:val="20"/>
          <w:szCs w:val="20"/>
          <w:color w:val="auto"/>
        </w:rPr>
      </w:pPr>
      <w:r>
        <w:rPr>
          <w:rFonts w:ascii="Arial" w:cs="Arial" w:eastAsia="Arial" w:hAnsi="Arial"/>
          <w:sz w:val="17"/>
          <w:szCs w:val="17"/>
          <w:color w:val="auto"/>
        </w:rPr>
        <w:t>Number of warrants to be outstanding after this offering and the private placement</w:t>
      </w:r>
    </w:p>
    <w:p>
      <w:pPr>
        <w:spacing w:after="0" w:line="1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Exercisability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____________</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10,062,500</w:t>
      </w:r>
      <w:r>
        <w:rPr>
          <w:rFonts w:ascii="Arial" w:cs="Arial" w:eastAsia="Arial" w:hAnsi="Arial"/>
          <w:sz w:val="20"/>
          <w:szCs w:val="20"/>
          <w:color w:val="auto"/>
          <w:vertAlign w:val="superscript"/>
        </w:rPr>
        <w:t>(2)(3)</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43,750,000</w:t>
      </w:r>
      <w:r>
        <w:rPr>
          <w:rFonts w:ascii="Arial" w:cs="Arial" w:eastAsia="Arial" w:hAnsi="Arial"/>
          <w:sz w:val="20"/>
          <w:szCs w:val="20"/>
          <w:color w:val="auto"/>
          <w:vertAlign w:val="superscript"/>
        </w:rPr>
        <w:t>(1)(3)(4)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6,000,000</w:t>
      </w:r>
      <w:r>
        <w:rPr>
          <w:rFonts w:ascii="Arial" w:cs="Arial" w:eastAsia="Arial" w:hAnsi="Arial"/>
          <w:sz w:val="20"/>
          <w:szCs w:val="20"/>
          <w:color w:val="auto"/>
          <w:vertAlign w:val="superscript"/>
        </w:rPr>
        <w:t>(1)</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17,666,667</w:t>
      </w:r>
      <w:r>
        <w:rPr>
          <w:rFonts w:ascii="Arial" w:cs="Arial" w:eastAsia="Arial" w:hAnsi="Arial"/>
          <w:sz w:val="20"/>
          <w:szCs w:val="20"/>
          <w:color w:val="auto"/>
          <w:vertAlign w:val="superscript"/>
        </w:rPr>
        <w:t>(1)</w:t>
      </w:r>
    </w:p>
    <w:p>
      <w:pPr>
        <w:spacing w:after="0" w:line="162" w:lineRule="exact"/>
        <w:rPr>
          <w:sz w:val="20"/>
          <w:szCs w:val="20"/>
          <w:color w:val="auto"/>
        </w:rPr>
      </w:pPr>
    </w:p>
    <w:p>
      <w:pPr>
        <w:ind w:right="579"/>
        <w:spacing w:after="0" w:line="238" w:lineRule="auto"/>
        <w:rPr>
          <w:sz w:val="20"/>
          <w:szCs w:val="20"/>
          <w:color w:val="auto"/>
        </w:rPr>
      </w:pPr>
      <w:r>
        <w:rPr>
          <w:rFonts w:ascii="Arial" w:cs="Arial" w:eastAsia="Arial" w:hAnsi="Arial"/>
          <w:sz w:val="18"/>
          <w:szCs w:val="18"/>
          <w:color w:val="auto"/>
        </w:rPr>
        <w:t>Each whole warrant offered in this offering is exercisable to purchase one share of Class A common stock. Only whole warrants are exercisable. No fractional warrants will be issued upon separation of the units and only whole warrants will trade.</w:t>
      </w:r>
    </w:p>
    <w:p>
      <w:pPr>
        <w:spacing w:after="0" w:line="175" w:lineRule="exact"/>
        <w:rPr>
          <w:sz w:val="20"/>
          <w:szCs w:val="20"/>
          <w:color w:val="auto"/>
        </w:rPr>
      </w:pPr>
    </w:p>
    <w:p>
      <w:pPr>
        <w:ind w:right="579"/>
        <w:spacing w:after="0" w:line="236" w:lineRule="auto"/>
        <w:rPr>
          <w:sz w:val="20"/>
          <w:szCs w:val="20"/>
          <w:color w:val="auto"/>
        </w:rPr>
      </w:pPr>
      <w:r>
        <w:rPr>
          <w:rFonts w:ascii="Arial" w:cs="Arial" w:eastAsia="Arial" w:hAnsi="Arial"/>
          <w:sz w:val="18"/>
          <w:szCs w:val="18"/>
          <w:color w:val="auto"/>
        </w:rPr>
        <w:t>We structured each unit to contain one-third of one warrant, with each whole warrant exercisable for one share of Class A common stock, as compared to units issued by some other similar special purpose acquisition companies which contain whole warrants exercisable for one whole share, in order to reduce the dilutive effect of the warrants upon completion of a business combination as compared to units that each contain a whole warrant to purchase one whole share, thus making us, we believe, a more attractive business combination partner for target businesses.</w:t>
      </w:r>
    </w:p>
    <w:p>
      <w:pPr>
        <w:spacing w:after="0" w:line="442" w:lineRule="exact"/>
        <w:rPr>
          <w:sz w:val="20"/>
          <w:szCs w:val="20"/>
          <w:color w:val="auto"/>
        </w:rPr>
      </w:pPr>
    </w:p>
    <w:p>
      <w:pPr>
        <w:sectPr>
          <w:pgSz w:w="11900" w:h="16838" w:orient="portrait"/>
          <w:cols w:equalWidth="0" w:num="2">
            <w:col w:w="4100" w:space="120"/>
            <w:col w:w="4799"/>
          </w:cols>
          <w:pgMar w:left="1440" w:top="517" w:right="1440" w:bottom="1440" w:gutter="0" w:footer="0" w:header="0"/>
          <w:type w:val="continuous"/>
        </w:sectPr>
      </w:pPr>
    </w:p>
    <w:p>
      <w:pPr>
        <w:ind w:left="980" w:right="1239" w:hanging="436"/>
        <w:spacing w:after="0" w:line="216" w:lineRule="auto"/>
        <w:tabs>
          <w:tab w:leader="none" w:pos="975" w:val="left"/>
        </w:tabs>
        <w:numPr>
          <w:ilvl w:val="0"/>
          <w:numId w:val="9"/>
        </w:numPr>
        <w:rPr>
          <w:rFonts w:ascii="Arial" w:cs="Arial" w:eastAsia="Arial" w:hAnsi="Arial"/>
          <w:sz w:val="13"/>
          <w:szCs w:val="13"/>
          <w:color w:val="auto"/>
        </w:rPr>
      </w:pPr>
      <w:r>
        <w:rPr>
          <w:rFonts w:ascii="Arial" w:cs="Arial" w:eastAsia="Arial" w:hAnsi="Arial"/>
          <w:sz w:val="13"/>
          <w:szCs w:val="13"/>
          <w:color w:val="auto"/>
        </w:rPr>
        <w:t>Assumes no exercise of the underwriters’ over-allotment option and the forfeiture of 1,312,500 founder shares by our initial stockholders for no consideration.</w:t>
      </w:r>
    </w:p>
    <w:p>
      <w:pPr>
        <w:ind w:left="980" w:right="1119" w:hanging="436"/>
        <w:spacing w:after="0" w:line="216" w:lineRule="auto"/>
        <w:tabs>
          <w:tab w:leader="none" w:pos="982" w:val="left"/>
        </w:tabs>
        <w:numPr>
          <w:ilvl w:val="0"/>
          <w:numId w:val="9"/>
        </w:numPr>
        <w:rPr>
          <w:rFonts w:ascii="Arial" w:cs="Arial" w:eastAsia="Arial" w:hAnsi="Arial"/>
          <w:sz w:val="13"/>
          <w:szCs w:val="13"/>
          <w:color w:val="auto"/>
        </w:rPr>
      </w:pPr>
      <w:r>
        <w:rPr>
          <w:rFonts w:ascii="Arial" w:cs="Arial" w:eastAsia="Arial" w:hAnsi="Arial"/>
          <w:sz w:val="13"/>
          <w:szCs w:val="13"/>
          <w:color w:val="auto"/>
        </w:rPr>
        <w:t>Includes up to 1,312,500 founder shares that will be forfeited by our initial stockholders depending on the extent to which the underwriters’ over-allotment option is exercised.</w:t>
      </w:r>
    </w:p>
    <w:p>
      <w:pPr>
        <w:ind w:left="980" w:right="659" w:hanging="436"/>
        <w:spacing w:after="0" w:line="234" w:lineRule="auto"/>
        <w:tabs>
          <w:tab w:leader="none" w:pos="982" w:val="left"/>
        </w:tabs>
        <w:numPr>
          <w:ilvl w:val="0"/>
          <w:numId w:val="9"/>
        </w:numPr>
        <w:rPr>
          <w:rFonts w:ascii="Arial" w:cs="Arial" w:eastAsia="Arial" w:hAnsi="Arial"/>
          <w:sz w:val="12"/>
          <w:szCs w:val="12"/>
          <w:color w:val="auto"/>
        </w:rPr>
      </w:pPr>
      <w:r>
        <w:rPr>
          <w:rFonts w:ascii="Arial" w:cs="Arial" w:eastAsia="Arial" w:hAnsi="Arial"/>
          <w:sz w:val="12"/>
          <w:szCs w:val="12"/>
          <w:color w:val="auto"/>
        </w:rPr>
        <w:t>Founder shares are currently classified as shares of Class B common stock, which shares will automatically convert into shares of Class A common stock concurrently with or immediately following the consummation of our initial business combination on a one-for-one basis, subject to adjustment as described below adjacent to the caption “Founder shares conversion and anti-dilution rights.”</w:t>
      </w:r>
    </w:p>
    <w:p>
      <w:pPr>
        <w:spacing w:after="0" w:line="1" w:lineRule="exact"/>
        <w:rPr>
          <w:rFonts w:ascii="Arial" w:cs="Arial" w:eastAsia="Arial" w:hAnsi="Arial"/>
          <w:sz w:val="12"/>
          <w:szCs w:val="12"/>
          <w:color w:val="auto"/>
        </w:rPr>
      </w:pPr>
    </w:p>
    <w:p>
      <w:pPr>
        <w:ind w:left="980" w:hanging="436"/>
        <w:spacing w:after="0"/>
        <w:tabs>
          <w:tab w:leader="none" w:pos="980" w:val="left"/>
        </w:tabs>
        <w:numPr>
          <w:ilvl w:val="0"/>
          <w:numId w:val="9"/>
        </w:numPr>
        <w:rPr>
          <w:rFonts w:ascii="Arial" w:cs="Arial" w:eastAsia="Arial" w:hAnsi="Arial"/>
          <w:sz w:val="13"/>
          <w:szCs w:val="13"/>
          <w:color w:val="auto"/>
        </w:rPr>
      </w:pPr>
      <w:r>
        <w:rPr>
          <w:rFonts w:ascii="Arial" w:cs="Arial" w:eastAsia="Arial" w:hAnsi="Arial"/>
          <w:sz w:val="13"/>
          <w:szCs w:val="13"/>
          <w:color w:val="auto"/>
        </w:rPr>
        <w:t>Includes 35,000,000 public shares and 8,750,000 founder shares.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540"/>
        <w:spacing w:after="0"/>
        <w:tabs>
          <w:tab w:leader="none" w:pos="37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93287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7310" cy="9328785"/>
                    </a:xfrm>
                    <a:prstGeom prst="rect">
                      <a:avLst/>
                    </a:prstGeom>
                    <a:noFill/>
                  </pic:spPr>
                </pic:pic>
              </a:graphicData>
            </a:graphic>
          </wp:anchor>
        </w:drawing>
        <w:t>Exercise price</w:t>
      </w:r>
      <w:r>
        <w:rPr>
          <w:sz w:val="20"/>
          <w:szCs w:val="20"/>
          <w:color w:val="auto"/>
        </w:rPr>
        <w:tab/>
      </w:r>
      <w:r>
        <w:rPr>
          <w:rFonts w:ascii="Arial" w:cs="Arial" w:eastAsia="Arial" w:hAnsi="Arial"/>
          <w:sz w:val="18"/>
          <w:szCs w:val="18"/>
          <w:color w:val="auto"/>
        </w:rPr>
        <w:t>$11.50 per share, subject to adjustments as described</w:t>
      </w:r>
    </w:p>
    <w:p>
      <w:pPr>
        <w:ind w:left="3720" w:right="579"/>
        <w:spacing w:after="0" w:line="235" w:lineRule="auto"/>
        <w:rPr>
          <w:sz w:val="20"/>
          <w:szCs w:val="20"/>
          <w:color w:val="auto"/>
        </w:rPr>
      </w:pPr>
      <w:r>
        <w:rPr>
          <w:rFonts w:ascii="Arial" w:cs="Arial" w:eastAsia="Arial" w:hAnsi="Arial"/>
          <w:sz w:val="18"/>
          <w:szCs w:val="18"/>
          <w:color w:val="auto"/>
        </w:rPr>
        <w:t>herein. In addition, if (x) we issue additional shares of Class A common stock or equity-linked securities for capital raising purposes in connection with the closing of our initial business combination (excluding any issuance of forward purchase shares) at an issue price or effective issue price of less than $9.20 per share of Class A common stock (with such issue price or effective issue price to be determined in good faith by our board of directors and, in the case of any such issuance to our initial stockholders or their affiliates, without taking into account any founder shares held by our initial stockholders or such affiliates, as applicable, prior to such issuance) (the “Newly Issued Price”), (y) the aggregate gross proceeds from such issuances represent more than 60% of the total equity proceeds, and interest thereon, available for the funding of our initial business combination on the date of the consummation of our initial business combination (net of redemptions), and (z) the volume weighted average trading price of our Class A common stock during the 20 trading day period starting on the trading day after the day on which we consummate our initial business combination (such price, the “Market Value”) is below $9.20 per share, the exercise price of the warrants will be adjusted (to the nearest cent) to be equal to 115% of the higher of the Market Value and the Newly Issued Price, the $18.00 per share redemption trigger price described adjacent to “Redemption of warrants when the price per share of Class A common stock equals or exceeds $18.00” will be adjusted (to the nearest cent) to be equal to 180% of the higher of the Market Value and the Newly Issued Price, and the $10.00 per share redemption trigger price described adjacent to the caption “Redemption of warrants when the price per share of Class A common Stock equals or exceeds $10.00” will be adjusted (to the nearest cent) to be equal to the higher of the Market Value and the Newly Issued Price.</w:t>
      </w:r>
    </w:p>
    <w:p>
      <w:pPr>
        <w:spacing w:after="0" w:line="183" w:lineRule="exact"/>
        <w:rPr>
          <w:sz w:val="20"/>
          <w:szCs w:val="20"/>
          <w:color w:val="auto"/>
        </w:rPr>
      </w:pPr>
    </w:p>
    <w:p>
      <w:pPr>
        <w:ind w:left="540"/>
        <w:spacing w:after="0"/>
        <w:tabs>
          <w:tab w:leader="none" w:pos="3700" w:val="left"/>
        </w:tabs>
        <w:rPr>
          <w:sz w:val="20"/>
          <w:szCs w:val="20"/>
          <w:color w:val="auto"/>
        </w:rPr>
      </w:pPr>
      <w:r>
        <w:rPr>
          <w:rFonts w:ascii="Arial" w:cs="Arial" w:eastAsia="Arial" w:hAnsi="Arial"/>
          <w:sz w:val="18"/>
          <w:szCs w:val="18"/>
          <w:color w:val="auto"/>
        </w:rPr>
        <w:t>Exercise period</w:t>
      </w:r>
      <w:r>
        <w:rPr>
          <w:sz w:val="20"/>
          <w:szCs w:val="20"/>
          <w:color w:val="auto"/>
        </w:rPr>
        <w:tab/>
      </w:r>
      <w:r>
        <w:rPr>
          <w:rFonts w:ascii="Arial" w:cs="Arial" w:eastAsia="Arial" w:hAnsi="Arial"/>
          <w:sz w:val="18"/>
          <w:szCs w:val="18"/>
          <w:color w:val="auto"/>
        </w:rPr>
        <w:t>The warrants will become exercisable on the later of:</w:t>
      </w:r>
    </w:p>
    <w:p>
      <w:pPr>
        <w:spacing w:after="0" w:line="99" w:lineRule="exact"/>
        <w:rPr>
          <w:sz w:val="20"/>
          <w:szCs w:val="20"/>
          <w:color w:val="auto"/>
        </w:rPr>
      </w:pPr>
    </w:p>
    <w:p>
      <w:pPr>
        <w:ind w:left="3940"/>
        <w:spacing w:after="0"/>
        <w:tabs>
          <w:tab w:leader="none" w:pos="41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30 days after the completion of our initial business</w:t>
      </w:r>
    </w:p>
    <w:p>
      <w:pPr>
        <w:ind w:left="4160"/>
        <w:spacing w:after="0"/>
        <w:rPr>
          <w:sz w:val="20"/>
          <w:szCs w:val="20"/>
          <w:color w:val="auto"/>
        </w:rPr>
      </w:pPr>
      <w:r>
        <w:rPr>
          <w:rFonts w:ascii="Arial" w:cs="Arial" w:eastAsia="Arial" w:hAnsi="Arial"/>
          <w:sz w:val="18"/>
          <w:szCs w:val="18"/>
          <w:color w:val="auto"/>
        </w:rPr>
        <w:t>combination, and</w:t>
      </w:r>
    </w:p>
    <w:p>
      <w:pPr>
        <w:spacing w:after="0" w:line="104" w:lineRule="exact"/>
        <w:rPr>
          <w:sz w:val="20"/>
          <w:szCs w:val="20"/>
          <w:color w:val="auto"/>
        </w:rPr>
      </w:pPr>
    </w:p>
    <w:p>
      <w:pPr>
        <w:ind w:left="3940"/>
        <w:spacing w:after="0"/>
        <w:tabs>
          <w:tab w:leader="none" w:pos="41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12 months from the closing of this offering;</w:t>
      </w:r>
    </w:p>
    <w:p>
      <w:pPr>
        <w:spacing w:after="0" w:line="131" w:lineRule="exact"/>
        <w:rPr>
          <w:sz w:val="20"/>
          <w:szCs w:val="20"/>
          <w:color w:val="auto"/>
        </w:rPr>
      </w:pPr>
    </w:p>
    <w:p>
      <w:pPr>
        <w:ind w:left="3720" w:right="559"/>
        <w:spacing w:after="0" w:line="236" w:lineRule="auto"/>
        <w:rPr>
          <w:sz w:val="20"/>
          <w:szCs w:val="20"/>
          <w:color w:val="auto"/>
        </w:rPr>
      </w:pPr>
      <w:r>
        <w:rPr>
          <w:rFonts w:ascii="Arial" w:cs="Arial" w:eastAsia="Arial" w:hAnsi="Arial"/>
          <w:sz w:val="18"/>
          <w:szCs w:val="18"/>
          <w:color w:val="auto"/>
        </w:rPr>
        <w:t>provided in each case that we have an effective registration statement under the Securities Act covering the shares of Class A common stock issuable upon exercise of the warrants and a current prospectus relating to them is available and such shares are registered, qualified or exempt from registration under the securities, or blue sky, laws of the state of residence of the holder (or we permit holders to exercise their warrants on a cashless basis under the circumstances specified in the warrant agreement). If and when the warrants become redeemable by us, we may exercise our redemption right even if we are unable to register or qualify the underlying securities for sale under all applicable state securities laws.</w:t>
      </w:r>
    </w:p>
    <w:p>
      <w:pPr>
        <w:spacing w:after="0" w:line="176" w:lineRule="exact"/>
        <w:rPr>
          <w:sz w:val="20"/>
          <w:szCs w:val="20"/>
          <w:color w:val="auto"/>
        </w:rPr>
      </w:pPr>
    </w:p>
    <w:p>
      <w:pPr>
        <w:ind w:left="3720" w:right="579"/>
        <w:spacing w:after="0" w:line="236" w:lineRule="auto"/>
        <w:rPr>
          <w:sz w:val="20"/>
          <w:szCs w:val="20"/>
          <w:color w:val="auto"/>
        </w:rPr>
      </w:pPr>
      <w:r>
        <w:rPr>
          <w:rFonts w:ascii="Arial" w:cs="Arial" w:eastAsia="Arial" w:hAnsi="Arial"/>
          <w:sz w:val="18"/>
          <w:szCs w:val="18"/>
          <w:color w:val="auto"/>
        </w:rPr>
        <w:t>We are not registering the shares of Class A common stock issuable upon exercise of the warrants at this time. However, we have agreed that as soon as practicable, but in no event later than 15 business days after the closing of our initial business combination, we will use our best efforts to file with the SEC and have an effective registration statement covering the shares of Class A common stock issuable upon exercise of the warrants and to maintain a current prospectus relating to those shares of Class A common stock until the warrants expire or are redeemed, as specified in the warrant</w:t>
      </w:r>
    </w:p>
    <w:p>
      <w:pPr>
        <w:sectPr>
          <w:pgSz w:w="11900" w:h="16838" w:orient="portrait"/>
          <w:cols w:equalWidth="0" w:num="1">
            <w:col w:w="9019"/>
          </w:cols>
          <w:pgMar w:left="1440" w:top="512" w:right="1440" w:bottom="1076"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12" w:right="1440" w:bottom="1076" w:gutter="0" w:footer="0" w:header="0"/>
          <w:type w:val="continuous"/>
        </w:sectPr>
      </w:pPr>
    </w:p>
    <w:bookmarkStart w:id="17" w:name="page18"/>
    <w:bookmarkEnd w:id="1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720" w:hanging="179"/>
        <w:spacing w:after="0" w:line="261" w:lineRule="auto"/>
        <w:rPr>
          <w:sz w:val="20"/>
          <w:szCs w:val="20"/>
          <w:color w:val="auto"/>
        </w:rPr>
      </w:pPr>
      <w:r>
        <w:rPr>
          <w:rFonts w:ascii="Arial" w:cs="Arial" w:eastAsia="Arial" w:hAnsi="Arial"/>
          <w:sz w:val="17"/>
          <w:szCs w:val="17"/>
          <w:color w:val="auto"/>
        </w:rPr>
        <w:t>Redemption of warrants when the price per share of Class A common stock equals or exceeds $18.00</w:t>
      </w:r>
    </w:p>
    <w:p>
      <w:pPr>
        <w:spacing w:after="0" w:line="20" w:lineRule="exact"/>
        <w:rPr>
          <w:sz w:val="20"/>
          <w:szCs w:val="20"/>
          <w:color w:val="auto"/>
        </w:rPr>
      </w:pPr>
      <w:r>
        <w:rPr>
          <w:sz w:val="20"/>
          <w:szCs w:val="20"/>
          <w:color w:val="auto"/>
        </w:rPr>
        <w:br w:type="column"/>
      </w:r>
    </w:p>
    <w:p>
      <w:pPr>
        <w:ind w:right="599"/>
        <w:spacing w:after="0" w:line="234" w:lineRule="auto"/>
        <w:rPr>
          <w:sz w:val="20"/>
          <w:szCs w:val="20"/>
          <w:color w:val="auto"/>
        </w:rPr>
      </w:pPr>
      <w:r>
        <w:rPr>
          <w:rFonts w:ascii="Arial" w:cs="Arial" w:eastAsia="Arial" w:hAnsi="Arial"/>
          <w:sz w:val="18"/>
          <w:szCs w:val="18"/>
          <w:color w:val="auto"/>
        </w:rPr>
        <w:t>agreement. If a registration statement covering the Class A common stock issuable upon exercise of the warrants is not effective by the 60</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business day after the closing of our initial business combination, warrant holders may, until such time as there is an effective registration statement and during any period when we will have failed to maintain an effective registration statement, exercise warrants on a “cashless basis” in accordance with Section 3(a)(9) of the Securities Act or another exemption. Notwithstanding the above, if our shares of Class A common stock are at the time of any exercise of a warrant not listed on a national securities exchange such that they satisfy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and in the event we do not so elect, we will use our best efforts to register or qualify the shares under applicable blue sky laws to the extent an exemption is not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-2075180</wp:posOffset>
            </wp:positionH>
            <wp:positionV relativeFrom="paragraph">
              <wp:posOffset>-3072130</wp:posOffset>
            </wp:positionV>
            <wp:extent cx="5147310" cy="8806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7310" cy="8806180"/>
                    </a:xfrm>
                    <a:prstGeom prst="rect">
                      <a:avLst/>
                    </a:prstGeom>
                    <a:noFill/>
                  </pic:spPr>
                </pic:pic>
              </a:graphicData>
            </a:graphic>
          </wp:anchor>
        </w:drawing>
      </w:r>
    </w:p>
    <w:p>
      <w:pPr>
        <w:spacing w:after="0" w:line="162" w:lineRule="exact"/>
        <w:rPr>
          <w:sz w:val="20"/>
          <w:szCs w:val="20"/>
          <w:color w:val="auto"/>
        </w:rPr>
      </w:pPr>
    </w:p>
    <w:p>
      <w:pPr>
        <w:ind w:right="659"/>
        <w:spacing w:after="0" w:line="238" w:lineRule="auto"/>
        <w:rPr>
          <w:sz w:val="20"/>
          <w:szCs w:val="20"/>
          <w:color w:val="auto"/>
        </w:rPr>
      </w:pPr>
      <w:r>
        <w:rPr>
          <w:rFonts w:ascii="Arial" w:cs="Arial" w:eastAsia="Arial" w:hAnsi="Arial"/>
          <w:sz w:val="18"/>
          <w:szCs w:val="18"/>
          <w:color w:val="auto"/>
        </w:rPr>
        <w:t>The warrants will expire at 5:00 p.m., New York City time, five years after the completion of our initial business combination or earlier upon redemption or liquidation. On the exercise of any warrant, the warrant exercise price will be paid directly to us and not placed in the trust account.</w:t>
      </w:r>
    </w:p>
    <w:p>
      <w:pPr>
        <w:spacing w:after="0" w:line="200" w:lineRule="exact"/>
        <w:rPr>
          <w:sz w:val="20"/>
          <w:szCs w:val="20"/>
          <w:color w:val="auto"/>
        </w:rPr>
      </w:pPr>
    </w:p>
    <w:p>
      <w:pPr>
        <w:spacing w:after="0" w:line="380" w:lineRule="exact"/>
        <w:rPr>
          <w:sz w:val="20"/>
          <w:szCs w:val="20"/>
          <w:color w:val="auto"/>
        </w:rPr>
      </w:pPr>
    </w:p>
    <w:p>
      <w:pPr>
        <w:ind w:right="779"/>
        <w:spacing w:after="0" w:line="246" w:lineRule="auto"/>
        <w:rPr>
          <w:sz w:val="20"/>
          <w:szCs w:val="20"/>
          <w:color w:val="auto"/>
        </w:rPr>
      </w:pPr>
      <w:r>
        <w:rPr>
          <w:rFonts w:ascii="Arial" w:cs="Arial" w:eastAsia="Arial" w:hAnsi="Arial"/>
          <w:sz w:val="18"/>
          <w:szCs w:val="18"/>
          <w:color w:val="auto"/>
        </w:rPr>
        <w:t>Once the warrants become exercisable, we may redeem the outstanding warrants for cash:</w:t>
      </w:r>
    </w:p>
    <w:p>
      <w:pPr>
        <w:spacing w:after="0" w:line="170" w:lineRule="exact"/>
        <w:rPr>
          <w:sz w:val="20"/>
          <w:szCs w:val="20"/>
          <w:color w:val="auto"/>
        </w:rPr>
      </w:pPr>
    </w:p>
    <w:p>
      <w:pPr>
        <w:ind w:left="440" w:hanging="214"/>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84" w:lineRule="exact"/>
        <w:rPr>
          <w:rFonts w:ascii="Arial" w:cs="Arial" w:eastAsia="Arial" w:hAnsi="Arial"/>
          <w:sz w:val="18"/>
          <w:szCs w:val="18"/>
          <w:color w:val="auto"/>
        </w:rPr>
      </w:pPr>
    </w:p>
    <w:p>
      <w:pPr>
        <w:ind w:left="440" w:hanging="214"/>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84" w:lineRule="exact"/>
        <w:rPr>
          <w:rFonts w:ascii="Arial" w:cs="Arial" w:eastAsia="Arial" w:hAnsi="Arial"/>
          <w:sz w:val="18"/>
          <w:szCs w:val="18"/>
          <w:color w:val="auto"/>
        </w:rPr>
      </w:pPr>
    </w:p>
    <w:p>
      <w:pPr>
        <w:ind w:left="440" w:right="899" w:hanging="214"/>
        <w:spacing w:after="0"/>
        <w:tabs>
          <w:tab w:leader="none" w:pos="437" w:val="left"/>
        </w:tabs>
        <w:numPr>
          <w:ilvl w:val="0"/>
          <w:numId w:val="10"/>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which we refer to as the 30-day redemption period; and</w:t>
      </w:r>
    </w:p>
    <w:p>
      <w:pPr>
        <w:spacing w:after="0" w:line="175" w:lineRule="exact"/>
        <w:rPr>
          <w:rFonts w:ascii="Arial" w:cs="Arial" w:eastAsia="Arial" w:hAnsi="Arial"/>
          <w:sz w:val="18"/>
          <w:szCs w:val="18"/>
          <w:color w:val="auto"/>
        </w:rPr>
      </w:pPr>
    </w:p>
    <w:p>
      <w:pPr>
        <w:ind w:left="440" w:right="619" w:hanging="214"/>
        <w:spacing w:after="0" w:line="236" w:lineRule="auto"/>
        <w:tabs>
          <w:tab w:leader="none" w:pos="437"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and only if, the closing price of our Class A common stock equals or exceeds $18.00 per share (as adjusted for adjustments to the number of shares issuable upon exercise or the exercise price of a warrant as described under the heading “Description of Securities — Warrants — Public Stockholders’ Warrants — Anti-Dilution Adjustments) for any 20 trading days within a 30-trading day period ending on the third trading day prior to the date on which we send the notice of redemption to the warrant holders.</w:t>
      </w:r>
    </w:p>
    <w:p>
      <w:pPr>
        <w:spacing w:after="0" w:line="179" w:lineRule="exact"/>
        <w:rPr>
          <w:sz w:val="20"/>
          <w:szCs w:val="20"/>
          <w:color w:val="auto"/>
        </w:rPr>
      </w:pPr>
    </w:p>
    <w:p>
      <w:pPr>
        <w:ind w:right="559"/>
        <w:spacing w:after="0" w:line="236" w:lineRule="auto"/>
        <w:rPr>
          <w:sz w:val="20"/>
          <w:szCs w:val="20"/>
          <w:color w:val="auto"/>
        </w:rPr>
      </w:pPr>
      <w:r>
        <w:rPr>
          <w:rFonts w:ascii="Arial" w:cs="Arial" w:eastAsia="Arial" w:hAnsi="Arial"/>
          <w:sz w:val="18"/>
          <w:szCs w:val="18"/>
          <w:color w:val="auto"/>
        </w:rPr>
        <w:t>We will not redeem the warrants as described above unless an effective registration statement under the Securities Act covering the Class A common stock issuable upon exercise of the warrants is effective and a current prospectus relating to those shares of Class A common stock is available throughout the 30-day redemption period. If and when the warrants become redeemable by us, we may exercise our redemption right even if we are unable to register or qualify the underlying securities for sale under all applicable state laws. None of the private placement warrants will be redeemable by us so long as they are held by our sponsor or its permitted transferees.</w:t>
      </w:r>
    </w:p>
    <w:p>
      <w:pPr>
        <w:spacing w:after="0" w:line="200" w:lineRule="exact"/>
        <w:rPr>
          <w:sz w:val="20"/>
          <w:szCs w:val="20"/>
          <w:color w:val="auto"/>
        </w:rPr>
      </w:pPr>
    </w:p>
    <w:p>
      <w:pPr>
        <w:sectPr>
          <w:pgSz w:w="11900" w:h="16838" w:orient="portrait"/>
          <w:cols w:equalWidth="0" w:num="2">
            <w:col w:w="3520" w:space="200"/>
            <w:col w:w="5299"/>
          </w:cols>
          <w:pgMar w:left="1440" w:top="517" w:right="1440"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jc w:val="both"/>
        <w:ind w:left="720" w:hanging="179"/>
        <w:spacing w:after="0" w:line="261" w:lineRule="auto"/>
        <w:rPr>
          <w:sz w:val="20"/>
          <w:szCs w:val="20"/>
          <w:color w:val="auto"/>
        </w:rPr>
      </w:pPr>
      <w:r>
        <w:rPr>
          <w:rFonts w:ascii="Arial" w:cs="Arial" w:eastAsia="Arial" w:hAnsi="Arial"/>
          <w:sz w:val="17"/>
          <w:szCs w:val="17"/>
          <w:color w:val="auto"/>
        </w:rPr>
        <w:t>Redemption of warrants for when the price per share of Class A common stock equals or exceeds $10.00</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ind w:right="779"/>
        <w:spacing w:after="0" w:line="246" w:lineRule="auto"/>
        <w:rPr>
          <w:sz w:val="20"/>
          <w:szCs w:val="20"/>
          <w:color w:val="auto"/>
        </w:rPr>
      </w:pPr>
      <w:r>
        <w:rPr>
          <w:rFonts w:ascii="Arial" w:cs="Arial" w:eastAsia="Arial" w:hAnsi="Arial"/>
          <w:sz w:val="18"/>
          <w:szCs w:val="18"/>
          <w:color w:val="auto"/>
        </w:rPr>
        <w:t>Once the warrants become exercisable, we may redeem the outstanding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-2075180</wp:posOffset>
            </wp:positionH>
            <wp:positionV relativeFrom="paragraph">
              <wp:posOffset>-765175</wp:posOffset>
            </wp:positionV>
            <wp:extent cx="5147310" cy="89433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7310" cy="8943340"/>
                    </a:xfrm>
                    <a:prstGeom prst="rect">
                      <a:avLst/>
                    </a:prstGeom>
                    <a:noFill/>
                  </pic:spPr>
                </pic:pic>
              </a:graphicData>
            </a:graphic>
          </wp:anchor>
        </w:drawing>
      </w:r>
    </w:p>
    <w:p>
      <w:pPr>
        <w:spacing w:after="0" w:line="150" w:lineRule="exact"/>
        <w:rPr>
          <w:sz w:val="20"/>
          <w:szCs w:val="20"/>
          <w:color w:val="auto"/>
        </w:rPr>
      </w:pPr>
    </w:p>
    <w:p>
      <w:pPr>
        <w:ind w:left="440" w:hanging="214"/>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84" w:lineRule="exact"/>
        <w:rPr>
          <w:rFonts w:ascii="Arial" w:cs="Arial" w:eastAsia="Arial" w:hAnsi="Arial"/>
          <w:sz w:val="18"/>
          <w:szCs w:val="18"/>
          <w:color w:val="auto"/>
        </w:rPr>
      </w:pPr>
    </w:p>
    <w:p>
      <w:pPr>
        <w:ind w:left="440" w:right="619" w:hanging="214"/>
        <w:spacing w:after="0" w:line="236" w:lineRule="auto"/>
        <w:tabs>
          <w:tab w:leader="none" w:pos="437"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at $0.10 per warrant upon a minimum of 30 days’ prior written notice of redemption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holders will be able to exercise their warrants on a cashless basis prior to redemption and receive that number of shares determined by reference to the table set forth under “Description of Securities — Warrants — Public Stockholders’ Warrants” based on the redemption date and the “fair market value” (as defined below) of our Class A common stock except as otherwise described in “Description of Securities — Warrants — Public Stockholders’ Warrants”;</w:t>
      </w:r>
    </w:p>
    <w:p>
      <w:pPr>
        <w:spacing w:after="0" w:line="176" w:lineRule="exact"/>
        <w:rPr>
          <w:rFonts w:ascii="Arial" w:cs="Arial" w:eastAsia="Arial" w:hAnsi="Arial"/>
          <w:sz w:val="18"/>
          <w:szCs w:val="18"/>
          <w:color w:val="auto"/>
        </w:rPr>
      </w:pPr>
    </w:p>
    <w:p>
      <w:pPr>
        <w:ind w:left="440" w:right="559" w:hanging="214"/>
        <w:spacing w:after="0" w:line="236" w:lineRule="auto"/>
        <w:tabs>
          <w:tab w:leader="none" w:pos="437"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and only if, the closing price of our Class A common stock equals or exceeds $10.00 per public share (as adjusted for adjustments to the number of shares issuable upon exercise or the exercise price of a warrant as described under the heading “Description of Securities — Warrants — Public Stockholders’ Warrants — Anti-dilution Adjustments”) for any 20 trading days within the 30-trading day period ending three trading days before we send notice of redemption to the warrant holders; and</w:t>
      </w:r>
    </w:p>
    <w:p>
      <w:pPr>
        <w:spacing w:after="0" w:line="178" w:lineRule="exact"/>
        <w:rPr>
          <w:rFonts w:ascii="Arial" w:cs="Arial" w:eastAsia="Arial" w:hAnsi="Arial"/>
          <w:sz w:val="18"/>
          <w:szCs w:val="18"/>
          <w:color w:val="auto"/>
        </w:rPr>
      </w:pPr>
    </w:p>
    <w:p>
      <w:pPr>
        <w:ind w:left="440" w:right="559" w:hanging="214"/>
        <w:spacing w:after="0" w:line="236" w:lineRule="auto"/>
        <w:tabs>
          <w:tab w:leader="none" w:pos="437"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the closing price of our Class A common stock for any 20 trading days within a 30-trading day period ending three trading days before we send notice of redemption to the warrant holders is less than $18.00 per share (as adjusted for adjustments to the number of shares issuable upon exercise or the exercise price of a warrant as described under the heading “Description of Securities — Warrants — Public Shareholders’ Warrants — Anti-dilution Adjustments”), the private placement warrants must also be concurrently called for redemption on the same terms as the outstanding public warrants, as described above.</w:t>
      </w:r>
    </w:p>
    <w:p>
      <w:pPr>
        <w:spacing w:after="0" w:line="176" w:lineRule="exact"/>
        <w:rPr>
          <w:sz w:val="20"/>
          <w:szCs w:val="20"/>
          <w:color w:val="auto"/>
        </w:rPr>
      </w:pPr>
    </w:p>
    <w:p>
      <w:pPr>
        <w:ind w:right="579"/>
        <w:spacing w:after="0" w:line="236" w:lineRule="auto"/>
        <w:rPr>
          <w:sz w:val="20"/>
          <w:szCs w:val="20"/>
          <w:color w:val="auto"/>
        </w:rPr>
      </w:pPr>
      <w:r>
        <w:rPr>
          <w:rFonts w:ascii="Arial" w:cs="Arial" w:eastAsia="Arial" w:hAnsi="Arial"/>
          <w:sz w:val="18"/>
          <w:szCs w:val="18"/>
          <w:color w:val="auto"/>
        </w:rPr>
        <w:t>The “fair market value” of our Class A common stock shall mean the volume weighted average price of our Class A common stock during the 10 trading days immediately following the date on which the notice of redemption is sent to the holders of warrants. This redemption feature differs from the typical warrant redemption features used in other blank check offerings. We will provide our warrant holders with the final fair market value no later than one business day after the 10 trading day period described above ends. In no event will the warrants be exercisable in connection with this redemption feature for more than 0.361 shares of Class A common stock per warrant (subject to adjustment).</w:t>
      </w:r>
    </w:p>
    <w:p>
      <w:pPr>
        <w:spacing w:after="0" w:line="177" w:lineRule="exact"/>
        <w:rPr>
          <w:sz w:val="20"/>
          <w:szCs w:val="20"/>
          <w:color w:val="auto"/>
        </w:rPr>
      </w:pPr>
    </w:p>
    <w:p>
      <w:pPr>
        <w:ind w:right="599"/>
        <w:spacing w:after="0" w:line="236" w:lineRule="auto"/>
        <w:rPr>
          <w:sz w:val="20"/>
          <w:szCs w:val="20"/>
          <w:color w:val="auto"/>
        </w:rPr>
      </w:pPr>
      <w:r>
        <w:rPr>
          <w:rFonts w:ascii="Arial" w:cs="Arial" w:eastAsia="Arial" w:hAnsi="Arial"/>
          <w:sz w:val="18"/>
          <w:szCs w:val="18"/>
          <w:color w:val="auto"/>
        </w:rPr>
        <w:t>No fractional shares of Class A common stock will be issued upon redemption. If, upon redemption, a holder would be entitled to receive a fractional interest in a share, we will round down to the nearest whole number of the number of shares of Class A common stock to be issued to the holder. Please see the section entitled “Description of Securities — Warrants — Public Stockholders’ Warrants” for additional information.</w:t>
      </w:r>
    </w:p>
    <w:p>
      <w:pPr>
        <w:spacing w:after="0" w:line="200" w:lineRule="exact"/>
        <w:rPr>
          <w:sz w:val="20"/>
          <w:szCs w:val="20"/>
          <w:color w:val="auto"/>
        </w:rPr>
      </w:pPr>
    </w:p>
    <w:p>
      <w:pPr>
        <w:sectPr>
          <w:pgSz w:w="11900" w:h="16838" w:orient="portrait"/>
          <w:cols w:equalWidth="0" w:num="2">
            <w:col w:w="3520" w:space="200"/>
            <w:col w:w="5299"/>
          </w:cols>
          <w:pgMar w:left="1440" w:top="517" w:right="1440"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540"/>
        <w:spacing w:after="0"/>
        <w:tabs>
          <w:tab w:leader="none" w:pos="37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95948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7310" cy="9594850"/>
                    </a:xfrm>
                    <a:prstGeom prst="rect">
                      <a:avLst/>
                    </a:prstGeom>
                    <a:noFill/>
                  </pic:spPr>
                </pic:pic>
              </a:graphicData>
            </a:graphic>
          </wp:anchor>
        </w:drawing>
        <w:t>Forward purchase agreements</w:t>
      </w:r>
      <w:r>
        <w:rPr>
          <w:sz w:val="20"/>
          <w:szCs w:val="20"/>
          <w:color w:val="auto"/>
        </w:rPr>
        <w:tab/>
      </w:r>
      <w:r>
        <w:rPr>
          <w:rFonts w:ascii="Arial" w:cs="Arial" w:eastAsia="Arial" w:hAnsi="Arial"/>
          <w:sz w:val="17"/>
          <w:szCs w:val="17"/>
          <w:color w:val="auto"/>
        </w:rPr>
        <w:t>We have entered into separate forward purchase</w:t>
      </w:r>
    </w:p>
    <w:p>
      <w:pPr>
        <w:ind w:left="3720" w:right="559"/>
        <w:spacing w:after="0" w:line="235" w:lineRule="auto"/>
        <w:rPr>
          <w:sz w:val="20"/>
          <w:szCs w:val="20"/>
          <w:color w:val="auto"/>
        </w:rPr>
      </w:pPr>
      <w:r>
        <w:rPr>
          <w:rFonts w:ascii="Arial" w:cs="Arial" w:eastAsia="Arial" w:hAnsi="Arial"/>
          <w:sz w:val="18"/>
          <w:szCs w:val="18"/>
          <w:color w:val="auto"/>
        </w:rPr>
        <w:t>agreements with affiliates of our sponsor, Casdin Capital and Corvex Management, in their capacities as investment advisors on behalf of their Clients, pursuant to which, subject to the conditions described below, they will cause certain Clients to purchase from us up to an aggregate amount of 15,000,000 shares of Class A common stock, or the forward purchase shares, for $10.00 per forward purchase share, or an aggregate amount of up to $150,000,000, in a private placement that will close concurrently with the closing of our initial business combination. The amount of forward purchase shares sold pursuant to the forward purchase agreements will be determined in our discretion based on our need for additional capital to consummate the initial business combination. Under each forward purchase agreement, we are required to approach Casdin Capital and Corvex Management if we propose to raise additional capital by issuing any equity, or securities convertible into, exchangeable or exercisable for equity securities in connection with the initial business combination. The respective obligations of Casdin Capital and Corvex Management to cause Clients to purchase forward purchase shares will, among other things, be conditioned on our completing an initial business combination with a company engaged in a business that is within the investment objectives of the Clients purchasing forward purchase shares and on the business combination (including the target assets or business, and the terms of the business combination) being reasonably acceptable to such Clients as determined by Casdin Capital or Corvex Management, as relevant, as investment advisors on behalf of such Clients. In determining whether a target is reasonably acceptable to Clients, we expect that Casdin Capital or Corvex Management, as relevant, would consider many of the same criteria as we will consider, but will also consider whether the investment is an appropriate investment for such Clients. Each of Casdin Capital and Corvex Management will have the right to transfer a portion of the purchase obligation under the forward purchase agreement to third parties, or upon mutual agreement, to each other, subject to compliance with applicable securities laws. To the extent that we obtain alternative financing to fund the initial business combination and the Clients participate in such financing, the aggregate commitment under the forward purchase agreement will be reduced by the amount of such alternative financing.</w:t>
      </w:r>
    </w:p>
    <w:p>
      <w:pPr>
        <w:spacing w:after="0" w:line="141" w:lineRule="exact"/>
        <w:rPr>
          <w:sz w:val="20"/>
          <w:szCs w:val="20"/>
          <w:color w:val="auto"/>
        </w:rPr>
      </w:pPr>
    </w:p>
    <w:p>
      <w:pPr>
        <w:ind w:left="3720" w:right="559"/>
        <w:spacing w:after="0" w:line="236" w:lineRule="auto"/>
        <w:rPr>
          <w:sz w:val="20"/>
          <w:szCs w:val="20"/>
          <w:color w:val="auto"/>
        </w:rPr>
      </w:pPr>
      <w:r>
        <w:rPr>
          <w:rFonts w:ascii="Arial" w:cs="Arial" w:eastAsia="Arial" w:hAnsi="Arial"/>
          <w:sz w:val="18"/>
          <w:szCs w:val="18"/>
          <w:color w:val="auto"/>
        </w:rPr>
        <w:t>The forward purchase shares will be identical to the shares of Class A common stock included in the units being sold in this offering, except that they will not be transferable, assignable or salable until 30 days after the completion of our initial business combination, except as described herein under “Principal Stockholders — Transfers of Founder Shares, Private Placement Warrants and Forward Purchase Shares,” and will be subject to registration rights.</w:t>
      </w:r>
    </w:p>
    <w:p>
      <w:pPr>
        <w:spacing w:after="0" w:line="176" w:lineRule="exact"/>
        <w:rPr>
          <w:sz w:val="20"/>
          <w:szCs w:val="20"/>
          <w:color w:val="auto"/>
        </w:rPr>
      </w:pPr>
    </w:p>
    <w:p>
      <w:pPr>
        <w:ind w:left="540"/>
        <w:spacing w:after="0"/>
        <w:tabs>
          <w:tab w:leader="none" w:pos="3700" w:val="left"/>
        </w:tabs>
        <w:rPr>
          <w:sz w:val="20"/>
          <w:szCs w:val="20"/>
          <w:color w:val="auto"/>
        </w:rPr>
      </w:pPr>
      <w:r>
        <w:rPr>
          <w:rFonts w:ascii="Arial" w:cs="Arial" w:eastAsia="Arial" w:hAnsi="Arial"/>
          <w:sz w:val="18"/>
          <w:szCs w:val="18"/>
          <w:color w:val="auto"/>
        </w:rPr>
        <w:t>Founder shares</w:t>
      </w:r>
      <w:r>
        <w:rPr>
          <w:sz w:val="20"/>
          <w:szCs w:val="20"/>
          <w:color w:val="auto"/>
        </w:rPr>
        <w:tab/>
      </w:r>
      <w:r>
        <w:rPr>
          <w:rFonts w:ascii="Arial" w:cs="Arial" w:eastAsia="Arial" w:hAnsi="Arial"/>
          <w:sz w:val="18"/>
          <w:szCs w:val="18"/>
          <w:color w:val="auto"/>
        </w:rPr>
        <w:t>During the period ended July 16, 2020, our sponsor paid</w:t>
      </w:r>
    </w:p>
    <w:p>
      <w:pPr>
        <w:ind w:left="3720" w:right="619"/>
        <w:spacing w:after="0" w:line="250" w:lineRule="auto"/>
        <w:rPr>
          <w:sz w:val="20"/>
          <w:szCs w:val="20"/>
          <w:color w:val="auto"/>
        </w:rPr>
      </w:pPr>
      <w:r>
        <w:rPr>
          <w:rFonts w:ascii="Arial" w:cs="Arial" w:eastAsia="Arial" w:hAnsi="Arial"/>
          <w:sz w:val="17"/>
          <w:szCs w:val="17"/>
          <w:color w:val="auto"/>
        </w:rPr>
        <w:t>$25,000, or approximately $0.002 per share, to cover certain of our offering costs in consideration of 10,062,500 founder shares. Prior to the initial investment in the company of $25,000 by the sponsor, the company had no assets, tangible or intangible. The per share price of the founder shares was determined by dividing the amount of cash contributed to the company by the number of founder shares issued. The number of founder shares outstanding was determined based on the expectation that the total size of this offering would be a maximum of 40,250,000 units if the underwriters’ over-allotment option is exercised in full, and therefore that such founder shares would represent 20% of the outstanding shares after this offering.</w:t>
      </w:r>
    </w:p>
    <w:p>
      <w:pPr>
        <w:sectPr>
          <w:pgSz w:w="11900" w:h="16838" w:orient="portrait"/>
          <w:cols w:equalWidth="0" w:num="1">
            <w:col w:w="9019"/>
          </w:cols>
          <w:pgMar w:left="1440" w:top="512" w:right="1440" w:bottom="657"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512" w:right="1440" w:bottom="657" w:gutter="0" w:footer="0" w:header="0"/>
          <w:type w:val="continuous"/>
        </w:sectPr>
      </w:pPr>
    </w:p>
    <w:bookmarkStart w:id="20" w:name="page21"/>
    <w:bookmarkEnd w:id="20"/>
    <w:p>
      <w:pPr>
        <w:ind w:left="3720" w:right="579"/>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97231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7310" cy="9723120"/>
                    </a:xfrm>
                    <a:prstGeom prst="rect">
                      <a:avLst/>
                    </a:prstGeom>
                    <a:noFill/>
                  </pic:spPr>
                </pic:pic>
              </a:graphicData>
            </a:graphic>
          </wp:anchor>
        </w:drawing>
        <w:t>Up to 1,312,500 of the founder shares will be forfeited depending on the extent to which the underwriters’ over-allotment option is not exercised. If we increase or decrease the size of the offering pursuant to Rule 462(b) under the Securities Act, we will effect a stock dividend or share contribution back to capital or other appropriate mechanism, as applicable, with respect to our Class B common stock immediately prior to the consummation of the offering in such amount as to maintain the ownership of founder shares by our initial stockholders, on an as-converted basis, at 20.0% of our issued and outstanding common stock upon the consummation of this offering.</w:t>
      </w:r>
    </w:p>
    <w:p>
      <w:pPr>
        <w:spacing w:after="0" w:line="177" w:lineRule="exact"/>
        <w:rPr>
          <w:sz w:val="20"/>
          <w:szCs w:val="20"/>
          <w:color w:val="auto"/>
        </w:rPr>
      </w:pPr>
    </w:p>
    <w:p>
      <w:pPr>
        <w:ind w:left="3720" w:right="759"/>
        <w:spacing w:after="0"/>
        <w:rPr>
          <w:sz w:val="20"/>
          <w:szCs w:val="20"/>
          <w:color w:val="auto"/>
        </w:rPr>
      </w:pPr>
      <w:r>
        <w:rPr>
          <w:rFonts w:ascii="Arial" w:cs="Arial" w:eastAsia="Arial" w:hAnsi="Arial"/>
          <w:sz w:val="18"/>
          <w:szCs w:val="18"/>
          <w:color w:val="auto"/>
        </w:rPr>
        <w:t>The founder shares are identical to the shares of Class A common stock included in the units being sold in this offering, except that:</w:t>
      </w:r>
    </w:p>
    <w:p>
      <w:pPr>
        <w:spacing w:after="0" w:line="176" w:lineRule="exact"/>
        <w:rPr>
          <w:sz w:val="20"/>
          <w:szCs w:val="20"/>
          <w:color w:val="auto"/>
        </w:rPr>
      </w:pPr>
    </w:p>
    <w:p>
      <w:pPr>
        <w:ind w:left="4160" w:right="979" w:hanging="214"/>
        <w:spacing w:after="0" w:line="246" w:lineRule="auto"/>
        <w:tabs>
          <w:tab w:leader="none" w:pos="4157"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founder shares are subject to certain transfer restrictions, as described in more detail below;</w:t>
      </w:r>
    </w:p>
    <w:p>
      <w:pPr>
        <w:spacing w:after="0" w:line="169" w:lineRule="exact"/>
        <w:rPr>
          <w:rFonts w:ascii="Arial" w:cs="Arial" w:eastAsia="Arial" w:hAnsi="Arial"/>
          <w:sz w:val="18"/>
          <w:szCs w:val="18"/>
          <w:color w:val="auto"/>
        </w:rPr>
      </w:pPr>
    </w:p>
    <w:p>
      <w:pPr>
        <w:ind w:left="4160" w:hanging="214"/>
        <w:spacing w:after="0"/>
        <w:tabs>
          <w:tab w:leader="none" w:pos="4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founder shares are entitled to registration rights;</w:t>
      </w:r>
    </w:p>
    <w:p>
      <w:pPr>
        <w:spacing w:after="0" w:line="184" w:lineRule="exact"/>
        <w:rPr>
          <w:rFonts w:ascii="Arial" w:cs="Arial" w:eastAsia="Arial" w:hAnsi="Arial"/>
          <w:sz w:val="18"/>
          <w:szCs w:val="18"/>
          <w:color w:val="auto"/>
        </w:rPr>
      </w:pPr>
    </w:p>
    <w:p>
      <w:pPr>
        <w:ind w:left="4160" w:right="579" w:hanging="214"/>
        <w:spacing w:after="0" w:line="234" w:lineRule="auto"/>
        <w:tabs>
          <w:tab w:leader="none" w:pos="4157"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initial stockholders, sponsor, officers and directors have entered into a letter agreement with us, pursuant to which they have agreed to (i) waive their redemption rights with respect to any founder shares and public shares they hold in connection with the completion of our initial business combination,</w:t>
      </w:r>
    </w:p>
    <w:p>
      <w:pPr>
        <w:spacing w:after="0" w:line="4" w:lineRule="exact"/>
        <w:rPr>
          <w:rFonts w:ascii="Arial" w:cs="Arial" w:eastAsia="Arial" w:hAnsi="Arial"/>
          <w:sz w:val="18"/>
          <w:szCs w:val="18"/>
          <w:color w:val="auto"/>
        </w:rPr>
      </w:pPr>
    </w:p>
    <w:p>
      <w:pPr>
        <w:ind w:left="4160" w:right="579"/>
        <w:spacing w:after="0" w:line="235" w:lineRule="auto"/>
        <w:rPr>
          <w:rFonts w:ascii="Arial" w:cs="Arial" w:eastAsia="Arial" w:hAnsi="Arial"/>
          <w:sz w:val="18"/>
          <w:szCs w:val="18"/>
          <w:color w:val="auto"/>
        </w:rPr>
      </w:pPr>
      <w:r>
        <w:rPr>
          <w:rFonts w:ascii="Arial" w:cs="Arial" w:eastAsia="Arial" w:hAnsi="Arial"/>
          <w:sz w:val="18"/>
          <w:szCs w:val="18"/>
          <w:color w:val="auto"/>
        </w:rPr>
        <w:t>(ii) waive their redemption rights with respect to any founder shares and public shares they hold in connection with a stockholder vote to approve an amendment to our amended and restated certificate of incorporation to modify the substance or timing of our obligation to redeem 100% of our public shares if we have not consummated an initial business combination within 24 months from the closing of this offering or with respect to any other material provisions relating to stockholders’ rights or pre-initial business combination activity and (iii) waive their rights to liquidating distributions from the trust account with respect to any founder shares they hold if we fail to complete our initial business combination within 24 months from the closing of this offering or any extended period of time that we may have to consummate an initial business combination as a result of an amendment to our amended and restated certificate of incorporation (an “Extension Period”) (although they will be entitled to liquidating distributions from the trust account with respect to any public shares they hold if we fail to complete our initial business combination within the prescribed time frame). If we submit our initial business combination to our public stockholders for a vote, our initial stockholders have agreed to vote their founder shares and any public shares purchased during or after this offering in favor of our initial business combination. As a result, in addition to our initial stockholders’ founder shares, we would need 13,125,001, or 37.5%, of the 35,000,000 public shares sold in this offering to be voted in favor of an initial business combination in order to have our initial business combination approved (assuming all outstanding shares are voted and the over-allotment option is not exercised); and</w:t>
      </w:r>
    </w:p>
    <w:p>
      <w:pPr>
        <w:spacing w:after="0" w:line="182" w:lineRule="exact"/>
        <w:rPr>
          <w:rFonts w:ascii="Arial" w:cs="Arial" w:eastAsia="Arial" w:hAnsi="Arial"/>
          <w:sz w:val="18"/>
          <w:szCs w:val="18"/>
          <w:color w:val="auto"/>
        </w:rPr>
      </w:pPr>
    </w:p>
    <w:p>
      <w:pPr>
        <w:ind w:left="4160" w:right="599" w:hanging="214"/>
        <w:spacing w:after="0" w:line="237" w:lineRule="auto"/>
        <w:tabs>
          <w:tab w:leader="none" w:pos="4157"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founder shares are automatically convertible into our Class A common stock concurrently with or immediately following the consummation of our initial business combination on a one-for-one basis, subject to adjustment pursuant to certain anti-dilution rights, as described below adjacent to the caption “Founder shares conversion and anti-dilution rights.”</w:t>
      </w:r>
    </w:p>
    <w:p>
      <w:pPr>
        <w:sectPr>
          <w:pgSz w:w="11900" w:h="16838" w:orient="portrait"/>
          <w:cols w:equalWidth="0" w:num="1">
            <w:col w:w="9019"/>
          </w:cols>
          <w:pgMar w:left="1440" w:top="517" w:right="1440" w:bottom="455"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17" w:right="1440" w:bottom="455" w:gutter="0" w:footer="0" w:header="0"/>
          <w:type w:val="continuous"/>
        </w:sectPr>
      </w:pPr>
    </w:p>
    <w:bookmarkStart w:id="21" w:name="page22"/>
    <w:bookmarkEnd w:id="21"/>
    <w:p>
      <w:pPr>
        <w:ind w:left="540"/>
        <w:spacing w:after="0"/>
        <w:tabs>
          <w:tab w:leader="none" w:pos="37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7630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7310" cy="8763000"/>
                    </a:xfrm>
                    <a:prstGeom prst="rect">
                      <a:avLst/>
                    </a:prstGeom>
                    <a:noFill/>
                  </pic:spPr>
                </pic:pic>
              </a:graphicData>
            </a:graphic>
          </wp:anchor>
        </w:drawing>
        <w:t>Transfer restrictions on founder</w:t>
      </w:r>
      <w:r>
        <w:rPr>
          <w:sz w:val="20"/>
          <w:szCs w:val="20"/>
          <w:color w:val="auto"/>
        </w:rPr>
        <w:tab/>
      </w:r>
      <w:r>
        <w:rPr>
          <w:rFonts w:ascii="Arial" w:cs="Arial" w:eastAsia="Arial" w:hAnsi="Arial"/>
          <w:sz w:val="18"/>
          <w:szCs w:val="18"/>
          <w:color w:val="auto"/>
        </w:rPr>
        <w:t>Our initial stockholders have agreed not to transfer, assign</w:t>
      </w:r>
    </w:p>
    <w:p>
      <w:pPr>
        <w:ind w:left="720"/>
        <w:spacing w:after="0" w:line="234" w:lineRule="auto"/>
        <w:tabs>
          <w:tab w:leader="none" w:pos="3700" w:val="left"/>
        </w:tabs>
        <w:rPr>
          <w:sz w:val="20"/>
          <w:szCs w:val="20"/>
          <w:color w:val="auto"/>
        </w:rPr>
      </w:pPr>
      <w:r>
        <w:rPr>
          <w:rFonts w:ascii="Arial" w:cs="Arial" w:eastAsia="Arial" w:hAnsi="Arial"/>
          <w:sz w:val="18"/>
          <w:szCs w:val="18"/>
          <w:color w:val="auto"/>
        </w:rPr>
        <w:t>shares</w:t>
      </w:r>
      <w:r>
        <w:rPr>
          <w:sz w:val="20"/>
          <w:szCs w:val="20"/>
          <w:color w:val="auto"/>
        </w:rPr>
        <w:tab/>
      </w:r>
      <w:r>
        <w:rPr>
          <w:rFonts w:ascii="Arial" w:cs="Arial" w:eastAsia="Arial" w:hAnsi="Arial"/>
          <w:sz w:val="18"/>
          <w:szCs w:val="18"/>
          <w:color w:val="auto"/>
        </w:rPr>
        <w:t>or sell any of their founder shares until the earlier to occur</w:t>
      </w:r>
    </w:p>
    <w:p>
      <w:pPr>
        <w:spacing w:after="0" w:line="1" w:lineRule="exact"/>
        <w:rPr>
          <w:sz w:val="20"/>
          <w:szCs w:val="20"/>
          <w:color w:val="auto"/>
        </w:rPr>
      </w:pPr>
    </w:p>
    <w:p>
      <w:pPr>
        <w:ind w:left="3720" w:right="559"/>
        <w:spacing w:after="0" w:line="235" w:lineRule="auto"/>
        <w:rPr>
          <w:sz w:val="20"/>
          <w:szCs w:val="20"/>
          <w:color w:val="auto"/>
        </w:rPr>
      </w:pPr>
      <w:r>
        <w:rPr>
          <w:rFonts w:ascii="Arial" w:cs="Arial" w:eastAsia="Arial" w:hAnsi="Arial"/>
          <w:sz w:val="18"/>
          <w:szCs w:val="18"/>
          <w:color w:val="auto"/>
        </w:rPr>
        <w:t>of: (i) one year after the completion of our initial business combination and (ii) the date on which we complete a liquidation, merger, capital stock exchange or other similar transaction after our initial business combination that results in all of our stockholders having the right to exchange their Class A common stock for cash, securities or other property; except to certain permitted transferees and under certain circumstances as described herein under “Principal Stockholders — Transfers of Founder Shares, Private Placement Warrants and Forward Purchase Shares”. Any permitted transferees will be subject to the same restrictions and other agreements of our initial stockholders with respect to any founder shares. We refer to such transfer restrictions throughout this prospectus as the lock-up. Notwithstanding the foregoing, if (1) the closing price of our Class A common stock equals or exceeds $12.00 per share (as adjusted for stock splits, stock capitalizations, reorganizations, recapitalizations and the like) for any 20 trading days within any 30-trading day period commencing at least 150 days after our initial business combination or (2) if we consummate a transaction after our initial business combination which results in our stockholders having the right to exchange their shares for cash, securities or other property, the founder shares will be released from the lock-up.</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Founder shares conversion and</w:t>
      </w:r>
    </w:p>
    <w:p>
      <w:pPr>
        <w:ind w:left="720"/>
        <w:spacing w:after="0" w:line="234" w:lineRule="auto"/>
        <w:tabs>
          <w:tab w:leader="none" w:pos="3700" w:val="left"/>
        </w:tabs>
        <w:rPr>
          <w:sz w:val="20"/>
          <w:szCs w:val="20"/>
          <w:color w:val="auto"/>
        </w:rPr>
      </w:pPr>
      <w:r>
        <w:rPr>
          <w:rFonts w:ascii="Arial" w:cs="Arial" w:eastAsia="Arial" w:hAnsi="Arial"/>
          <w:sz w:val="18"/>
          <w:szCs w:val="18"/>
          <w:color w:val="auto"/>
        </w:rPr>
        <w:t>anti-dilution rights</w:t>
      </w:r>
      <w:r>
        <w:rPr>
          <w:sz w:val="20"/>
          <w:szCs w:val="20"/>
          <w:color w:val="auto"/>
        </w:rPr>
        <w:tab/>
      </w:r>
      <w:r>
        <w:rPr>
          <w:rFonts w:ascii="Arial" w:cs="Arial" w:eastAsia="Arial" w:hAnsi="Arial"/>
          <w:sz w:val="18"/>
          <w:szCs w:val="18"/>
          <w:color w:val="auto"/>
        </w:rPr>
        <w:t>The founder shares will automatically convert into shares</w:t>
      </w:r>
    </w:p>
    <w:p>
      <w:pPr>
        <w:spacing w:after="0" w:line="1" w:lineRule="exact"/>
        <w:rPr>
          <w:sz w:val="20"/>
          <w:szCs w:val="20"/>
          <w:color w:val="auto"/>
        </w:rPr>
      </w:pPr>
    </w:p>
    <w:p>
      <w:pPr>
        <w:ind w:left="3720" w:right="599"/>
        <w:spacing w:after="0" w:line="235" w:lineRule="auto"/>
        <w:rPr>
          <w:sz w:val="20"/>
          <w:szCs w:val="20"/>
          <w:color w:val="auto"/>
        </w:rPr>
      </w:pPr>
      <w:r>
        <w:rPr>
          <w:rFonts w:ascii="Arial" w:cs="Arial" w:eastAsia="Arial" w:hAnsi="Arial"/>
          <w:sz w:val="18"/>
          <w:szCs w:val="18"/>
          <w:color w:val="auto"/>
        </w:rPr>
        <w:t>of Class A common stock concurrently with or immediately following the consummation of our initial business combination on a one-for-one basis, subject to adjustment for stock splits, stock dividends, reorganizations, recapitalizations and the like, and subject to further adjustment as provided herein. In the case that additional shares of Class A common stock or equity-linked securities are issued or deemed issued in connection with our initial business combination, the number of shares of Class A common stock issuable upon conversion of all founder shares will equal, in the aggregate, on an as-converted basis, 20% of the total number of shares of Class A common stock outstanding after such conversion (after giving effect to any redemptions of shares of Class A common stock by public stockholders), including the total number of shares of Class A common stock issued, or deemed issued or issuable upon conversion or exercise of any equity-linked securities or rights issued or deemed issued, by the Company in connection with or in relation to the consummation of the initial business combination (including any forward purchase shares), excluding any shares of Class A common stock or equity-linked securities or rights exercisable for or convertible into shares of Class A common stock issued, or to be issued, to any seller in the initial business combination and any private placement warrants issued to our sponsor, officers or directors upon conversion of working capital loans, provided that such conversion of founder shares will never occur on a less than one-for-one basis. The term “equity-linked securities” refers to any debt or equity securities that are convertible, exercisable or exchangeable for our shares of Class A common stock issued in a financing transaction in connection with our initial business combination, including, but not limited to, a private placement of equity or debt.</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22" w:name="page23"/>
    <w:bookmarkEnd w:id="22"/>
    <w:p>
      <w:pPr>
        <w:ind w:left="540"/>
        <w:spacing w:after="0"/>
        <w:tabs>
          <w:tab w:leader="none" w:pos="37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8404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7310" cy="8840470"/>
                    </a:xfrm>
                    <a:prstGeom prst="rect">
                      <a:avLst/>
                    </a:prstGeom>
                    <a:noFill/>
                  </pic:spPr>
                </pic:pic>
              </a:graphicData>
            </a:graphic>
          </wp:anchor>
        </w:drawing>
        <w:t>Voting Rights</w:t>
      </w:r>
      <w:r>
        <w:rPr>
          <w:sz w:val="20"/>
          <w:szCs w:val="20"/>
          <w:color w:val="auto"/>
        </w:rPr>
        <w:tab/>
      </w:r>
      <w:r>
        <w:rPr>
          <w:rFonts w:ascii="Arial" w:cs="Arial" w:eastAsia="Arial" w:hAnsi="Arial"/>
          <w:sz w:val="17"/>
          <w:szCs w:val="17"/>
          <w:color w:val="auto"/>
        </w:rPr>
        <w:t>Holders of record of our Class A common stock and</w:t>
      </w:r>
    </w:p>
    <w:p>
      <w:pPr>
        <w:ind w:left="3720" w:right="599"/>
        <w:spacing w:after="0" w:line="238" w:lineRule="auto"/>
        <w:rPr>
          <w:sz w:val="20"/>
          <w:szCs w:val="20"/>
          <w:color w:val="auto"/>
        </w:rPr>
      </w:pPr>
      <w:r>
        <w:rPr>
          <w:rFonts w:ascii="Arial" w:cs="Arial" w:eastAsia="Arial" w:hAnsi="Arial"/>
          <w:sz w:val="18"/>
          <w:szCs w:val="18"/>
          <w:color w:val="auto"/>
        </w:rPr>
        <w:t>holders of record of our Class B common stock will vote together as a single class on all matters submitted to a vote of our stockholders, with each share of common stock entitling the holder to one vote except as required by law.</w:t>
      </w:r>
    </w:p>
    <w:p>
      <w:pPr>
        <w:spacing w:after="0" w:line="173" w:lineRule="exact"/>
        <w:rPr>
          <w:sz w:val="20"/>
          <w:szCs w:val="20"/>
          <w:color w:val="auto"/>
        </w:rPr>
      </w:pPr>
    </w:p>
    <w:p>
      <w:pPr>
        <w:ind w:left="540"/>
        <w:spacing w:after="0"/>
        <w:tabs>
          <w:tab w:leader="none" w:pos="3700" w:val="left"/>
        </w:tabs>
        <w:rPr>
          <w:sz w:val="20"/>
          <w:szCs w:val="20"/>
          <w:color w:val="auto"/>
        </w:rPr>
      </w:pPr>
      <w:r>
        <w:rPr>
          <w:rFonts w:ascii="Arial" w:cs="Arial" w:eastAsia="Arial" w:hAnsi="Arial"/>
          <w:sz w:val="18"/>
          <w:szCs w:val="18"/>
          <w:color w:val="auto"/>
        </w:rPr>
        <w:t>Private placement warrants</w:t>
      </w:r>
      <w:r>
        <w:rPr>
          <w:sz w:val="20"/>
          <w:szCs w:val="20"/>
          <w:color w:val="auto"/>
        </w:rPr>
        <w:tab/>
      </w:r>
      <w:r>
        <w:rPr>
          <w:rFonts w:ascii="Arial" w:cs="Arial" w:eastAsia="Arial" w:hAnsi="Arial"/>
          <w:sz w:val="18"/>
          <w:szCs w:val="18"/>
          <w:color w:val="auto"/>
        </w:rPr>
        <w:t>Our sponsor has committed, pursuant to a written</w:t>
      </w:r>
    </w:p>
    <w:p>
      <w:pPr>
        <w:ind w:left="3720" w:right="559"/>
        <w:spacing w:after="0" w:line="235" w:lineRule="auto"/>
        <w:rPr>
          <w:sz w:val="20"/>
          <w:szCs w:val="20"/>
          <w:color w:val="auto"/>
        </w:rPr>
      </w:pPr>
      <w:r>
        <w:rPr>
          <w:rFonts w:ascii="Arial" w:cs="Arial" w:eastAsia="Arial" w:hAnsi="Arial"/>
          <w:sz w:val="18"/>
          <w:szCs w:val="18"/>
          <w:color w:val="auto"/>
        </w:rPr>
        <w:t>agreement, to purchase an aggregate of 6,000,000 private placement warrants (or 6,700,000 warrants if the underwriters’ over-allotment option is exercised in full), each exercisable to purchase one share of Class A common stock at $11.50 per share, at a price of $1.50 per warrant, or $9,000,000 in the aggregate (or $10,050,000 if the underwriters’ over-allotment option is exercised in full), in a private placement that will close simultaneously with the closing of this offering. A portion of the purchase price of the private placement warrants will be added to the proceeds from this offering to be held in the trust account such that at the time of closing of this offering $350.0 million (or $402.5 million if the underwriters exercise their over-allotment option in full) will be held in the trust account. If we do not complete our initial business combination within 24 months from the closing of this offering, the private placement warrants will expire worthless. The private placement warrants will be non-redeemable and exercisable on a cashless basis so long as they are held by their initial purchasers or their permitted transferees. If the private placement warrants are held by holders other than their initial purchasers or their permitted transferees, the private placement warrants will be redeemable by us and exercisable by the holders on the same basis as the warrants included in the units being sold in this offering.</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Transfer restrictions on private</w:t>
      </w:r>
    </w:p>
    <w:p>
      <w:pPr>
        <w:ind w:left="720"/>
        <w:spacing w:after="0" w:line="234" w:lineRule="auto"/>
        <w:tabs>
          <w:tab w:leader="none" w:pos="3700" w:val="left"/>
        </w:tabs>
        <w:rPr>
          <w:sz w:val="20"/>
          <w:szCs w:val="20"/>
          <w:color w:val="auto"/>
        </w:rPr>
      </w:pPr>
      <w:r>
        <w:rPr>
          <w:rFonts w:ascii="Arial" w:cs="Arial" w:eastAsia="Arial" w:hAnsi="Arial"/>
          <w:sz w:val="18"/>
          <w:szCs w:val="18"/>
          <w:color w:val="auto"/>
        </w:rPr>
        <w:t>placement warrants</w:t>
      </w:r>
      <w:r>
        <w:rPr>
          <w:sz w:val="20"/>
          <w:szCs w:val="20"/>
          <w:color w:val="auto"/>
        </w:rPr>
        <w:tab/>
      </w:r>
      <w:r>
        <w:rPr>
          <w:rFonts w:ascii="Arial" w:cs="Arial" w:eastAsia="Arial" w:hAnsi="Arial"/>
          <w:sz w:val="18"/>
          <w:szCs w:val="18"/>
          <w:color w:val="auto"/>
        </w:rPr>
        <w:t>The private placement warrants (including the Class A</w:t>
      </w:r>
    </w:p>
    <w:p>
      <w:pPr>
        <w:spacing w:after="0" w:line="1" w:lineRule="exact"/>
        <w:rPr>
          <w:sz w:val="20"/>
          <w:szCs w:val="20"/>
          <w:color w:val="auto"/>
        </w:rPr>
      </w:pPr>
    </w:p>
    <w:p>
      <w:pPr>
        <w:ind w:left="3720" w:right="639"/>
        <w:spacing w:after="0" w:line="237" w:lineRule="auto"/>
        <w:rPr>
          <w:sz w:val="20"/>
          <w:szCs w:val="20"/>
          <w:color w:val="auto"/>
        </w:rPr>
      </w:pPr>
      <w:r>
        <w:rPr>
          <w:rFonts w:ascii="Arial" w:cs="Arial" w:eastAsia="Arial" w:hAnsi="Arial"/>
          <w:sz w:val="18"/>
          <w:szCs w:val="18"/>
          <w:color w:val="auto"/>
        </w:rPr>
        <w:t>common stock issuable upon exercise of the private placement warrants) will not be transferable, assignable or salable until 30 days after the completion of our initial business combination, except as described herein under “Principal Stockholders — Transfers of Founder Shares, Private Placement Warrants and Forward Purchase Shares”.</w:t>
      </w:r>
    </w:p>
    <w:p>
      <w:pPr>
        <w:spacing w:after="0" w:line="171" w:lineRule="exact"/>
        <w:rPr>
          <w:sz w:val="20"/>
          <w:szCs w:val="20"/>
          <w:color w:val="auto"/>
        </w:rPr>
      </w:pPr>
    </w:p>
    <w:p>
      <w:pPr>
        <w:ind w:left="540"/>
        <w:spacing w:after="0"/>
        <w:tabs>
          <w:tab w:leader="none" w:pos="3700" w:val="left"/>
        </w:tabs>
        <w:rPr>
          <w:sz w:val="20"/>
          <w:szCs w:val="20"/>
          <w:color w:val="auto"/>
        </w:rPr>
      </w:pPr>
      <w:r>
        <w:rPr>
          <w:rFonts w:ascii="Arial" w:cs="Arial" w:eastAsia="Arial" w:hAnsi="Arial"/>
          <w:sz w:val="18"/>
          <w:szCs w:val="18"/>
          <w:color w:val="auto"/>
        </w:rPr>
        <w:t>Proceeds to be held in trust account</w:t>
      </w:r>
      <w:r>
        <w:rPr>
          <w:sz w:val="20"/>
          <w:szCs w:val="20"/>
          <w:color w:val="auto"/>
        </w:rPr>
        <w:tab/>
      </w:r>
      <w:r>
        <w:rPr>
          <w:rFonts w:ascii="Arial" w:cs="Arial" w:eastAsia="Arial" w:hAnsi="Arial"/>
          <w:sz w:val="18"/>
          <w:szCs w:val="18"/>
          <w:color w:val="auto"/>
        </w:rPr>
        <w:t>Nasdaq rules provide that at least 90% of the gross</w:t>
      </w:r>
    </w:p>
    <w:p>
      <w:pPr>
        <w:ind w:left="3720"/>
        <w:spacing w:after="0" w:line="234" w:lineRule="auto"/>
        <w:rPr>
          <w:sz w:val="20"/>
          <w:szCs w:val="20"/>
          <w:color w:val="auto"/>
        </w:rPr>
      </w:pPr>
      <w:r>
        <w:rPr>
          <w:rFonts w:ascii="Arial" w:cs="Arial" w:eastAsia="Arial" w:hAnsi="Arial"/>
          <w:sz w:val="18"/>
          <w:szCs w:val="18"/>
          <w:color w:val="auto"/>
        </w:rPr>
        <w:t>proceeds from this offering and the sale of the private</w:t>
      </w:r>
    </w:p>
    <w:p>
      <w:pPr>
        <w:ind w:left="3720"/>
        <w:spacing w:after="0" w:line="235" w:lineRule="auto"/>
        <w:rPr>
          <w:sz w:val="20"/>
          <w:szCs w:val="20"/>
          <w:color w:val="auto"/>
        </w:rPr>
      </w:pPr>
      <w:r>
        <w:rPr>
          <w:rFonts w:ascii="Arial" w:cs="Arial" w:eastAsia="Arial" w:hAnsi="Arial"/>
          <w:sz w:val="18"/>
          <w:szCs w:val="18"/>
          <w:color w:val="auto"/>
        </w:rPr>
        <w:t>placement warrants be deposited in a trust account. Of the</w:t>
      </w:r>
    </w:p>
    <w:p>
      <w:pPr>
        <w:ind w:left="3720"/>
        <w:spacing w:after="0" w:line="235" w:lineRule="auto"/>
        <w:rPr>
          <w:sz w:val="20"/>
          <w:szCs w:val="20"/>
          <w:color w:val="auto"/>
        </w:rPr>
      </w:pPr>
      <w:r>
        <w:rPr>
          <w:rFonts w:ascii="Arial" w:cs="Arial" w:eastAsia="Arial" w:hAnsi="Arial"/>
          <w:sz w:val="18"/>
          <w:szCs w:val="18"/>
          <w:color w:val="auto"/>
        </w:rPr>
        <w:t>proceeds we will receive from this offering and the sale of</w:t>
      </w:r>
    </w:p>
    <w:p>
      <w:pPr>
        <w:ind w:left="3720"/>
        <w:spacing w:after="0" w:line="235" w:lineRule="auto"/>
        <w:rPr>
          <w:sz w:val="20"/>
          <w:szCs w:val="20"/>
          <w:color w:val="auto"/>
        </w:rPr>
      </w:pPr>
      <w:r>
        <w:rPr>
          <w:rFonts w:ascii="Arial" w:cs="Arial" w:eastAsia="Arial" w:hAnsi="Arial"/>
          <w:sz w:val="18"/>
          <w:szCs w:val="18"/>
          <w:color w:val="auto"/>
        </w:rPr>
        <w:t>the private placement warrants described in this</w:t>
      </w:r>
    </w:p>
    <w:p>
      <w:pPr>
        <w:ind w:left="3720"/>
        <w:spacing w:after="0" w:line="235" w:lineRule="auto"/>
        <w:rPr>
          <w:sz w:val="20"/>
          <w:szCs w:val="20"/>
          <w:color w:val="auto"/>
        </w:rPr>
      </w:pPr>
      <w:r>
        <w:rPr>
          <w:rFonts w:ascii="Arial" w:cs="Arial" w:eastAsia="Arial" w:hAnsi="Arial"/>
          <w:sz w:val="18"/>
          <w:szCs w:val="18"/>
          <w:color w:val="auto"/>
        </w:rPr>
        <w:t>prospectus, $350.0 million, or $402.5 million if the</w:t>
      </w:r>
    </w:p>
    <w:p>
      <w:pPr>
        <w:ind w:left="3720"/>
        <w:spacing w:after="0" w:line="234" w:lineRule="auto"/>
        <w:rPr>
          <w:sz w:val="20"/>
          <w:szCs w:val="20"/>
          <w:color w:val="auto"/>
        </w:rPr>
      </w:pPr>
      <w:r>
        <w:rPr>
          <w:rFonts w:ascii="Arial" w:cs="Arial" w:eastAsia="Arial" w:hAnsi="Arial"/>
          <w:sz w:val="18"/>
          <w:szCs w:val="18"/>
          <w:color w:val="auto"/>
        </w:rPr>
        <w:t>underwriters’ over-allotment option is exercised in full</w:t>
      </w:r>
    </w:p>
    <w:p>
      <w:pPr>
        <w:ind w:left="3720"/>
        <w:spacing w:after="0" w:line="235" w:lineRule="auto"/>
        <w:rPr>
          <w:sz w:val="20"/>
          <w:szCs w:val="20"/>
          <w:color w:val="auto"/>
        </w:rPr>
      </w:pPr>
      <w:r>
        <w:rPr>
          <w:rFonts w:ascii="Arial" w:cs="Arial" w:eastAsia="Arial" w:hAnsi="Arial"/>
          <w:sz w:val="18"/>
          <w:szCs w:val="18"/>
          <w:color w:val="auto"/>
        </w:rPr>
        <w:t>($10.00 per unit in either case), will be deposited into a</w:t>
      </w:r>
    </w:p>
    <w:p>
      <w:pPr>
        <w:ind w:left="3720"/>
        <w:spacing w:after="0" w:line="235" w:lineRule="auto"/>
        <w:rPr>
          <w:sz w:val="20"/>
          <w:szCs w:val="20"/>
          <w:color w:val="auto"/>
        </w:rPr>
      </w:pPr>
      <w:r>
        <w:rPr>
          <w:rFonts w:ascii="Arial" w:cs="Arial" w:eastAsia="Arial" w:hAnsi="Arial"/>
          <w:sz w:val="18"/>
          <w:szCs w:val="18"/>
          <w:color w:val="auto"/>
        </w:rPr>
        <w:t>segregated trust account located in the United States at</w:t>
      </w:r>
    </w:p>
    <w:p>
      <w:pPr>
        <w:ind w:left="3720"/>
        <w:spacing w:after="0" w:line="235" w:lineRule="auto"/>
        <w:rPr>
          <w:sz w:val="20"/>
          <w:szCs w:val="20"/>
          <w:color w:val="auto"/>
        </w:rPr>
      </w:pPr>
      <w:r>
        <w:rPr>
          <w:rFonts w:ascii="Arial" w:cs="Arial" w:eastAsia="Arial" w:hAnsi="Arial"/>
          <w:sz w:val="18"/>
          <w:szCs w:val="18"/>
          <w:color w:val="auto"/>
        </w:rPr>
        <w:t>Morgan Stanley, N.A. with Continental Stock Transfer &amp;</w:t>
      </w:r>
    </w:p>
    <w:p>
      <w:pPr>
        <w:ind w:left="3720"/>
        <w:spacing w:after="0" w:line="235" w:lineRule="auto"/>
        <w:rPr>
          <w:sz w:val="20"/>
          <w:szCs w:val="20"/>
          <w:color w:val="auto"/>
        </w:rPr>
      </w:pPr>
      <w:r>
        <w:rPr>
          <w:rFonts w:ascii="Arial" w:cs="Arial" w:eastAsia="Arial" w:hAnsi="Arial"/>
          <w:sz w:val="18"/>
          <w:szCs w:val="18"/>
          <w:color w:val="auto"/>
        </w:rPr>
        <w:t>Trust Company acting as trustee, after deducting</w:t>
      </w:r>
    </w:p>
    <w:p>
      <w:pPr>
        <w:ind w:left="3720"/>
        <w:spacing w:after="0" w:line="234" w:lineRule="auto"/>
        <w:rPr>
          <w:sz w:val="20"/>
          <w:szCs w:val="20"/>
          <w:color w:val="auto"/>
        </w:rPr>
      </w:pPr>
      <w:r>
        <w:rPr>
          <w:rFonts w:ascii="Arial" w:cs="Arial" w:eastAsia="Arial" w:hAnsi="Arial"/>
          <w:sz w:val="18"/>
          <w:szCs w:val="18"/>
          <w:color w:val="auto"/>
        </w:rPr>
        <w:t>$7,000,000 in underwriting discounts and commissions</w:t>
      </w:r>
    </w:p>
    <w:p>
      <w:pPr>
        <w:ind w:left="3720"/>
        <w:spacing w:after="0" w:line="235" w:lineRule="auto"/>
        <w:rPr>
          <w:sz w:val="20"/>
          <w:szCs w:val="20"/>
          <w:color w:val="auto"/>
        </w:rPr>
      </w:pPr>
      <w:r>
        <w:rPr>
          <w:rFonts w:ascii="Arial" w:cs="Arial" w:eastAsia="Arial" w:hAnsi="Arial"/>
          <w:sz w:val="18"/>
          <w:szCs w:val="18"/>
          <w:color w:val="auto"/>
        </w:rPr>
        <w:t>payable upon the closing of this offering (or $8,050,000 if</w:t>
      </w:r>
    </w:p>
    <w:p>
      <w:pPr>
        <w:ind w:left="3720"/>
        <w:spacing w:after="0" w:line="235" w:lineRule="auto"/>
        <w:rPr>
          <w:sz w:val="20"/>
          <w:szCs w:val="20"/>
          <w:color w:val="auto"/>
        </w:rPr>
      </w:pPr>
      <w:r>
        <w:rPr>
          <w:rFonts w:ascii="Arial" w:cs="Arial" w:eastAsia="Arial" w:hAnsi="Arial"/>
          <w:sz w:val="18"/>
          <w:szCs w:val="18"/>
          <w:color w:val="auto"/>
        </w:rPr>
        <w:t>the underwriters’ over-allotment option is exercised in full)</w:t>
      </w:r>
    </w:p>
    <w:p>
      <w:pPr>
        <w:ind w:left="3720"/>
        <w:spacing w:after="0" w:line="235" w:lineRule="auto"/>
        <w:rPr>
          <w:sz w:val="20"/>
          <w:szCs w:val="20"/>
          <w:color w:val="auto"/>
        </w:rPr>
      </w:pPr>
      <w:r>
        <w:rPr>
          <w:rFonts w:ascii="Arial" w:cs="Arial" w:eastAsia="Arial" w:hAnsi="Arial"/>
          <w:sz w:val="18"/>
          <w:szCs w:val="18"/>
          <w:color w:val="auto"/>
        </w:rPr>
        <w:t>and an aggregate of $2.0 million to pay fees and expenses</w:t>
      </w:r>
    </w:p>
    <w:p>
      <w:pPr>
        <w:ind w:left="3720"/>
        <w:spacing w:after="0" w:line="235" w:lineRule="auto"/>
        <w:rPr>
          <w:sz w:val="20"/>
          <w:szCs w:val="20"/>
          <w:color w:val="auto"/>
        </w:rPr>
      </w:pPr>
      <w:r>
        <w:rPr>
          <w:rFonts w:ascii="Arial" w:cs="Arial" w:eastAsia="Arial" w:hAnsi="Arial"/>
          <w:sz w:val="18"/>
          <w:szCs w:val="18"/>
          <w:color w:val="auto"/>
        </w:rPr>
        <w:t>in connection with the closing of this offering and for</w:t>
      </w:r>
    </w:p>
    <w:p>
      <w:pPr>
        <w:ind w:left="3720"/>
        <w:spacing w:after="0" w:line="234" w:lineRule="auto"/>
        <w:rPr>
          <w:sz w:val="20"/>
          <w:szCs w:val="20"/>
          <w:color w:val="auto"/>
        </w:rPr>
      </w:pPr>
      <w:r>
        <w:rPr>
          <w:rFonts w:ascii="Arial" w:cs="Arial" w:eastAsia="Arial" w:hAnsi="Arial"/>
          <w:sz w:val="18"/>
          <w:szCs w:val="18"/>
          <w:color w:val="auto"/>
        </w:rPr>
        <w:t>working capital following the closing of this offering. The</w:t>
      </w:r>
    </w:p>
    <w:p>
      <w:pPr>
        <w:ind w:left="3720"/>
        <w:spacing w:after="0" w:line="235" w:lineRule="auto"/>
        <w:rPr>
          <w:sz w:val="20"/>
          <w:szCs w:val="20"/>
          <w:color w:val="auto"/>
        </w:rPr>
      </w:pPr>
      <w:r>
        <w:rPr>
          <w:rFonts w:ascii="Arial" w:cs="Arial" w:eastAsia="Arial" w:hAnsi="Arial"/>
          <w:sz w:val="18"/>
          <w:szCs w:val="18"/>
          <w:color w:val="auto"/>
        </w:rPr>
        <w:t>proceeds to be placed in the trust account include</w:t>
      </w:r>
    </w:p>
    <w:p>
      <w:pPr>
        <w:ind w:left="3720"/>
        <w:spacing w:after="0" w:line="235" w:lineRule="auto"/>
        <w:rPr>
          <w:sz w:val="20"/>
          <w:szCs w:val="20"/>
          <w:color w:val="auto"/>
        </w:rPr>
      </w:pPr>
      <w:r>
        <w:rPr>
          <w:rFonts w:ascii="Arial" w:cs="Arial" w:eastAsia="Arial" w:hAnsi="Arial"/>
          <w:sz w:val="18"/>
          <w:szCs w:val="18"/>
          <w:color w:val="auto"/>
        </w:rPr>
        <w:t>$12,250,000 (or up to $14,087,500 if the underwriters’</w:t>
      </w:r>
    </w:p>
    <w:p>
      <w:pPr>
        <w:ind w:left="3720"/>
        <w:spacing w:after="0" w:line="235" w:lineRule="auto"/>
        <w:rPr>
          <w:sz w:val="20"/>
          <w:szCs w:val="20"/>
          <w:color w:val="auto"/>
        </w:rPr>
      </w:pPr>
      <w:r>
        <w:rPr>
          <w:rFonts w:ascii="Arial" w:cs="Arial" w:eastAsia="Arial" w:hAnsi="Arial"/>
          <w:sz w:val="18"/>
          <w:szCs w:val="18"/>
          <w:color w:val="auto"/>
        </w:rPr>
        <w:t>over-allotment option is exercised in full) in deferred</w:t>
      </w:r>
    </w:p>
    <w:p>
      <w:pPr>
        <w:ind w:left="3720"/>
        <w:spacing w:after="0"/>
        <w:rPr>
          <w:sz w:val="20"/>
          <w:szCs w:val="20"/>
          <w:color w:val="auto"/>
        </w:rPr>
      </w:pPr>
      <w:r>
        <w:rPr>
          <w:rFonts w:ascii="Arial" w:cs="Arial" w:eastAsia="Arial" w:hAnsi="Arial"/>
          <w:sz w:val="18"/>
          <w:szCs w:val="18"/>
          <w:color w:val="auto"/>
        </w:rPr>
        <w:t>underwriting commissions.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23" w:name="page24"/>
    <w:bookmarkEnd w:id="23"/>
    <w:p>
      <w:pPr>
        <w:ind w:left="40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4543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7310" cy="8454390"/>
                    </a:xfrm>
                    <a:prstGeom prst="rect">
                      <a:avLst/>
                    </a:prstGeom>
                    <a:noFill/>
                  </pic:spPr>
                </pic:pic>
              </a:graphicData>
            </a:graphic>
          </wp:anchor>
        </w:drawing>
        <w:t>Except with respect to interest earned on the funds held</w:t>
      </w:r>
    </w:p>
    <w:p>
      <w:pPr>
        <w:spacing w:after="0" w:line="3"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in the trust account that may be released to us to pay</w:t>
      </w:r>
    </w:p>
    <w:p>
      <w:pPr>
        <w:ind w:left="4020"/>
        <w:spacing w:after="0" w:line="234" w:lineRule="auto"/>
        <w:rPr>
          <w:sz w:val="20"/>
          <w:szCs w:val="20"/>
          <w:color w:val="auto"/>
        </w:rPr>
      </w:pPr>
      <w:r>
        <w:rPr>
          <w:rFonts w:ascii="Arial" w:cs="Arial" w:eastAsia="Arial" w:hAnsi="Arial"/>
          <w:sz w:val="18"/>
          <w:szCs w:val="18"/>
          <w:color w:val="auto"/>
        </w:rPr>
        <w:t>our taxes, the proceeds from this offering and the sale</w:t>
      </w:r>
    </w:p>
    <w:p>
      <w:pPr>
        <w:ind w:left="4020"/>
        <w:spacing w:after="0" w:line="235" w:lineRule="auto"/>
        <w:rPr>
          <w:sz w:val="20"/>
          <w:szCs w:val="20"/>
          <w:color w:val="auto"/>
        </w:rPr>
      </w:pPr>
      <w:r>
        <w:rPr>
          <w:rFonts w:ascii="Arial" w:cs="Arial" w:eastAsia="Arial" w:hAnsi="Arial"/>
          <w:sz w:val="18"/>
          <w:szCs w:val="18"/>
          <w:color w:val="auto"/>
        </w:rPr>
        <w:t>of the private placement warrants will not be released</w:t>
      </w:r>
    </w:p>
    <w:p>
      <w:pPr>
        <w:ind w:left="4020"/>
        <w:spacing w:after="0" w:line="235" w:lineRule="auto"/>
        <w:rPr>
          <w:sz w:val="20"/>
          <w:szCs w:val="20"/>
          <w:color w:val="auto"/>
        </w:rPr>
      </w:pPr>
      <w:r>
        <w:rPr>
          <w:rFonts w:ascii="Arial" w:cs="Arial" w:eastAsia="Arial" w:hAnsi="Arial"/>
          <w:sz w:val="18"/>
          <w:szCs w:val="18"/>
          <w:color w:val="auto"/>
        </w:rPr>
        <w:t>from the trust account until the earliest of (i) the</w:t>
      </w:r>
    </w:p>
    <w:p>
      <w:pPr>
        <w:ind w:left="4020"/>
        <w:spacing w:after="0" w:line="235" w:lineRule="auto"/>
        <w:rPr>
          <w:sz w:val="20"/>
          <w:szCs w:val="20"/>
          <w:color w:val="auto"/>
        </w:rPr>
      </w:pPr>
      <w:r>
        <w:rPr>
          <w:rFonts w:ascii="Arial" w:cs="Arial" w:eastAsia="Arial" w:hAnsi="Arial"/>
          <w:sz w:val="18"/>
          <w:szCs w:val="18"/>
          <w:color w:val="auto"/>
        </w:rPr>
        <w:t>completion of our initial business combination, (ii) the</w:t>
      </w:r>
    </w:p>
    <w:p>
      <w:pPr>
        <w:ind w:left="4020"/>
        <w:spacing w:after="0" w:line="235" w:lineRule="auto"/>
        <w:rPr>
          <w:sz w:val="20"/>
          <w:szCs w:val="20"/>
          <w:color w:val="auto"/>
        </w:rPr>
      </w:pPr>
      <w:r>
        <w:rPr>
          <w:rFonts w:ascii="Arial" w:cs="Arial" w:eastAsia="Arial" w:hAnsi="Arial"/>
          <w:sz w:val="18"/>
          <w:szCs w:val="18"/>
          <w:color w:val="auto"/>
        </w:rPr>
        <w:t>redemption of our public shares if we are unable to</w:t>
      </w:r>
    </w:p>
    <w:p>
      <w:pPr>
        <w:ind w:left="4020"/>
        <w:spacing w:after="0" w:line="234" w:lineRule="auto"/>
        <w:rPr>
          <w:sz w:val="20"/>
          <w:szCs w:val="20"/>
          <w:color w:val="auto"/>
        </w:rPr>
      </w:pPr>
      <w:r>
        <w:rPr>
          <w:rFonts w:ascii="Arial" w:cs="Arial" w:eastAsia="Arial" w:hAnsi="Arial"/>
          <w:sz w:val="18"/>
          <w:szCs w:val="18"/>
          <w:color w:val="auto"/>
        </w:rPr>
        <w:t>complete our initial business combination within 24</w:t>
      </w:r>
    </w:p>
    <w:p>
      <w:pPr>
        <w:ind w:left="4020"/>
        <w:spacing w:after="0" w:line="235" w:lineRule="auto"/>
        <w:rPr>
          <w:sz w:val="20"/>
          <w:szCs w:val="20"/>
          <w:color w:val="auto"/>
        </w:rPr>
      </w:pPr>
      <w:r>
        <w:rPr>
          <w:rFonts w:ascii="Arial" w:cs="Arial" w:eastAsia="Arial" w:hAnsi="Arial"/>
          <w:sz w:val="18"/>
          <w:szCs w:val="18"/>
          <w:color w:val="auto"/>
        </w:rPr>
        <w:t>months from the closing of this offering, subject to</w:t>
      </w:r>
    </w:p>
    <w:p>
      <w:pPr>
        <w:ind w:left="4020"/>
        <w:spacing w:after="0" w:line="235" w:lineRule="auto"/>
        <w:rPr>
          <w:sz w:val="20"/>
          <w:szCs w:val="20"/>
          <w:color w:val="auto"/>
        </w:rPr>
      </w:pPr>
      <w:r>
        <w:rPr>
          <w:rFonts w:ascii="Arial" w:cs="Arial" w:eastAsia="Arial" w:hAnsi="Arial"/>
          <w:sz w:val="18"/>
          <w:szCs w:val="18"/>
          <w:color w:val="auto"/>
        </w:rPr>
        <w:t>applicable law, and (iii) the redemption of our public</w:t>
      </w:r>
    </w:p>
    <w:p>
      <w:pPr>
        <w:ind w:left="4020"/>
        <w:spacing w:after="0" w:line="235" w:lineRule="auto"/>
        <w:rPr>
          <w:sz w:val="20"/>
          <w:szCs w:val="20"/>
          <w:color w:val="auto"/>
        </w:rPr>
      </w:pPr>
      <w:r>
        <w:rPr>
          <w:rFonts w:ascii="Arial" w:cs="Arial" w:eastAsia="Arial" w:hAnsi="Arial"/>
          <w:sz w:val="18"/>
          <w:szCs w:val="18"/>
          <w:color w:val="auto"/>
        </w:rPr>
        <w:t>shares properly submitted in connection with a</w:t>
      </w:r>
    </w:p>
    <w:p>
      <w:pPr>
        <w:ind w:left="4020"/>
        <w:spacing w:after="0" w:line="235" w:lineRule="auto"/>
        <w:rPr>
          <w:sz w:val="20"/>
          <w:szCs w:val="20"/>
          <w:color w:val="auto"/>
        </w:rPr>
      </w:pPr>
      <w:r>
        <w:rPr>
          <w:rFonts w:ascii="Arial" w:cs="Arial" w:eastAsia="Arial" w:hAnsi="Arial"/>
          <w:sz w:val="18"/>
          <w:szCs w:val="18"/>
          <w:color w:val="auto"/>
        </w:rPr>
        <w:t>stockholder vote to amend our amended and restated</w:t>
      </w:r>
    </w:p>
    <w:p>
      <w:pPr>
        <w:ind w:left="4020"/>
        <w:spacing w:after="0" w:line="234" w:lineRule="auto"/>
        <w:rPr>
          <w:sz w:val="20"/>
          <w:szCs w:val="20"/>
          <w:color w:val="auto"/>
        </w:rPr>
      </w:pPr>
      <w:r>
        <w:rPr>
          <w:rFonts w:ascii="Arial" w:cs="Arial" w:eastAsia="Arial" w:hAnsi="Arial"/>
          <w:sz w:val="18"/>
          <w:szCs w:val="18"/>
          <w:color w:val="auto"/>
        </w:rPr>
        <w:t>certificate of incorporation to modify the substance or</w:t>
      </w:r>
    </w:p>
    <w:p>
      <w:pPr>
        <w:ind w:left="4020"/>
        <w:spacing w:after="0" w:line="235" w:lineRule="auto"/>
        <w:rPr>
          <w:sz w:val="20"/>
          <w:szCs w:val="20"/>
          <w:color w:val="auto"/>
        </w:rPr>
      </w:pPr>
      <w:r>
        <w:rPr>
          <w:rFonts w:ascii="Arial" w:cs="Arial" w:eastAsia="Arial" w:hAnsi="Arial"/>
          <w:sz w:val="18"/>
          <w:szCs w:val="18"/>
          <w:color w:val="auto"/>
        </w:rPr>
        <w:t>timing of our obligation to redeem 100% of our public</w:t>
      </w:r>
    </w:p>
    <w:p>
      <w:pPr>
        <w:ind w:left="4020"/>
        <w:spacing w:after="0" w:line="235" w:lineRule="auto"/>
        <w:rPr>
          <w:sz w:val="20"/>
          <w:szCs w:val="20"/>
          <w:color w:val="auto"/>
        </w:rPr>
      </w:pPr>
      <w:r>
        <w:rPr>
          <w:rFonts w:ascii="Arial" w:cs="Arial" w:eastAsia="Arial" w:hAnsi="Arial"/>
          <w:sz w:val="18"/>
          <w:szCs w:val="18"/>
          <w:color w:val="auto"/>
        </w:rPr>
        <w:t>shares if we have not consummated an initial business</w:t>
      </w:r>
    </w:p>
    <w:p>
      <w:pPr>
        <w:ind w:left="4020"/>
        <w:spacing w:after="0" w:line="235" w:lineRule="auto"/>
        <w:rPr>
          <w:sz w:val="20"/>
          <w:szCs w:val="20"/>
          <w:color w:val="auto"/>
        </w:rPr>
      </w:pPr>
      <w:r>
        <w:rPr>
          <w:rFonts w:ascii="Arial" w:cs="Arial" w:eastAsia="Arial" w:hAnsi="Arial"/>
          <w:sz w:val="18"/>
          <w:szCs w:val="18"/>
          <w:color w:val="auto"/>
        </w:rPr>
        <w:t>combination within 24 months from the closing of this</w:t>
      </w:r>
    </w:p>
    <w:p>
      <w:pPr>
        <w:ind w:left="4020"/>
        <w:spacing w:after="0" w:line="235" w:lineRule="auto"/>
        <w:rPr>
          <w:sz w:val="20"/>
          <w:szCs w:val="20"/>
          <w:color w:val="auto"/>
        </w:rPr>
      </w:pPr>
      <w:r>
        <w:rPr>
          <w:rFonts w:ascii="Arial" w:cs="Arial" w:eastAsia="Arial" w:hAnsi="Arial"/>
          <w:sz w:val="18"/>
          <w:szCs w:val="18"/>
          <w:color w:val="auto"/>
        </w:rPr>
        <w:t>offering or with respect to any other material provisions</w:t>
      </w:r>
    </w:p>
    <w:p>
      <w:pPr>
        <w:ind w:left="4020"/>
        <w:spacing w:after="0" w:line="234" w:lineRule="auto"/>
        <w:rPr>
          <w:sz w:val="20"/>
          <w:szCs w:val="20"/>
          <w:color w:val="auto"/>
        </w:rPr>
      </w:pPr>
      <w:r>
        <w:rPr>
          <w:rFonts w:ascii="Arial" w:cs="Arial" w:eastAsia="Arial" w:hAnsi="Arial"/>
          <w:sz w:val="18"/>
          <w:szCs w:val="18"/>
          <w:color w:val="auto"/>
        </w:rPr>
        <w:t>relating to stockholders’ rights or pre-initial business</w:t>
      </w:r>
    </w:p>
    <w:p>
      <w:pPr>
        <w:ind w:left="4020"/>
        <w:spacing w:after="0" w:line="235" w:lineRule="auto"/>
        <w:rPr>
          <w:sz w:val="20"/>
          <w:szCs w:val="20"/>
          <w:color w:val="auto"/>
        </w:rPr>
      </w:pPr>
      <w:r>
        <w:rPr>
          <w:rFonts w:ascii="Arial" w:cs="Arial" w:eastAsia="Arial" w:hAnsi="Arial"/>
          <w:sz w:val="18"/>
          <w:szCs w:val="18"/>
          <w:color w:val="auto"/>
        </w:rPr>
        <w:t>combination activity. The proceeds deposited in the</w:t>
      </w:r>
    </w:p>
    <w:p>
      <w:pPr>
        <w:ind w:left="4020"/>
        <w:spacing w:after="0" w:line="235" w:lineRule="auto"/>
        <w:rPr>
          <w:sz w:val="20"/>
          <w:szCs w:val="20"/>
          <w:color w:val="auto"/>
        </w:rPr>
      </w:pPr>
      <w:r>
        <w:rPr>
          <w:rFonts w:ascii="Arial" w:cs="Arial" w:eastAsia="Arial" w:hAnsi="Arial"/>
          <w:sz w:val="18"/>
          <w:szCs w:val="18"/>
          <w:color w:val="auto"/>
        </w:rPr>
        <w:t>trust account could become subject to the claims of our</w:t>
      </w:r>
    </w:p>
    <w:p>
      <w:pPr>
        <w:ind w:left="4020"/>
        <w:spacing w:after="0" w:line="235" w:lineRule="auto"/>
        <w:rPr>
          <w:sz w:val="20"/>
          <w:szCs w:val="20"/>
          <w:color w:val="auto"/>
        </w:rPr>
      </w:pPr>
      <w:r>
        <w:rPr>
          <w:rFonts w:ascii="Arial" w:cs="Arial" w:eastAsia="Arial" w:hAnsi="Arial"/>
          <w:sz w:val="18"/>
          <w:szCs w:val="18"/>
          <w:color w:val="auto"/>
        </w:rPr>
        <w:t>creditors, if any, which could have priority over the</w:t>
      </w:r>
    </w:p>
    <w:p>
      <w:pPr>
        <w:ind w:left="4020"/>
        <w:spacing w:after="0"/>
        <w:rPr>
          <w:sz w:val="20"/>
          <w:szCs w:val="20"/>
          <w:color w:val="auto"/>
        </w:rPr>
      </w:pPr>
      <w:r>
        <w:rPr>
          <w:rFonts w:ascii="Arial" w:cs="Arial" w:eastAsia="Arial" w:hAnsi="Arial"/>
          <w:sz w:val="18"/>
          <w:szCs w:val="18"/>
          <w:color w:val="auto"/>
        </w:rPr>
        <w:t>claims of our public stockholders.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Anticipated expenses and funding sources Unless and until we complete our initial business</w:t>
      </w:r>
    </w:p>
    <w:p>
      <w:pPr>
        <w:ind w:left="4020"/>
        <w:spacing w:after="0" w:line="234" w:lineRule="auto"/>
        <w:rPr>
          <w:sz w:val="20"/>
          <w:szCs w:val="20"/>
          <w:color w:val="auto"/>
        </w:rPr>
      </w:pPr>
      <w:r>
        <w:rPr>
          <w:rFonts w:ascii="Arial" w:cs="Arial" w:eastAsia="Arial" w:hAnsi="Arial"/>
          <w:sz w:val="18"/>
          <w:szCs w:val="18"/>
          <w:color w:val="auto"/>
        </w:rPr>
        <w:t>combination, no proceeds held in the trust account will</w:t>
      </w:r>
    </w:p>
    <w:p>
      <w:pPr>
        <w:ind w:left="4020"/>
        <w:spacing w:after="0" w:line="235" w:lineRule="auto"/>
        <w:rPr>
          <w:sz w:val="20"/>
          <w:szCs w:val="20"/>
          <w:color w:val="auto"/>
        </w:rPr>
      </w:pPr>
      <w:r>
        <w:rPr>
          <w:rFonts w:ascii="Arial" w:cs="Arial" w:eastAsia="Arial" w:hAnsi="Arial"/>
          <w:sz w:val="18"/>
          <w:szCs w:val="18"/>
          <w:color w:val="auto"/>
        </w:rPr>
        <w:t>be available for our use, except the withdrawal of</w:t>
      </w:r>
    </w:p>
    <w:p>
      <w:pPr>
        <w:ind w:left="4020"/>
        <w:spacing w:after="0" w:line="235" w:lineRule="auto"/>
        <w:rPr>
          <w:sz w:val="20"/>
          <w:szCs w:val="20"/>
          <w:color w:val="auto"/>
        </w:rPr>
      </w:pPr>
      <w:r>
        <w:rPr>
          <w:rFonts w:ascii="Arial" w:cs="Arial" w:eastAsia="Arial" w:hAnsi="Arial"/>
          <w:sz w:val="18"/>
          <w:szCs w:val="18"/>
          <w:color w:val="auto"/>
        </w:rPr>
        <w:t>interest to pay our taxes and/or to redeem our public</w:t>
      </w:r>
    </w:p>
    <w:p>
      <w:pPr>
        <w:ind w:left="4020"/>
        <w:spacing w:after="0" w:line="235" w:lineRule="auto"/>
        <w:rPr>
          <w:sz w:val="20"/>
          <w:szCs w:val="20"/>
          <w:color w:val="auto"/>
        </w:rPr>
      </w:pPr>
      <w:r>
        <w:rPr>
          <w:rFonts w:ascii="Arial" w:cs="Arial" w:eastAsia="Arial" w:hAnsi="Arial"/>
          <w:sz w:val="18"/>
          <w:szCs w:val="18"/>
          <w:color w:val="auto"/>
        </w:rPr>
        <w:t>shares in connection with an amendment to our</w:t>
      </w:r>
    </w:p>
    <w:p>
      <w:pPr>
        <w:ind w:left="4020"/>
        <w:spacing w:after="0" w:line="235" w:lineRule="auto"/>
        <w:rPr>
          <w:sz w:val="20"/>
          <w:szCs w:val="20"/>
          <w:color w:val="auto"/>
        </w:rPr>
      </w:pPr>
      <w:r>
        <w:rPr>
          <w:rFonts w:ascii="Arial" w:cs="Arial" w:eastAsia="Arial" w:hAnsi="Arial"/>
          <w:sz w:val="18"/>
          <w:szCs w:val="18"/>
          <w:color w:val="auto"/>
        </w:rPr>
        <w:t>amended and restated certificate of incorporation, as</w:t>
      </w:r>
    </w:p>
    <w:p>
      <w:pPr>
        <w:ind w:left="4020"/>
        <w:spacing w:after="0" w:line="234" w:lineRule="auto"/>
        <w:rPr>
          <w:sz w:val="20"/>
          <w:szCs w:val="20"/>
          <w:color w:val="auto"/>
        </w:rPr>
      </w:pPr>
      <w:r>
        <w:rPr>
          <w:rFonts w:ascii="Arial" w:cs="Arial" w:eastAsia="Arial" w:hAnsi="Arial"/>
          <w:sz w:val="18"/>
          <w:szCs w:val="18"/>
          <w:color w:val="auto"/>
        </w:rPr>
        <w:t>described above. The proceeds held in the trust</w:t>
      </w:r>
    </w:p>
    <w:p>
      <w:pPr>
        <w:ind w:left="4020"/>
        <w:spacing w:after="0" w:line="235" w:lineRule="auto"/>
        <w:rPr>
          <w:sz w:val="20"/>
          <w:szCs w:val="20"/>
          <w:color w:val="auto"/>
        </w:rPr>
      </w:pPr>
      <w:r>
        <w:rPr>
          <w:rFonts w:ascii="Arial" w:cs="Arial" w:eastAsia="Arial" w:hAnsi="Arial"/>
          <w:sz w:val="18"/>
          <w:szCs w:val="18"/>
          <w:color w:val="auto"/>
        </w:rPr>
        <w:t>account will be invested only in U.S. government</w:t>
      </w:r>
    </w:p>
    <w:p>
      <w:pPr>
        <w:ind w:left="4020"/>
        <w:spacing w:after="0" w:line="235" w:lineRule="auto"/>
        <w:rPr>
          <w:sz w:val="20"/>
          <w:szCs w:val="20"/>
          <w:color w:val="auto"/>
        </w:rPr>
      </w:pPr>
      <w:r>
        <w:rPr>
          <w:rFonts w:ascii="Arial" w:cs="Arial" w:eastAsia="Arial" w:hAnsi="Arial"/>
          <w:sz w:val="18"/>
          <w:szCs w:val="18"/>
          <w:color w:val="auto"/>
        </w:rPr>
        <w:t>treasury obligations with a maturity of 185 days or less</w:t>
      </w:r>
    </w:p>
    <w:p>
      <w:pPr>
        <w:ind w:left="4020"/>
        <w:spacing w:after="0" w:line="235" w:lineRule="auto"/>
        <w:rPr>
          <w:sz w:val="20"/>
          <w:szCs w:val="20"/>
          <w:color w:val="auto"/>
        </w:rPr>
      </w:pPr>
      <w:r>
        <w:rPr>
          <w:rFonts w:ascii="Arial" w:cs="Arial" w:eastAsia="Arial" w:hAnsi="Arial"/>
          <w:sz w:val="18"/>
          <w:szCs w:val="18"/>
          <w:color w:val="auto"/>
        </w:rPr>
        <w:t>or in money market funds meeting certain conditions</w:t>
      </w:r>
    </w:p>
    <w:p>
      <w:pPr>
        <w:ind w:left="4020"/>
        <w:spacing w:after="0" w:line="235" w:lineRule="auto"/>
        <w:rPr>
          <w:sz w:val="20"/>
          <w:szCs w:val="20"/>
          <w:color w:val="auto"/>
        </w:rPr>
      </w:pPr>
      <w:r>
        <w:rPr>
          <w:rFonts w:ascii="Arial" w:cs="Arial" w:eastAsia="Arial" w:hAnsi="Arial"/>
          <w:sz w:val="18"/>
          <w:szCs w:val="18"/>
          <w:color w:val="auto"/>
        </w:rPr>
        <w:t>under Rule 2a-7 under the Investment Company Act</w:t>
      </w:r>
    </w:p>
    <w:p>
      <w:pPr>
        <w:ind w:left="4020"/>
        <w:spacing w:after="0" w:line="234" w:lineRule="auto"/>
        <w:rPr>
          <w:sz w:val="20"/>
          <w:szCs w:val="20"/>
          <w:color w:val="auto"/>
        </w:rPr>
      </w:pPr>
      <w:r>
        <w:rPr>
          <w:rFonts w:ascii="Arial" w:cs="Arial" w:eastAsia="Arial" w:hAnsi="Arial"/>
          <w:sz w:val="18"/>
          <w:szCs w:val="18"/>
          <w:color w:val="auto"/>
        </w:rPr>
        <w:t>which invest only in direct U.S. government treasury</w:t>
      </w:r>
    </w:p>
    <w:p>
      <w:pPr>
        <w:ind w:left="4020"/>
        <w:spacing w:after="0" w:line="235" w:lineRule="auto"/>
        <w:rPr>
          <w:sz w:val="20"/>
          <w:szCs w:val="20"/>
          <w:color w:val="auto"/>
        </w:rPr>
      </w:pPr>
      <w:r>
        <w:rPr>
          <w:rFonts w:ascii="Arial" w:cs="Arial" w:eastAsia="Arial" w:hAnsi="Arial"/>
          <w:sz w:val="18"/>
          <w:szCs w:val="18"/>
          <w:color w:val="auto"/>
        </w:rPr>
        <w:t>obligations. We estimate the interest earned on the</w:t>
      </w:r>
    </w:p>
    <w:p>
      <w:pPr>
        <w:ind w:left="4020"/>
        <w:spacing w:after="0" w:line="235" w:lineRule="auto"/>
        <w:rPr>
          <w:sz w:val="20"/>
          <w:szCs w:val="20"/>
          <w:color w:val="auto"/>
        </w:rPr>
      </w:pPr>
      <w:r>
        <w:rPr>
          <w:rFonts w:ascii="Arial" w:cs="Arial" w:eastAsia="Arial" w:hAnsi="Arial"/>
          <w:sz w:val="18"/>
          <w:szCs w:val="18"/>
          <w:color w:val="auto"/>
        </w:rPr>
        <w:t>trust account will be approximately $350,000 per year,</w:t>
      </w:r>
    </w:p>
    <w:p>
      <w:pPr>
        <w:ind w:left="4020"/>
        <w:spacing w:after="0" w:line="235" w:lineRule="auto"/>
        <w:rPr>
          <w:sz w:val="20"/>
          <w:szCs w:val="20"/>
          <w:color w:val="auto"/>
        </w:rPr>
      </w:pPr>
      <w:r>
        <w:rPr>
          <w:rFonts w:ascii="Arial" w:cs="Arial" w:eastAsia="Arial" w:hAnsi="Arial"/>
          <w:sz w:val="18"/>
          <w:szCs w:val="18"/>
          <w:color w:val="auto"/>
        </w:rPr>
        <w:t>assuming an interest rate of 0.1% per year; however</w:t>
      </w:r>
    </w:p>
    <w:p>
      <w:pPr>
        <w:ind w:left="4020"/>
        <w:spacing w:after="0" w:line="235" w:lineRule="auto"/>
        <w:rPr>
          <w:sz w:val="20"/>
          <w:szCs w:val="20"/>
          <w:color w:val="auto"/>
        </w:rPr>
      </w:pPr>
      <w:r>
        <w:rPr>
          <w:rFonts w:ascii="Arial" w:cs="Arial" w:eastAsia="Arial" w:hAnsi="Arial"/>
          <w:sz w:val="18"/>
          <w:szCs w:val="18"/>
          <w:color w:val="auto"/>
        </w:rPr>
        <w:t>we can provide no assurances regarding this amount.</w:t>
      </w:r>
    </w:p>
    <w:p>
      <w:pPr>
        <w:ind w:left="4020"/>
        <w:spacing w:after="0" w:line="234" w:lineRule="auto"/>
        <w:rPr>
          <w:sz w:val="20"/>
          <w:szCs w:val="20"/>
          <w:color w:val="auto"/>
        </w:rPr>
      </w:pPr>
      <w:r>
        <w:rPr>
          <w:rFonts w:ascii="Arial" w:cs="Arial" w:eastAsia="Arial" w:hAnsi="Arial"/>
          <w:sz w:val="18"/>
          <w:szCs w:val="18"/>
          <w:color w:val="auto"/>
        </w:rPr>
        <w:t>Unless and until we complete our initial business</w:t>
      </w:r>
    </w:p>
    <w:p>
      <w:pPr>
        <w:ind w:left="4020"/>
        <w:spacing w:after="0" w:line="235" w:lineRule="auto"/>
        <w:rPr>
          <w:sz w:val="20"/>
          <w:szCs w:val="20"/>
          <w:color w:val="auto"/>
        </w:rPr>
      </w:pPr>
      <w:r>
        <w:rPr>
          <w:rFonts w:ascii="Arial" w:cs="Arial" w:eastAsia="Arial" w:hAnsi="Arial"/>
          <w:sz w:val="18"/>
          <w:szCs w:val="18"/>
          <w:color w:val="auto"/>
        </w:rPr>
        <w:t>combination, we may pay our expenses only from such</w:t>
      </w:r>
    </w:p>
    <w:p>
      <w:pPr>
        <w:spacing w:after="0" w:line="1"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interest withdrawn from the trust account and:</w:t>
      </w:r>
    </w:p>
    <w:p>
      <w:pPr>
        <w:spacing w:after="0" w:line="185" w:lineRule="exact"/>
        <w:rPr>
          <w:sz w:val="20"/>
          <w:szCs w:val="20"/>
          <w:color w:val="auto"/>
        </w:rPr>
      </w:pPr>
    </w:p>
    <w:p>
      <w:pPr>
        <w:ind w:left="4440" w:right="599" w:hanging="211"/>
        <w:spacing w:after="0" w:line="237" w:lineRule="auto"/>
        <w:tabs>
          <w:tab w:leader="none" w:pos="4437"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net proceeds of this offering and the sale of the private placement warrants not held in the trust account, which initially will be approximately $1,000,000 in working capital after the payment of approximately $1,000,000 in expenses relating to this offering; and</w:t>
      </w:r>
    </w:p>
    <w:p>
      <w:pPr>
        <w:spacing w:after="0" w:line="177" w:lineRule="exact"/>
        <w:rPr>
          <w:rFonts w:ascii="Arial" w:cs="Arial" w:eastAsia="Arial" w:hAnsi="Arial"/>
          <w:sz w:val="18"/>
          <w:szCs w:val="18"/>
          <w:color w:val="auto"/>
        </w:rPr>
      </w:pPr>
    </w:p>
    <w:p>
      <w:pPr>
        <w:ind w:left="4440" w:right="579" w:hanging="211"/>
        <w:spacing w:after="0" w:line="236" w:lineRule="auto"/>
        <w:tabs>
          <w:tab w:leader="none" w:pos="4437"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loans or additional investments from our sponsor, members of our management team or their affiliates or other third parties, although they are under no obligation to advance funds or invest in us, and provided that any such loans will not have any claim on the proceeds held in the trust account unless such proceeds are released to us upon completion of our initial business combination. Up to $1,500,000 of such loans may be convertible into private placement warrants, at a price of $1.50 per warrant, at the option of the lender.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720" w:hanging="179"/>
        <w:spacing w:after="0" w:line="246" w:lineRule="auto"/>
        <w:rPr>
          <w:sz w:val="20"/>
          <w:szCs w:val="20"/>
          <w:color w:val="auto"/>
        </w:rPr>
      </w:pPr>
      <w:r>
        <w:rPr>
          <w:rFonts w:ascii="Arial" w:cs="Arial" w:eastAsia="Arial" w:hAnsi="Arial"/>
          <w:sz w:val="18"/>
          <w:szCs w:val="18"/>
          <w:color w:val="auto"/>
        </w:rPr>
        <w:t>Conditions to completing our initial business combination</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right="579"/>
        <w:spacing w:after="0" w:line="235" w:lineRule="auto"/>
        <w:rPr>
          <w:sz w:val="20"/>
          <w:szCs w:val="20"/>
          <w:color w:val="auto"/>
        </w:rPr>
      </w:pPr>
      <w:r>
        <w:rPr>
          <w:rFonts w:ascii="Arial" w:cs="Arial" w:eastAsia="Arial" w:hAnsi="Arial"/>
          <w:sz w:val="18"/>
          <w:szCs w:val="18"/>
          <w:color w:val="auto"/>
        </w:rPr>
        <w:t>Nasdaq rules require that we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our signing a definitive agreement in connection with our initial business combination. Our board of directors will make the determination as to the fair market value of our initial business combination. If our board of directors is not able to independently determine the fair market value of our initial business combination, we will obtain an opinion from an independent investment banking firm which is a member of FINRA or a valuation or appraisal firm. While we consider it unlikely that our board of directors will not be able to make an independent determination of the fair market value of our initial business combination, it may be unable to do so if it is less familiar or experienced with the business of a particular target or if there is a significant amount of uncertainty as to the value of the target’s assets or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-2075180</wp:posOffset>
            </wp:positionH>
            <wp:positionV relativeFrom="paragraph">
              <wp:posOffset>-3070225</wp:posOffset>
            </wp:positionV>
            <wp:extent cx="5147310" cy="77000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7310" cy="7700010"/>
                    </a:xfrm>
                    <a:prstGeom prst="rect">
                      <a:avLst/>
                    </a:prstGeom>
                    <a:noFill/>
                  </pic:spPr>
                </pic:pic>
              </a:graphicData>
            </a:graphic>
          </wp:anchor>
        </w:drawing>
      </w:r>
    </w:p>
    <w:p>
      <w:pPr>
        <w:spacing w:after="0" w:line="165" w:lineRule="exact"/>
        <w:rPr>
          <w:sz w:val="20"/>
          <w:szCs w:val="20"/>
          <w:color w:val="auto"/>
        </w:rPr>
      </w:pPr>
    </w:p>
    <w:p>
      <w:pPr>
        <w:ind w:right="579"/>
        <w:spacing w:after="0" w:line="235" w:lineRule="auto"/>
        <w:rPr>
          <w:sz w:val="20"/>
          <w:szCs w:val="20"/>
          <w:color w:val="auto"/>
        </w:rPr>
      </w:pPr>
      <w:r>
        <w:rPr>
          <w:rFonts w:ascii="Arial" w:cs="Arial" w:eastAsia="Arial" w:hAnsi="Arial"/>
          <w:sz w:val="18"/>
          <w:szCs w:val="18"/>
          <w:color w:val="auto"/>
        </w:rPr>
        <w:t>We will complete our initial business combination only if the post-transaction company in which our public stockholders own shares will own or acquire 50% or more of the outstanding voting securities of the target or is otherwise not required to register as an investment company under the Investment Company Act. Even if the post-transaction company owns or acquires 50% or more of the voting securities of the target, our stockholders prior to our initial business combination may collectively own a minority interest in the post business combination company, depending on valuations ascribed to the target and us in the business combination transaction. For example, we could pursue a transaction in which we issue a substantial number of new shares in exchange for all of the outstanding capital stock or shares of a target. In this case, we would acquire a 100% controlling interest in the target. However, as a result of the issuance of a substantial number of new shares, our stockholders immediately prior to our initial business combination could own less than a majority of our issued and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taken into account for purposes of the 80% of net assets test described above, provided that in the event that the business combination involves more than one target business, the 80% of net assets test will be based on the aggregate value of all of the target businesses and we will treat the target businesses together as our initial business combination for purposes of a seeking stockholder approval or conducting a tender offer, as applicable.</w:t>
      </w:r>
    </w:p>
    <w:p>
      <w:pPr>
        <w:spacing w:after="0" w:line="200" w:lineRule="exact"/>
        <w:rPr>
          <w:sz w:val="20"/>
          <w:szCs w:val="20"/>
          <w:color w:val="auto"/>
        </w:rPr>
      </w:pPr>
    </w:p>
    <w:p>
      <w:pPr>
        <w:sectPr>
          <w:pgSz w:w="11900" w:h="16838" w:orient="portrait"/>
          <w:cols w:equalWidth="0" w:num="2">
            <w:col w:w="3280" w:space="440"/>
            <w:col w:w="5299"/>
          </w:cols>
          <w:pgMar w:left="1440" w:top="517" w:right="1440" w:bottom="1440" w:gutter="0" w:footer="0" w:header="0"/>
        </w:sect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jc w:val="right"/>
        <w:ind w:left="540"/>
        <w:spacing w:after="0" w:line="246" w:lineRule="auto"/>
        <w:rPr>
          <w:sz w:val="20"/>
          <w:szCs w:val="20"/>
          <w:color w:val="auto"/>
        </w:rPr>
      </w:pPr>
      <w:r>
        <w:rPr>
          <w:rFonts w:ascii="Arial" w:cs="Arial" w:eastAsia="Arial" w:hAnsi="Arial"/>
          <w:sz w:val="18"/>
          <w:szCs w:val="18"/>
          <w:color w:val="auto"/>
        </w:rPr>
        <w:t>Permitted purchases of public shares and public warrants by our affiliates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right="579"/>
        <w:spacing w:after="0" w:line="235" w:lineRule="auto"/>
        <w:rPr>
          <w:sz w:val="20"/>
          <w:szCs w:val="20"/>
          <w:color w:val="auto"/>
        </w:rPr>
      </w:pPr>
      <w:r>
        <w:rPr>
          <w:rFonts w:ascii="Arial" w:cs="Arial" w:eastAsia="Arial" w:hAnsi="Arial"/>
          <w:sz w:val="18"/>
          <w:szCs w:val="18"/>
          <w:color w:val="auto"/>
        </w:rPr>
        <w:t>If we seek stockholder approval of our initial business combination and we do not conduct redemptions in connection with our initial business combination pursuant to the tender offer rules, our sponsor, initial stockholders, directors, executive officers, advisors or their respective affiliates may purchase public shares or public warrants in privately negotiated transactions or in the open market either prior to or following the completion of our initial business combination. There is no limit on the number of shares our initial stockholders, directors, officers, advisors or their respective affiliates may purchase in such transactions, subject to compliance with applicable law and Nasdaq rules. However, they have no current commitments, plans or intentions to engage in such purchases or other transactions and have not formulated any terms or conditions for any such purchases or other transactions. None of the funds held in the trust account will be used to purchase shares or public warrants in such transactions. If they engage in such transactions, they will be restricted from making any such purchases when they are in possession of any material nonpublic information not disclosed to the seller or if such purchases are prohibited by Regulation M under the Exchange Act.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be required to comply with such rules. We expect any such purchases will be reported pursuant to Section 13 and Section 16 of the Exchange Act to the extent such purchasers are subject to such reporting requirements. See “Proposed Business — Permitted purchases of our securities” for a description of how our sponsor, initial stockholders, directors, executive officers, advisors or any of their affiliates will select which stockholders to purchase securities from in any private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-2075180</wp:posOffset>
            </wp:positionH>
            <wp:positionV relativeFrom="paragraph">
              <wp:posOffset>-5386705</wp:posOffset>
            </wp:positionV>
            <wp:extent cx="5147310" cy="84715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7310" cy="8471535"/>
                    </a:xfrm>
                    <a:prstGeom prst="rect">
                      <a:avLst/>
                    </a:prstGeom>
                    <a:noFill/>
                  </pic:spPr>
                </pic:pic>
              </a:graphicData>
            </a:graphic>
          </wp:anchor>
        </w:drawing>
      </w:r>
    </w:p>
    <w:p>
      <w:pPr>
        <w:spacing w:after="0" w:line="162" w:lineRule="exact"/>
        <w:rPr>
          <w:sz w:val="20"/>
          <w:szCs w:val="20"/>
          <w:color w:val="auto"/>
        </w:rPr>
      </w:pPr>
    </w:p>
    <w:p>
      <w:pPr>
        <w:ind w:right="579"/>
        <w:spacing w:after="0" w:line="235" w:lineRule="auto"/>
        <w:rPr>
          <w:sz w:val="20"/>
          <w:szCs w:val="20"/>
          <w:color w:val="auto"/>
        </w:rPr>
      </w:pPr>
      <w:r>
        <w:rPr>
          <w:rFonts w:ascii="Arial" w:cs="Arial" w:eastAsia="Arial" w:hAnsi="Arial"/>
          <w:sz w:val="18"/>
          <w:szCs w:val="18"/>
          <w:color w:val="auto"/>
        </w:rPr>
        <w:t>The purpose of any such purchases of shares could be to vote such shares in favor of the business combination and thereby increase the likelihood of obtaining the requisite stockholder approval of the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 In addition, if such purchases are made, the public “float” of our Class A common stock or warrants may be reduced and the number of beneficial holders of our securities may be reduced, which may make it difficult to maintain or obtain the quotation, listing or trading of our securities on a national securities exchange.</w:t>
      </w:r>
    </w:p>
    <w:p>
      <w:pPr>
        <w:spacing w:after="0" w:line="200" w:lineRule="exact"/>
        <w:rPr>
          <w:sz w:val="20"/>
          <w:szCs w:val="20"/>
          <w:color w:val="auto"/>
        </w:rPr>
      </w:pPr>
    </w:p>
    <w:p>
      <w:pPr>
        <w:sectPr>
          <w:pgSz w:w="11900" w:h="16838" w:orient="portrait"/>
          <w:cols w:equalWidth="0" w:num="2">
            <w:col w:w="3540" w:space="180"/>
            <w:col w:w="5299"/>
          </w:cols>
          <w:pgMar w:left="1440" w:top="517" w:right="1440" w:bottom="144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720" w:hanging="179"/>
        <w:spacing w:after="0"/>
        <w:rPr>
          <w:sz w:val="20"/>
          <w:szCs w:val="20"/>
          <w:color w:val="auto"/>
        </w:rPr>
      </w:pPr>
      <w:r>
        <w:rPr>
          <w:rFonts w:ascii="Arial" w:cs="Arial" w:eastAsia="Arial" w:hAnsi="Arial"/>
          <w:sz w:val="18"/>
          <w:szCs w:val="18"/>
          <w:color w:val="auto"/>
        </w:rPr>
        <w:t>Redemption rights for public stockholders upon completion of our initial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Limitations on redemptions</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ind w:right="579"/>
        <w:spacing w:after="0" w:line="235" w:lineRule="auto"/>
        <w:rPr>
          <w:sz w:val="20"/>
          <w:szCs w:val="20"/>
          <w:color w:val="auto"/>
        </w:rPr>
      </w:pPr>
      <w:r>
        <w:rPr>
          <w:rFonts w:ascii="Arial" w:cs="Arial" w:eastAsia="Arial" w:hAnsi="Arial"/>
          <w:sz w:val="18"/>
          <w:szCs w:val="18"/>
          <w:color w:val="auto"/>
        </w:rPr>
        <w:t>We will provide our public stockholders with the opportunity to redeem all or a portion of their public shares upon the completion of our initial business combination at a per-share price, payable in cash, equal to the aggregate amount then on deposit in the trust account calculated as of two business days prior to the consummation of our initial business combination, including interest earned on the funds held in the trust account and not previously released to us to pay our taxes, divided by the number of then outstanding public shares, subject to the limitations and on the conditions described herein. The amount in the trust account is initially anticipated to be $10.00 per public share. The per share amount we will distribute to investors who properly redeem their shares will not be reduced by the deferred underwriting commissions we will pay to the underwriters. There will be no redemption rights upon the completion of our initial business combination with respect to our warrants. Our initial stockholders, sponsor, officers and directors have entered into a letter agreement with us, pursuant to which they have agreed to waive their redemption rights with respect to any founder shares they hold and any public shares they may acquire during or after this offering in connection with the completion of our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-2075180</wp:posOffset>
            </wp:positionH>
            <wp:positionV relativeFrom="paragraph">
              <wp:posOffset>-3584575</wp:posOffset>
            </wp:positionV>
            <wp:extent cx="5147310" cy="73145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7310" cy="7314565"/>
                    </a:xfrm>
                    <a:prstGeom prst="rect">
                      <a:avLst/>
                    </a:prstGeom>
                    <a:noFill/>
                  </pic:spPr>
                </pic:pic>
              </a:graphicData>
            </a:graphic>
          </wp:anchor>
        </w:drawing>
      </w:r>
    </w:p>
    <w:p>
      <w:pPr>
        <w:spacing w:after="0" w:line="165" w:lineRule="exact"/>
        <w:rPr>
          <w:sz w:val="20"/>
          <w:szCs w:val="20"/>
          <w:color w:val="auto"/>
        </w:rPr>
      </w:pPr>
    </w:p>
    <w:p>
      <w:pPr>
        <w:ind w:right="559"/>
        <w:spacing w:after="0" w:line="235" w:lineRule="auto"/>
        <w:rPr>
          <w:sz w:val="20"/>
          <w:szCs w:val="20"/>
          <w:color w:val="auto"/>
        </w:rPr>
      </w:pPr>
      <w:r>
        <w:rPr>
          <w:rFonts w:ascii="Arial" w:cs="Arial" w:eastAsia="Arial" w:hAnsi="Arial"/>
          <w:sz w:val="18"/>
          <w:szCs w:val="18"/>
          <w:color w:val="auto"/>
        </w:rPr>
        <w:t>Our amended and restated certificate of incorporation will provide that in no event will we redeem our public shares in an amount that would cause our net tangible assets to be less than $5,000,001. In addition, our proposed initial business combination may impose a minimum cash requirement for: (i) cash consideration to be paid to the target or its owners, (ii) cash for working capital or other general corporate purposes or (iii) the retention of cash to satisfy other conditions. In the event the aggregate cash consideration we would be required to pay for all shares of Class A common stock that are validly submitted for redemption plus any amount required to satisfy cash conditions pursuant to the terms of the proposed initial business combination exceed the aggregate amount of cash available to us, we will not complete the initial business combination or redeem any shares in connection with such initial business combination, and all shares of Class A common stock submitted for redemption will be returned to the holders thereof. We may, however, raise funds through the issuance of equity-linked securities or through loans, advances or other indebtedness in connection with our initial business combination, including pursuant to forward purchase agreements or backstop arrangements we may enter into following consummation of this offering, in order to, among other reasons, satisfy such net tangible assets or minimum cash requirements.</w:t>
      </w:r>
    </w:p>
    <w:p>
      <w:pPr>
        <w:spacing w:after="0" w:line="200" w:lineRule="exact"/>
        <w:rPr>
          <w:sz w:val="20"/>
          <w:szCs w:val="20"/>
          <w:color w:val="auto"/>
        </w:rPr>
      </w:pPr>
    </w:p>
    <w:p>
      <w:pPr>
        <w:sectPr>
          <w:pgSz w:w="11900" w:h="16838" w:orient="portrait"/>
          <w:cols w:equalWidth="0" w:num="2">
            <w:col w:w="3620" w:space="100"/>
            <w:col w:w="5299"/>
          </w:cols>
          <w:pgMar w:left="1440" w:top="517" w:right="1440" w:bottom="144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540"/>
        <w:spacing w:after="0"/>
        <w:tabs>
          <w:tab w:leader="none" w:pos="37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92087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7310" cy="9208770"/>
                    </a:xfrm>
                    <a:prstGeom prst="rect">
                      <a:avLst/>
                    </a:prstGeom>
                    <a:noFill/>
                  </pic:spPr>
                </pic:pic>
              </a:graphicData>
            </a:graphic>
          </wp:anchor>
        </w:drawing>
        <w:t>Manner of conducting redemptions</w:t>
      </w:r>
      <w:r>
        <w:rPr>
          <w:sz w:val="20"/>
          <w:szCs w:val="20"/>
          <w:color w:val="auto"/>
        </w:rPr>
        <w:tab/>
      </w:r>
      <w:r>
        <w:rPr>
          <w:rFonts w:ascii="Arial" w:cs="Arial" w:eastAsia="Arial" w:hAnsi="Arial"/>
          <w:sz w:val="18"/>
          <w:szCs w:val="18"/>
          <w:color w:val="auto"/>
        </w:rPr>
        <w:t>We will provide our public stockholders with the opportunity</w:t>
      </w:r>
    </w:p>
    <w:p>
      <w:pPr>
        <w:ind w:left="3720" w:right="599"/>
        <w:spacing w:after="0" w:line="235" w:lineRule="auto"/>
        <w:rPr>
          <w:sz w:val="20"/>
          <w:szCs w:val="20"/>
          <w:color w:val="auto"/>
        </w:rPr>
      </w:pPr>
      <w:r>
        <w:rPr>
          <w:rFonts w:ascii="Arial" w:cs="Arial" w:eastAsia="Arial" w:hAnsi="Arial"/>
          <w:sz w:val="18"/>
          <w:szCs w:val="18"/>
          <w:color w:val="auto"/>
        </w:rPr>
        <w:t>to redeem all or a portion of their public shares upon the completion of our initial business combination either (i) in connection with a stockholder meeting called to approve the business combination or (ii) without a stockholder vote by means of a tender offer. The decision as to whether we will seek stockholder approval of a proposed business combination or conduct a tender offer will be made by us, solely in our discretion, and will be based on a variety of factors such as the timing of the transaction and whether the terms of the transaction would require us to seek stockholder approval under applicable law or stock exchange listing requirement. Asset acquisitions and share purchases would not typically require stockholder approval while direct mergers with our company where we do not survive and any transactions where we issue more than 20% of our outstanding Class A common stock or seek to amend our amended and restated certificate of incorporation would require stockholder approval. So long as we obtain and maintain a listing for our securities on Nasdaq we will be required to comply with Nasdaq’s stockholder approval rules.</w:t>
      </w:r>
    </w:p>
    <w:p>
      <w:pPr>
        <w:spacing w:after="0" w:line="185" w:lineRule="exact"/>
        <w:rPr>
          <w:sz w:val="20"/>
          <w:szCs w:val="20"/>
          <w:color w:val="auto"/>
        </w:rPr>
      </w:pPr>
    </w:p>
    <w:p>
      <w:pPr>
        <w:ind w:left="3720" w:right="559"/>
        <w:spacing w:after="0" w:line="236" w:lineRule="auto"/>
        <w:rPr>
          <w:sz w:val="20"/>
          <w:szCs w:val="20"/>
          <w:color w:val="auto"/>
        </w:rPr>
      </w:pPr>
      <w:r>
        <w:rPr>
          <w:rFonts w:ascii="Arial" w:cs="Arial" w:eastAsia="Arial" w:hAnsi="Arial"/>
          <w:sz w:val="18"/>
          <w:szCs w:val="18"/>
          <w:color w:val="auto"/>
        </w:rPr>
        <w:t>The requirement that we provide our public stockholders with the opportunity to redeem their public shares by one of the two methods listed above will be contained in provisions of our amended and restated certificate of incorporation and will apply whether or not we maintain our registration under the Exchange Act or our listing on Nasdaq. Such provisions of our amended and restated certificate of incorporation may be amended if approved by holders of 65% of our common stock entitled to vote thereon.</w:t>
      </w:r>
    </w:p>
    <w:p>
      <w:pPr>
        <w:spacing w:after="0" w:line="174"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If we provide our public stockholders with the opportunity to</w:t>
      </w:r>
    </w:p>
    <w:p>
      <w:pPr>
        <w:ind w:left="3720"/>
        <w:spacing w:after="0" w:line="234" w:lineRule="auto"/>
        <w:rPr>
          <w:sz w:val="20"/>
          <w:szCs w:val="20"/>
          <w:color w:val="auto"/>
        </w:rPr>
      </w:pPr>
      <w:r>
        <w:rPr>
          <w:rFonts w:ascii="Arial" w:cs="Arial" w:eastAsia="Arial" w:hAnsi="Arial"/>
          <w:sz w:val="18"/>
          <w:szCs w:val="18"/>
          <w:color w:val="auto"/>
        </w:rPr>
        <w:t>redeem their public shares in connection with a stockholder</w:t>
      </w:r>
    </w:p>
    <w:p>
      <w:pPr>
        <w:spacing w:after="0" w:line="1"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meeting, we will:</w:t>
      </w:r>
    </w:p>
    <w:p>
      <w:pPr>
        <w:spacing w:after="0" w:line="180" w:lineRule="exact"/>
        <w:rPr>
          <w:sz w:val="20"/>
          <w:szCs w:val="20"/>
          <w:color w:val="auto"/>
        </w:rPr>
      </w:pPr>
    </w:p>
    <w:p>
      <w:pPr>
        <w:ind w:left="3940"/>
        <w:spacing w:after="0"/>
        <w:tabs>
          <w:tab w:leader="none" w:pos="41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conduct the redemptions in conjunction with a proxy</w:t>
      </w:r>
    </w:p>
    <w:p>
      <w:pPr>
        <w:ind w:left="4160"/>
        <w:spacing w:after="0" w:line="234" w:lineRule="auto"/>
        <w:rPr>
          <w:sz w:val="20"/>
          <w:szCs w:val="20"/>
          <w:color w:val="auto"/>
        </w:rPr>
      </w:pPr>
      <w:r>
        <w:rPr>
          <w:rFonts w:ascii="Arial" w:cs="Arial" w:eastAsia="Arial" w:hAnsi="Arial"/>
          <w:sz w:val="18"/>
          <w:szCs w:val="18"/>
          <w:color w:val="auto"/>
        </w:rPr>
        <w:t>solicitation pursuant to Regulation 14A of the</w:t>
      </w:r>
    </w:p>
    <w:p>
      <w:pPr>
        <w:ind w:left="4160"/>
        <w:spacing w:after="0" w:line="235" w:lineRule="auto"/>
        <w:rPr>
          <w:sz w:val="20"/>
          <w:szCs w:val="20"/>
          <w:color w:val="auto"/>
        </w:rPr>
      </w:pPr>
      <w:r>
        <w:rPr>
          <w:rFonts w:ascii="Arial" w:cs="Arial" w:eastAsia="Arial" w:hAnsi="Arial"/>
          <w:sz w:val="18"/>
          <w:szCs w:val="18"/>
          <w:color w:val="auto"/>
        </w:rPr>
        <w:t>Exchange Act, which regulates the solicitation of</w:t>
      </w:r>
    </w:p>
    <w:p>
      <w:pPr>
        <w:ind w:left="4160"/>
        <w:spacing w:after="0" w:line="235" w:lineRule="auto"/>
        <w:rPr>
          <w:sz w:val="20"/>
          <w:szCs w:val="20"/>
          <w:color w:val="auto"/>
        </w:rPr>
      </w:pPr>
      <w:r>
        <w:rPr>
          <w:rFonts w:ascii="Arial" w:cs="Arial" w:eastAsia="Arial" w:hAnsi="Arial"/>
          <w:sz w:val="18"/>
          <w:szCs w:val="18"/>
          <w:color w:val="auto"/>
        </w:rPr>
        <w:t>proxies, and not pursuant to the tender offer rules,</w:t>
      </w:r>
    </w:p>
    <w:p>
      <w:pPr>
        <w:ind w:left="4160"/>
        <w:spacing w:after="0"/>
        <w:rPr>
          <w:sz w:val="20"/>
          <w:szCs w:val="20"/>
          <w:color w:val="auto"/>
        </w:rPr>
      </w:pPr>
      <w:r>
        <w:rPr>
          <w:rFonts w:ascii="Arial" w:cs="Arial" w:eastAsia="Arial" w:hAnsi="Arial"/>
          <w:sz w:val="18"/>
          <w:szCs w:val="18"/>
          <w:color w:val="auto"/>
        </w:rPr>
        <w:t>and</w:t>
      </w:r>
    </w:p>
    <w:p>
      <w:pPr>
        <w:spacing w:after="0" w:line="185" w:lineRule="exact"/>
        <w:rPr>
          <w:sz w:val="20"/>
          <w:szCs w:val="20"/>
          <w:color w:val="auto"/>
        </w:rPr>
      </w:pPr>
    </w:p>
    <w:p>
      <w:pPr>
        <w:ind w:left="3940"/>
        <w:spacing w:after="0"/>
        <w:tabs>
          <w:tab w:leader="none" w:pos="41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file proxy materials with the SEC.</w:t>
      </w:r>
    </w:p>
    <w:p>
      <w:pPr>
        <w:spacing w:after="0" w:line="185" w:lineRule="exact"/>
        <w:rPr>
          <w:sz w:val="20"/>
          <w:szCs w:val="20"/>
          <w:color w:val="auto"/>
        </w:rPr>
      </w:pPr>
    </w:p>
    <w:p>
      <w:pPr>
        <w:ind w:left="3720" w:right="579"/>
        <w:spacing w:after="0" w:line="235" w:lineRule="auto"/>
        <w:rPr>
          <w:sz w:val="20"/>
          <w:szCs w:val="20"/>
          <w:color w:val="auto"/>
        </w:rPr>
      </w:pPr>
      <w:r>
        <w:rPr>
          <w:rFonts w:ascii="Arial" w:cs="Arial" w:eastAsia="Arial" w:hAnsi="Arial"/>
          <w:sz w:val="18"/>
          <w:szCs w:val="18"/>
          <w:color w:val="auto"/>
        </w:rPr>
        <w:t>If we seek stockholder approval, we will complete our initial business combination only if a majority of the outstanding shares of common stock voted are voted in favor of the initial business combination. A quorum for such meeting will consist of the holders present in person or by proxy of shares of outstanding capital stock of the Company representing a majority of the voting power of all outstanding shares of capital stock of the Company entitled to vote at such meeting. Our initial stockholders will count towards this quorum and, pursuant to the letter agreement, our sponsor, officers and directors have agreed to vote any founder shares they hold and any public shares purchased during or after this offering (including in open market and privately-negotiated transactions) in favor of our initial business combination. For purposes of seeking approval of the majority of our outstanding shares of common stock voted, non-votes will have no effect on the approval of our initial business combination once a quorum is obtained. As a result, in addition to our initial stockholders’ founder shares, we would need only 13,125,001, or 37.5%, of the 35,000,000 public shares sold in this offering to be voted in favor of an initial business combination</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28" w:name="page29"/>
    <w:bookmarkEnd w:id="28"/>
    <w:p>
      <w:pPr>
        <w:ind w:left="3720" w:right="679"/>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93287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7310" cy="9328785"/>
                    </a:xfrm>
                    <a:prstGeom prst="rect">
                      <a:avLst/>
                    </a:prstGeom>
                    <a:noFill/>
                  </pic:spPr>
                </pic:pic>
              </a:graphicData>
            </a:graphic>
          </wp:anchor>
        </w:drawing>
        <w:t>in order to have our initial business combination approved (assuming all outstanding shares are voted and the over-allotment option is not exercised). These quorum and voting thresholds, and the voting agreements of our initial stockholders, may make it more likely that we will consummate our initial business combination. Each public stockholder may elect to redeem its public shares irrespective of whether they vote for or against the proposed transaction or whether they were a stockholder on the record date for the stockholder meeting held to approve the proposed transaction.</w:t>
      </w:r>
    </w:p>
    <w:p>
      <w:pPr>
        <w:spacing w:after="0" w:line="178" w:lineRule="exact"/>
        <w:rPr>
          <w:sz w:val="20"/>
          <w:szCs w:val="20"/>
          <w:color w:val="auto"/>
        </w:rPr>
      </w:pPr>
    </w:p>
    <w:p>
      <w:pPr>
        <w:ind w:left="3720" w:right="719"/>
        <w:spacing w:after="0"/>
        <w:rPr>
          <w:sz w:val="20"/>
          <w:szCs w:val="20"/>
          <w:color w:val="auto"/>
        </w:rPr>
      </w:pPr>
      <w:r>
        <w:rPr>
          <w:rFonts w:ascii="Arial" w:cs="Arial" w:eastAsia="Arial" w:hAnsi="Arial"/>
          <w:sz w:val="18"/>
          <w:szCs w:val="18"/>
          <w:color w:val="auto"/>
        </w:rPr>
        <w:t>If a stockholder vote is not required and we do not decide to hold a stockholder vote for business or other legal reasons, we will:</w:t>
      </w:r>
    </w:p>
    <w:p>
      <w:pPr>
        <w:spacing w:after="0" w:line="176" w:lineRule="exact"/>
        <w:rPr>
          <w:sz w:val="20"/>
          <w:szCs w:val="20"/>
          <w:color w:val="auto"/>
        </w:rPr>
      </w:pPr>
    </w:p>
    <w:p>
      <w:pPr>
        <w:jc w:val="both"/>
        <w:ind w:left="4160" w:right="659" w:hanging="214"/>
        <w:spacing w:after="0"/>
        <w:tabs>
          <w:tab w:leader="none" w:pos="4157"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conduct the redemptions pursuant to Rule 13e-4 and Regulation 14E of the Exchange Act, which regulate issuer tender offers, and</w:t>
      </w:r>
    </w:p>
    <w:p>
      <w:pPr>
        <w:spacing w:after="0" w:line="175" w:lineRule="exact"/>
        <w:rPr>
          <w:rFonts w:ascii="Arial" w:cs="Arial" w:eastAsia="Arial" w:hAnsi="Arial"/>
          <w:sz w:val="18"/>
          <w:szCs w:val="18"/>
          <w:color w:val="auto"/>
        </w:rPr>
      </w:pPr>
    </w:p>
    <w:p>
      <w:pPr>
        <w:ind w:left="4160" w:right="559" w:hanging="214"/>
        <w:spacing w:after="0" w:line="237" w:lineRule="auto"/>
        <w:tabs>
          <w:tab w:leader="none" w:pos="4157"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 tender offer documents with the SEC prior to completing our initial business combination which contain substantially the same financial and other information about our initial business combination and the redemption rights as is required under Regulation 14A of the Exchange Act, which regulates the solicitation of proxies.</w:t>
      </w:r>
    </w:p>
    <w:p>
      <w:pPr>
        <w:spacing w:after="0" w:line="176" w:lineRule="exact"/>
        <w:rPr>
          <w:sz w:val="20"/>
          <w:szCs w:val="20"/>
          <w:color w:val="auto"/>
        </w:rPr>
      </w:pPr>
    </w:p>
    <w:p>
      <w:pPr>
        <w:ind w:left="3720" w:right="639"/>
        <w:spacing w:after="0" w:line="236" w:lineRule="auto"/>
        <w:rPr>
          <w:sz w:val="20"/>
          <w:szCs w:val="20"/>
          <w:color w:val="auto"/>
        </w:rPr>
      </w:pPr>
      <w:r>
        <w:rPr>
          <w:rFonts w:ascii="Arial" w:cs="Arial" w:eastAsia="Arial" w:hAnsi="Arial"/>
          <w:sz w:val="18"/>
          <w:szCs w:val="18"/>
          <w:color w:val="auto"/>
        </w:rPr>
        <w:t>In the event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stockholders not tendering more than the number of public shares we are permitted to redeem. If public stockholders tender more shares than we have offered to purchase, we will withdraw the tender offer and not complete such initial business combination.</w:t>
      </w:r>
    </w:p>
    <w:p>
      <w:pPr>
        <w:spacing w:after="0" w:line="177" w:lineRule="exact"/>
        <w:rPr>
          <w:sz w:val="20"/>
          <w:szCs w:val="20"/>
          <w:color w:val="auto"/>
        </w:rPr>
      </w:pPr>
    </w:p>
    <w:p>
      <w:pPr>
        <w:ind w:left="3720" w:right="639"/>
        <w:spacing w:after="0" w:line="237" w:lineRule="auto"/>
        <w:rPr>
          <w:sz w:val="20"/>
          <w:szCs w:val="20"/>
          <w:color w:val="auto"/>
        </w:rPr>
      </w:pPr>
      <w:r>
        <w:rPr>
          <w:rFonts w:ascii="Arial" w:cs="Arial" w:eastAsia="Arial" w:hAnsi="Arial"/>
          <w:sz w:val="18"/>
          <w:szCs w:val="18"/>
          <w:color w:val="auto"/>
        </w:rPr>
        <w:t>Upon the public announcement of our initial business combination, if we elect to conduct redemptions pursuant to the tender offer rules, we and our sponsor will terminate any plan established in accordance with Rule 10b5-1 to purchase shares of our Class A common stock in the open market, in order to comply with Rule 14e-5 under the Exchange Act.</w:t>
      </w:r>
    </w:p>
    <w:p>
      <w:pPr>
        <w:spacing w:after="0" w:line="176" w:lineRule="exact"/>
        <w:rPr>
          <w:sz w:val="20"/>
          <w:szCs w:val="20"/>
          <w:color w:val="auto"/>
        </w:rPr>
      </w:pPr>
    </w:p>
    <w:p>
      <w:pPr>
        <w:ind w:left="3720" w:right="579"/>
        <w:spacing w:after="0" w:line="235" w:lineRule="auto"/>
        <w:rPr>
          <w:sz w:val="20"/>
          <w:szCs w:val="20"/>
          <w:color w:val="auto"/>
        </w:rPr>
      </w:pPr>
      <w:r>
        <w:rPr>
          <w:rFonts w:ascii="Arial" w:cs="Arial" w:eastAsia="Arial" w:hAnsi="Arial"/>
          <w:sz w:val="18"/>
          <w:szCs w:val="18"/>
          <w:color w:val="auto"/>
        </w:rPr>
        <w:t>We intend to require our public stockholders seeking to exercise their redemption rights, whether they are record holders or hold their shares in “street name,” to, at the holder’s option, either deliver their stock certificates to our transfer agent or deliver their shares to our transfer agent electronically using The Depository Trust Company’s DWAC (Deposit/Withdrawal At Custodian) system, prior to the date set forth in the proxy materials or tender offer documents, as applicable. In the case of proxy materials, this date may be up to two business days prior to the date on which the vote on the proposal to approve the initial business combination is to be held. In addition, if we conduct redemptions in connection with a stockholder vote, we intend to require a public stockholder seeking redemption of its public shares to also submit a written request for redemption to our transfer agent two business days prior to the vote in which the name of the beneficial owner of such shares is included. The proxy materials or tender offer documents, as applicable, that we will furnish to holders of our public shares</w:t>
      </w:r>
    </w:p>
    <w:p>
      <w:pPr>
        <w:sectPr>
          <w:pgSz w:w="11900" w:h="16838" w:orient="portrait"/>
          <w:cols w:equalWidth="0" w:num="1">
            <w:col w:w="9019"/>
          </w:cols>
          <w:pgMar w:left="1440" w:top="517" w:right="1440" w:bottom="1076" w:gutter="0" w:footer="0" w:header="0"/>
        </w:sect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17" w:right="1440" w:bottom="1076" w:gutter="0" w:footer="0" w:header="0"/>
          <w:type w:val="continuous"/>
        </w:sectPr>
      </w:pPr>
    </w:p>
    <w:bookmarkStart w:id="29" w:name="page30"/>
    <w:bookmarkEnd w:id="2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720" w:right="80" w:hanging="179"/>
        <w:spacing w:after="0" w:line="238" w:lineRule="auto"/>
        <w:rPr>
          <w:sz w:val="20"/>
          <w:szCs w:val="20"/>
          <w:color w:val="auto"/>
        </w:rPr>
      </w:pPr>
      <w:r>
        <w:rPr>
          <w:rFonts w:ascii="Arial" w:cs="Arial" w:eastAsia="Arial" w:hAnsi="Arial"/>
          <w:sz w:val="18"/>
          <w:szCs w:val="18"/>
          <w:color w:val="auto"/>
        </w:rPr>
        <w:t>Limitation on redemption rights of stockholders holding 20% or more of the shares sold in this offering if we hold stockholder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720" w:hanging="179"/>
        <w:spacing w:after="0" w:line="274" w:lineRule="auto"/>
        <w:rPr>
          <w:sz w:val="20"/>
          <w:szCs w:val="20"/>
          <w:color w:val="auto"/>
        </w:rPr>
      </w:pPr>
      <w:r>
        <w:rPr>
          <w:rFonts w:ascii="Arial" w:cs="Arial" w:eastAsia="Arial" w:hAnsi="Arial"/>
          <w:sz w:val="17"/>
          <w:szCs w:val="17"/>
          <w:color w:val="auto"/>
        </w:rPr>
        <w:t>Release of funds in trust account on closing of our initial business combination</w:t>
      </w:r>
    </w:p>
    <w:p>
      <w:pPr>
        <w:spacing w:after="0" w:line="20" w:lineRule="exact"/>
        <w:rPr>
          <w:sz w:val="20"/>
          <w:szCs w:val="20"/>
          <w:color w:val="auto"/>
        </w:rPr>
      </w:pPr>
      <w:r>
        <w:rPr>
          <w:sz w:val="20"/>
          <w:szCs w:val="20"/>
          <w:color w:val="auto"/>
        </w:rPr>
        <w:br w:type="column"/>
      </w:r>
    </w:p>
    <w:p>
      <w:pPr>
        <w:ind w:right="579"/>
        <w:spacing w:after="0" w:line="236" w:lineRule="auto"/>
        <w:rPr>
          <w:sz w:val="20"/>
          <w:szCs w:val="20"/>
          <w:color w:val="auto"/>
        </w:rPr>
      </w:pPr>
      <w:r>
        <w:rPr>
          <w:rFonts w:ascii="Arial" w:cs="Arial" w:eastAsia="Arial" w:hAnsi="Arial"/>
          <w:sz w:val="18"/>
          <w:szCs w:val="18"/>
          <w:color w:val="auto"/>
        </w:rPr>
        <w:t>in connection with our initial business combination will indicate whether we are requiring public stockholders to satisfy such delivery requirements. We believe that this will allow our transfer agent to efficiently process any redemptions without the need for further communication or action from the redeeming public stockholders, which could delay redemptions and result in additional administrative cost. If the proposed initial business combination is not approved and we continue to search for a target company, we will promptly return any certificates or shares delivered by public stockholders who elected to redeem their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-2443480</wp:posOffset>
            </wp:positionH>
            <wp:positionV relativeFrom="paragraph">
              <wp:posOffset>-1918970</wp:posOffset>
            </wp:positionV>
            <wp:extent cx="5147310" cy="105156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731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579"/>
        <w:spacing w:after="0" w:line="235" w:lineRule="auto"/>
        <w:rPr>
          <w:sz w:val="20"/>
          <w:szCs w:val="20"/>
          <w:color w:val="auto"/>
        </w:rPr>
      </w:pPr>
      <w:r>
        <w:rPr>
          <w:rFonts w:ascii="Arial" w:cs="Arial" w:eastAsia="Arial" w:hAnsi="Arial"/>
          <w:sz w:val="18"/>
          <w:szCs w:val="18"/>
          <w:color w:val="auto"/>
        </w:rPr>
        <w:t>Notwithstanding the foregoing redemption rights, if we seek stockholder approval of our initial business combination and we do not conduct redemptions in connection with our initial business combination pursuant to the tender offer rules, our amended and restated certificate of incorporation provides that a public stockholder, together with any affiliate of such stockholder or any other person with whom such stockholder is acting in concert or as a “group” (as defined under Section 13 of the Exchange Act), will be restricted from redeeming its shares with respect to more than an aggregate of 20% of the shares sold in this offering, without our prior consent. We believe the restriction described above will discourage stockholders from accumulating large blocks of shares, and subsequent attempts by such holders to use their ability to redeem their shares as a means to force us or our management to purchase their shares at a significant premium to the then-current market price or on other undesirable terms. Absent this provision, a public stockholder holding more than an aggregate of 20% of the shares sold in this offering could threaten to exercise its redemption rights against a business combination if such holder’s shares are not purchased by us, our sponsor or our management at a premium to the then-current market price or on other undesirable terms. By limiting our stockholders’ ability to redeem to no more than 20% of the shares sold in this offering, we believe we will limit the ability of a small group of stockholders to unreasonably attempt to block our ability to complete our initial business combination, particularly in connection with a business combination with a target that requires as a closing condition that we have a minimum net worth or a certain amount of cash. However, we would not be restricting our stockholders’ ability to vote all of their shares (including all shares held by those stockholders that hold more than 20% of the shares sold in this offering) for or against our initial business combination.</w:t>
      </w:r>
    </w:p>
    <w:p>
      <w:pPr>
        <w:spacing w:after="0" w:line="384" w:lineRule="exact"/>
        <w:rPr>
          <w:sz w:val="20"/>
          <w:szCs w:val="20"/>
          <w:color w:val="auto"/>
        </w:rPr>
      </w:pPr>
    </w:p>
    <w:p>
      <w:pPr>
        <w:ind w:right="619"/>
        <w:spacing w:after="0" w:line="250" w:lineRule="auto"/>
        <w:rPr>
          <w:sz w:val="20"/>
          <w:szCs w:val="20"/>
          <w:color w:val="auto"/>
        </w:rPr>
      </w:pPr>
      <w:r>
        <w:rPr>
          <w:rFonts w:ascii="Arial" w:cs="Arial" w:eastAsia="Arial" w:hAnsi="Arial"/>
          <w:sz w:val="17"/>
          <w:szCs w:val="17"/>
          <w:color w:val="auto"/>
        </w:rPr>
        <w:t>On the completion of our initial business combination, the funds held in the trust account will be used to pay amounts due to any public stockholders who properly exercise their redemption rights as described above under “Redemption rights for public stockholders upon completion of our initial business combination,” to pay the underwriters their deferred underwriting commissions, to pay all or a portion of the consideration payable to the target or owners of the target of our initial business combination and to pay other expenses associated with our initial business combination. If our initial business combination is paid for using equity or debt securities, or not all of the funds released from the trust account are used for payment of the consideration in connection with our initial business combination or the redemption of our public shares, we may apply</w:t>
      </w:r>
    </w:p>
    <w:p>
      <w:pPr>
        <w:sectPr>
          <w:pgSz w:w="11900" w:h="16838" w:orient="portrait"/>
          <w:cols w:equalWidth="0" w:num="2">
            <w:col w:w="4020" w:space="280"/>
            <w:col w:w="4719"/>
          </w:cols>
          <w:pgMar w:left="1440" w:top="517" w:right="1440" w:bottom="0" w:gutter="0" w:footer="0" w:header="0"/>
        </w:sectPr>
      </w:pPr>
    </w:p>
    <w:bookmarkStart w:id="30" w:name="page31"/>
    <w:bookmarkEnd w:id="30"/>
    <w:p>
      <w:pPr>
        <w:jc w:val="center"/>
        <w:ind w:right="1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1219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7310" cy="121920"/>
                    </a:xfrm>
                    <a:prstGeom prst="rect">
                      <a:avLst/>
                    </a:prstGeom>
                    <a:noFill/>
                  </pic:spPr>
                </pic:pic>
              </a:graphicData>
            </a:graphic>
          </wp:anchor>
        </w:drawing>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sectPr>
      </w:pPr>
    </w:p>
    <w:bookmarkStart w:id="31" w:name="page32"/>
    <w:bookmarkEnd w:id="3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left="720" w:hanging="179"/>
        <w:spacing w:after="0"/>
        <w:rPr>
          <w:sz w:val="20"/>
          <w:szCs w:val="20"/>
          <w:color w:val="auto"/>
        </w:rPr>
      </w:pPr>
      <w:r>
        <w:rPr>
          <w:rFonts w:ascii="Arial" w:cs="Arial" w:eastAsia="Arial" w:hAnsi="Arial"/>
          <w:sz w:val="18"/>
          <w:szCs w:val="18"/>
          <w:color w:val="auto"/>
        </w:rPr>
        <w:t>Redemption of public shares and distribution and liquidation if no initial business combination</w:t>
      </w:r>
    </w:p>
    <w:p>
      <w:pPr>
        <w:spacing w:after="0" w:line="20" w:lineRule="exact"/>
        <w:rPr>
          <w:sz w:val="20"/>
          <w:szCs w:val="20"/>
          <w:color w:val="auto"/>
        </w:rPr>
      </w:pPr>
      <w:r>
        <w:rPr>
          <w:sz w:val="20"/>
          <w:szCs w:val="20"/>
          <w:color w:val="auto"/>
        </w:rPr>
        <w:br w:type="column"/>
      </w:r>
    </w:p>
    <w:p>
      <w:pPr>
        <w:ind w:right="599"/>
        <w:spacing w:after="0" w:line="237" w:lineRule="auto"/>
        <w:rPr>
          <w:sz w:val="20"/>
          <w:szCs w:val="20"/>
          <w:color w:val="auto"/>
        </w:rPr>
      </w:pPr>
      <w:r>
        <w:rPr>
          <w:rFonts w:ascii="Arial" w:cs="Arial" w:eastAsia="Arial" w:hAnsi="Arial"/>
          <w:sz w:val="18"/>
          <w:szCs w:val="18"/>
          <w:color w:val="auto"/>
        </w:rPr>
        <w:t>the balance of the cash released to us from the trust account for general corporate purposes, including for maintenance or expansion of operations of post-transaction businesses, the payment of principal or interest due on indebtedness incurred in completing our initial business combination, to fund the purchase of other companies or for working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-2075180</wp:posOffset>
            </wp:positionH>
            <wp:positionV relativeFrom="paragraph">
              <wp:posOffset>-1147445</wp:posOffset>
            </wp:positionV>
            <wp:extent cx="5147310" cy="94748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7310" cy="947483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ind w:right="579"/>
        <w:spacing w:after="0" w:line="248" w:lineRule="auto"/>
        <w:rPr>
          <w:sz w:val="20"/>
          <w:szCs w:val="20"/>
          <w:color w:val="auto"/>
        </w:rPr>
      </w:pPr>
      <w:r>
        <w:rPr>
          <w:rFonts w:ascii="Arial" w:cs="Arial" w:eastAsia="Arial" w:hAnsi="Arial"/>
          <w:sz w:val="17"/>
          <w:szCs w:val="17"/>
          <w:color w:val="auto"/>
        </w:rPr>
        <w:t>Our amended and restated certificate of incorporation provides that we will have only 24 months from the closing of this offering to complete our initial business combination or during any Extension Period. If we are unable to complete our initial business combination within such 24-month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$ 100,000 of interest to pay dissolution expenses), divided by the number of then outstanding public shares, which redemption will completely extinguish public stockholders’ rights as stockholders (including the right to receive further liquidating distributions, if any), and</w:t>
      </w:r>
    </w:p>
    <w:p>
      <w:pPr>
        <w:spacing w:after="0" w:line="9" w:lineRule="exact"/>
        <w:rPr>
          <w:sz w:val="20"/>
          <w:szCs w:val="20"/>
          <w:color w:val="auto"/>
        </w:rPr>
      </w:pPr>
    </w:p>
    <w:p>
      <w:pPr>
        <w:ind w:right="599" w:firstLine="10"/>
        <w:spacing w:after="0" w:line="236" w:lineRule="auto"/>
        <w:tabs>
          <w:tab w:leader="none" w:pos="29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promptly as reasonably possible following such redemption, subject to the approval of our remaining stockholders and our board of directors, liquidate and dissolve, subject, in each case, to our obligations under Delaware law to provide for claims of creditors and the requirements of other applicable law. There will be no redemption rights or liquidating distributions with respect to our warrants, which will expire worthless if we fail to complete our initial business combination within the 24-month time period.</w:t>
      </w:r>
    </w:p>
    <w:p>
      <w:pPr>
        <w:spacing w:after="0" w:line="179" w:lineRule="exact"/>
        <w:rPr>
          <w:sz w:val="20"/>
          <w:szCs w:val="20"/>
          <w:color w:val="auto"/>
        </w:rPr>
      </w:pPr>
    </w:p>
    <w:p>
      <w:pPr>
        <w:ind w:right="579"/>
        <w:spacing w:after="0" w:line="236" w:lineRule="auto"/>
        <w:rPr>
          <w:sz w:val="20"/>
          <w:szCs w:val="20"/>
          <w:color w:val="auto"/>
        </w:rPr>
      </w:pPr>
      <w:r>
        <w:rPr>
          <w:rFonts w:ascii="Arial" w:cs="Arial" w:eastAsia="Arial" w:hAnsi="Arial"/>
          <w:sz w:val="18"/>
          <w:szCs w:val="18"/>
          <w:color w:val="auto"/>
        </w:rPr>
        <w:t>Our initial stockholders have entered into agreements with us, pursuant to which they have waived their rights to liquidating distributions from the trust account with respect to their founder shares if we fail to complete our initial business combination within 24 months from the closing of this offering or during any Extension Period. However, if our initial stockholders or management team acquire public shares in or after this offering, they will be entitled to liquidating distributions from the trust account with respect to such public shares if we fail to complete our initial business combination within the allotted 24-month time frame.</w:t>
      </w:r>
    </w:p>
    <w:p>
      <w:pPr>
        <w:spacing w:after="0" w:line="177" w:lineRule="exact"/>
        <w:rPr>
          <w:sz w:val="20"/>
          <w:szCs w:val="20"/>
          <w:color w:val="auto"/>
        </w:rPr>
      </w:pPr>
    </w:p>
    <w:p>
      <w:pPr>
        <w:ind w:right="619"/>
        <w:spacing w:after="0" w:line="236" w:lineRule="auto"/>
        <w:rPr>
          <w:sz w:val="20"/>
          <w:szCs w:val="20"/>
          <w:color w:val="auto"/>
        </w:rPr>
      </w:pPr>
      <w:r>
        <w:rPr>
          <w:rFonts w:ascii="Arial" w:cs="Arial" w:eastAsia="Arial" w:hAnsi="Arial"/>
          <w:sz w:val="18"/>
          <w:szCs w:val="18"/>
          <w:color w:val="auto"/>
        </w:rPr>
        <w:t>The underwriters have agreed to waive their rights to their deferred underwriting commission held in the trust account in the event we do not complete our initial business combination within 24 months from the closing of this offering or during any Extension Period and, in such event, such amounts will be included with the funds held in the trust account that will be available to fund the redemption of our public shares.</w:t>
      </w:r>
    </w:p>
    <w:p>
      <w:pPr>
        <w:spacing w:after="0" w:line="181" w:lineRule="exact"/>
        <w:rPr>
          <w:sz w:val="20"/>
          <w:szCs w:val="20"/>
          <w:color w:val="auto"/>
        </w:rPr>
      </w:pPr>
    </w:p>
    <w:p>
      <w:pPr>
        <w:ind w:right="599"/>
        <w:spacing w:after="0" w:line="236" w:lineRule="auto"/>
        <w:rPr>
          <w:sz w:val="20"/>
          <w:szCs w:val="20"/>
          <w:color w:val="auto"/>
        </w:rPr>
      </w:pPr>
      <w:r>
        <w:rPr>
          <w:rFonts w:ascii="Arial" w:cs="Arial" w:eastAsia="Arial" w:hAnsi="Arial"/>
          <w:sz w:val="18"/>
          <w:szCs w:val="18"/>
          <w:color w:val="auto"/>
        </w:rPr>
        <w:t>Our sponsor, executive officers, directors and director nominees have agreed, pursuant to a written agreement with us, that they will not propose any amendment to our amended and restated certificate of incorporation to modify the substance or timing of our obligation to redeem 100% of our public shares if we do not complete our initial business combination within 24 months from the closing of this offering or with respect to any other material provisions relating to stockholders’ rights or pre-initial business combination activity,</w:t>
      </w:r>
    </w:p>
    <w:p>
      <w:pPr>
        <w:spacing w:after="0" w:line="200" w:lineRule="exact"/>
        <w:rPr>
          <w:sz w:val="20"/>
          <w:szCs w:val="20"/>
          <w:color w:val="auto"/>
        </w:rPr>
      </w:pPr>
    </w:p>
    <w:p>
      <w:pPr>
        <w:sectPr>
          <w:pgSz w:w="11900" w:h="16838" w:orient="portrait"/>
          <w:cols w:equalWidth="0" w:num="2">
            <w:col w:w="3200" w:space="520"/>
            <w:col w:w="5299"/>
          </w:cols>
          <w:pgMar w:left="1440" w:top="517" w:right="1440" w:bottom="846" w:gutter="0" w:footer="0" w:header="0"/>
        </w:sect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17" w:right="1440" w:bottom="846" w:gutter="0" w:footer="0" w:header="0"/>
          <w:type w:val="continuous"/>
        </w:sectPr>
      </w:pPr>
    </w:p>
    <w:bookmarkStart w:id="32" w:name="page33"/>
    <w:bookmarkEnd w:id="32"/>
    <w:p>
      <w:pPr>
        <w:ind w:left="3720" w:right="679"/>
        <w:spacing w:after="0" w:line="23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6944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7310" cy="8694420"/>
                    </a:xfrm>
                    <a:prstGeom prst="rect">
                      <a:avLst/>
                    </a:prstGeom>
                    <a:noFill/>
                  </pic:spPr>
                </pic:pic>
              </a:graphicData>
            </a:graphic>
          </wp:anchor>
        </w:drawing>
        <w:t>unless we provide our public stockholders with the opportunity to redeem their Class A common stock upon approval of any such amendment at a per-share price, payable in cash, equal to the aggregate amount then on deposit in the trust account, including interest earned on the funds held in the trust account and not previously released to us to pay our taxes, divided by the number of then outstanding public shares, subject to the limitations described above under “Limitations on redemptions.” For example, our board of directors may propose such an amendment if it determines that additional time is necessary to complete our initial business combination. In such event, we will conduct a proxy solicitation and distribute proxy materials pursuant to Regulation 14A of the Exchange Act seeking stockholder approval of such proposal, and in connection therewith, provide our public stockholders with the redemption rights described above upon stockholder approval of such amendment.</w:t>
      </w:r>
    </w:p>
    <w:p>
      <w:pPr>
        <w:spacing w:after="0" w:line="181" w:lineRule="exact"/>
        <w:rPr>
          <w:sz w:val="20"/>
          <w:szCs w:val="20"/>
          <w:color w:val="auto"/>
        </w:rPr>
      </w:pPr>
    </w:p>
    <w:p>
      <w:pPr>
        <w:ind w:left="540"/>
        <w:spacing w:after="0"/>
        <w:tabs>
          <w:tab w:leader="none" w:pos="3700" w:val="left"/>
        </w:tabs>
        <w:rPr>
          <w:sz w:val="20"/>
          <w:szCs w:val="20"/>
          <w:color w:val="auto"/>
        </w:rPr>
      </w:pPr>
      <w:r>
        <w:rPr>
          <w:rFonts w:ascii="Arial" w:cs="Arial" w:eastAsia="Arial" w:hAnsi="Arial"/>
          <w:sz w:val="18"/>
          <w:szCs w:val="18"/>
          <w:color w:val="auto"/>
        </w:rPr>
        <w:t>Limited payments to insiders</w:t>
      </w:r>
      <w:r>
        <w:rPr>
          <w:sz w:val="20"/>
          <w:szCs w:val="20"/>
          <w:color w:val="auto"/>
        </w:rPr>
        <w:tab/>
      </w:r>
      <w:r>
        <w:rPr>
          <w:rFonts w:ascii="Arial" w:cs="Arial" w:eastAsia="Arial" w:hAnsi="Arial"/>
          <w:sz w:val="18"/>
          <w:szCs w:val="18"/>
          <w:color w:val="auto"/>
        </w:rPr>
        <w:t>There will be no finder’s fees, reimbursement, consulting</w:t>
      </w:r>
    </w:p>
    <w:p>
      <w:pPr>
        <w:ind w:left="3720" w:right="559"/>
        <w:spacing w:after="0" w:line="236" w:lineRule="auto"/>
        <w:rPr>
          <w:sz w:val="20"/>
          <w:szCs w:val="20"/>
          <w:color w:val="auto"/>
        </w:rPr>
      </w:pPr>
      <w:r>
        <w:rPr>
          <w:rFonts w:ascii="Arial" w:cs="Arial" w:eastAsia="Arial" w:hAnsi="Arial"/>
          <w:sz w:val="18"/>
          <w:szCs w:val="18"/>
          <w:color w:val="auto"/>
        </w:rPr>
        <w:t>fee, monies in respect of any payment of a loan or other compensation paid by us to our sponsor, officers or directors, or any affiliate of our sponsor or officers prior to, or in connection with any services rendered in order to effectuate, the consummation of our initial business combination (regardless of the type of transaction that it is). However, the following payments will be made to our sponsor, officers or directors, or our or their affiliates, and, if made prior to our initial business combination will be made from funds held outside the trust account.</w:t>
      </w:r>
    </w:p>
    <w:p>
      <w:pPr>
        <w:spacing w:after="0" w:line="174" w:lineRule="exact"/>
        <w:rPr>
          <w:sz w:val="20"/>
          <w:szCs w:val="20"/>
          <w:color w:val="auto"/>
        </w:rPr>
      </w:pPr>
    </w:p>
    <w:p>
      <w:pPr>
        <w:ind w:left="3940"/>
        <w:spacing w:after="0"/>
        <w:tabs>
          <w:tab w:leader="none" w:pos="4140" w:val="left"/>
        </w:tabs>
        <w:rPr>
          <w:sz w:val="20"/>
          <w:szCs w:val="20"/>
          <w:color w:val="auto"/>
        </w:rPr>
      </w:pPr>
      <w:r>
        <w:rPr>
          <w:rFonts w:ascii="Arial" w:cs="Arial" w:eastAsia="Arial" w:hAnsi="Arial"/>
          <w:sz w:val="18"/>
          <w:szCs w:val="18"/>
          <w:color w:val="auto"/>
        </w:rPr>
        <w:t>•</w:t>
        <w:tab/>
        <w:t>Repayment of up to an aggregate of $300,000 in</w:t>
      </w:r>
    </w:p>
    <w:p>
      <w:pPr>
        <w:ind w:left="4160"/>
        <w:spacing w:after="0" w:line="234" w:lineRule="auto"/>
        <w:rPr>
          <w:sz w:val="20"/>
          <w:szCs w:val="20"/>
          <w:color w:val="auto"/>
        </w:rPr>
      </w:pPr>
      <w:r>
        <w:rPr>
          <w:rFonts w:ascii="Arial" w:cs="Arial" w:eastAsia="Arial" w:hAnsi="Arial"/>
          <w:sz w:val="18"/>
          <w:szCs w:val="18"/>
          <w:color w:val="auto"/>
        </w:rPr>
        <w:t>loans made to us by our sponsor to cover offering-</w:t>
      </w:r>
    </w:p>
    <w:p>
      <w:pPr>
        <w:spacing w:after="0" w:line="1"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related and organizational expenses;</w:t>
      </w:r>
    </w:p>
    <w:p>
      <w:pPr>
        <w:spacing w:after="0" w:line="180" w:lineRule="exact"/>
        <w:rPr>
          <w:sz w:val="20"/>
          <w:szCs w:val="20"/>
          <w:color w:val="auto"/>
        </w:rPr>
      </w:pPr>
    </w:p>
    <w:p>
      <w:pPr>
        <w:ind w:left="3940"/>
        <w:spacing w:after="0"/>
        <w:tabs>
          <w:tab w:leader="none" w:pos="41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Reimbursement for any out-of-pocket expenses</w:t>
      </w:r>
    </w:p>
    <w:p>
      <w:pPr>
        <w:ind w:left="4160"/>
        <w:spacing w:after="0" w:line="234" w:lineRule="auto"/>
        <w:rPr>
          <w:sz w:val="20"/>
          <w:szCs w:val="20"/>
          <w:color w:val="auto"/>
        </w:rPr>
      </w:pPr>
      <w:r>
        <w:rPr>
          <w:rFonts w:ascii="Arial" w:cs="Arial" w:eastAsia="Arial" w:hAnsi="Arial"/>
          <w:sz w:val="18"/>
          <w:szCs w:val="18"/>
          <w:color w:val="auto"/>
        </w:rPr>
        <w:t>related to identifying, investigating, negotiating and</w:t>
      </w:r>
    </w:p>
    <w:p>
      <w:pPr>
        <w:spacing w:after="0" w:line="1"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completing an initial business combination; and</w:t>
      </w:r>
    </w:p>
    <w:p>
      <w:pPr>
        <w:spacing w:after="0" w:line="180" w:lineRule="exact"/>
        <w:rPr>
          <w:sz w:val="20"/>
          <w:szCs w:val="20"/>
          <w:color w:val="auto"/>
        </w:rPr>
      </w:pPr>
    </w:p>
    <w:p>
      <w:pPr>
        <w:ind w:left="3940"/>
        <w:spacing w:after="0"/>
        <w:tabs>
          <w:tab w:leader="none" w:pos="41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Repayment of loans which may be made by our</w:t>
      </w:r>
    </w:p>
    <w:p>
      <w:pPr>
        <w:ind w:left="4160"/>
        <w:spacing w:after="0" w:line="234" w:lineRule="auto"/>
        <w:rPr>
          <w:sz w:val="20"/>
          <w:szCs w:val="20"/>
          <w:color w:val="auto"/>
        </w:rPr>
      </w:pPr>
      <w:r>
        <w:rPr>
          <w:rFonts w:ascii="Arial" w:cs="Arial" w:eastAsia="Arial" w:hAnsi="Arial"/>
          <w:sz w:val="18"/>
          <w:szCs w:val="18"/>
          <w:color w:val="auto"/>
        </w:rPr>
        <w:t>sponsor or an affiliate of our sponsor or certain of our</w:t>
      </w:r>
    </w:p>
    <w:p>
      <w:pPr>
        <w:ind w:left="4160"/>
        <w:spacing w:after="0" w:line="235" w:lineRule="auto"/>
        <w:rPr>
          <w:sz w:val="20"/>
          <w:szCs w:val="20"/>
          <w:color w:val="auto"/>
        </w:rPr>
      </w:pPr>
      <w:r>
        <w:rPr>
          <w:rFonts w:ascii="Arial" w:cs="Arial" w:eastAsia="Arial" w:hAnsi="Arial"/>
          <w:sz w:val="18"/>
          <w:szCs w:val="18"/>
          <w:color w:val="auto"/>
        </w:rPr>
        <w:t>officers and directors to finance transaction costs in</w:t>
      </w:r>
    </w:p>
    <w:p>
      <w:pPr>
        <w:ind w:left="4160"/>
        <w:spacing w:after="0" w:line="235" w:lineRule="auto"/>
        <w:rPr>
          <w:sz w:val="20"/>
          <w:szCs w:val="20"/>
          <w:color w:val="auto"/>
        </w:rPr>
      </w:pPr>
      <w:r>
        <w:rPr>
          <w:rFonts w:ascii="Arial" w:cs="Arial" w:eastAsia="Arial" w:hAnsi="Arial"/>
          <w:sz w:val="18"/>
          <w:szCs w:val="18"/>
          <w:color w:val="auto"/>
        </w:rPr>
        <w:t>connection with an intended initial business</w:t>
      </w:r>
    </w:p>
    <w:p>
      <w:pPr>
        <w:ind w:left="4160"/>
        <w:spacing w:after="0" w:line="235" w:lineRule="auto"/>
        <w:rPr>
          <w:sz w:val="20"/>
          <w:szCs w:val="20"/>
          <w:color w:val="auto"/>
        </w:rPr>
      </w:pPr>
      <w:r>
        <w:rPr>
          <w:rFonts w:ascii="Arial" w:cs="Arial" w:eastAsia="Arial" w:hAnsi="Arial"/>
          <w:sz w:val="18"/>
          <w:szCs w:val="18"/>
          <w:color w:val="auto"/>
        </w:rPr>
        <w:t>combination. Up to $1,500,000 of such loans may be</w:t>
      </w:r>
    </w:p>
    <w:p>
      <w:pPr>
        <w:ind w:left="4160"/>
        <w:spacing w:after="0" w:line="235" w:lineRule="auto"/>
        <w:rPr>
          <w:sz w:val="20"/>
          <w:szCs w:val="20"/>
          <w:color w:val="auto"/>
        </w:rPr>
      </w:pPr>
      <w:r>
        <w:rPr>
          <w:rFonts w:ascii="Arial" w:cs="Arial" w:eastAsia="Arial" w:hAnsi="Arial"/>
          <w:sz w:val="18"/>
          <w:szCs w:val="18"/>
          <w:color w:val="auto"/>
        </w:rPr>
        <w:t>convertible into warrants of the post-business</w:t>
      </w:r>
    </w:p>
    <w:p>
      <w:pPr>
        <w:ind w:left="4160"/>
        <w:spacing w:after="0" w:line="234" w:lineRule="auto"/>
        <w:rPr>
          <w:sz w:val="20"/>
          <w:szCs w:val="20"/>
          <w:color w:val="auto"/>
        </w:rPr>
      </w:pPr>
      <w:r>
        <w:rPr>
          <w:rFonts w:ascii="Arial" w:cs="Arial" w:eastAsia="Arial" w:hAnsi="Arial"/>
          <w:sz w:val="18"/>
          <w:szCs w:val="18"/>
          <w:color w:val="auto"/>
        </w:rPr>
        <w:t>combination entity at a price of $1.50 per warrant at</w:t>
      </w:r>
    </w:p>
    <w:p>
      <w:pPr>
        <w:ind w:left="4160"/>
        <w:spacing w:after="0" w:line="235" w:lineRule="auto"/>
        <w:rPr>
          <w:sz w:val="20"/>
          <w:szCs w:val="20"/>
          <w:color w:val="auto"/>
        </w:rPr>
      </w:pPr>
      <w:r>
        <w:rPr>
          <w:rFonts w:ascii="Arial" w:cs="Arial" w:eastAsia="Arial" w:hAnsi="Arial"/>
          <w:sz w:val="18"/>
          <w:szCs w:val="18"/>
          <w:color w:val="auto"/>
        </w:rPr>
        <w:t>the option of the lender. The warrants would be</w:t>
      </w:r>
    </w:p>
    <w:p>
      <w:pPr>
        <w:ind w:left="4160"/>
        <w:spacing w:after="0" w:line="235" w:lineRule="auto"/>
        <w:rPr>
          <w:sz w:val="20"/>
          <w:szCs w:val="20"/>
          <w:color w:val="auto"/>
        </w:rPr>
      </w:pPr>
      <w:r>
        <w:rPr>
          <w:rFonts w:ascii="Arial" w:cs="Arial" w:eastAsia="Arial" w:hAnsi="Arial"/>
          <w:sz w:val="18"/>
          <w:szCs w:val="18"/>
          <w:color w:val="auto"/>
        </w:rPr>
        <w:t>identical to the private placement warrants. Except for</w:t>
      </w:r>
    </w:p>
    <w:p>
      <w:pPr>
        <w:ind w:left="4160"/>
        <w:spacing w:after="0" w:line="235" w:lineRule="auto"/>
        <w:rPr>
          <w:sz w:val="20"/>
          <w:szCs w:val="20"/>
          <w:color w:val="auto"/>
        </w:rPr>
      </w:pPr>
      <w:r>
        <w:rPr>
          <w:rFonts w:ascii="Arial" w:cs="Arial" w:eastAsia="Arial" w:hAnsi="Arial"/>
          <w:sz w:val="18"/>
          <w:szCs w:val="18"/>
          <w:color w:val="auto"/>
        </w:rPr>
        <w:t>the foregoing, the terms of such loans, if any, have</w:t>
      </w:r>
    </w:p>
    <w:p>
      <w:pPr>
        <w:ind w:left="4160"/>
        <w:spacing w:after="0" w:line="235" w:lineRule="auto"/>
        <w:rPr>
          <w:sz w:val="20"/>
          <w:szCs w:val="20"/>
          <w:color w:val="auto"/>
        </w:rPr>
      </w:pPr>
      <w:r>
        <w:rPr>
          <w:rFonts w:ascii="Arial" w:cs="Arial" w:eastAsia="Arial" w:hAnsi="Arial"/>
          <w:sz w:val="18"/>
          <w:szCs w:val="18"/>
          <w:color w:val="auto"/>
        </w:rPr>
        <w:t>not been determined and no written agreements exist</w:t>
      </w:r>
    </w:p>
    <w:p>
      <w:pPr>
        <w:ind w:left="4160"/>
        <w:spacing w:after="0"/>
        <w:rPr>
          <w:sz w:val="20"/>
          <w:szCs w:val="20"/>
          <w:color w:val="auto"/>
        </w:rPr>
      </w:pPr>
      <w:r>
        <w:rPr>
          <w:rFonts w:ascii="Arial" w:cs="Arial" w:eastAsia="Arial" w:hAnsi="Arial"/>
          <w:sz w:val="18"/>
          <w:szCs w:val="18"/>
          <w:color w:val="auto"/>
        </w:rPr>
        <w:t>with respect to such loans.</w:t>
      </w:r>
    </w:p>
    <w:p>
      <w:pPr>
        <w:spacing w:after="0" w:line="180" w:lineRule="exact"/>
        <w:rPr>
          <w:sz w:val="20"/>
          <w:szCs w:val="20"/>
          <w:color w:val="auto"/>
        </w:rPr>
      </w:pPr>
    </w:p>
    <w:p>
      <w:pPr>
        <w:ind w:left="540"/>
        <w:spacing w:after="0"/>
        <w:tabs>
          <w:tab w:leader="none" w:pos="3700" w:val="left"/>
        </w:tabs>
        <w:rPr>
          <w:sz w:val="20"/>
          <w:szCs w:val="20"/>
          <w:color w:val="auto"/>
        </w:rPr>
      </w:pPr>
      <w:r>
        <w:rPr>
          <w:rFonts w:ascii="Arial" w:cs="Arial" w:eastAsia="Arial" w:hAnsi="Arial"/>
          <w:sz w:val="18"/>
          <w:szCs w:val="18"/>
          <w:color w:val="auto"/>
        </w:rPr>
        <w:t>Audit Committee</w:t>
      </w:r>
      <w:r>
        <w:rPr>
          <w:sz w:val="20"/>
          <w:szCs w:val="20"/>
          <w:color w:val="auto"/>
        </w:rPr>
        <w:tab/>
      </w:r>
      <w:r>
        <w:rPr>
          <w:rFonts w:ascii="Arial" w:cs="Arial" w:eastAsia="Arial" w:hAnsi="Arial"/>
          <w:sz w:val="18"/>
          <w:szCs w:val="18"/>
          <w:color w:val="auto"/>
        </w:rPr>
        <w:t>We will establish and maintain an audit committee. Among</w:t>
      </w:r>
    </w:p>
    <w:p>
      <w:pPr>
        <w:ind w:left="3720" w:right="619"/>
        <w:spacing w:after="0" w:line="251" w:lineRule="auto"/>
        <w:rPr>
          <w:sz w:val="20"/>
          <w:szCs w:val="20"/>
          <w:color w:val="auto"/>
        </w:rPr>
      </w:pPr>
      <w:r>
        <w:rPr>
          <w:rFonts w:ascii="Arial" w:cs="Arial" w:eastAsia="Arial" w:hAnsi="Arial"/>
          <w:sz w:val="17"/>
          <w:szCs w:val="17"/>
          <w:color w:val="auto"/>
        </w:rPr>
        <w:t>its responsibilities, the audit committee will review on a quarterly basis all payments that were made to our sponsor, officers or directors, or our or their respective affiliates and monitor compliance with the other terms relating to this offering. If any noncompliance is identified, then the audit committee will be charged with the responsibility to promptly take all action necessary to rectify such noncompliance or otherwise to cause compliance with the terms of this offering. For more information, see the section entitled “Management — Committees of the Board of Directors — Audit Committee.”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20250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7310" cy="2025015"/>
                    </a:xfrm>
                    <a:prstGeom prst="rect">
                      <a:avLst/>
                    </a:prstGeom>
                    <a:noFill/>
                  </pic:spPr>
                </pic:pic>
              </a:graphicData>
            </a:graphic>
          </wp:anchor>
        </w:drawing>
        <w:t>RISKS</w:t>
      </w:r>
    </w:p>
    <w:p>
      <w:pPr>
        <w:spacing w:after="0" w:line="153" w:lineRule="exact"/>
        <w:rPr>
          <w:sz w:val="20"/>
          <w:szCs w:val="20"/>
          <w:color w:val="auto"/>
        </w:rPr>
      </w:pPr>
    </w:p>
    <w:p>
      <w:pPr>
        <w:ind w:left="540" w:right="659"/>
        <w:spacing w:after="0" w:line="234" w:lineRule="auto"/>
        <w:rPr>
          <w:sz w:val="20"/>
          <w:szCs w:val="20"/>
          <w:color w:val="auto"/>
        </w:rPr>
      </w:pPr>
      <w:r>
        <w:rPr>
          <w:rFonts w:ascii="Arial" w:cs="Arial" w:eastAsia="Arial" w:hAnsi="Arial"/>
          <w:sz w:val="18"/>
          <w:szCs w:val="18"/>
          <w:color w:val="auto"/>
        </w:rPr>
        <w:t>We are a blank check company that has conducted no operations and has generated no revenues to date. Until we complete our initial business combination, we will have no operations and will generate no operating revenues. In making your decision whether to invest in our securities, you should take into account not only the background of our management team, but also the special risks we face as a blank check company. This offering is not being conducted in compliance with Rule 419 promulgated under the Securities Act. Accordingly, you will not be entitled to protections normally afforded to investors in Rule 419 blank check offerings. For additional information concerning how Rule 419 blank check offerings differ from this offering, please see “Proposed Business — Comparison of This Offering to Those of Blank Check Companies Subject to</w:t>
      </w:r>
    </w:p>
    <w:p>
      <w:pPr>
        <w:spacing w:after="0" w:line="6" w:lineRule="exact"/>
        <w:rPr>
          <w:sz w:val="20"/>
          <w:szCs w:val="20"/>
          <w:color w:val="auto"/>
        </w:rPr>
      </w:pPr>
    </w:p>
    <w:p>
      <w:pPr>
        <w:ind w:left="540" w:right="799"/>
        <w:spacing w:after="0" w:line="246" w:lineRule="auto"/>
        <w:rPr>
          <w:sz w:val="20"/>
          <w:szCs w:val="20"/>
          <w:color w:val="auto"/>
        </w:rPr>
      </w:pPr>
      <w:r>
        <w:rPr>
          <w:rFonts w:ascii="Arial" w:cs="Arial" w:eastAsia="Arial" w:hAnsi="Arial"/>
          <w:sz w:val="18"/>
          <w:szCs w:val="18"/>
          <w:color w:val="auto"/>
        </w:rPr>
        <w:t>Rule 419.” You should carefully consider these and the other risks set forth in the section entitled “Risk Factors” in this prospectus.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535" w:right="1440"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23164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7310" cy="2316480"/>
                    </a:xfrm>
                    <a:prstGeom prst="rect">
                      <a:avLst/>
                    </a:prstGeom>
                    <a:noFill/>
                  </pic:spPr>
                </pic:pic>
              </a:graphicData>
            </a:graphic>
          </wp:anchor>
        </w:drawing>
        <w:t>SUMMARY FINANCIAL DATA</w:t>
      </w:r>
    </w:p>
    <w:p>
      <w:pPr>
        <w:spacing w:after="0" w:line="153" w:lineRule="exact"/>
        <w:rPr>
          <w:sz w:val="20"/>
          <w:szCs w:val="20"/>
          <w:color w:val="auto"/>
        </w:rPr>
      </w:pPr>
    </w:p>
    <w:p>
      <w:pPr>
        <w:ind w:left="540" w:right="559"/>
        <w:spacing w:after="0"/>
        <w:rPr>
          <w:sz w:val="20"/>
          <w:szCs w:val="20"/>
          <w:color w:val="auto"/>
        </w:rPr>
      </w:pPr>
      <w:r>
        <w:rPr>
          <w:rFonts w:ascii="Arial" w:cs="Arial" w:eastAsia="Arial" w:hAnsi="Arial"/>
          <w:sz w:val="18"/>
          <w:szCs w:val="18"/>
          <w:color w:val="auto"/>
        </w:rPr>
        <w:t>The following table summarizes the relevant financial data for our business and should be read with our financial statements, which are included in this prospectus. We have not had any significant operations to date, so only balance sheet data is presented.</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July 16, 2020</w:t>
            </w:r>
          </w:p>
        </w:tc>
      </w:tr>
      <w:tr>
        <w:trPr>
          <w:trHeight w:val="26"/>
        </w:trPr>
        <w:tc>
          <w:tcPr>
            <w:tcW w:w="3120" w:type="dxa"/>
            <w:vAlign w:val="bottom"/>
            <w:gridSpan w:val="2"/>
          </w:tcPr>
          <w:p>
            <w:pPr>
              <w:spacing w:after="0"/>
              <w:rPr>
                <w:sz w:val="2"/>
                <w:szCs w:val="2"/>
                <w:color w:val="auto"/>
              </w:rPr>
            </w:pPr>
          </w:p>
        </w:tc>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80" w:type="dxa"/>
            <w:vAlign w:val="bottom"/>
          </w:tcPr>
          <w:p>
            <w:pPr>
              <w:spacing w:after="0"/>
              <w:rPr>
                <w:sz w:val="22"/>
                <w:szCs w:val="22"/>
                <w:color w:val="auto"/>
              </w:rPr>
            </w:pPr>
          </w:p>
        </w:tc>
        <w:tc>
          <w:tcPr>
            <w:tcW w:w="3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372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spacing w:after="0"/>
              <w:rPr>
                <w:sz w:val="22"/>
                <w:szCs w:val="22"/>
                <w:color w:val="auto"/>
              </w:rPr>
            </w:pPr>
          </w:p>
        </w:tc>
        <w:tc>
          <w:tcPr>
            <w:tcW w:w="104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r>
      <w:tr>
        <w:trPr>
          <w:trHeight w:val="257"/>
        </w:trPr>
        <w:tc>
          <w:tcPr>
            <w:tcW w:w="3120" w:type="dxa"/>
            <w:vAlign w:val="bottom"/>
            <w:gridSpan w:val="2"/>
          </w:tcPr>
          <w:p>
            <w:pPr>
              <w:ind w:left="80"/>
              <w:spacing w:after="0"/>
              <w:rPr>
                <w:sz w:val="20"/>
                <w:szCs w:val="20"/>
                <w:color w:val="auto"/>
              </w:rPr>
            </w:pPr>
            <w:r>
              <w:rPr>
                <w:rFonts w:ascii="Arial" w:cs="Arial" w:eastAsia="Arial" w:hAnsi="Arial"/>
                <w:sz w:val="18"/>
                <w:szCs w:val="18"/>
                <w:color w:val="auto"/>
              </w:rPr>
              <w:t>Working capital (deficiency)</w:t>
            </w:r>
          </w:p>
        </w:tc>
        <w:tc>
          <w:tcPr>
            <w:tcW w:w="3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(67,681)</w:t>
            </w:r>
          </w:p>
        </w:tc>
        <w:tc>
          <w:tcPr>
            <w:tcW w:w="100" w:type="dxa"/>
            <w:vAlign w:val="bottom"/>
          </w:tcPr>
          <w:p>
            <w:pPr>
              <w:spacing w:after="0"/>
              <w:rPr>
                <w:sz w:val="22"/>
                <w:szCs w:val="22"/>
                <w:color w:val="auto"/>
              </w:rPr>
            </w:pPr>
          </w:p>
        </w:tc>
      </w:tr>
      <w:tr>
        <w:trPr>
          <w:trHeight w:val="27"/>
        </w:trPr>
        <w:tc>
          <w:tcPr>
            <w:tcW w:w="3120" w:type="dxa"/>
            <w:vAlign w:val="bottom"/>
            <w:gridSpan w:val="2"/>
          </w:tcPr>
          <w:p>
            <w:pPr>
              <w:spacing w:after="0"/>
              <w:rPr>
                <w:sz w:val="2"/>
                <w:szCs w:val="2"/>
                <w:color w:val="auto"/>
              </w:rPr>
            </w:pPr>
          </w:p>
        </w:tc>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63"/>
        </w:trPr>
        <w:tc>
          <w:tcPr>
            <w:tcW w:w="80" w:type="dxa"/>
            <w:vAlign w:val="bottom"/>
          </w:tcPr>
          <w:p>
            <w:pPr>
              <w:spacing w:after="0"/>
              <w:rPr>
                <w:sz w:val="22"/>
                <w:szCs w:val="22"/>
                <w:color w:val="auto"/>
              </w:rPr>
            </w:pPr>
          </w:p>
        </w:tc>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3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90,000</w:t>
            </w:r>
          </w:p>
        </w:tc>
        <w:tc>
          <w:tcPr>
            <w:tcW w:w="100" w:type="dxa"/>
            <w:vAlign w:val="bottom"/>
          </w:tcPr>
          <w:p>
            <w:pPr>
              <w:spacing w:after="0"/>
              <w:rPr>
                <w:sz w:val="22"/>
                <w:szCs w:val="22"/>
                <w:color w:val="auto"/>
              </w:rPr>
            </w:pPr>
          </w:p>
        </w:tc>
      </w:tr>
      <w:tr>
        <w:trPr>
          <w:trHeight w:val="257"/>
        </w:trPr>
        <w:tc>
          <w:tcPr>
            <w:tcW w:w="3120" w:type="dxa"/>
            <w:vAlign w:val="bottom"/>
            <w:gridSpan w:val="2"/>
          </w:tcPr>
          <w:p>
            <w:pPr>
              <w:ind w:left="80"/>
              <w:spacing w:after="0"/>
              <w:rPr>
                <w:sz w:val="20"/>
                <w:szCs w:val="20"/>
                <w:color w:val="auto"/>
              </w:rPr>
            </w:pPr>
            <w:r>
              <w:rPr>
                <w:rFonts w:ascii="Arial" w:cs="Arial" w:eastAsia="Arial" w:hAnsi="Arial"/>
                <w:sz w:val="18"/>
                <w:szCs w:val="18"/>
                <w:color w:val="auto"/>
              </w:rPr>
              <w:t>Total liabilities</w:t>
            </w:r>
          </w:p>
        </w:tc>
        <w:tc>
          <w:tcPr>
            <w:tcW w:w="3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67,681</w:t>
            </w:r>
          </w:p>
        </w:tc>
        <w:tc>
          <w:tcPr>
            <w:tcW w:w="100" w:type="dxa"/>
            <w:vAlign w:val="bottom"/>
          </w:tcPr>
          <w:p>
            <w:pPr>
              <w:spacing w:after="0"/>
              <w:rPr>
                <w:sz w:val="22"/>
                <w:szCs w:val="22"/>
                <w:color w:val="auto"/>
              </w:rPr>
            </w:pPr>
          </w:p>
        </w:tc>
      </w:tr>
      <w:tr>
        <w:trPr>
          <w:trHeight w:val="27"/>
        </w:trPr>
        <w:tc>
          <w:tcPr>
            <w:tcW w:w="3120" w:type="dxa"/>
            <w:vAlign w:val="bottom"/>
            <w:gridSpan w:val="2"/>
          </w:tcPr>
          <w:p>
            <w:pPr>
              <w:spacing w:after="0"/>
              <w:rPr>
                <w:sz w:val="2"/>
                <w:szCs w:val="2"/>
                <w:color w:val="auto"/>
              </w:rPr>
            </w:pPr>
          </w:p>
        </w:tc>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63"/>
        </w:trPr>
        <w:tc>
          <w:tcPr>
            <w:tcW w:w="80" w:type="dxa"/>
            <w:vAlign w:val="bottom"/>
          </w:tcPr>
          <w:p>
            <w:pPr>
              <w:spacing w:after="0"/>
              <w:rPr>
                <w:sz w:val="22"/>
                <w:szCs w:val="22"/>
                <w:color w:val="auto"/>
              </w:rPr>
            </w:pPr>
          </w:p>
        </w:tc>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22,319</w:t>
            </w:r>
          </w:p>
        </w:tc>
        <w:tc>
          <w:tcPr>
            <w:tcW w:w="100" w:type="dxa"/>
            <w:vAlign w:val="bottom"/>
          </w:tcPr>
          <w:p>
            <w:pPr>
              <w:spacing w:after="0"/>
              <w:rPr>
                <w:sz w:val="22"/>
                <w:szCs w:val="22"/>
                <w:color w:val="auto"/>
              </w:rPr>
            </w:pPr>
          </w:p>
        </w:tc>
      </w:tr>
      <w:tr>
        <w:trPr>
          <w:trHeight w:val="361"/>
        </w:trPr>
        <w:tc>
          <w:tcPr>
            <w:tcW w:w="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375"/>
        </w:trPr>
        <w:tc>
          <w:tcPr>
            <w:tcW w:w="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jc w:val="right"/>
              <w:ind w:right="2610"/>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35" w:right="1440"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RISK FACTORS</w:t>
      </w:r>
    </w:p>
    <w:p>
      <w:pPr>
        <w:spacing w:after="0" w:line="148" w:lineRule="exact"/>
        <w:rPr>
          <w:sz w:val="20"/>
          <w:szCs w:val="20"/>
          <w:color w:val="auto"/>
        </w:rPr>
      </w:pPr>
    </w:p>
    <w:p>
      <w:pPr>
        <w:ind w:left="460" w:right="499"/>
        <w:spacing w:after="0" w:line="242" w:lineRule="auto"/>
        <w:rPr>
          <w:sz w:val="20"/>
          <w:szCs w:val="20"/>
          <w:color w:val="auto"/>
        </w:rPr>
      </w:pPr>
      <w:r>
        <w:rPr>
          <w:rFonts w:ascii="Arial" w:cs="Arial" w:eastAsia="Arial" w:hAnsi="Arial"/>
          <w:sz w:val="18"/>
          <w:szCs w:val="18"/>
          <w:i w:val="1"/>
          <w:iCs w:val="1"/>
          <w:color w:val="auto"/>
        </w:rPr>
        <w:t>An investment in our securities involves a high degree of risk. You should consider carefully all of the risks described below, together with the other information contained in this prospectus, before making a decision to invest in our units. If any of the following events occur, our business, financial condition and operating results may be materially adversely affected. In that event, the trading price of our securities could decline, and you could lose all or part of your investment.</w:t>
      </w:r>
    </w:p>
    <w:p>
      <w:pPr>
        <w:spacing w:after="0" w:line="181" w:lineRule="exact"/>
        <w:rPr>
          <w:sz w:val="20"/>
          <w:szCs w:val="20"/>
          <w:color w:val="auto"/>
        </w:rPr>
      </w:pPr>
    </w:p>
    <w:p>
      <w:pPr>
        <w:ind w:left="460" w:right="719"/>
        <w:spacing w:after="0" w:line="271" w:lineRule="auto"/>
        <w:rPr>
          <w:sz w:val="20"/>
          <w:szCs w:val="20"/>
          <w:color w:val="auto"/>
        </w:rPr>
      </w:pPr>
      <w:r>
        <w:rPr>
          <w:rFonts w:ascii="Arial" w:cs="Arial" w:eastAsia="Arial" w:hAnsi="Arial"/>
          <w:sz w:val="18"/>
          <w:szCs w:val="18"/>
          <w:b w:val="1"/>
          <w:bCs w:val="1"/>
          <w:color w:val="auto"/>
        </w:rPr>
        <w:t>We are a blank check company with no operating history and no revenues, and you have no basis on which to evaluate our ability to achieve our business objective.</w:t>
      </w:r>
    </w:p>
    <w:p>
      <w:pPr>
        <w:spacing w:after="0" w:line="95" w:lineRule="exact"/>
        <w:rPr>
          <w:sz w:val="20"/>
          <w:szCs w:val="20"/>
          <w:color w:val="auto"/>
        </w:rPr>
      </w:pPr>
    </w:p>
    <w:p>
      <w:pPr>
        <w:ind w:left="460" w:right="459"/>
        <w:spacing w:after="0" w:line="237" w:lineRule="auto"/>
        <w:rPr>
          <w:sz w:val="20"/>
          <w:szCs w:val="20"/>
          <w:color w:val="auto"/>
        </w:rPr>
      </w:pPr>
      <w:r>
        <w:rPr>
          <w:rFonts w:ascii="Arial" w:cs="Arial" w:eastAsia="Arial" w:hAnsi="Arial"/>
          <w:sz w:val="18"/>
          <w:szCs w:val="18"/>
          <w:color w:val="auto"/>
        </w:rPr>
        <w:t>We are a blank check company incorporated under the laws of the State of Delaware with no operating results, and we will not commence operations until obtaining funding through this offering. Because we lack an operating history, you have no basis upon which to evaluate our ability to achieve our business objective of completing our initial business combination. We have no plans, arrangements or understandings with any prospective target business concerning a business combination and may be unable to complete our initial business combination. If we fail to complete our initial business combination, we will never generate any operating revenues.</w:t>
      </w:r>
    </w:p>
    <w:p>
      <w:pPr>
        <w:spacing w:after="0" w:line="181" w:lineRule="exact"/>
        <w:rPr>
          <w:sz w:val="20"/>
          <w:szCs w:val="20"/>
          <w:color w:val="auto"/>
        </w:rPr>
      </w:pPr>
    </w:p>
    <w:p>
      <w:pPr>
        <w:jc w:val="both"/>
        <w:ind w:left="460" w:right="519"/>
        <w:spacing w:after="0" w:line="247" w:lineRule="auto"/>
        <w:rPr>
          <w:sz w:val="20"/>
          <w:szCs w:val="20"/>
          <w:color w:val="auto"/>
        </w:rPr>
      </w:pPr>
      <w:r>
        <w:rPr>
          <w:rFonts w:ascii="Arial" w:cs="Arial" w:eastAsia="Arial" w:hAnsi="Arial"/>
          <w:sz w:val="18"/>
          <w:szCs w:val="18"/>
          <w:b w:val="1"/>
          <w:bCs w:val="1"/>
          <w:color w:val="auto"/>
        </w:rPr>
        <w:t>Our stockholders may not be afforded an opportunity to vote on our proposed initial business combination, and even if we hold a vote, holders of our founder shares will participate in such vote, which means we may complete our initial business combination even though a majority of our public stockholders do not support such a combination.</w:t>
      </w:r>
    </w:p>
    <w:p>
      <w:pPr>
        <w:spacing w:after="0" w:line="128"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We may choose not to hold a stockholder vote to approve our initial business combination if the business combination would not require stockholder approval under applicable law or stock exchange listing requirement. Except for as required by applicable law or stock exchange requirement, the decision as to whether we will seek stockholder approval of a proposed business combination or will allow stockholders to sell their shares to us in a tender offer will be made by us, solely in our discretion, and will be based on a variety of factors, such as the timing of the transaction and whether the terms of the transaction would otherwise require us to seek stockholder approval. Even if we seek stockholder approval, the holders of our founder shares will participate in the vote on such approval. Accordingly, we may complete our initial business combination even if a majority of our public stockholders do not approve of the business combination we complete. Please see the section entitled “Proposed Business — Stockholders May Not Have the Ability to Approve Our Initial Business Combination” for additional information.</w:t>
      </w:r>
    </w:p>
    <w:p>
      <w:pPr>
        <w:spacing w:after="0" w:line="182" w:lineRule="exact"/>
        <w:rPr>
          <w:sz w:val="20"/>
          <w:szCs w:val="20"/>
          <w:color w:val="auto"/>
        </w:rPr>
      </w:pPr>
    </w:p>
    <w:p>
      <w:pPr>
        <w:ind w:left="460" w:right="799"/>
        <w:spacing w:after="0" w:line="253" w:lineRule="auto"/>
        <w:rPr>
          <w:sz w:val="20"/>
          <w:szCs w:val="20"/>
          <w:color w:val="auto"/>
        </w:rPr>
      </w:pPr>
      <w:r>
        <w:rPr>
          <w:rFonts w:ascii="Arial" w:cs="Arial" w:eastAsia="Arial" w:hAnsi="Arial"/>
          <w:sz w:val="18"/>
          <w:szCs w:val="18"/>
          <w:b w:val="1"/>
          <w:bCs w:val="1"/>
          <w:color w:val="auto"/>
        </w:rPr>
        <w:t>Your only opportunity to affect the investment decision regarding a potential business combination may be limited to the exercise of your right to redeem your shares from us for cash.</w:t>
      </w:r>
    </w:p>
    <w:p>
      <w:pPr>
        <w:spacing w:after="0" w:line="123" w:lineRule="exact"/>
        <w:rPr>
          <w:sz w:val="20"/>
          <w:szCs w:val="20"/>
          <w:color w:val="auto"/>
        </w:rPr>
      </w:pPr>
    </w:p>
    <w:p>
      <w:pPr>
        <w:ind w:left="460" w:right="459"/>
        <w:spacing w:after="0" w:line="236" w:lineRule="auto"/>
        <w:rPr>
          <w:sz w:val="20"/>
          <w:szCs w:val="20"/>
          <w:color w:val="auto"/>
        </w:rPr>
      </w:pPr>
      <w:r>
        <w:rPr>
          <w:rFonts w:ascii="Arial" w:cs="Arial" w:eastAsia="Arial" w:hAnsi="Arial"/>
          <w:sz w:val="18"/>
          <w:szCs w:val="18"/>
          <w:color w:val="auto"/>
        </w:rPr>
        <w:t>At the time of your investment in us, you will not be provided with an opportunity to evaluate the specific merits or risks of our initial business combination. Since our board of directors may complete a business combination without seeking stockholder approval, public stockholders may not have the right or opportunity to vote on the business combination, unless we seek such stockholder vote. Accordingly, your only opportunity to affect the investment decision regarding our initial business combination may be limited to exercising your redemption rights within the period of time (which will be at least 20 business days) set forth in our tender offer documents mailed to our public stockholders in which we describe our initial business combination.</w:t>
      </w:r>
    </w:p>
    <w:p>
      <w:pPr>
        <w:spacing w:after="0" w:line="186" w:lineRule="exact"/>
        <w:rPr>
          <w:sz w:val="20"/>
          <w:szCs w:val="20"/>
          <w:color w:val="auto"/>
        </w:rPr>
      </w:pPr>
    </w:p>
    <w:p>
      <w:pPr>
        <w:ind w:left="460" w:right="739"/>
        <w:spacing w:after="0" w:line="253" w:lineRule="auto"/>
        <w:rPr>
          <w:sz w:val="20"/>
          <w:szCs w:val="20"/>
          <w:color w:val="auto"/>
        </w:rPr>
      </w:pPr>
      <w:r>
        <w:rPr>
          <w:rFonts w:ascii="Arial" w:cs="Arial" w:eastAsia="Arial" w:hAnsi="Arial"/>
          <w:sz w:val="18"/>
          <w:szCs w:val="18"/>
          <w:b w:val="1"/>
          <w:bCs w:val="1"/>
          <w:color w:val="auto"/>
        </w:rPr>
        <w:t>If we seek stockholder approval of our initial business combination, our initial stockholders and management team have agreed to vote in favor of such initial business combination, regardless of how our public stockholders vote.</w:t>
      </w:r>
    </w:p>
    <w:p>
      <w:pPr>
        <w:spacing w:after="0" w:line="110"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Our initial stockholders will own 20% of our outstanding common stock immediately following the completion of this offering. Our initial stockholders and management team also may from time to time purchase Class A common stock prior to the completion of our initial business combination. Our amended and restated certificate of incorporation provides that, if we seek stockholder approval of an initial business combination, such initial business combination will be approved if we receive the affirmative vote of a majority of the shares voted at such meeting, including the founder shares. As a result, in addition to our initial stockholders’ founder shares, we would need 13,125,001, or 37.5%, of the 35,000,000 public shares sold in this offering to be voted in favor of an initial business combination in order to have our initial business combination approved (assuming all outstanding shares are voted and the over-allotment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6" w:name="page37"/>
    <w:bookmarkEnd w:id="36"/>
    <w:p>
      <w:pPr>
        <w:ind w:left="460" w:right="619"/>
        <w:spacing w:after="0" w:line="238" w:lineRule="auto"/>
        <w:rPr>
          <w:sz w:val="20"/>
          <w:szCs w:val="20"/>
          <w:color w:val="auto"/>
        </w:rPr>
      </w:pPr>
      <w:r>
        <w:rPr>
          <w:rFonts w:ascii="Arial" w:cs="Arial" w:eastAsia="Arial" w:hAnsi="Arial"/>
          <w:sz w:val="18"/>
          <w:szCs w:val="18"/>
          <w:color w:val="auto"/>
        </w:rPr>
        <w:t>option is not exercised). Accordingly, if we seek stockholder approval of our initial business combination, the agreement by our initial stockholders and management team to vote in favor of our initial business combination will increase the likelihood that we will receive the requisite stockholder approval for such initial business combination.</w:t>
      </w:r>
    </w:p>
    <w:p>
      <w:pPr>
        <w:spacing w:after="0" w:line="183" w:lineRule="exact"/>
        <w:rPr>
          <w:sz w:val="20"/>
          <w:szCs w:val="20"/>
          <w:color w:val="auto"/>
        </w:rPr>
      </w:pPr>
    </w:p>
    <w:p>
      <w:pPr>
        <w:jc w:val="both"/>
        <w:ind w:left="460" w:right="599"/>
        <w:spacing w:after="0" w:line="253" w:lineRule="auto"/>
        <w:rPr>
          <w:sz w:val="20"/>
          <w:szCs w:val="20"/>
          <w:color w:val="auto"/>
        </w:rPr>
      </w:pPr>
      <w:r>
        <w:rPr>
          <w:rFonts w:ascii="Arial" w:cs="Arial" w:eastAsia="Arial" w:hAnsi="Arial"/>
          <w:sz w:val="18"/>
          <w:szCs w:val="18"/>
          <w:b w:val="1"/>
          <w:bCs w:val="1"/>
          <w:color w:val="auto"/>
        </w:rPr>
        <w:t>The ability of our public stockholders to redeem their shares for cash may make our financial condition unattractive to potential business combination targets, which may make it difficult for us to enter into a business combination with a target.</w:t>
      </w:r>
    </w:p>
    <w:p>
      <w:pPr>
        <w:spacing w:after="0" w:line="110" w:lineRule="exact"/>
        <w:rPr>
          <w:sz w:val="20"/>
          <w:szCs w:val="20"/>
          <w:color w:val="auto"/>
        </w:rPr>
      </w:pPr>
    </w:p>
    <w:p>
      <w:pPr>
        <w:ind w:left="460" w:right="539"/>
        <w:spacing w:after="0" w:line="236" w:lineRule="auto"/>
        <w:rPr>
          <w:sz w:val="20"/>
          <w:szCs w:val="20"/>
          <w:color w:val="auto"/>
        </w:rPr>
      </w:pPr>
      <w:r>
        <w:rPr>
          <w:rFonts w:ascii="Arial" w:cs="Arial" w:eastAsia="Arial" w:hAnsi="Arial"/>
          <w:sz w:val="18"/>
          <w:szCs w:val="18"/>
          <w:color w:val="auto"/>
        </w:rPr>
        <w:t>We may seek to enter into a business combination transaction agreement with minimum cash requirement for (i) cash consideration to be paid to the target or its owners, (ii) cash for working capital or other general corporate purposes or (iii) the retention of cash to satisfy other conditions. If too many public stockholders exercise their redemption rights, we would not be able to meet such closing condition and, as a result, would not be able to proceed with the business combination. Furthermore, in no event will we redeem our public shares in an amount that would cause our net tangible assets to be less than $5,000,001. Consequently, if accepting all properly submitted redemption requests would cause our net tangible assets to be less than $ 5,000,001 or make us unable to satisfy a minimum cash condition as described above, we would not proceed with such redemption and the related business combination and may instead search for an alternate business combination. Prospective targets will be aware of these risks and, thus, may be reluctant to enter into a business combination transaction with us.</w:t>
      </w:r>
    </w:p>
    <w:p>
      <w:pPr>
        <w:spacing w:after="0" w:line="182" w:lineRule="exact"/>
        <w:rPr>
          <w:sz w:val="20"/>
          <w:szCs w:val="20"/>
          <w:color w:val="auto"/>
        </w:rPr>
      </w:pPr>
    </w:p>
    <w:p>
      <w:pPr>
        <w:ind w:left="460" w:right="559"/>
        <w:spacing w:after="0" w:line="253" w:lineRule="auto"/>
        <w:rPr>
          <w:sz w:val="20"/>
          <w:szCs w:val="20"/>
          <w:color w:val="auto"/>
        </w:rPr>
      </w:pPr>
      <w:r>
        <w:rPr>
          <w:rFonts w:ascii="Arial" w:cs="Arial" w:eastAsia="Arial" w:hAnsi="Arial"/>
          <w:sz w:val="18"/>
          <w:szCs w:val="18"/>
          <w:b w:val="1"/>
          <w:bCs w:val="1"/>
          <w:color w:val="auto"/>
        </w:rPr>
        <w:t>The ability of our public stockholders to exercise redemption rights with respect to a large number of our shares may not allow us to complete the most desirable business combination or optimize our capital structure.</w:t>
      </w:r>
    </w:p>
    <w:p>
      <w:pPr>
        <w:spacing w:after="0" w:line="123"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At the time we enter into an agreement for our initial business combination, we will not know how many stockholders may exercise their redemption rights, and therefore will need to structure the transaction based on our expectations as to the number of shares that will be submitted for redemption. If our initial business combination agreement requires us to use a portion of the cash in the trust account to pay the purchase price, or requires us to have a minimum amount of cash at closing, we will need to reserve a portion of the cash in the trust account to meet such requirements, or arrange for third party financing. In addition, if a larger number of shares is submitted for redemption than we initially expected, we may need to restructure the transaction to reserve a greater portion of the cash in the trust account or arrange for third party financing. Raising additional third party financing may involve dilutive equity issuances or the incurrence of indebtedness at higher than desirable levels. Furthermore, this dilution would increase to the extent that the anti-dilution provision of the Class B common stock results in the issues of shares of Class A common stock on a greater than one-to-one basis upon conversion of the shares of Class B common stock at the time of our initial business combination. In addition, the amount of the deferred underwriting commissions payable to the underwriters will not be adjusted for any shares that are redeemed in connection with an initial business combination. The per share amount we will distribute to stockholders who properly exercise their redemption rights will not be reduced by the deferred underwriting commission and after such redemptions, the amount held in trust will continue to reflect our obligation to pay the entire deferred underwriting commissions. The above considerations may limit our ability to complete the most desirable business combination available to us or optimize our capital structure.</w:t>
      </w:r>
    </w:p>
    <w:p>
      <w:pPr>
        <w:spacing w:after="0" w:line="191" w:lineRule="exact"/>
        <w:rPr>
          <w:sz w:val="20"/>
          <w:szCs w:val="20"/>
          <w:color w:val="auto"/>
        </w:rPr>
      </w:pPr>
    </w:p>
    <w:p>
      <w:pPr>
        <w:ind w:left="460" w:right="499"/>
        <w:spacing w:after="0" w:line="247" w:lineRule="auto"/>
        <w:rPr>
          <w:sz w:val="20"/>
          <w:szCs w:val="20"/>
          <w:color w:val="auto"/>
        </w:rPr>
      </w:pPr>
      <w:r>
        <w:rPr>
          <w:rFonts w:ascii="Arial" w:cs="Arial" w:eastAsia="Arial" w:hAnsi="Arial"/>
          <w:sz w:val="18"/>
          <w:szCs w:val="18"/>
          <w:b w:val="1"/>
          <w:bCs w:val="1"/>
          <w:color w:val="auto"/>
        </w:rPr>
        <w:t>The ability of our public stockholders to exercise redemption rights with respect to a large number of our shares could increase the probability that our initial business combination would be unsuccessful and that you would have to wait for liquidation in order to redeem your shares.</w:t>
      </w:r>
    </w:p>
    <w:p>
      <w:pPr>
        <w:spacing w:after="0" w:line="128"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If our initial business combination agreement requires us to use a portion of the cash in the trust account to pay the purchase price, or requires us to have a minimum amount of cash at closing, the probability that our initial business combination would be unsuccessful is increased. If our initial business combination is unsuccessful, you would not receive your pro rata portion of the trust account until we liquidate the trust account. If you are in need of immediate liquidity, you could attempt to sell your shares in the open market; however, at such time our shares may trade at a discount to the pro rata amount per share in the trust account. In either situation, you may suffer a material loss on your investment or lose the benefit of funds expected in connection with your exercise of redemption rights until we liquidate or you are able to sell your shares in the open market.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37" w:name="page38"/>
    <w:bookmarkEnd w:id="37"/>
    <w:p>
      <w:pPr>
        <w:ind w:left="460" w:right="499"/>
        <w:spacing w:after="0" w:line="242" w:lineRule="auto"/>
        <w:rPr>
          <w:sz w:val="20"/>
          <w:szCs w:val="20"/>
          <w:color w:val="auto"/>
        </w:rPr>
      </w:pPr>
      <w:r>
        <w:rPr>
          <w:rFonts w:ascii="Arial" w:cs="Arial" w:eastAsia="Arial" w:hAnsi="Arial"/>
          <w:sz w:val="18"/>
          <w:szCs w:val="18"/>
          <w:b w:val="1"/>
          <w:bCs w:val="1"/>
          <w:color w:val="auto"/>
        </w:rPr>
        <w:t>The requirement that we complete our initial business combination within 24 months after the closing of this offering may give potential target businesses leverage over us in negotiating a business combination and may limit the time we have in which to conduct due diligence on potential business combination targets, in particular as we approach our dissolution deadline, which could undermine our ability to complete our initial business combination on terms that would produce value for our stockholders.</w:t>
      </w:r>
    </w:p>
    <w:p>
      <w:pPr>
        <w:spacing w:after="0" w:line="133" w:lineRule="exact"/>
        <w:rPr>
          <w:sz w:val="20"/>
          <w:szCs w:val="20"/>
          <w:color w:val="auto"/>
        </w:rPr>
      </w:pPr>
    </w:p>
    <w:p>
      <w:pPr>
        <w:ind w:left="460" w:right="659"/>
        <w:spacing w:after="0" w:line="236" w:lineRule="auto"/>
        <w:rPr>
          <w:sz w:val="20"/>
          <w:szCs w:val="20"/>
          <w:color w:val="auto"/>
        </w:rPr>
      </w:pPr>
      <w:r>
        <w:rPr>
          <w:rFonts w:ascii="Arial" w:cs="Arial" w:eastAsia="Arial" w:hAnsi="Arial"/>
          <w:sz w:val="18"/>
          <w:szCs w:val="18"/>
          <w:color w:val="auto"/>
        </w:rPr>
        <w:t>Any potential target business with which we enter into negotiations concerning a business combination will be aware that we must complete our initial business combination within 24 months from the closing of this offering. Consequently, such target business may obtain leverage over us in negotiating a business combination, knowing that if we do not complete our initial business combination with that particular target business, we may be unable to complete our initial business combination with any target business. This risk will increase as we get closer to the timeframe described above. In addition, we may have limited time to conduct due diligence and may enter into our initial business combination on terms that we would have rejected upon a more comprehensive investigation.</w:t>
      </w:r>
    </w:p>
    <w:p>
      <w:pPr>
        <w:spacing w:after="0" w:line="185" w:lineRule="exact"/>
        <w:rPr>
          <w:sz w:val="20"/>
          <w:szCs w:val="20"/>
          <w:color w:val="auto"/>
        </w:rPr>
      </w:pPr>
    </w:p>
    <w:p>
      <w:pPr>
        <w:jc w:val="both"/>
        <w:ind w:left="460" w:right="919"/>
        <w:spacing w:after="0" w:line="253" w:lineRule="auto"/>
        <w:rPr>
          <w:sz w:val="20"/>
          <w:szCs w:val="20"/>
          <w:color w:val="auto"/>
        </w:rPr>
      </w:pPr>
      <w:r>
        <w:rPr>
          <w:rFonts w:ascii="Arial" w:cs="Arial" w:eastAsia="Arial" w:hAnsi="Arial"/>
          <w:sz w:val="18"/>
          <w:szCs w:val="18"/>
          <w:b w:val="1"/>
          <w:bCs w:val="1"/>
          <w:color w:val="auto"/>
        </w:rPr>
        <w:t>Our search for a business combination, and any target business with which we ultimately consummate a business combination, may be materially adversely affected by the recent coronavirus (COVID-19) outbreak and the status of debt and equity markets.</w:t>
      </w:r>
    </w:p>
    <w:p>
      <w:pPr>
        <w:spacing w:after="0" w:line="110"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In December 2019, a novel strain of coronavirus was reported to have surfaced in Wuhan, China, which has and is continuing to spread throughout China and other parts of the world, including the United States. On January 30, 2020, the World Health Organization declared the outbreak of the coronavirus disease (COVID-19) a “Public Health Emergency of International Concern.” On January 31, 2020, U.S. Health and Human Services Secretary Alex M. Azar II declared a public health emergency for the United States to aid the U.S. healthcare community in responding to COVID-19, and on March 11, 2020 the World Health Organization characterized the outbreak as a “pandemic”. The COVID-19 outbreak has and a significant outbreak of other infectious diseases could result in a widespread health crisis that could adversely affect the economies and financial markets worldwide, and the business of any potential target business with which we consummate a business combination could be materially and adversely affected. Furthermore, we may be unable to complete a business combination if continued concerns relating to COVID-19 continues to restrict travel, limit the ability to have meetings with potential investors or the target company’s personnel, vendors and services providers are unavailable to negotiate and consummate a transaction in a timely manner. The extent to which COVID-19 impacts our search for a business combination will depend on future developments, which are highly uncertain and cannot be predicted, including new information which may emerge concerning the severity of COVID-19 and the actions to contain COVID-19 or treat its impact, among others. If the disruptions posed by COVID-19 or other matters of global concern continue for an extensive period of time, our ability to consummate a business combination, or the operations of a target business with which we ultimately consummate a business combination, may be materially adversely affected.</w:t>
      </w:r>
    </w:p>
    <w:p>
      <w:pPr>
        <w:spacing w:after="0" w:line="145" w:lineRule="exact"/>
        <w:rPr>
          <w:sz w:val="20"/>
          <w:szCs w:val="20"/>
          <w:color w:val="auto"/>
        </w:rPr>
      </w:pPr>
    </w:p>
    <w:p>
      <w:pPr>
        <w:jc w:val="both"/>
        <w:ind w:left="460" w:right="739"/>
        <w:spacing w:after="0" w:line="238" w:lineRule="auto"/>
        <w:rPr>
          <w:sz w:val="20"/>
          <w:szCs w:val="20"/>
          <w:color w:val="auto"/>
        </w:rPr>
      </w:pPr>
      <w:r>
        <w:rPr>
          <w:rFonts w:ascii="Arial" w:cs="Arial" w:eastAsia="Arial" w:hAnsi="Arial"/>
          <w:sz w:val="18"/>
          <w:szCs w:val="18"/>
          <w:color w:val="auto"/>
        </w:rPr>
        <w:t>In addition, our ability to consummate a transaction may be dependent on the ability to raise equity and debt financing which may be impacted by COVID-19 and other events, including as a result of increased market volatility, decreased market liquidity in third-party financing being unavailable on terms acceptable to us or at all.</w:t>
      </w:r>
    </w:p>
    <w:p>
      <w:pPr>
        <w:spacing w:after="0" w:line="183" w:lineRule="exact"/>
        <w:rPr>
          <w:sz w:val="20"/>
          <w:szCs w:val="20"/>
          <w:color w:val="auto"/>
        </w:rPr>
      </w:pPr>
    </w:p>
    <w:p>
      <w:pPr>
        <w:ind w:left="460" w:right="519"/>
        <w:spacing w:after="0" w:line="253" w:lineRule="auto"/>
        <w:rPr>
          <w:sz w:val="20"/>
          <w:szCs w:val="20"/>
          <w:color w:val="auto"/>
        </w:rPr>
      </w:pPr>
      <w:r>
        <w:rPr>
          <w:rFonts w:ascii="Arial" w:cs="Arial" w:eastAsia="Arial" w:hAnsi="Arial"/>
          <w:sz w:val="18"/>
          <w:szCs w:val="18"/>
          <w:b w:val="1"/>
          <w:bCs w:val="1"/>
          <w:color w:val="auto"/>
        </w:rPr>
        <w:t>We may not be able to complete our initial business combination within 24 months after the closing of this offering, in which case we would cease all operations except for the purpose of winding up and we would redeem our public shares and liquidate.</w:t>
      </w:r>
    </w:p>
    <w:p>
      <w:pPr>
        <w:spacing w:after="0" w:line="123"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We may not be able to find a suitable target business and complete our initial business combination within 24 months after the closing of this offering. Our ability to complete our initial business combination may be negatively impacted by general market conditions, volatility in the capital and debt markets and the other risks described herein. For example, the outbreak of COVID-19 continues to grow both in the U.S. and globally and, while the extent of the impact of the outbreak on us will depend on future developments, it could limit our ability to complete our initial business combination, including as a result of increased market volatility, decreased market liquidity and third-party financing being unavailable on terms acceptable to us or at all. Additionally, the outbreak of COVID-19 may negatively impact businesses we may seek to acquire. If we have not completed our initial business combination within such time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w:t>
      </w:r>
    </w:p>
    <w:p>
      <w:pPr>
        <w:sectPr>
          <w:pgSz w:w="11900" w:h="16838" w:orient="portrait"/>
          <w:cols w:equalWidth="0" w:num="1">
            <w:col w:w="9019"/>
          </w:cols>
          <w:pgMar w:left="1440" w:top="333" w:right="1440"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38" w:name="page39"/>
    <w:bookmarkEnd w:id="38"/>
    <w:p>
      <w:pPr>
        <w:ind w:left="460" w:right="499"/>
        <w:spacing w:after="0" w:line="236" w:lineRule="auto"/>
        <w:rPr>
          <w:sz w:val="20"/>
          <w:szCs w:val="20"/>
          <w:color w:val="auto"/>
        </w:rPr>
      </w:pPr>
      <w:r>
        <w:rPr>
          <w:rFonts w:ascii="Arial" w:cs="Arial" w:eastAsia="Arial" w:hAnsi="Arial"/>
          <w:sz w:val="18"/>
          <w:szCs w:val="18"/>
          <w:color w:val="auto"/>
        </w:rPr>
        <w:t>interest earned on the funds held in the trust account and not previously released to us to pay our taxes (less up to $ 100,000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our remaining stockholders and our board of directors, liquidate and dissolve, subject in each case, to our obligations under Delaware law to provide for claims of creditors and the requirements of other applicable law.</w:t>
      </w:r>
    </w:p>
    <w:p>
      <w:pPr>
        <w:spacing w:after="0" w:line="186" w:lineRule="exact"/>
        <w:rPr>
          <w:sz w:val="20"/>
          <w:szCs w:val="20"/>
          <w:color w:val="auto"/>
        </w:rPr>
      </w:pPr>
    </w:p>
    <w:p>
      <w:pPr>
        <w:ind w:left="460" w:right="579"/>
        <w:spacing w:after="0" w:line="244" w:lineRule="auto"/>
        <w:rPr>
          <w:sz w:val="20"/>
          <w:szCs w:val="20"/>
          <w:color w:val="auto"/>
        </w:rPr>
      </w:pPr>
      <w:r>
        <w:rPr>
          <w:rFonts w:ascii="Arial" w:cs="Arial" w:eastAsia="Arial" w:hAnsi="Arial"/>
          <w:sz w:val="18"/>
          <w:szCs w:val="18"/>
          <w:b w:val="1"/>
          <w:bCs w:val="1"/>
          <w:color w:val="auto"/>
        </w:rPr>
        <w:t>If we seek stockholder approval of our initial business combination, our sponsor, initial stockholders, directors, executive officers, advisors and their affiliates may elect to purchase shares or public warrants from public stockholders, which may influence a vote on a proposed business combination and reduce the public “float” of our Class A common stock or public warrants.</w:t>
      </w:r>
    </w:p>
    <w:p>
      <w:pPr>
        <w:spacing w:after="0" w:line="117" w:lineRule="exact"/>
        <w:rPr>
          <w:sz w:val="20"/>
          <w:szCs w:val="20"/>
          <w:color w:val="auto"/>
        </w:rPr>
      </w:pPr>
    </w:p>
    <w:p>
      <w:pPr>
        <w:ind w:left="460" w:right="519"/>
        <w:spacing w:after="0" w:line="235" w:lineRule="auto"/>
        <w:rPr>
          <w:sz w:val="20"/>
          <w:szCs w:val="20"/>
          <w:color w:val="auto"/>
        </w:rPr>
      </w:pPr>
      <w:r>
        <w:rPr>
          <w:rFonts w:ascii="Arial" w:cs="Arial" w:eastAsia="Arial" w:hAnsi="Arial"/>
          <w:sz w:val="18"/>
          <w:szCs w:val="18"/>
          <w:color w:val="auto"/>
        </w:rPr>
        <w:t>If we seek stockholder approval of our initial business combination and we do not conduct redemptions in connection with our initial business combination pursuant to the tender offer rules, our sponsor, initial stockholders, directors, executive officers, advisors or their respective affiliates may purchase public shares or public warrants in privately negotiated transactions or in the open market either prior to or following the completion of our initial business combination, although they are under no obligation to do so. There is no limit on the number of shares our initial stockholders, directors, officers, advisors or their respective affiliates may purchase in such transactions, subject to compliance with applicable law and Nasdaq rules. However, other than as expressly stated herein, they have no current commitments, plans or intentions to engage in such purchases or transactions and have not formulated any terms or conditions for any such purchases or transactions. None of the funds in the trust account will be used to purchase public shares or public warrants in such transactions. Such purchases may include a contractual acknowledgment that such stockholder, although still the record holder of our shares, is no longer the beneficial owner thereof and therefore agrees not to exercise its redemption rights.</w:t>
      </w:r>
    </w:p>
    <w:p>
      <w:pPr>
        <w:spacing w:after="0" w:line="146" w:lineRule="exact"/>
        <w:rPr>
          <w:sz w:val="20"/>
          <w:szCs w:val="20"/>
          <w:color w:val="auto"/>
        </w:rPr>
      </w:pPr>
    </w:p>
    <w:p>
      <w:pPr>
        <w:ind w:left="460" w:right="459"/>
        <w:spacing w:after="0" w:line="235" w:lineRule="auto"/>
        <w:rPr>
          <w:sz w:val="20"/>
          <w:szCs w:val="20"/>
          <w:color w:val="auto"/>
        </w:rPr>
      </w:pPr>
      <w:r>
        <w:rPr>
          <w:rFonts w:ascii="Arial" w:cs="Arial" w:eastAsia="Arial" w:hAnsi="Arial"/>
          <w:sz w:val="18"/>
          <w:szCs w:val="18"/>
          <w:color w:val="auto"/>
        </w:rPr>
        <w:t>In the event that our sponsor, initial stockholders, directors, executive officers, advisors or their respective affiliates purchase shares in privately negotiated transactions from public stockholders who have already elected to exercise their redemption rights, such selling stockholders would be required to revoke their prior elections to redeem their shares. The purpose of any such purchases of shares could be to vote such shares in favor of the business combination and thereby increase the likelihood of obtaining the requisite stockholder approval of the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 We expect any such purchases will be reported pursuant to Section 13 and Section 16 of the Exchange Act to the extent such purchasers are subject to such reporting requirements. See “Proposed Business — Permitted purchases of our securities” for a description of how our sponsor, directors, executive officers, advisors or any of their affiliates will select which stockholders to purchase securities from in any private transaction.</w:t>
      </w:r>
    </w:p>
    <w:p>
      <w:pPr>
        <w:spacing w:after="0" w:line="146" w:lineRule="exact"/>
        <w:rPr>
          <w:sz w:val="20"/>
          <w:szCs w:val="20"/>
          <w:color w:val="auto"/>
        </w:rPr>
      </w:pPr>
    </w:p>
    <w:p>
      <w:pPr>
        <w:ind w:left="460" w:right="659"/>
        <w:spacing w:after="0" w:line="238" w:lineRule="auto"/>
        <w:rPr>
          <w:sz w:val="20"/>
          <w:szCs w:val="20"/>
          <w:color w:val="auto"/>
        </w:rPr>
      </w:pPr>
      <w:r>
        <w:rPr>
          <w:rFonts w:ascii="Arial" w:cs="Arial" w:eastAsia="Arial" w:hAnsi="Arial"/>
          <w:sz w:val="18"/>
          <w:szCs w:val="18"/>
          <w:color w:val="auto"/>
        </w:rPr>
        <w:t>In addition, if such purchases are made, the public “float” of our Class A common stock or public warrants and the number of beneficial holders of our securities may be reduced, possibly making it difficult to obtain or maintain the quotation, listing or trading of our securities on a national securities exchange.</w:t>
      </w:r>
    </w:p>
    <w:p>
      <w:pPr>
        <w:spacing w:after="0" w:line="183" w:lineRule="exact"/>
        <w:rPr>
          <w:sz w:val="20"/>
          <w:szCs w:val="20"/>
          <w:color w:val="auto"/>
        </w:rPr>
      </w:pPr>
    </w:p>
    <w:p>
      <w:pPr>
        <w:jc w:val="both"/>
        <w:ind w:left="460" w:right="619"/>
        <w:spacing w:after="0" w:line="253" w:lineRule="auto"/>
        <w:rPr>
          <w:sz w:val="20"/>
          <w:szCs w:val="20"/>
          <w:color w:val="auto"/>
        </w:rPr>
      </w:pPr>
      <w:r>
        <w:rPr>
          <w:rFonts w:ascii="Arial" w:cs="Arial" w:eastAsia="Arial" w:hAnsi="Arial"/>
          <w:sz w:val="18"/>
          <w:szCs w:val="18"/>
          <w:b w:val="1"/>
          <w:bCs w:val="1"/>
          <w:color w:val="auto"/>
        </w:rPr>
        <w:t>If a stockholder fails to receive notice of our offer to redeem our public shares in connection with our initial business combination, or fails to comply with the procedures for tendering its shares, such shares may not be redeemed.</w:t>
      </w:r>
    </w:p>
    <w:p>
      <w:pPr>
        <w:spacing w:after="0" w:line="110"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We will comply with the proxy rules or tender offer rules, as applicable, when conducting redemptions in connection with our initial business combination. Despite our compliance with these rules, if a stockholder fails to receive our proxy materials or tender offer documents, as applicable, such stockholder may not become aware of the opportunity to redeem its shares. In addition, proxy materials or tender offer documents, as applicable, that we will furnish to holders of our public shares in connection with our initial business combination will describe the various procedures that must be complied with in order to validly tender or submit public shares for redemption. For example, we intend to require our public stockholders seeking to exercise their redemption rights, whether they are record holders or hold their shares in “street name,” to, at the holder’s option, either deliver their stock certificates to our transfer</w:t>
      </w:r>
    </w:p>
    <w:p>
      <w:pPr>
        <w:sectPr>
          <w:pgSz w:w="11900" w:h="16838" w:orient="portrait"/>
          <w:cols w:equalWidth="0" w:num="1">
            <w:col w:w="9019"/>
          </w:cols>
          <w:pgMar w:left="1440" w:top="287" w:right="1440" w:bottom="1440" w:gutter="0" w:footer="0" w:header="0"/>
        </w:sectPr>
      </w:pP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39" w:name="page40"/>
    <w:bookmarkEnd w:id="39"/>
    <w:p>
      <w:pPr>
        <w:ind w:left="460" w:right="459"/>
        <w:spacing w:after="0" w:line="236" w:lineRule="auto"/>
        <w:rPr>
          <w:sz w:val="20"/>
          <w:szCs w:val="20"/>
          <w:color w:val="auto"/>
        </w:rPr>
      </w:pPr>
      <w:r>
        <w:rPr>
          <w:rFonts w:ascii="Arial" w:cs="Arial" w:eastAsia="Arial" w:hAnsi="Arial"/>
          <w:sz w:val="18"/>
          <w:szCs w:val="18"/>
          <w:color w:val="auto"/>
        </w:rPr>
        <w:t>agent, or to deliver their shares to our transfer agent electronically prior to the date set forth in the proxy materials or tender offer documents, as applicable. In the case of proxy materials, this date may be up to two business days prior to the date on which the vote on the proposal to approve the initial business combination is to be held. In addition, if we conduct redemptions in connection with a stockholder vote, we intend to require a public stockholder seeking redemption of its public shares to also submit a written request for redemption to our transfer agent two business days prior to the vote in which the name of the beneficial owner of such shares is included. In the event that a stockholder fails to comply with these or any other procedures disclosed in the proxy or tender offer materials, as applicable, its shares may not be redeemed. See the section of this prospectus entitled “Proposed Business — Submitting Stock Certificates in Connection with Redemption Rights.”</w:t>
      </w:r>
    </w:p>
    <w:p>
      <w:pPr>
        <w:spacing w:after="0" w:line="184" w:lineRule="exact"/>
        <w:rPr>
          <w:sz w:val="20"/>
          <w:szCs w:val="20"/>
          <w:color w:val="auto"/>
        </w:rPr>
      </w:pPr>
    </w:p>
    <w:p>
      <w:pPr>
        <w:jc w:val="both"/>
        <w:ind w:left="460" w:right="539"/>
        <w:spacing w:after="0" w:line="253" w:lineRule="auto"/>
        <w:rPr>
          <w:sz w:val="20"/>
          <w:szCs w:val="20"/>
          <w:color w:val="auto"/>
        </w:rPr>
      </w:pPr>
      <w:r>
        <w:rPr>
          <w:rFonts w:ascii="Arial" w:cs="Arial" w:eastAsia="Arial" w:hAnsi="Arial"/>
          <w:sz w:val="18"/>
          <w:szCs w:val="18"/>
          <w:b w:val="1"/>
          <w:bCs w:val="1"/>
          <w:color w:val="auto"/>
        </w:rPr>
        <w:t>You will not have any rights or interests in funds from the trust account, except under certain limited circumstances. Therefore, to liquidate your investment, you may be forced to sell your public shares or warrants, potentially at a loss.</w:t>
      </w:r>
    </w:p>
    <w:p>
      <w:pPr>
        <w:spacing w:after="0" w:line="110"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Our public stockholders will be entitled to receive funds from the trust account only upon the earlier to occur of: (i) our completion of an initial business combination, and then only in connection with those shares of Class A common stock that such stockholder properly elected to redeem, subject to the limitations described herein, (ii) the redemption of any public shares properly tendered in connection with a stockholder vote to amend our amended and restated certificate of incorporation to modify the substance or timing of our obligation to redeem 100% of our public shares if we do not complete our initial business combination within 24 months from the closing of this offering or with respect to any other material provisions relating to stockholders’ rights or pre-initial business combination activity, and (iii) the redemption of our public shares if we are unable to complete an initial business combination within 24 months from the closing of this offering, subject to applicable law and as further described herein. In addition, if our plan to redeem our public shares if we are unable to complete an initial business combination within 24 months from the closing of this offering is not completed for any reason, compliance with Delaware law may require that we submit a plan of dissolution to our then-existing stockholders for approval prior to the distribution of the proceeds held in our trust account. In that case, public stockholders may be forced to wait beyond 24 months from the closing of this offering before they receive funds from our trust account. In no other circumstances will a public stockholder have any right or interest of any kind in the trust account. Holders of warrants will not have any right to the proceeds held in the trust account with respect to the warrants. Accordingly, to liquidate your investment, you may be forced to sell your public shares or warrants, potentially at a loss.</w:t>
      </w:r>
    </w:p>
    <w:p>
      <w:pPr>
        <w:spacing w:after="0" w:line="191" w:lineRule="exact"/>
        <w:rPr>
          <w:sz w:val="20"/>
          <w:szCs w:val="20"/>
          <w:color w:val="auto"/>
        </w:rPr>
      </w:pPr>
    </w:p>
    <w:p>
      <w:pPr>
        <w:ind w:left="460" w:right="579"/>
        <w:spacing w:after="0" w:line="301" w:lineRule="auto"/>
        <w:rPr>
          <w:sz w:val="20"/>
          <w:szCs w:val="20"/>
          <w:color w:val="auto"/>
        </w:rPr>
      </w:pPr>
      <w:r>
        <w:rPr>
          <w:rFonts w:ascii="Arial" w:cs="Arial" w:eastAsia="Arial" w:hAnsi="Arial"/>
          <w:sz w:val="17"/>
          <w:szCs w:val="17"/>
          <w:b w:val="1"/>
          <w:bCs w:val="1"/>
          <w:color w:val="auto"/>
        </w:rPr>
        <w:t>Nasdaq may delist our securities from trading on its exchange, which could limit investors’ ability to make transactions in our securities and subject us to additional trading restrictions.</w:t>
      </w:r>
    </w:p>
    <w:p>
      <w:pPr>
        <w:spacing w:after="0" w:line="85" w:lineRule="exact"/>
        <w:rPr>
          <w:sz w:val="20"/>
          <w:szCs w:val="20"/>
          <w:color w:val="auto"/>
        </w:rPr>
      </w:pPr>
    </w:p>
    <w:p>
      <w:pPr>
        <w:ind w:left="460" w:right="479"/>
        <w:spacing w:after="0" w:line="250" w:lineRule="auto"/>
        <w:rPr>
          <w:sz w:val="20"/>
          <w:szCs w:val="20"/>
          <w:color w:val="auto"/>
        </w:rPr>
      </w:pPr>
      <w:r>
        <w:rPr>
          <w:rFonts w:ascii="Arial" w:cs="Arial" w:eastAsia="Arial" w:hAnsi="Arial"/>
          <w:sz w:val="17"/>
          <w:szCs w:val="17"/>
          <w:color w:val="auto"/>
        </w:rPr>
        <w:t>We have applied to have our units listed on Nasdaq on or promptly after the date of this prospectus and our Class A common stock and warrants on or promptly after their date of separation. Although after giving effect to this offering we expect to meet, on a pro forma basis, the minimum initial listing standards set forth in Nasdaq listing standards, we cannot assure you that our securities will be, or will continue to be, listed on Nasdaq in the future or prior to our initial business combination. In order to continue listing our securities on Nasdaq prior to our initial business combination, we must maintain certain financial, distribution and share price levels. Generally, we must maintain a minimum amount in stockholders’ equity (generally $2,500,000) and a minimum number of holders of our securities (generally 300 public holders). Additionally, in connection with our initial business combination, we will be required to demonstrate compliance with Nasdaq’s initial listing requirements, which are more rigorous than Nasdaq’s continued listing requirements, in order to continue to maintain the listing of our securities on Nasdaq. For instance, our share price would generally be required to be at least $4.00 per share and our stockholder’s equity would generally be required to be at least $5,000,000. We cannot assure you that we will be able to meet those initial listing requirements at that time.</w:t>
      </w:r>
    </w:p>
    <w:p>
      <w:pPr>
        <w:spacing w:after="0" w:line="133" w:lineRule="exact"/>
        <w:rPr>
          <w:sz w:val="20"/>
          <w:szCs w:val="20"/>
          <w:color w:val="auto"/>
        </w:rPr>
      </w:pPr>
    </w:p>
    <w:p>
      <w:pPr>
        <w:ind w:left="460" w:right="579"/>
        <w:spacing w:after="0" w:line="238" w:lineRule="auto"/>
        <w:rPr>
          <w:sz w:val="20"/>
          <w:szCs w:val="20"/>
          <w:color w:val="auto"/>
        </w:rPr>
      </w:pPr>
      <w:r>
        <w:rPr>
          <w:rFonts w:ascii="Arial" w:cs="Arial" w:eastAsia="Arial" w:hAnsi="Arial"/>
          <w:sz w:val="18"/>
          <w:szCs w:val="18"/>
          <w:color w:val="auto"/>
        </w:rPr>
        <w:t>If Nasdaq delists our securities from trading on its exchange and we are not able to list our securities on another national securities exchange, we expect our securities could be quoted on an over-the-counter market. If this were to occur, we could face significant material adverse consequences, including:</w:t>
      </w:r>
    </w:p>
    <w:p>
      <w:pPr>
        <w:spacing w:after="0" w:line="16" w:lineRule="exact"/>
        <w:rPr>
          <w:sz w:val="20"/>
          <w:szCs w:val="20"/>
          <w:color w:val="auto"/>
        </w:rPr>
      </w:pPr>
    </w:p>
    <w:p>
      <w:pPr>
        <w:ind w:left="1100" w:hanging="322"/>
        <w:spacing w:after="0"/>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36" w:lineRule="exact"/>
        <w:rPr>
          <w:rFonts w:ascii="Arial" w:cs="Arial" w:eastAsia="Arial" w:hAnsi="Arial"/>
          <w:sz w:val="18"/>
          <w:szCs w:val="18"/>
          <w:color w:val="auto"/>
        </w:rPr>
      </w:pPr>
    </w:p>
    <w:p>
      <w:pPr>
        <w:ind w:left="1100" w:right="459" w:hanging="322"/>
        <w:spacing w:after="0"/>
        <w:tabs>
          <w:tab w:leader="none" w:pos="1089"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determination that our Class A common stock is a “penny stock” which will require brokers trading in our Class A common stock to adhere to more stringent rules and possibly result in a reduced level of trading activity in the secondary trading market for our securities;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40" w:name="page41"/>
    <w:bookmarkEnd w:id="40"/>
    <w:p>
      <w:pPr>
        <w:ind w:left="1100" w:hanging="322"/>
        <w:spacing w:after="0"/>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22" w:lineRule="exact"/>
        <w:rPr>
          <w:rFonts w:ascii="Arial" w:cs="Arial" w:eastAsia="Arial" w:hAnsi="Arial"/>
          <w:sz w:val="18"/>
          <w:szCs w:val="18"/>
          <w:color w:val="auto"/>
        </w:rPr>
      </w:pPr>
    </w:p>
    <w:p>
      <w:pPr>
        <w:ind w:left="1100" w:hanging="322"/>
        <w:spacing w:after="0"/>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144" w:lineRule="exact"/>
        <w:rPr>
          <w:sz w:val="20"/>
          <w:szCs w:val="20"/>
          <w:color w:val="auto"/>
        </w:rPr>
      </w:pPr>
    </w:p>
    <w:p>
      <w:pPr>
        <w:ind w:left="460" w:right="519"/>
        <w:spacing w:after="0" w:line="235" w:lineRule="auto"/>
        <w:rPr>
          <w:sz w:val="20"/>
          <w:szCs w:val="20"/>
          <w:color w:val="auto"/>
        </w:rPr>
      </w:pPr>
      <w:r>
        <w:rPr>
          <w:rFonts w:ascii="Arial" w:cs="Arial" w:eastAsia="Arial" w:hAnsi="Arial"/>
          <w:sz w:val="18"/>
          <w:szCs w:val="18"/>
          <w:color w:val="auto"/>
        </w:rPr>
        <w:t>The National Securities Markets Improvement Act of 1996, which is a federal statute, prevents or preempts the states from regulating the sale of certain securities, which are referred to as “covered securities.” Because we expect that our units and eventually our Class A common stock and warrants will be listed on Nasdaq, our units, Class A common stock and warrants will qualify as covered securities under the statute.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 or restrict the sale of securities issued by blank check companies, other than the State of Idaho, certain state securities regulators view blank check companies unfavorably and might use these powers, or threaten to use these powers, to hinder the sale of securities of blank check companies in their states. Further, if we were no longer listed on Nasdaq, our securities would not qualify as covered securities under the statute and we would be subject to regulation in each state in which we offer our securities.</w:t>
      </w:r>
    </w:p>
    <w:p>
      <w:pPr>
        <w:spacing w:after="0" w:line="192" w:lineRule="exact"/>
        <w:rPr>
          <w:sz w:val="20"/>
          <w:szCs w:val="20"/>
          <w:color w:val="auto"/>
        </w:rPr>
      </w:pPr>
    </w:p>
    <w:p>
      <w:pPr>
        <w:ind w:left="460" w:right="979"/>
        <w:spacing w:after="0" w:line="271" w:lineRule="auto"/>
        <w:rPr>
          <w:sz w:val="20"/>
          <w:szCs w:val="20"/>
          <w:color w:val="auto"/>
        </w:rPr>
      </w:pPr>
      <w:r>
        <w:rPr>
          <w:rFonts w:ascii="Arial" w:cs="Arial" w:eastAsia="Arial" w:hAnsi="Arial"/>
          <w:sz w:val="18"/>
          <w:szCs w:val="18"/>
          <w:b w:val="1"/>
          <w:bCs w:val="1"/>
          <w:color w:val="auto"/>
        </w:rPr>
        <w:t>You will not be entitled to protections normally afforded to investors of many other blank check companies.</w:t>
      </w:r>
    </w:p>
    <w:p>
      <w:pPr>
        <w:spacing w:after="0" w:line="108" w:lineRule="exact"/>
        <w:rPr>
          <w:sz w:val="20"/>
          <w:szCs w:val="20"/>
          <w:color w:val="auto"/>
        </w:rPr>
      </w:pPr>
    </w:p>
    <w:p>
      <w:pPr>
        <w:ind w:left="460" w:right="479"/>
        <w:spacing w:after="0" w:line="248" w:lineRule="auto"/>
        <w:rPr>
          <w:sz w:val="20"/>
          <w:szCs w:val="20"/>
          <w:color w:val="auto"/>
        </w:rPr>
      </w:pPr>
      <w:r>
        <w:rPr>
          <w:rFonts w:ascii="Arial" w:cs="Arial" w:eastAsia="Arial" w:hAnsi="Arial"/>
          <w:sz w:val="17"/>
          <w:szCs w:val="17"/>
          <w:color w:val="auto"/>
        </w:rPr>
        <w:t>Since the net proceeds of this offering and the sale of the private placement warrants are intended to be used to complete an initial business combination with a target business that has not been selected, we may be deemed to be a “blank check” company under the United States securities laws. However, because we will have net tangible assets in excess of $5,000,000 upon the completion of this offering and the sale of the private placement warrants and will file a Current Report on Form 8-K, including an audited balance sheet demonstrating this fact, we are exempt from rules promulgated by the SEC to protect investors in blank check companies, such as Rule 419. Accordingly, investors will not be afforded the benefits or protections of those rules. Among other things, this means our units will be immediately tradable and we will have a longer period of time to complete our initial business combination than do companies subject to Rule 419. Moreover, if this offering were subject to</w:t>
      </w:r>
    </w:p>
    <w:p>
      <w:pPr>
        <w:spacing w:after="0" w:line="5" w:lineRule="exact"/>
        <w:rPr>
          <w:sz w:val="20"/>
          <w:szCs w:val="20"/>
          <w:color w:val="auto"/>
        </w:rPr>
      </w:pPr>
    </w:p>
    <w:p>
      <w:pPr>
        <w:ind w:left="460" w:right="499"/>
        <w:spacing w:after="0" w:line="238" w:lineRule="auto"/>
        <w:rPr>
          <w:sz w:val="20"/>
          <w:szCs w:val="20"/>
          <w:color w:val="auto"/>
        </w:rPr>
      </w:pPr>
      <w:r>
        <w:rPr>
          <w:rFonts w:ascii="Arial" w:cs="Arial" w:eastAsia="Arial" w:hAnsi="Arial"/>
          <w:sz w:val="18"/>
          <w:szCs w:val="18"/>
          <w:color w:val="auto"/>
        </w:rPr>
        <w:t>Rule 419, that rule would prohibit the release of any interest earned on funds held in the trust account to us unless and until the funds in the trust account were released to us in connection with our completion of an initial business combination. For a more detailed comparison of our offering to offerings that comply with Rule 419, please see “Proposed Business — Comparison of This Offering to Those of Blank Check Companies Subject to Rule 419.”</w:t>
      </w:r>
    </w:p>
    <w:p>
      <w:pPr>
        <w:spacing w:after="0" w:line="180" w:lineRule="exact"/>
        <w:rPr>
          <w:sz w:val="20"/>
          <w:szCs w:val="20"/>
          <w:color w:val="auto"/>
        </w:rPr>
      </w:pPr>
    </w:p>
    <w:p>
      <w:pPr>
        <w:jc w:val="both"/>
        <w:ind w:left="460" w:right="799"/>
        <w:spacing w:after="0" w:line="247" w:lineRule="auto"/>
        <w:rPr>
          <w:sz w:val="20"/>
          <w:szCs w:val="20"/>
          <w:color w:val="auto"/>
        </w:rPr>
      </w:pPr>
      <w:r>
        <w:rPr>
          <w:rFonts w:ascii="Arial" w:cs="Arial" w:eastAsia="Arial" w:hAnsi="Arial"/>
          <w:sz w:val="18"/>
          <w:szCs w:val="18"/>
          <w:b w:val="1"/>
          <w:bCs w:val="1"/>
          <w:color w:val="auto"/>
        </w:rPr>
        <w:t>If we seek stockholder approval of our initial business combination and we do not conduct redemptions pursuant to the tender offer rules, and if you or a “group” of stockholders are deemed to hold in excess of 20% of our Class A common stock, you will lose the ability to redeem all such shares in excess of 20% of our Class A common stock.</w:t>
      </w:r>
    </w:p>
    <w:p>
      <w:pPr>
        <w:spacing w:after="0" w:line="115"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If we seek stockholder approval of our initial business combination and we do not conduct redemptions in connection with our initial business combination pursuant to the tender offer rules, our amended and restated certificate of incorporation provides that a public stockholder, together with any affiliate of such stockholder or any other person with whom such stockholder is acting in concert or as a “group” (as defined under Section 13 of the Exchange Act), will be restricted from seeking redemption rights with respect to more than an aggregate of 20% of the shares sold in this offering without our prior consent, which we refer to as the “Excess Shares.” However, we would not be restricting our stockholders’ ability to vote all of their shares (including Excess Shares) for or against our initial business combination. Your inability to redeem the Excess Shares will reduce your influence over our ability to complete our initial business combination and you could suffer a material loss on your investment in us if you sell Excess Shares in open market transactions. Additionally, you will not receive redemption distributions with respect to the Excess Shares if we complete our initial business combination. And as a result, you will continue to hold that number of shares exceeding 20% and, in order to dispose of such shares, would be required to sell your shares in open market transactions, potentially at a loss.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79" w:right="1440" w:bottom="1440" w:gutter="0" w:footer="0" w:header="0"/>
        </w:sectPr>
      </w:pPr>
    </w:p>
    <w:bookmarkStart w:id="41" w:name="page42"/>
    <w:bookmarkEnd w:id="41"/>
    <w:p>
      <w:pPr>
        <w:ind w:left="460" w:right="579"/>
        <w:spacing w:after="0" w:line="242" w:lineRule="auto"/>
        <w:rPr>
          <w:sz w:val="20"/>
          <w:szCs w:val="20"/>
          <w:color w:val="auto"/>
        </w:rPr>
      </w:pPr>
      <w:r>
        <w:rPr>
          <w:rFonts w:ascii="Arial" w:cs="Arial" w:eastAsia="Arial" w:hAnsi="Arial"/>
          <w:sz w:val="18"/>
          <w:szCs w:val="18"/>
          <w:b w:val="1"/>
          <w:bCs w:val="1"/>
          <w:color w:val="auto"/>
        </w:rPr>
        <w:t>Because of our limited resources and the significant competition for business combination opportunities, it may be more difficult for us to complete our initial business combination. If we are unable to complete our initial business combination within the required time period, our public stockholders may receive only their pro rata portion of the funds in the trust account that are available for distribution to public stockholders, and our warrants will expire worthless.</w:t>
      </w:r>
    </w:p>
    <w:p>
      <w:pPr>
        <w:spacing w:after="0" w:line="133" w:lineRule="exact"/>
        <w:rPr>
          <w:sz w:val="20"/>
          <w:szCs w:val="20"/>
          <w:color w:val="auto"/>
        </w:rPr>
      </w:pPr>
    </w:p>
    <w:p>
      <w:pPr>
        <w:ind w:left="460" w:right="499"/>
        <w:spacing w:after="0" w:line="250" w:lineRule="auto"/>
        <w:rPr>
          <w:sz w:val="20"/>
          <w:szCs w:val="20"/>
          <w:color w:val="auto"/>
        </w:rPr>
      </w:pPr>
      <w:r>
        <w:rPr>
          <w:rFonts w:ascii="Arial" w:cs="Arial" w:eastAsia="Arial" w:hAnsi="Arial"/>
          <w:sz w:val="17"/>
          <w:szCs w:val="17"/>
          <w:color w:val="auto"/>
        </w:rPr>
        <w:t>We expect to encounter competition from other entities having a business objective similar to ours, including private investors (which may be individuals or investment partnerships), other blank check companies and other entities, domestic and international, competing for the types of businesses we intend to acquire. Many of these individuals and entities are well-established and have extensive experience in identifying and effecting, directly or indirectly, acquisitions of companies operating in or providing services to various industries. Many of these competitors possess similar or greater technical, human and other resources to ours or more local industry knowledge than we do and our financial resources will be relatively limited when contrasted with those of many of these competitors. While we believe there are numerous target businesses we could potentially acquire with the net proceeds of this offering and the sale of the private placement warrants, our ability to compete with respect to the acquisition of certain target businesses that are sizable will be limited by our available financial resources. This inherent competitive limitation gives others an advantage in pursuing the acquisition of certain target businesses. Furthermore, we are obligated to offer holders of our public shares the right to redeem their shares for cash at the time of our initial business combination in conjunction with a stockholder vote or via a tender offer. Target companies will be aware that this may reduce the resources available to us for our initial business combination. Any of these obligations may place us at a competitive disadvantage in successfully negotiating a business combination. If we are unable to complete our initial business combination within the required time period, our public stockholders may receive only their pro rata portion of the funds in the trust account that are available for distribution to public stockholders, and our warrants will expire worthless.</w:t>
      </w:r>
    </w:p>
    <w:p>
      <w:pPr>
        <w:spacing w:after="0" w:line="172" w:lineRule="exact"/>
        <w:rPr>
          <w:sz w:val="20"/>
          <w:szCs w:val="20"/>
          <w:color w:val="auto"/>
        </w:rPr>
      </w:pPr>
    </w:p>
    <w:p>
      <w:pPr>
        <w:ind w:left="460" w:right="599"/>
        <w:spacing w:after="0" w:line="244" w:lineRule="auto"/>
        <w:rPr>
          <w:sz w:val="20"/>
          <w:szCs w:val="20"/>
          <w:color w:val="auto"/>
        </w:rPr>
      </w:pPr>
      <w:r>
        <w:rPr>
          <w:rFonts w:ascii="Arial" w:cs="Arial" w:eastAsia="Arial" w:hAnsi="Arial"/>
          <w:sz w:val="18"/>
          <w:szCs w:val="18"/>
          <w:b w:val="1"/>
          <w:bCs w:val="1"/>
          <w:color w:val="auto"/>
        </w:rPr>
        <w:t>If the net proceeds of this offering not being held in the trust account are insufficient to allow us to operate for at least the 24 months following the closing of the offering, it could limit the amount available to fund our search for a target business or businesses and complete our initial business combination, and we will depend on loans from our sponsor or management team to fund our search and to complete our initial business combination.</w:t>
      </w:r>
    </w:p>
    <w:p>
      <w:pPr>
        <w:spacing w:after="0" w:line="117" w:lineRule="exact"/>
        <w:rPr>
          <w:sz w:val="20"/>
          <w:szCs w:val="20"/>
          <w:color w:val="auto"/>
        </w:rPr>
      </w:pPr>
    </w:p>
    <w:p>
      <w:pPr>
        <w:ind w:left="460" w:right="539"/>
        <w:spacing w:after="0" w:line="235" w:lineRule="auto"/>
        <w:rPr>
          <w:sz w:val="20"/>
          <w:szCs w:val="20"/>
          <w:color w:val="auto"/>
        </w:rPr>
      </w:pPr>
      <w:r>
        <w:rPr>
          <w:rFonts w:ascii="Arial" w:cs="Arial" w:eastAsia="Arial" w:hAnsi="Arial"/>
          <w:sz w:val="18"/>
          <w:szCs w:val="18"/>
          <w:color w:val="auto"/>
        </w:rPr>
        <w:t>Of the net proceeds of this offering, only $1,000,000 will be available to us initially outside the trust account to fund our working capital requirements. We believe that, upon closing of this offering, the funds available to us outside of the trust account will be sufficient to allow us to operate for at least the 24 months following such closing; however, we cannot assure you that our estimate is accurate. Of the funds available to us, we could use a portion of the funds available to us to pay fees to consultants to assist us with our search for a target business. We could also use a portion of the funds as a down payment or to fund a “no-shop” provision (a provision in letters of intent or merger agreements designed to keep target businesses from “shopping” around for transactions with other companies or investors on terms more favorable to such target businesses) with respect to a particular proposed business combination, although we do not have any current intention to do so. If we entered into a letter of intent or merger agreement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w:t>
      </w:r>
    </w:p>
    <w:p>
      <w:pPr>
        <w:spacing w:after="0" w:line="146"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In the event that our offering expenses exceed our estimate of $1,000,000, we may fund such excess with funds not to be held in the trust account. In such case, the amount of funds we intend to be held outside the trust account would decrease by a corresponding amount. Conversely, in the event that the offering expenses are less than our estimate of $1,000,000, the amount of funds we intend to be held outside the trust account would increase by a corresponding amount. The amount held in the trust account will not be impacted as a result of such increase or decrease. If we are required to seek additional capital, we would need to borrow funds from our sponsor, management team or other third parties to operate or may be forced to liquidate. Neither our sponsor, members of our management team nor any of their affiliates is under any obligation to advance funds to us in such circumstances. Any such advances would be repaid only from funds held outside the trust account or from funds released to us upon completion of our initial business combination. Up to $1,500,000 of such loans may be convertible into warrants of the post-business combination entity at a price of $1.50 per warrant at the option of the lender. The warrants would</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2" w:name="page43"/>
    <w:bookmarkEnd w:id="42"/>
    <w:p>
      <w:pPr>
        <w:ind w:left="460" w:right="579"/>
        <w:spacing w:after="0" w:line="236" w:lineRule="auto"/>
        <w:rPr>
          <w:sz w:val="20"/>
          <w:szCs w:val="20"/>
          <w:color w:val="auto"/>
        </w:rPr>
      </w:pPr>
      <w:r>
        <w:rPr>
          <w:rFonts w:ascii="Arial" w:cs="Arial" w:eastAsia="Arial" w:hAnsi="Arial"/>
          <w:sz w:val="18"/>
          <w:szCs w:val="18"/>
          <w:color w:val="auto"/>
        </w:rPr>
        <w:t>be identical to the private placement warrants.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 If we are unable to complete our initial business combination within the required time period because we do not have sufficient funds available to us, we will be forced to cease operations and liquidate the trust account. Consequently, our public stockholders may only receive an estimated $ 10.00 per public share, or possibly less, on our redemption of our public shares, and our warrants will expire worthless.</w:t>
      </w:r>
    </w:p>
    <w:p>
      <w:pPr>
        <w:spacing w:after="0" w:line="186" w:lineRule="exact"/>
        <w:rPr>
          <w:sz w:val="20"/>
          <w:szCs w:val="20"/>
          <w:color w:val="auto"/>
        </w:rPr>
      </w:pPr>
    </w:p>
    <w:p>
      <w:pPr>
        <w:ind w:left="460" w:right="499"/>
        <w:spacing w:after="0" w:line="247" w:lineRule="auto"/>
        <w:rPr>
          <w:sz w:val="20"/>
          <w:szCs w:val="20"/>
          <w:color w:val="auto"/>
        </w:rPr>
      </w:pPr>
      <w:r>
        <w:rPr>
          <w:rFonts w:ascii="Arial" w:cs="Arial" w:eastAsia="Arial" w:hAnsi="Arial"/>
          <w:sz w:val="18"/>
          <w:szCs w:val="18"/>
          <w:b w:val="1"/>
          <w:bCs w:val="1"/>
          <w:color w:val="auto"/>
        </w:rPr>
        <w:t>Subsequent to our completion of our initial business combination, we may be required to take write-downs or write-offs, restructuring and impairment or other charges that could have a significant negative effect on our financial condition, results of operations and the price of our securities, which could cause you to lose some or all of your investment.</w:t>
      </w:r>
    </w:p>
    <w:p>
      <w:pPr>
        <w:spacing w:after="0" w:line="115"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Even if we conduct extensive due diligence on a target business with which we combine, we cannot assure you that this diligence will identify all material issues that may be present with a particular target business, that it would be possible to uncover all material issues through a customary amount of due diligence, or that factors outside of the target business and outside of our control will not later arise. As a result of these factors, we may be forced to later write-down or write-off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debt financing to partially finance the initial business combination or thereafter. Accordingly, any stockholders or warrant holders who choose to remain stockholders or warrant holders following the business combination could suffer a reduction in the value of their securities. Such stockholders or warrant 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materials or tender offer documents, as applicable, relating to the business combination contained an actionable material misstatement or material omission.</w:t>
      </w:r>
    </w:p>
    <w:p>
      <w:pPr>
        <w:spacing w:after="0" w:line="190" w:lineRule="exact"/>
        <w:rPr>
          <w:sz w:val="20"/>
          <w:szCs w:val="20"/>
          <w:color w:val="auto"/>
        </w:rPr>
      </w:pPr>
    </w:p>
    <w:p>
      <w:pPr>
        <w:ind w:left="460" w:right="859"/>
        <w:spacing w:after="0" w:line="253" w:lineRule="auto"/>
        <w:rPr>
          <w:sz w:val="20"/>
          <w:szCs w:val="20"/>
          <w:color w:val="auto"/>
        </w:rPr>
      </w:pPr>
      <w:r>
        <w:rPr>
          <w:rFonts w:ascii="Arial" w:cs="Arial" w:eastAsia="Arial" w:hAnsi="Arial"/>
          <w:sz w:val="18"/>
          <w:szCs w:val="18"/>
          <w:b w:val="1"/>
          <w:bCs w:val="1"/>
          <w:color w:val="auto"/>
        </w:rPr>
        <w:t>If third parties bring claims against us, the proceeds held in the trust account could be reduced and the per-share redemption amount received by stockholders may be less than $10.00 per public share.</w:t>
      </w:r>
    </w:p>
    <w:p>
      <w:pPr>
        <w:spacing w:after="0" w:line="123"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Our placing of funds in the trust account may not protect those funds from third party claims against us. Although we will seek to have all vendors, service providers, prospective target businesses and other entities (except for our independent registered public accounting firm) with which we do business execute agreements with us waiving any right, title, interest or claim of any kind in or to any monies held in the trust account for the benefit of our public stockholders, such parties may not execute such agreements, or even if they execute such agreements they may not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our assets, including the funds held in the trust account. If any third party refuses to execute an agreement waiving such claims to the monies held in the trust account, our management will consider whether competitive alternatives are reasonably available to us and will only enter into an agreement with such third party if management believes that such third party’s engagement would be in the best interests of the company under the circumstances. The underwriters of this offering as well as our registered independent public accounting firm will not execute agreements with us waiving such claims to the monies held in the trust account.</w:t>
      </w:r>
    </w:p>
    <w:p>
      <w:pPr>
        <w:spacing w:after="0" w:line="146" w:lineRule="exact"/>
        <w:rPr>
          <w:sz w:val="20"/>
          <w:szCs w:val="20"/>
          <w:color w:val="auto"/>
        </w:rPr>
      </w:pPr>
    </w:p>
    <w:p>
      <w:pPr>
        <w:ind w:left="460" w:right="519"/>
        <w:spacing w:after="0" w:line="238" w:lineRule="auto"/>
        <w:rPr>
          <w:sz w:val="20"/>
          <w:szCs w:val="20"/>
          <w:color w:val="auto"/>
        </w:rPr>
      </w:pPr>
      <w:r>
        <w:rPr>
          <w:rFonts w:ascii="Arial" w:cs="Arial" w:eastAsia="Arial" w:hAnsi="Arial"/>
          <w:sz w:val="18"/>
          <w:szCs w:val="18"/>
          <w:color w:val="auto"/>
        </w:rPr>
        <w:t>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management is unable to find a service provider willing to execute a waiver. In addition, there is no guarantee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43" w:name="page44"/>
    <w:bookmarkEnd w:id="43"/>
    <w:p>
      <w:pPr>
        <w:ind w:left="460" w:right="479"/>
        <w:spacing w:after="0" w:line="249" w:lineRule="auto"/>
        <w:rPr>
          <w:sz w:val="20"/>
          <w:szCs w:val="20"/>
          <w:color w:val="auto"/>
        </w:rPr>
      </w:pPr>
      <w:r>
        <w:rPr>
          <w:rFonts w:ascii="Arial" w:cs="Arial" w:eastAsia="Arial" w:hAnsi="Arial"/>
          <w:sz w:val="17"/>
          <w:szCs w:val="17"/>
          <w:color w:val="auto"/>
        </w:rPr>
        <w:t>that such entities will agree to waive any claims they may have in the future as a result of, or arising out of, any negotiations, contracts or agreements with us and will not seek recourse against the trust account for any reason. Upon redemption of our public shares, if we are unable to complete our initial business combination within the required time period, or upon the exercise of a redemption right in connection with our initial business combination, we will be required to provide for payment of claims of creditors that were not waived that may be brought against us within the 10 years following redemption. Accordingly, the per-share redemption amount received by public stockholders could be less than the $10.00 per public share initially held in the trust account, due to claims of such creditors. Pursuant to the letter agreement the form of which is filed as an exhibit to the registration statement of which this prospectus forms a part, our sponsor has agreed that it will be liable to us if and to the extent any claims by a third party for services rendered or products sold to us, or a prospective target business with which we have entered into a written letter of intent, confidentiality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$ 10.00 per public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our indemnity of the underwriters of this offering against certain liabilities, including liabilities under the Securities Act. However, we have not asked our sponsor to reserve for such indemnification obligations, nor have we independently verified whether our sponsor has sufficient funds to satisfy its indemnity obligations and we believe that our sponsor’s only assets are securities of our company. Therefore, we cannot assure you that our sponsor would be able to satisfy those obligations. As a result, if any such claims were successfully made against the trust account, the funds available for our initial business combination and redemptions could be reduced to less than $10.00 per public share. In such event, we may not be able to complete our initial business combination, and you would receive such lesser amount per share in connection with any redemption of your public shares. None of our officers or directors will indemnify us for claims by third parties including, without limitation, claims by vendors and prospective target businesses.</w:t>
      </w:r>
    </w:p>
    <w:p>
      <w:pPr>
        <w:spacing w:after="0" w:line="388" w:lineRule="exact"/>
        <w:rPr>
          <w:sz w:val="20"/>
          <w:szCs w:val="20"/>
          <w:color w:val="auto"/>
        </w:rPr>
      </w:pPr>
    </w:p>
    <w:p>
      <w:pPr>
        <w:ind w:left="460" w:right="499"/>
        <w:spacing w:after="0" w:line="253" w:lineRule="auto"/>
        <w:rPr>
          <w:sz w:val="20"/>
          <w:szCs w:val="20"/>
          <w:color w:val="auto"/>
        </w:rPr>
      </w:pPr>
      <w:r>
        <w:rPr>
          <w:rFonts w:ascii="Arial" w:cs="Arial" w:eastAsia="Arial" w:hAnsi="Arial"/>
          <w:sz w:val="18"/>
          <w:szCs w:val="18"/>
          <w:b w:val="1"/>
          <w:bCs w:val="1"/>
          <w:color w:val="auto"/>
        </w:rPr>
        <w:t>Our directors may decide not to enforce the indemnification obligations of our sponsor, resulting in a reduction in the amount of funds in the trust account available for distribution to our public stockholders.</w:t>
      </w:r>
    </w:p>
    <w:p>
      <w:pPr>
        <w:spacing w:after="0" w:line="110"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In the event that the proceeds in the trust account are reduced below the lesser of (i) $10.00 per share and (ii) the actual amount per public share held in the trust account as of the date of the liquidation of the trust account if less than $10.00 per public share due to reductions in the value of the trust assets, in each case less taxes payable, and our sponsor asserts that it is unable to satisfy its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and subject to their fiduciary duties may choose not to do so in any particular instance. If our independent directors choose not to enforce these indemnification obligations, the amount of funds in the trust account available for distribution to our public stockholders may be reduced below $10.00 per public share.</w:t>
      </w:r>
    </w:p>
    <w:p>
      <w:pPr>
        <w:spacing w:after="0" w:line="182" w:lineRule="exact"/>
        <w:rPr>
          <w:sz w:val="20"/>
          <w:szCs w:val="20"/>
          <w:color w:val="auto"/>
        </w:rPr>
      </w:pPr>
    </w:p>
    <w:p>
      <w:pPr>
        <w:ind w:left="460" w:right="1259"/>
        <w:spacing w:after="0" w:line="271" w:lineRule="auto"/>
        <w:rPr>
          <w:sz w:val="20"/>
          <w:szCs w:val="20"/>
          <w:color w:val="auto"/>
        </w:rPr>
      </w:pPr>
      <w:r>
        <w:rPr>
          <w:rFonts w:ascii="Arial" w:cs="Arial" w:eastAsia="Arial" w:hAnsi="Arial"/>
          <w:sz w:val="18"/>
          <w:szCs w:val="18"/>
          <w:b w:val="1"/>
          <w:bCs w:val="1"/>
          <w:color w:val="auto"/>
        </w:rPr>
        <w:t>We may not have sufficient funds to satisfy indemnification claims of our officers and directors.</w:t>
      </w:r>
    </w:p>
    <w:p>
      <w:pPr>
        <w:spacing w:after="0" w:line="108" w:lineRule="exact"/>
        <w:rPr>
          <w:sz w:val="20"/>
          <w:szCs w:val="20"/>
          <w:color w:val="auto"/>
        </w:rPr>
      </w:pPr>
    </w:p>
    <w:p>
      <w:pPr>
        <w:ind w:left="460" w:right="559"/>
        <w:spacing w:after="0" w:line="248" w:lineRule="auto"/>
        <w:rPr>
          <w:sz w:val="20"/>
          <w:szCs w:val="20"/>
          <w:color w:val="auto"/>
        </w:rPr>
      </w:pPr>
      <w:r>
        <w:rPr>
          <w:rFonts w:ascii="Arial" w:cs="Arial" w:eastAsia="Arial" w:hAnsi="Arial"/>
          <w:sz w:val="17"/>
          <w:szCs w:val="17"/>
          <w:color w:val="auto"/>
        </w:rPr>
        <w:t>We have agreed to indemnify our officers and directors to the fullest extent permitted by law. However, our officers and directors have agreed to waive any right, title, interest or claim of any kind in or to any monies in the trust account and to not seek recourse against the trust account for any reason whatsoever. Accordingly, any indemnification provided will be able to be satisfied by us only if</w:t>
      </w:r>
    </w:p>
    <w:p>
      <w:pPr>
        <w:spacing w:after="0" w:line="2" w:lineRule="exact"/>
        <w:rPr>
          <w:sz w:val="20"/>
          <w:szCs w:val="20"/>
          <w:color w:val="auto"/>
        </w:rPr>
      </w:pPr>
    </w:p>
    <w:p>
      <w:pPr>
        <w:ind w:left="460" w:right="539" w:hanging="6"/>
        <w:spacing w:after="0" w:line="236" w:lineRule="auto"/>
        <w:tabs>
          <w:tab w:leader="none" w:pos="67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have sufficient funds outside of the trust account or (ii) we consummate an initial business combination. Our obligation to indemnify our officers and directors may discourage stockholders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stockholders. Furthermore, a stockholder’s investment may be adversely affected to the extent we pay the costs of settlement and damage awards against our officers and directors pursuant to these indemnification provisions.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44" w:name="page45"/>
    <w:bookmarkEnd w:id="44"/>
    <w:p>
      <w:pPr>
        <w:ind w:left="460" w:right="719"/>
        <w:spacing w:after="0" w:line="242" w:lineRule="auto"/>
        <w:rPr>
          <w:sz w:val="20"/>
          <w:szCs w:val="20"/>
          <w:color w:val="auto"/>
        </w:rPr>
      </w:pPr>
      <w:r>
        <w:rPr>
          <w:rFonts w:ascii="Arial" w:cs="Arial" w:eastAsia="Arial" w:hAnsi="Arial"/>
          <w:sz w:val="18"/>
          <w:szCs w:val="18"/>
          <w:b w:val="1"/>
          <w:bCs w:val="1"/>
          <w:color w:val="auto"/>
        </w:rPr>
        <w:t>If, after we distribute the proceeds in the trust account to our public stockholders, we file a bankruptcy petition or an involuntary bankruptcy petition is filed against us that is not dismissed, a bankruptcy court may seek to recover such proceeds, and the members of our board of directors may be viewed as having breached their fiduciary duties to our creditors, thereby exposing the members of our board of directors and us to claims of punitive damages.</w:t>
      </w:r>
    </w:p>
    <w:p>
      <w:pPr>
        <w:spacing w:after="0" w:line="133"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If, after we distribute the proceeds in the trust account to our public stockholders,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some or all amounts received by our stockholders. In addition, our board of directors may be viewed as having breached its fiduciary duty to our creditors and/or having acted in bad faith, by paying public stockholders from the trust account prior to addressing the claims of creditors, thereby exposing itself and us to claims of punitive damages.</w:t>
      </w:r>
    </w:p>
    <w:p>
      <w:pPr>
        <w:spacing w:after="0" w:line="186" w:lineRule="exact"/>
        <w:rPr>
          <w:sz w:val="20"/>
          <w:szCs w:val="20"/>
          <w:color w:val="auto"/>
        </w:rPr>
      </w:pPr>
    </w:p>
    <w:p>
      <w:pPr>
        <w:ind w:left="460" w:right="499"/>
        <w:spacing w:after="0" w:line="244" w:lineRule="auto"/>
        <w:rPr>
          <w:sz w:val="20"/>
          <w:szCs w:val="20"/>
          <w:color w:val="auto"/>
        </w:rPr>
      </w:pPr>
      <w:r>
        <w:rPr>
          <w:rFonts w:ascii="Arial" w:cs="Arial" w:eastAsia="Arial" w:hAnsi="Arial"/>
          <w:sz w:val="18"/>
          <w:szCs w:val="18"/>
          <w:b w:val="1"/>
          <w:bCs w:val="1"/>
          <w:color w:val="auto"/>
        </w:rPr>
        <w:t>If, before distributing the proceeds in the trust account to our public stockholders, we file a bankruptcy petition or an involuntary bankruptcy petition is filed against us that is not dismissed, the claims of creditors in such proceeding may have priority over the claims of our stockholders and the per-share amount that would otherwise be received by our stockholders in connection with our liquidation may be reduced.</w:t>
      </w:r>
    </w:p>
    <w:p>
      <w:pPr>
        <w:spacing w:after="0" w:line="117"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If, before distributing the proceeds in the trust account to our public stockholders,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per-share amount that would otherwise be received by our stockholders in connection with our liquidation may be reduced.</w:t>
      </w:r>
    </w:p>
    <w:p>
      <w:pPr>
        <w:spacing w:after="0" w:line="181" w:lineRule="exact"/>
        <w:rPr>
          <w:sz w:val="20"/>
          <w:szCs w:val="20"/>
          <w:color w:val="auto"/>
        </w:rPr>
      </w:pPr>
    </w:p>
    <w:p>
      <w:pPr>
        <w:ind w:left="460" w:right="699"/>
        <w:spacing w:after="0" w:line="275" w:lineRule="auto"/>
        <w:rPr>
          <w:sz w:val="20"/>
          <w:szCs w:val="20"/>
          <w:color w:val="auto"/>
        </w:rPr>
      </w:pPr>
      <w:r>
        <w:rPr>
          <w:rFonts w:ascii="Arial" w:cs="Arial" w:eastAsia="Arial" w:hAnsi="Arial"/>
          <w:sz w:val="17"/>
          <w:szCs w:val="17"/>
          <w:b w:val="1"/>
          <w:bCs w:val="1"/>
          <w:color w:val="auto"/>
        </w:rPr>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spacing w:after="0" w:line="106" w:lineRule="exact"/>
        <w:rPr>
          <w:sz w:val="20"/>
          <w:szCs w:val="20"/>
          <w:color w:val="auto"/>
        </w:rPr>
      </w:pPr>
    </w:p>
    <w:p>
      <w:pPr>
        <w:ind w:left="460" w:right="799"/>
        <w:spacing w:after="0" w:line="246" w:lineRule="auto"/>
        <w:rPr>
          <w:sz w:val="20"/>
          <w:szCs w:val="20"/>
          <w:color w:val="auto"/>
        </w:rPr>
      </w:pPr>
      <w:r>
        <w:rPr>
          <w:rFonts w:ascii="Arial" w:cs="Arial" w:eastAsia="Arial" w:hAnsi="Arial"/>
          <w:sz w:val="18"/>
          <w:szCs w:val="18"/>
          <w:color w:val="auto"/>
        </w:rPr>
        <w:t>If we are deemed to be an investment company under the Investment Company Act, our activities may be restricted, including:</w:t>
      </w:r>
    </w:p>
    <w:p>
      <w:pPr>
        <w:spacing w:after="0" w:line="21" w:lineRule="exact"/>
        <w:rPr>
          <w:sz w:val="20"/>
          <w:szCs w:val="20"/>
          <w:color w:val="auto"/>
        </w:rPr>
      </w:pPr>
    </w:p>
    <w:p>
      <w:pPr>
        <w:ind w:left="1100" w:hanging="322"/>
        <w:spacing w:after="0"/>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restrictions on the nature of our investments; and</w:t>
      </w:r>
    </w:p>
    <w:p>
      <w:pPr>
        <w:spacing w:after="0" w:line="22" w:lineRule="exact"/>
        <w:rPr>
          <w:rFonts w:ascii="Arial" w:cs="Arial" w:eastAsia="Arial" w:hAnsi="Arial"/>
          <w:sz w:val="18"/>
          <w:szCs w:val="18"/>
          <w:color w:val="auto"/>
        </w:rPr>
      </w:pPr>
    </w:p>
    <w:p>
      <w:pPr>
        <w:ind w:left="1100" w:hanging="322"/>
        <w:spacing w:after="0"/>
        <w:tabs>
          <w:tab w:leader="none" w:pos="11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restrictions on the issuance of securities,</w:t>
      </w:r>
    </w:p>
    <w:p>
      <w:pPr>
        <w:spacing w:after="0" w:line="144" w:lineRule="exact"/>
        <w:rPr>
          <w:sz w:val="20"/>
          <w:szCs w:val="20"/>
          <w:color w:val="auto"/>
        </w:rPr>
      </w:pPr>
    </w:p>
    <w:p>
      <w:pPr>
        <w:ind w:left="460" w:right="539"/>
        <w:spacing w:after="0" w:line="246" w:lineRule="auto"/>
        <w:rPr>
          <w:sz w:val="20"/>
          <w:szCs w:val="20"/>
          <w:color w:val="auto"/>
        </w:rPr>
      </w:pPr>
      <w:r>
        <w:rPr>
          <w:rFonts w:ascii="Arial" w:cs="Arial" w:eastAsia="Arial" w:hAnsi="Arial"/>
          <w:sz w:val="18"/>
          <w:szCs w:val="18"/>
          <w:color w:val="auto"/>
        </w:rPr>
        <w:t>each of which may make it difficult for us to complete our initial business combination. In addition, we may have imposed upon us burdensome requirements, including:</w:t>
      </w:r>
    </w:p>
    <w:p>
      <w:pPr>
        <w:spacing w:after="0" w:line="21" w:lineRule="exact"/>
        <w:rPr>
          <w:sz w:val="20"/>
          <w:szCs w:val="20"/>
          <w:color w:val="auto"/>
        </w:rPr>
      </w:pPr>
    </w:p>
    <w:p>
      <w:pPr>
        <w:ind w:left="1100" w:hanging="322"/>
        <w:spacing w:after="0"/>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registration as an investment company with the SEC;</w:t>
      </w:r>
    </w:p>
    <w:p>
      <w:pPr>
        <w:spacing w:after="0" w:line="22" w:lineRule="exact"/>
        <w:rPr>
          <w:rFonts w:ascii="Arial" w:cs="Arial" w:eastAsia="Arial" w:hAnsi="Arial"/>
          <w:sz w:val="18"/>
          <w:szCs w:val="18"/>
          <w:color w:val="auto"/>
        </w:rPr>
      </w:pPr>
    </w:p>
    <w:p>
      <w:pPr>
        <w:ind w:left="1100" w:hanging="322"/>
        <w:spacing w:after="0"/>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adoption of a specific form of corporate structure; and</w:t>
      </w:r>
    </w:p>
    <w:p>
      <w:pPr>
        <w:spacing w:after="0" w:line="36" w:lineRule="exact"/>
        <w:rPr>
          <w:rFonts w:ascii="Arial" w:cs="Arial" w:eastAsia="Arial" w:hAnsi="Arial"/>
          <w:sz w:val="18"/>
          <w:szCs w:val="18"/>
          <w:color w:val="auto"/>
        </w:rPr>
      </w:pPr>
    </w:p>
    <w:p>
      <w:pPr>
        <w:ind w:left="1100" w:right="899" w:hanging="322"/>
        <w:spacing w:after="0" w:line="246" w:lineRule="auto"/>
        <w:tabs>
          <w:tab w:leader="none" w:pos="1089"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reporting, record keeping, voting, proxy and disclosure requirements and other rules and regulations that we are not currently subject to.</w:t>
      </w:r>
    </w:p>
    <w:p>
      <w:pPr>
        <w:spacing w:after="0" w:line="129" w:lineRule="exact"/>
        <w:rPr>
          <w:sz w:val="20"/>
          <w:szCs w:val="20"/>
          <w:color w:val="auto"/>
        </w:rPr>
      </w:pPr>
    </w:p>
    <w:p>
      <w:pPr>
        <w:ind w:left="460" w:right="639"/>
        <w:spacing w:after="0" w:line="236" w:lineRule="auto"/>
        <w:rPr>
          <w:sz w:val="20"/>
          <w:szCs w:val="20"/>
          <w:color w:val="auto"/>
        </w:rPr>
      </w:pPr>
      <w:r>
        <w:rPr>
          <w:rFonts w:ascii="Arial" w:cs="Arial" w:eastAsia="Arial" w:hAnsi="Arial"/>
          <w:sz w:val="18"/>
          <w:szCs w:val="18"/>
          <w:color w:val="auto"/>
        </w:rPr>
        <w:t>In order not to be regulated as an investment company under the Investment Company Act, unless we can qualify for an exclusion, we must ensure that we are engaged primarily in a business other than investing, reinvesting or trading of securities and that our activities do not include investing, reinvesting, owning, holding or trading “investment securities” constituting more than 40% of our assets (exclusive of U.S. government securities and cash items) on an unconsolidated basis. Our business will be to identify and complete a business combination and thereafter to operate the post-transaction business or assets for the long term. We do not plan to buy businesses or assets with a view to resale or profit from their resale. We do not plan to buy unrelated businesses or assets or to be a passive investor.</w:t>
      </w:r>
    </w:p>
    <w:p>
      <w:pPr>
        <w:spacing w:after="0" w:line="126" w:lineRule="exact"/>
        <w:rPr>
          <w:sz w:val="20"/>
          <w:szCs w:val="20"/>
          <w:color w:val="auto"/>
        </w:rPr>
      </w:pPr>
    </w:p>
    <w:p>
      <w:pPr>
        <w:ind w:left="460" w:right="479"/>
        <w:spacing w:after="0" w:line="252" w:lineRule="auto"/>
        <w:rPr>
          <w:sz w:val="20"/>
          <w:szCs w:val="20"/>
          <w:color w:val="auto"/>
        </w:rPr>
      </w:pPr>
      <w:r>
        <w:rPr>
          <w:rFonts w:ascii="Arial" w:cs="Arial" w:eastAsia="Arial" w:hAnsi="Arial"/>
          <w:sz w:val="17"/>
          <w:szCs w:val="17"/>
          <w:color w:val="auto"/>
        </w:rPr>
        <w:t>We do not believe that our anticipated principal activities will subject us to the Investment Company Act. To this end, the proceeds held in the trust account may only be invested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Pursuant to the trust agreement, the trustee is not permitted to invest in other securities or assets. By restricting the investment of the proceeds to these instruments, and by having a business plan targeted at acquiring and growing businesses for the long term (rather</w:t>
      </w:r>
    </w:p>
    <w:p>
      <w:pPr>
        <w:sectPr>
          <w:pgSz w:w="11900" w:h="16838" w:orient="portrait"/>
          <w:cols w:equalWidth="0" w:num="1">
            <w:col w:w="9019"/>
          </w:cols>
          <w:pgMar w:left="1440" w:top="333" w:right="1440" w:bottom="1440" w:gutter="0" w:footer="0" w:header="0"/>
        </w:sectPr>
      </w:pP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45" w:name="page46"/>
    <w:bookmarkEnd w:id="45"/>
    <w:p>
      <w:pPr>
        <w:ind w:left="460" w:right="659"/>
        <w:spacing w:after="0" w:line="234" w:lineRule="auto"/>
        <w:rPr>
          <w:sz w:val="20"/>
          <w:szCs w:val="20"/>
          <w:color w:val="auto"/>
        </w:rPr>
      </w:pPr>
      <w:r>
        <w:rPr>
          <w:rFonts w:ascii="Arial" w:cs="Arial" w:eastAsia="Arial" w:hAnsi="Arial"/>
          <w:sz w:val="18"/>
          <w:szCs w:val="18"/>
          <w:color w:val="auto"/>
        </w:rPr>
        <w:t>than on buying and selling businesses in the manner of a merchant bank or private equity fund), we intend to avoid being deemed an “investment company” within the meaning of the Investment Company Act. This offering is not intended for persons who are seeking a return on investments in government securities or investment securities. The trust account is intended as a holding place for funds pending the earliest to occur of either: (i) the completion of our initial business combination;</w:t>
      </w:r>
    </w:p>
    <w:p>
      <w:pPr>
        <w:spacing w:after="0" w:line="3" w:lineRule="exact"/>
        <w:rPr>
          <w:sz w:val="20"/>
          <w:szCs w:val="20"/>
          <w:color w:val="auto"/>
        </w:rPr>
      </w:pPr>
    </w:p>
    <w:p>
      <w:pPr>
        <w:ind w:left="460" w:right="499" w:hanging="6"/>
        <w:spacing w:after="0" w:line="235" w:lineRule="auto"/>
        <w:tabs>
          <w:tab w:leader="none" w:pos="71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redemption of any public shares properly tendered in connection with a stockholder vote to amend our amended and restated certificate of incorporation to modify the substance or timing of our obligation to redeem 100% of our public shares if we do not complete our initial business combination within 24 months from the closing of this offering; and (iii) absent an initial business combination within 24 months from the closing of this offering or with respect to any other material provisions relating to stockholders’ rights or pre-initial business combination activity, our return of the funds held in the trust account to our public stockholders as part of our redemption of the public shares. If we do not invest the proceeds as discussed above, we may be deemed to be subject to the Investment Company Act. If we were deemed to be subject to the Investment Company Act, compliance with these additional regulatory burdens would require additional expenses for which we have not allotted funds and may hinder our ability to complete a business combination. If we are unable to complete our initial business combination within the required time period, our public stockholders may only receive their pro rata portion of the funds in the trust account that are available for distribution to public stockholders, and our warrants will expire worthless.</w:t>
      </w:r>
    </w:p>
    <w:p>
      <w:pPr>
        <w:spacing w:after="0" w:line="192" w:lineRule="exact"/>
        <w:rPr>
          <w:sz w:val="20"/>
          <w:szCs w:val="20"/>
          <w:color w:val="auto"/>
        </w:rPr>
      </w:pPr>
    </w:p>
    <w:p>
      <w:pPr>
        <w:ind w:left="460" w:right="919"/>
        <w:spacing w:after="0" w:line="253" w:lineRule="auto"/>
        <w:rPr>
          <w:sz w:val="20"/>
          <w:szCs w:val="20"/>
          <w:color w:val="auto"/>
        </w:rPr>
      </w:pPr>
      <w:r>
        <w:rPr>
          <w:rFonts w:ascii="Arial" w:cs="Arial" w:eastAsia="Arial" w:hAnsi="Arial"/>
          <w:sz w:val="18"/>
          <w:szCs w:val="18"/>
          <w:b w:val="1"/>
          <w:bCs w:val="1"/>
          <w:color w:val="auto"/>
        </w:rPr>
        <w:t>Changes in laws or regulations, or a failure to comply with any laws and regulations, may adversely affect our business, including our ability to negotiate and complete our initial business combination, and results of operations.</w:t>
      </w:r>
    </w:p>
    <w:p>
      <w:pPr>
        <w:spacing w:after="0" w:line="110"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including our ability to negotiate and complete our initial business combination, and results of operations.</w:t>
      </w:r>
    </w:p>
    <w:p>
      <w:pPr>
        <w:spacing w:after="0" w:line="186" w:lineRule="exact"/>
        <w:rPr>
          <w:sz w:val="20"/>
          <w:szCs w:val="20"/>
          <w:color w:val="auto"/>
        </w:rPr>
      </w:pPr>
    </w:p>
    <w:p>
      <w:pPr>
        <w:ind w:left="460" w:right="939"/>
        <w:spacing w:after="0" w:line="271" w:lineRule="auto"/>
        <w:rPr>
          <w:sz w:val="20"/>
          <w:szCs w:val="20"/>
          <w:color w:val="auto"/>
        </w:rPr>
      </w:pPr>
      <w:r>
        <w:rPr>
          <w:rFonts w:ascii="Arial" w:cs="Arial" w:eastAsia="Arial" w:hAnsi="Arial"/>
          <w:sz w:val="18"/>
          <w:szCs w:val="18"/>
          <w:b w:val="1"/>
          <w:bCs w:val="1"/>
          <w:color w:val="auto"/>
        </w:rPr>
        <w:t>Our stockholders may be held liable for claims by third parties against us to the extent of distributions received by them upon redemption of their shares.</w:t>
      </w:r>
    </w:p>
    <w:p>
      <w:pPr>
        <w:spacing w:after="0" w:line="108" w:lineRule="exact"/>
        <w:rPr>
          <w:sz w:val="20"/>
          <w:szCs w:val="20"/>
          <w:color w:val="auto"/>
        </w:rPr>
      </w:pPr>
    </w:p>
    <w:p>
      <w:pPr>
        <w:ind w:left="460" w:right="479"/>
        <w:spacing w:after="0" w:line="234" w:lineRule="auto"/>
        <w:rPr>
          <w:sz w:val="20"/>
          <w:szCs w:val="20"/>
          <w:color w:val="auto"/>
        </w:rPr>
      </w:pPr>
      <w:r>
        <w:rPr>
          <w:rFonts w:ascii="Arial" w:cs="Arial" w:eastAsia="Arial" w:hAnsi="Arial"/>
          <w:sz w:val="18"/>
          <w:szCs w:val="18"/>
          <w:color w:val="auto"/>
        </w:rPr>
        <w:t>Under the DGCL, stockholders may be held liable for claims by third parties against a corporation to the extent of distributions received by them in a dissolution. The pro rata portion of our trust account distributed to our public stockholders upon the redemption of our public shares in the event we do not complete our initial business combination within 24 months from the closing of this offering may be considered a liquidating distribution under Delaware law. If a corporation complies with certain procedures set forth in Section 280 of the DGCL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liquidating distributions are made to stockholders, any liability of stockholders with respect to a liquidating distribution is limited to the lesser of such stockholder’s pro rata share of the claim or the amount distributed to the stockholder, and any liability of the stockholder would be barred after the third anniversary of the dissolution. However, it is our intention to redeem our public shares as soon as reasonably possible following the 24</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month from the closing of this offering in the event we do not complete our initial business combination and, therefore, we do not intend to comply with the foregoing procedures.</w:t>
      </w:r>
    </w:p>
    <w:p>
      <w:pPr>
        <w:spacing w:after="0" w:line="136" w:lineRule="exact"/>
        <w:rPr>
          <w:sz w:val="20"/>
          <w:szCs w:val="20"/>
          <w:color w:val="auto"/>
        </w:rPr>
      </w:pPr>
    </w:p>
    <w:p>
      <w:pPr>
        <w:ind w:left="460" w:right="539"/>
        <w:spacing w:after="0" w:line="236" w:lineRule="auto"/>
        <w:rPr>
          <w:sz w:val="20"/>
          <w:szCs w:val="20"/>
          <w:color w:val="auto"/>
        </w:rPr>
      </w:pPr>
      <w:r>
        <w:rPr>
          <w:rFonts w:ascii="Arial" w:cs="Arial" w:eastAsia="Arial" w:hAnsi="Arial"/>
          <w:sz w:val="18"/>
          <w:szCs w:val="18"/>
          <w:color w:val="auto"/>
        </w:rPr>
        <w:t>Because we will not be complying with Section 280, Section 281(b) of the DGCL requires us to adopt a plan, based on facts known to us at such time that will provide for our payment of all existing and pending claims or claims that may be potentially brought against us within the 10 years following our dissolution. However, because we are a blank check company, rather than an operating company, and our operations will be limited to searching for prospective target businesses to acquire, the only likely claims to arise would be from our vendors (such as lawyers, investment bankers, etc.) or prospective target businesses. If our plan of distribution complies with Section 281(b) of the DGCL, any liability of stockholders with respect to a liquidating distribution is limited to the lesser of such stockholder’s pro rata share of the claim or the amount distributed to the stockholder, and any liability of the stockholder would likely be barred after the third anniversary of the dissolution. We cannot assure you that we will properly assess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46" w:name="page47"/>
    <w:bookmarkEnd w:id="46"/>
    <w:p>
      <w:pPr>
        <w:ind w:left="460" w:right="659"/>
        <w:spacing w:after="0" w:line="236" w:lineRule="auto"/>
        <w:rPr>
          <w:sz w:val="20"/>
          <w:szCs w:val="20"/>
          <w:color w:val="auto"/>
        </w:rPr>
      </w:pPr>
      <w:r>
        <w:rPr>
          <w:rFonts w:ascii="Arial" w:cs="Arial" w:eastAsia="Arial" w:hAnsi="Arial"/>
          <w:sz w:val="18"/>
          <w:szCs w:val="18"/>
          <w:color w:val="auto"/>
        </w:rPr>
        <w:t>all claims that may be potentially brought against us. As such, our stockholders could potentially be liable for any claims to the extent of distributions received by them (but no more) and any liability of our stockholders may extend beyond the third anniversary of such date. Furthermore, if the pro rata portion of our trust account distributed to our public stockholders upon the redemption of our public shares in the event we do not complete our initial business combination within 24 months from the closing of this offering is not considered a liquidating distribution under Delaware law and such redemption distribution is deemed to be unlawful (potentially due to the imposition of legal proceedings that a party may bring or due to other circumstances that are currently unknown), then pursuant to Section 174 of the DGCL, the statute of limitations for claims of creditors could then be six years after the unlawful redemption distribution, instead of three years, as in the case of a liquidating distribution.</w:t>
      </w:r>
    </w:p>
    <w:p>
      <w:pPr>
        <w:spacing w:after="0" w:line="183" w:lineRule="exact"/>
        <w:rPr>
          <w:sz w:val="20"/>
          <w:szCs w:val="20"/>
          <w:color w:val="auto"/>
        </w:rPr>
      </w:pPr>
    </w:p>
    <w:p>
      <w:pPr>
        <w:ind w:left="460" w:right="519"/>
        <w:spacing w:after="0" w:line="253" w:lineRule="auto"/>
        <w:rPr>
          <w:sz w:val="20"/>
          <w:szCs w:val="20"/>
          <w:color w:val="auto"/>
        </w:rPr>
      </w:pPr>
      <w:r>
        <w:rPr>
          <w:rFonts w:ascii="Arial" w:cs="Arial" w:eastAsia="Arial" w:hAnsi="Arial"/>
          <w:sz w:val="18"/>
          <w:szCs w:val="18"/>
          <w:b w:val="1"/>
          <w:bCs w:val="1"/>
          <w:color w:val="auto"/>
        </w:rPr>
        <w:t>We may not hold an annual meeting of stockholders until after the consummation of our initial business combination, which could delay the opportunity for our stockholders to elect directors.</w:t>
      </w:r>
    </w:p>
    <w:p>
      <w:pPr>
        <w:spacing w:after="0" w:line="110"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In accordance with Nasdaq’s corporate governance requirements, we are not required to hold an annual meeting until no later than one year after our first fiscal year end following our listing on Nasdaq. Under Section 211(b) of the DGCL, we are, however, required to hold an annual meeting of stockholders for the purposes of electing directors in accordance with our bylaws unless such election is made by written consent in lieu of such a meeting. We may not hold an annual meeting of stockholders to elect new directors prior to the consummation of our initial business combination, and thus we may not be in compliance with Section 211(b) of the DGCL, which requires an annual meeting. Therefore, if our stockholders want us to hold an annual meeting prior to the consummation of our initial business combination, they may attempt to force us to hold one by submitting an application to the Delaware Court of Chancery in accordance with Section 211(c) of the DGCL.</w:t>
      </w:r>
    </w:p>
    <w:p>
      <w:pPr>
        <w:spacing w:after="0" w:line="184" w:lineRule="exact"/>
        <w:rPr>
          <w:sz w:val="20"/>
          <w:szCs w:val="20"/>
          <w:color w:val="auto"/>
        </w:rPr>
      </w:pPr>
    </w:p>
    <w:p>
      <w:pPr>
        <w:ind w:left="460" w:right="1279"/>
        <w:spacing w:after="0" w:line="271" w:lineRule="auto"/>
        <w:rPr>
          <w:sz w:val="20"/>
          <w:szCs w:val="20"/>
          <w:color w:val="auto"/>
        </w:rPr>
      </w:pPr>
      <w:r>
        <w:rPr>
          <w:rFonts w:ascii="Arial" w:cs="Arial" w:eastAsia="Arial" w:hAnsi="Arial"/>
          <w:sz w:val="18"/>
          <w:szCs w:val="18"/>
          <w:b w:val="1"/>
          <w:bCs w:val="1"/>
          <w:color w:val="auto"/>
        </w:rPr>
        <w:t>You will not be permitted to exercise your warrants unless we register and qualify the underlying Class A common stock or certain exemptions are available.</w:t>
      </w:r>
    </w:p>
    <w:p>
      <w:pPr>
        <w:spacing w:after="0" w:line="108" w:lineRule="exact"/>
        <w:rPr>
          <w:sz w:val="20"/>
          <w:szCs w:val="20"/>
          <w:color w:val="auto"/>
        </w:rPr>
      </w:pPr>
    </w:p>
    <w:p>
      <w:pPr>
        <w:ind w:left="460" w:right="519"/>
        <w:spacing w:after="0" w:line="237" w:lineRule="auto"/>
        <w:rPr>
          <w:sz w:val="20"/>
          <w:szCs w:val="20"/>
          <w:color w:val="auto"/>
        </w:rPr>
      </w:pPr>
      <w:r>
        <w:rPr>
          <w:rFonts w:ascii="Arial" w:cs="Arial" w:eastAsia="Arial" w:hAnsi="Arial"/>
          <w:sz w:val="18"/>
          <w:szCs w:val="18"/>
          <w:color w:val="auto"/>
        </w:rPr>
        <w:t>If the issuance of the Class A common stock upon exercise of the warrants is not registered, qualified or exempt from registration or qualification under the Securities Act and applicable state securities laws, holders of warrants will not be entitled to exercise such warrants and such warrants may have no value and expire worthless. In such event, holders who acquired their warrants as part of a purchase of units will have paid the full unit purchase price solely for the Class A common stock included in the units.</w:t>
      </w:r>
    </w:p>
    <w:p>
      <w:pPr>
        <w:spacing w:after="0" w:line="137"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We are not registering the Class A common stock issuable upon exercise of the warrants under the Securities Act or any state securities laws at this time. However, under the terms of the warrant agreement, we have agreed that, as soon as practicable, but in no event later than 15 business days, after the closing of our initial business combination, we will use our best efforts to file with the SEC a registration statement covering the registration under the Securities Act of the Class A common stock issuable upon exercise of the warrants and thereafter will use our best efforts to cause the same to become effective within 60 business days following our initial business combination and to maintain a current prospectus relating to the Class A common stock issuable upon exercise of the warrants until the expiration of the warrants in accordance with the provisions of the warrant agreement. We cannot assure you that we will be able to do so if, for example, any facts or events arise which represent a fundamental change in the information set forth in the registration statement or prospectus, the financial statements contained or incorporated by reference therein are not current or correct or the SEC issues a stop order.</w:t>
      </w:r>
    </w:p>
    <w:p>
      <w:pPr>
        <w:spacing w:after="0" w:line="122" w:lineRule="exact"/>
        <w:rPr>
          <w:sz w:val="20"/>
          <w:szCs w:val="20"/>
          <w:color w:val="auto"/>
        </w:rPr>
      </w:pPr>
    </w:p>
    <w:p>
      <w:pPr>
        <w:ind w:left="460" w:right="599"/>
        <w:spacing w:after="0" w:line="257" w:lineRule="auto"/>
        <w:rPr>
          <w:sz w:val="20"/>
          <w:szCs w:val="20"/>
          <w:color w:val="auto"/>
        </w:rPr>
      </w:pPr>
      <w:r>
        <w:rPr>
          <w:rFonts w:ascii="Arial" w:cs="Arial" w:eastAsia="Arial" w:hAnsi="Arial"/>
          <w:sz w:val="17"/>
          <w:szCs w:val="17"/>
          <w:color w:val="auto"/>
        </w:rPr>
        <w:t>If the shares of Class A common stock issuable upon exercise of the warrants are not registered under the Securities Act, under the terms of the warrant agreement, holders of warrants who seek to exercise their warrants will not be permitted to do so for cash and, instead, will be required to do so on a cashless basis in accordance with Section 3(a)(9) of the Securities Act or another exemption.</w:t>
      </w:r>
    </w:p>
    <w:p>
      <w:pPr>
        <w:spacing w:after="0" w:line="121" w:lineRule="exact"/>
        <w:rPr>
          <w:sz w:val="20"/>
          <w:szCs w:val="20"/>
          <w:color w:val="auto"/>
        </w:rPr>
      </w:pPr>
    </w:p>
    <w:p>
      <w:pPr>
        <w:ind w:left="460" w:right="599"/>
        <w:spacing w:after="0" w:line="238" w:lineRule="auto"/>
        <w:rPr>
          <w:sz w:val="20"/>
          <w:szCs w:val="20"/>
          <w:color w:val="auto"/>
        </w:rPr>
      </w:pPr>
      <w:r>
        <w:rPr>
          <w:rFonts w:ascii="Arial" w:cs="Arial" w:eastAsia="Arial" w:hAnsi="Arial"/>
          <w:sz w:val="18"/>
          <w:szCs w:val="18"/>
          <w:color w:val="auto"/>
        </w:rPr>
        <w:t>In no event will warrants be exercisable for cash or on a cashless basis, and we will not be obligated to issue any shares to holders seeking to exercise their warrants, unless the issuance of the shares upon such exercise is registered or qualified under the securities laws of the state of the exercising holder, or an exemption from registration or qualification is available.</w:t>
      </w:r>
    </w:p>
    <w:p>
      <w:pPr>
        <w:spacing w:after="0" w:line="137" w:lineRule="exact"/>
        <w:rPr>
          <w:sz w:val="20"/>
          <w:szCs w:val="20"/>
          <w:color w:val="auto"/>
        </w:rPr>
      </w:pPr>
    </w:p>
    <w:p>
      <w:pPr>
        <w:ind w:left="460" w:right="519"/>
        <w:spacing w:after="0" w:line="238" w:lineRule="auto"/>
        <w:rPr>
          <w:sz w:val="20"/>
          <w:szCs w:val="20"/>
          <w:color w:val="auto"/>
        </w:rPr>
      </w:pPr>
      <w:r>
        <w:rPr>
          <w:rFonts w:ascii="Arial" w:cs="Arial" w:eastAsia="Arial" w:hAnsi="Arial"/>
          <w:sz w:val="18"/>
          <w:szCs w:val="18"/>
          <w:color w:val="auto"/>
        </w:rPr>
        <w:t>If our shares of Class A common stock are at the time of any exercise of a warrant not listed on a national securities exchange such that they satisfy the definition of “covered securities” under Section 18(b)(1) of the Securities Act, we may, at our option, not permit holders of warrants who seek to exercise their warrants to do so for cash and,</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47" w:name="page48"/>
    <w:bookmarkEnd w:id="47"/>
    <w:p>
      <w:pPr>
        <w:ind w:left="460" w:right="579"/>
        <w:spacing w:after="0" w:line="237" w:lineRule="auto"/>
        <w:rPr>
          <w:sz w:val="20"/>
          <w:szCs w:val="20"/>
          <w:color w:val="auto"/>
        </w:rPr>
      </w:pPr>
      <w:r>
        <w:rPr>
          <w:rFonts w:ascii="Arial" w:cs="Arial" w:eastAsia="Arial" w:hAnsi="Arial"/>
          <w:sz w:val="18"/>
          <w:szCs w:val="18"/>
          <w:color w:val="auto"/>
        </w:rPr>
        <w:t>instead, require them to do so on a cashless basis in accordance with Section 3(a)(9) of the Securities Act; in the event we so elect, we will not be required to file or maintain in effect a registration statement or register or qualify the shares underlying the warrants under applicable state securities laws, and in the event we do not so elect, we will use our best efforts to register or qualify the shares underlying the warrants under applicable state securities laws to the extent an exemption is not available.</w:t>
      </w:r>
    </w:p>
    <w:p>
      <w:pPr>
        <w:spacing w:after="0" w:line="124" w:lineRule="exact"/>
        <w:rPr>
          <w:sz w:val="20"/>
          <w:szCs w:val="20"/>
          <w:color w:val="auto"/>
        </w:rPr>
      </w:pPr>
    </w:p>
    <w:p>
      <w:pPr>
        <w:ind w:left="460" w:right="499"/>
        <w:spacing w:after="0" w:line="238" w:lineRule="auto"/>
        <w:rPr>
          <w:sz w:val="20"/>
          <w:szCs w:val="20"/>
          <w:color w:val="auto"/>
        </w:rPr>
      </w:pPr>
      <w:r>
        <w:rPr>
          <w:rFonts w:ascii="Arial" w:cs="Arial" w:eastAsia="Arial" w:hAnsi="Arial"/>
          <w:sz w:val="18"/>
          <w:szCs w:val="18"/>
          <w:color w:val="auto"/>
        </w:rPr>
        <w:t>In no event will we be required to net cash settle any warrant, or issue securities (other than upon a cashless exercise as described above) or other compensation in exchange for the warrants in the event that we are unable to register or qualify the shares underlying the warrants under the Securities Act or applicable state securities laws.</w:t>
      </w:r>
    </w:p>
    <w:p>
      <w:pPr>
        <w:spacing w:after="0" w:line="183" w:lineRule="exact"/>
        <w:rPr>
          <w:sz w:val="20"/>
          <w:szCs w:val="20"/>
          <w:color w:val="auto"/>
        </w:rPr>
      </w:pPr>
    </w:p>
    <w:p>
      <w:pPr>
        <w:ind w:left="460" w:right="559"/>
        <w:spacing w:after="0" w:line="253" w:lineRule="auto"/>
        <w:rPr>
          <w:sz w:val="20"/>
          <w:szCs w:val="20"/>
          <w:color w:val="auto"/>
        </w:rPr>
      </w:pPr>
      <w:r>
        <w:rPr>
          <w:rFonts w:ascii="Arial" w:cs="Arial" w:eastAsia="Arial" w:hAnsi="Arial"/>
          <w:sz w:val="18"/>
          <w:szCs w:val="18"/>
          <w:b w:val="1"/>
          <w:bCs w:val="1"/>
          <w:color w:val="auto"/>
        </w:rPr>
        <w:t>You may only be able to exercise your public warrants on a “cashless basis” under certain circumstances, and if you do so, you will receive fewer shares of Class A common stock from such exercise than if you were to exercise such warrants for cash.</w:t>
      </w:r>
    </w:p>
    <w:p>
      <w:pPr>
        <w:spacing w:after="0" w:line="123" w:lineRule="exact"/>
        <w:rPr>
          <w:sz w:val="20"/>
          <w:szCs w:val="20"/>
          <w:color w:val="auto"/>
        </w:rPr>
      </w:pPr>
    </w:p>
    <w:p>
      <w:pPr>
        <w:ind w:left="460" w:right="539"/>
        <w:spacing w:after="0" w:line="235" w:lineRule="auto"/>
        <w:rPr>
          <w:sz w:val="20"/>
          <w:szCs w:val="20"/>
          <w:color w:val="auto"/>
        </w:rPr>
      </w:pPr>
      <w:r>
        <w:rPr>
          <w:rFonts w:ascii="Arial" w:cs="Arial" w:eastAsia="Arial" w:hAnsi="Arial"/>
          <w:sz w:val="18"/>
          <w:szCs w:val="18"/>
          <w:color w:val="auto"/>
        </w:rPr>
        <w:t>The warrant agreement provides that in the following circumstances holders of warrants who seek to exercise their warrants will not be permitted to do for cash and will, instead, be required to do so on a cashless basis in accordance with Section 3(a)(9) of the Securities Act: (i) if the shares of Class A common stock issuable upon exercise of the warrants are not registered under the Securities Act in accordance with the terms of the warrant agreement; and (ii) if we have so elected and the shares of Class A common stock is at the time of any exercise of a warrant not listed on a national securities exchange such that they satisfy the definition of “covered securities” under Section 18(b)(1) of the Securities Act. If you exercise your public warrants on a cashless basis under the circumstances described in clauses (i) and (ii) in the preceding sentence, you would pay the warrant exercise price by surrendering the warrants for that number of shares of Class A common stock equal to the quotient obtained by dividing (x) the product of the number of shares of Class A common stock underlying the warrants, multiplied by the excess of the “fair market value” of our shares of Class A common stock (as defined in the next sentence) over the exercise price of the warrants by (y) the fair market value. The “fair market value” is the average reported closing price of the shares of Class A common stock for the 10 trading days ending on the third trading day prior to the date on which the notice of exercise is received by the warrant agent or on which the notice of redemption is sent to the holders of warrants, as applicable. As a result, you would receive fewer shares of Class A common stock from such exercise than if you were to exercise such warrants for cash.</w:t>
      </w:r>
    </w:p>
    <w:p>
      <w:pPr>
        <w:spacing w:after="0" w:line="191" w:lineRule="exact"/>
        <w:rPr>
          <w:sz w:val="20"/>
          <w:szCs w:val="20"/>
          <w:color w:val="auto"/>
        </w:rPr>
      </w:pPr>
    </w:p>
    <w:p>
      <w:pPr>
        <w:ind w:left="460" w:right="639"/>
        <w:spacing w:after="0" w:line="244" w:lineRule="auto"/>
        <w:rPr>
          <w:sz w:val="20"/>
          <w:szCs w:val="20"/>
          <w:color w:val="auto"/>
        </w:rPr>
      </w:pPr>
      <w:r>
        <w:rPr>
          <w:rFonts w:ascii="Arial" w:cs="Arial" w:eastAsia="Arial" w:hAnsi="Arial"/>
          <w:sz w:val="18"/>
          <w:szCs w:val="18"/>
          <w:b w:val="1"/>
          <w:bCs w:val="1"/>
          <w:color w:val="auto"/>
        </w:rPr>
        <w:t>The grant of registration rights to our initial stockholders and their permitted transferees, holders of our private placement warrants and their permitted transferees and holders of our forward purchase shares and their permitted transferees may make it more difficult to complete our initial business combination, and the future exercise of such rights may adversely affect the market price of our shares of Class A common stock.</w:t>
      </w:r>
    </w:p>
    <w:p>
      <w:pPr>
        <w:spacing w:after="0" w:line="131" w:lineRule="exact"/>
        <w:rPr>
          <w:sz w:val="20"/>
          <w:szCs w:val="20"/>
          <w:color w:val="auto"/>
        </w:rPr>
      </w:pPr>
    </w:p>
    <w:p>
      <w:pPr>
        <w:ind w:left="460" w:right="519"/>
        <w:spacing w:after="0" w:line="235" w:lineRule="auto"/>
        <w:rPr>
          <w:sz w:val="20"/>
          <w:szCs w:val="20"/>
          <w:color w:val="auto"/>
        </w:rPr>
      </w:pPr>
      <w:r>
        <w:rPr>
          <w:rFonts w:ascii="Arial" w:cs="Arial" w:eastAsia="Arial" w:hAnsi="Arial"/>
          <w:sz w:val="18"/>
          <w:szCs w:val="18"/>
          <w:color w:val="auto"/>
        </w:rPr>
        <w:t>Pursuant to an agreement to be entered into concurrently with or prior to the issuance and sale of the securities in this offering, at or after the time of our initial business combination, our initial stockholders and their permitted transferees can demand that we register the shares of Class A common stock into which founder shares are convertible, holders of our private placement warrants and their permitted transferees can demand that we register the private placement warrants and the Class A common stock issuable upon exercise of the private placement warrants, holders of our forward purchase shares and their permitted transferees can demand that we register their forward purchase shares and holders of warrants that may be issued upon conversion of working capital loans may demand that we register such warrants or the Class A common stock issuable upon conversion of such warrants. The registration rights will be exercisable with respect to the founder shares, the forward purchase shares, the private placement warrants and the Class A common stock issuable upon exercise of such private placement warrants. We will bear the cost of registering these securities. The registration and availability of such a significant number of securities for trading in the public market may have an adverse effect on the market price of our Class A common stock. In addition, the existence of the registration rights may make our initial business combination more costly or difficult to conclude. This is because the stockholders of the target business may increase the equity stake they seek in the combined entity or ask for more cash consideration to offset the negative impact on the market price of our Class A common stock that is expected when the shares of common stock owned by our initial stockholders, holders of our private placement warrants or holders of our working capital loans or holders of our forward purchase shares or their respective permitted transferees are registered.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48" w:name="page49"/>
    <w:bookmarkEnd w:id="48"/>
    <w:p>
      <w:pPr>
        <w:ind w:left="460" w:right="619"/>
        <w:spacing w:after="0" w:line="247" w:lineRule="auto"/>
        <w:rPr>
          <w:sz w:val="20"/>
          <w:szCs w:val="20"/>
          <w:color w:val="auto"/>
        </w:rPr>
      </w:pPr>
      <w:r>
        <w:rPr>
          <w:rFonts w:ascii="Arial" w:cs="Arial" w:eastAsia="Arial" w:hAnsi="Arial"/>
          <w:sz w:val="18"/>
          <w:szCs w:val="18"/>
          <w:b w:val="1"/>
          <w:bCs w:val="1"/>
          <w:color w:val="auto"/>
        </w:rPr>
        <w:t>Because we are neither limited to evaluating a target business in a particular industry, sector or geographic region nor have we selected any specific target businesses with which to pursue our initial business combination, you will be unable to ascertain the merits or risks of any particular target business’s operations.</w:t>
      </w:r>
    </w:p>
    <w:p>
      <w:pPr>
        <w:spacing w:after="0" w:line="128" w:lineRule="exact"/>
        <w:rPr>
          <w:sz w:val="20"/>
          <w:szCs w:val="20"/>
          <w:color w:val="auto"/>
        </w:rPr>
      </w:pPr>
    </w:p>
    <w:p>
      <w:pPr>
        <w:ind w:left="460" w:right="459"/>
        <w:spacing w:after="0" w:line="236" w:lineRule="auto"/>
        <w:rPr>
          <w:sz w:val="20"/>
          <w:szCs w:val="20"/>
          <w:color w:val="auto"/>
        </w:rPr>
      </w:pPr>
      <w:r>
        <w:rPr>
          <w:rFonts w:ascii="Arial" w:cs="Arial" w:eastAsia="Arial" w:hAnsi="Arial"/>
          <w:sz w:val="18"/>
          <w:szCs w:val="18"/>
          <w:color w:val="auto"/>
        </w:rPr>
        <w:t>Our efforts to identify a prospective initial business combination target will not be limited to a particular industry, sector or geographic region. While we may pursue an initial business combination opportunity in any industry, sector or geographic region, we expect to focus our efforts on the life sciences sector and intend to capitalize on the ability of our management team to identify, acquire and operate a business or businesses that can benefit from our management team’s established global relationships and operating experience. Our management team has extensive experience in identifying and executing strategic investments globally and has done so successfully in a number of sectors. Our amended and restated certificate of incorporation prohibits us from effectuating a business combination with another blank check company or similar company with nominal operations.</w:t>
      </w:r>
    </w:p>
    <w:p>
      <w:pPr>
        <w:spacing w:after="0" w:line="126"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Because we have not yet selected any specific target business with respect to a business combination, there is no basis to evaluate the possible merits or risks of any particular target business’s operations, results of operations, cash flows, liquidity, financial condition or prospects. To the extent we complete our initial business combination, we may be affected by numerous risks inherent in the business operations with which we combine. For example, if we combine with a financially unstable business or an entity lacking an established record of sales or earnings, we may be affected by the risks inherent in the business and operations of a financially unstable or a development stage entity. Although our officers and directors will endeavor to evaluate the risks inherent in a particular target business, we cannot assure you that we will properly ascertain or assess all of the significant risk factors or that we will have adequate time to complete due diligence. Furthermore, some of these risks may be outside of our control and leave us with no ability to control or reduce the chances that those risks will adversely impact a target business. We also cannot assure you that an investment in our units will ultimately prove to be more favorable to investors than a direct investment, if such opportunity were available, in a business combination target. Accordingly, any stockholders or warrant holders who choose to remain stockholders or warrant holders following the business combination could suffer a reduction in the value of their securities. Such stockholders or warrant 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materials or tender offer documents, as applicable, relating to the business combination contained an actionable material misstatement or material omission.</w:t>
      </w:r>
    </w:p>
    <w:p>
      <w:pPr>
        <w:spacing w:after="0" w:line="190" w:lineRule="exact"/>
        <w:rPr>
          <w:sz w:val="20"/>
          <w:szCs w:val="20"/>
          <w:color w:val="auto"/>
        </w:rPr>
      </w:pPr>
    </w:p>
    <w:p>
      <w:pPr>
        <w:ind w:left="460" w:right="1279"/>
        <w:spacing w:after="0" w:line="271" w:lineRule="auto"/>
        <w:rPr>
          <w:sz w:val="20"/>
          <w:szCs w:val="20"/>
          <w:color w:val="auto"/>
        </w:rPr>
      </w:pPr>
      <w:r>
        <w:rPr>
          <w:rFonts w:ascii="Arial" w:cs="Arial" w:eastAsia="Arial" w:hAnsi="Arial"/>
          <w:sz w:val="18"/>
          <w:szCs w:val="18"/>
          <w:b w:val="1"/>
          <w:bCs w:val="1"/>
          <w:color w:val="auto"/>
        </w:rPr>
        <w:t>Past performance by our management team and their respective affiliates may not be indicative of future performance of an investment in us.</w:t>
      </w:r>
    </w:p>
    <w:p>
      <w:pPr>
        <w:spacing w:after="0" w:line="108" w:lineRule="exact"/>
        <w:rPr>
          <w:sz w:val="20"/>
          <w:szCs w:val="20"/>
          <w:color w:val="auto"/>
        </w:rPr>
      </w:pPr>
    </w:p>
    <w:p>
      <w:pPr>
        <w:ind w:left="460" w:right="619"/>
        <w:spacing w:after="0" w:line="236" w:lineRule="auto"/>
        <w:rPr>
          <w:sz w:val="20"/>
          <w:szCs w:val="20"/>
          <w:color w:val="auto"/>
        </w:rPr>
      </w:pPr>
      <w:r>
        <w:rPr>
          <w:rFonts w:ascii="Arial" w:cs="Arial" w:eastAsia="Arial" w:hAnsi="Arial"/>
          <w:sz w:val="18"/>
          <w:szCs w:val="18"/>
          <w:color w:val="auto"/>
        </w:rPr>
        <w:t>Information regarding performance by, or businesses associated with, our management team or businesses associated with them is presented for informational purposes only. Past performance by our management team and their respective affiliates is not a guarantee either (i) of success with respect to any business combination we may consummate or (ii) that we will be able to locate a suitable candidate for our initial business combination. You should not rely on the historical record of the performance of our management team’s or businesses associated with them as indicative of our future performance of an investment in us or the returns we will, or is likely to, generate going forward.</w:t>
      </w:r>
    </w:p>
    <w:p>
      <w:pPr>
        <w:spacing w:after="0" w:line="186" w:lineRule="exact"/>
        <w:rPr>
          <w:sz w:val="20"/>
          <w:szCs w:val="20"/>
          <w:color w:val="auto"/>
        </w:rPr>
      </w:pPr>
    </w:p>
    <w:p>
      <w:pPr>
        <w:ind w:left="460" w:right="779"/>
        <w:spacing w:after="0"/>
        <w:rPr>
          <w:sz w:val="20"/>
          <w:szCs w:val="20"/>
          <w:color w:val="auto"/>
        </w:rPr>
      </w:pPr>
      <w:r>
        <w:rPr>
          <w:rFonts w:ascii="Arial" w:cs="Arial" w:eastAsia="Arial" w:hAnsi="Arial"/>
          <w:sz w:val="18"/>
          <w:szCs w:val="18"/>
          <w:b w:val="1"/>
          <w:bCs w:val="1"/>
          <w:color w:val="auto"/>
        </w:rPr>
        <w:t>In evaluating a prospective target business for our initial business combination, our management will consider the availability of funds from the sale of the forward purchase shares, which may be used as part of the consideration to the sellers in the initial business combination. If all or some of the forward purchase shares are not purchased under the forward purchase agreement, we may decide not to consummate our initial business combination, or if we decide to, we may lack sufficient funds to consummate our initial business combination.</w:t>
      </w:r>
    </w:p>
    <w:p>
      <w:pPr>
        <w:spacing w:after="0" w:line="139" w:lineRule="exact"/>
        <w:rPr>
          <w:sz w:val="20"/>
          <w:szCs w:val="20"/>
          <w:color w:val="auto"/>
        </w:rPr>
      </w:pPr>
    </w:p>
    <w:p>
      <w:pPr>
        <w:ind w:left="460" w:right="459"/>
        <w:spacing w:after="0" w:line="251" w:lineRule="auto"/>
        <w:rPr>
          <w:sz w:val="20"/>
          <w:szCs w:val="20"/>
          <w:color w:val="auto"/>
        </w:rPr>
      </w:pPr>
      <w:r>
        <w:rPr>
          <w:rFonts w:ascii="Arial" w:cs="Arial" w:eastAsia="Arial" w:hAnsi="Arial"/>
          <w:sz w:val="17"/>
          <w:szCs w:val="17"/>
          <w:color w:val="auto"/>
        </w:rPr>
        <w:t>In connection with the consummation of this offering, we have entered into separate forward purchase agreements with affiliates of our sponsor, Casdin Capital and Corvex Management, in their capacities as investment advisors on behalf of their Clients, pursuant to which, subject to the conditions described below, they will cause certain Clients to purchase from us up to an aggregate amount of 15,000,000 shares of Class A common stock, or the forward purchase shares, for $10.00 per forward purchase share, or an aggregate amount of up to $150,000,000, in a private placement that will close concurrently with the closing of our initial business combination. The proceeds from the sale of these forward purchase shares, together with the amounts available to us from the trust account (after giving effect to any redemptions of public shares) and any other equity or debt financing obtained</w:t>
      </w:r>
    </w:p>
    <w:p>
      <w:pPr>
        <w:sectPr>
          <w:pgSz w:w="11900" w:h="16838" w:orient="portrait"/>
          <w:cols w:equalWidth="0" w:num="1">
            <w:col w:w="9019"/>
          </w:cols>
          <w:pgMar w:left="1440" w:top="333" w:right="1440"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49" w:name="page50"/>
    <w:bookmarkEnd w:id="49"/>
    <w:p>
      <w:pPr>
        <w:ind w:left="460" w:right="559"/>
        <w:spacing w:after="0" w:line="237" w:lineRule="auto"/>
        <w:rPr>
          <w:sz w:val="20"/>
          <w:szCs w:val="20"/>
          <w:color w:val="auto"/>
        </w:rPr>
      </w:pPr>
      <w:r>
        <w:rPr>
          <w:rFonts w:ascii="Arial" w:cs="Arial" w:eastAsia="Arial" w:hAnsi="Arial"/>
          <w:sz w:val="18"/>
          <w:szCs w:val="18"/>
          <w:color w:val="auto"/>
        </w:rPr>
        <w:t>by us in connection with the business combination, will be used to satisfy the cash requirements of the business combination, including funding the purchase price and paying expenses and retaining specified amounts to be used by the post-business combination company for working capital or other purposes. The amount of forward purchase shares sold pursuant to the forward purchase agreements will be determined in our discretion based on our need for additional capital to consummate the initial business combination.</w:t>
      </w:r>
    </w:p>
    <w:p>
      <w:pPr>
        <w:spacing w:after="0" w:line="124"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Each of Casdin Capital’s and Corvex Management’s obligation to cause Clients to purchase forward purchase shares will, among other things, be conditioned on our completing an initial business combination with a company engaged in a business that is within the investment objectives of the Clients purchasing forward purchase shares and on the business combination (including the target assets or business, and the terms of the business combination) being reasonably acceptable to such Clients as determined by Casdin Capital or Corvex Management, as relevant, as investment advisors on behalf of such Clients. In determining whether a target is reasonably acceptable to Clients, we expect that Casdin Capital or Corvex Management, as relevant, would consider many of the same criteria as we will consider, but will also consider whether the investment is an appropriate investment for such Clients. Accordingly, if either Casdin Capital or Corvex Management, as relevant, determines, as an investment advisor on behalf of such Clients that the initial business combination falls outside the investment objects of such Clients or is not reasonably acceptable to such Clients, it would not be obligated to purchase any forward purchase shares. In addition, the obligation to purchase forward purchase shares will be subject to fulfillment of customary closing conditions, including that our initial business combination must be consummated substantially concurrently with the purchase of forward purchase shares. If the sale of forward purchase shares does not close for any reason, including by reason of the failure to fund the purchase price, for example, we may lack sufficient funds to consummate our initial business combination.</w:t>
      </w:r>
    </w:p>
    <w:p>
      <w:pPr>
        <w:spacing w:after="0" w:line="191" w:lineRule="exact"/>
        <w:rPr>
          <w:sz w:val="20"/>
          <w:szCs w:val="20"/>
          <w:color w:val="auto"/>
        </w:rPr>
      </w:pPr>
    </w:p>
    <w:p>
      <w:pPr>
        <w:ind w:left="460" w:right="479"/>
        <w:spacing w:after="0" w:line="271" w:lineRule="auto"/>
        <w:rPr>
          <w:sz w:val="20"/>
          <w:szCs w:val="20"/>
          <w:color w:val="auto"/>
        </w:rPr>
      </w:pPr>
      <w:r>
        <w:rPr>
          <w:rFonts w:ascii="Arial" w:cs="Arial" w:eastAsia="Arial" w:hAnsi="Arial"/>
          <w:sz w:val="18"/>
          <w:szCs w:val="18"/>
          <w:b w:val="1"/>
          <w:bCs w:val="1"/>
          <w:color w:val="auto"/>
        </w:rPr>
        <w:t>We may seek business combination opportunities in industries, sectors or geographic regions that may be outside of our management’s areas of expertise.</w:t>
      </w:r>
    </w:p>
    <w:p>
      <w:pPr>
        <w:spacing w:after="0" w:line="108" w:lineRule="exact"/>
        <w:rPr>
          <w:sz w:val="20"/>
          <w:szCs w:val="20"/>
          <w:color w:val="auto"/>
        </w:rPr>
      </w:pPr>
    </w:p>
    <w:p>
      <w:pPr>
        <w:ind w:left="460" w:right="519"/>
        <w:spacing w:after="0" w:line="235" w:lineRule="auto"/>
        <w:rPr>
          <w:sz w:val="20"/>
          <w:szCs w:val="20"/>
          <w:color w:val="auto"/>
        </w:rPr>
      </w:pPr>
      <w:r>
        <w:rPr>
          <w:rFonts w:ascii="Arial" w:cs="Arial" w:eastAsia="Arial" w:hAnsi="Arial"/>
          <w:sz w:val="18"/>
          <w:szCs w:val="18"/>
          <w:color w:val="auto"/>
        </w:rPr>
        <w:t>Although we expect to focus our search for a target business in the life sciences sector, we will consider a business combination in industries, sectors or geographic regions outside of our management’s areas of expertise if a business combination candidate is presented to us and we determine that such candidate offers an attractive business combination opportunity for our company. Although our management will endeavor to evaluate the risks inherent in any particular business combination candidate, we cannot assure you that we will adequately ascertain or assess all of the significant risk factors. We also cannot assure you that an investment in our units will not ultimately prove to be less favorable to investors in this offering than a direct investment, if an opportunity were available, in a business combination candidate. In the event we elect to pursue a business combination outside of the areas of our management’s expertise, our management’s expertise may not be directly applicable to its evaluation or operation, and the information contained in this prospectus regarding the areas of our management’s expertise would not be relevant to an understanding of the business that we elect to acquire. As a result, our management may not be able to ascertain or assess adequately all of the relevant risk factors. Accordingly, any stockholders or warrant holders who choose to remain stockholders or warrant holders, respectively, following our initial business combination could suffer a reduction in the value of their shares. Such stockholders or warrant holders are unlikely to have a remedy for such reduction in value.</w:t>
      </w:r>
    </w:p>
    <w:p>
      <w:pPr>
        <w:spacing w:after="0" w:line="191" w:lineRule="exact"/>
        <w:rPr>
          <w:sz w:val="20"/>
          <w:szCs w:val="20"/>
          <w:color w:val="auto"/>
        </w:rPr>
      </w:pPr>
    </w:p>
    <w:p>
      <w:pPr>
        <w:ind w:left="460" w:right="599"/>
        <w:spacing w:after="0" w:line="244" w:lineRule="auto"/>
        <w:rPr>
          <w:sz w:val="20"/>
          <w:szCs w:val="20"/>
          <w:color w:val="auto"/>
        </w:rPr>
      </w:pPr>
      <w:r>
        <w:rPr>
          <w:rFonts w:ascii="Arial" w:cs="Arial" w:eastAsia="Arial" w:hAnsi="Arial"/>
          <w:sz w:val="18"/>
          <w:szCs w:val="18"/>
          <w:b w:val="1"/>
          <w:bCs w:val="1"/>
          <w:color w:val="auto"/>
        </w:rPr>
        <w:t>Although we have identified general criteria and guidelines that we believe are important in evaluating prospective target businesses, we may enter into our initial business combination with a target that does not meet such criteria and guidelines, and as a result, the target business with which we enter into our initial business combination may not have attributes entirely consistent with our general criteria and guidelines.</w:t>
      </w:r>
    </w:p>
    <w:p>
      <w:pPr>
        <w:spacing w:after="0" w:line="131"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Although we have identified general criteria and guidelines for evaluating prospective target businesses, it is possible that a target business with which we enter into our initial business combination will not have all of these positive attributes. If we complete our initial business combination with a target that does not meet some or all of these guidelines, such combination may not be as successful as a combination with a business that does meet all of our general criteria and guidelines. In addition, if we announce a prospective business combination with a target that does not meet our general criteria and guidelines, a greater number of stockholders may exercise their redemption rights, which may make it difficult for us to meet any closing condition with a target business that requires us to have a minimum net worth or a certain amount of cash. In addition, if stockholder approval of the transaction is required by law or stock exchange listing rules, or we decide to obtain stockholder approval for business or other legal reasons, it may be more difficult for us to attain stockholder approval of our initial business combination if the</w:t>
      </w:r>
    </w:p>
    <w:p>
      <w:pPr>
        <w:sectPr>
          <w:pgSz w:w="11900" w:h="16838" w:orient="portrait"/>
          <w:cols w:equalWidth="0" w:num="1">
            <w:col w:w="9019"/>
          </w:cols>
          <w:pgMar w:left="1440" w:top="287" w:right="1440" w:bottom="1440" w:gutter="0" w:footer="0" w:header="0"/>
        </w:sectPr>
      </w:pP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50" w:name="page51"/>
    <w:bookmarkEnd w:id="50"/>
    <w:p>
      <w:pPr>
        <w:ind w:left="460" w:right="719"/>
        <w:spacing w:after="0" w:line="238" w:lineRule="auto"/>
        <w:rPr>
          <w:sz w:val="20"/>
          <w:szCs w:val="20"/>
          <w:color w:val="auto"/>
        </w:rPr>
      </w:pPr>
      <w:r>
        <w:rPr>
          <w:rFonts w:ascii="Arial" w:cs="Arial" w:eastAsia="Arial" w:hAnsi="Arial"/>
          <w:sz w:val="18"/>
          <w:szCs w:val="18"/>
          <w:color w:val="auto"/>
        </w:rPr>
        <w:t>target business does not meet our general criteria and guidelines. If we are unable to complete our initial business combination, our public stockholders may only receive their pro rata portion of the funds in the trust account that are available for distribution to public stockholders, and our warrants will expire worthless.</w:t>
      </w:r>
    </w:p>
    <w:p>
      <w:pPr>
        <w:spacing w:after="0" w:line="183" w:lineRule="exact"/>
        <w:rPr>
          <w:sz w:val="20"/>
          <w:szCs w:val="20"/>
          <w:color w:val="auto"/>
        </w:rPr>
      </w:pPr>
    </w:p>
    <w:p>
      <w:pPr>
        <w:ind w:left="460" w:right="479"/>
        <w:spacing w:after="0" w:line="247" w:lineRule="auto"/>
        <w:rPr>
          <w:sz w:val="20"/>
          <w:szCs w:val="20"/>
          <w:color w:val="auto"/>
        </w:rPr>
      </w:pPr>
      <w:r>
        <w:rPr>
          <w:rFonts w:ascii="Arial" w:cs="Arial" w:eastAsia="Arial" w:hAnsi="Arial"/>
          <w:sz w:val="18"/>
          <w:szCs w:val="18"/>
          <w:b w:val="1"/>
          <w:bCs w:val="1"/>
          <w:color w:val="auto"/>
        </w:rPr>
        <w:t>We are not required to obtain an opinion from an independent investment banking firm or from a valuation or appraisal firm, and consequently, you may have no assurance from an independent source that the price we are paying for the business is fair to our stockholders from a financial point of view.</w:t>
      </w:r>
    </w:p>
    <w:p>
      <w:pPr>
        <w:spacing w:after="0" w:line="115"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Unless we complete our initial business combination with an affiliated entity or our board of directors cannot independently determine the fair market value of the target business or businesses (including with the assistance of financial advisors), we are not required to obtain an opinion from an independent investment banking firm which is a member of FINRA or from a valuation or appraisal firm that the price we are paying is fair to our stockholders from a financial point of view. If no opinion is obtained, our stockholders will be relying on the judgment of our board of directors, who will determine fair market value based on standards generally accepted by the financial community. Such standards used will be disclosed in our proxy materials or tender offer documents, as applicable, related to our initial business combination.</w:t>
      </w:r>
    </w:p>
    <w:p>
      <w:pPr>
        <w:spacing w:after="0" w:line="185" w:lineRule="exact"/>
        <w:rPr>
          <w:sz w:val="20"/>
          <w:szCs w:val="20"/>
          <w:color w:val="auto"/>
        </w:rPr>
      </w:pPr>
    </w:p>
    <w:p>
      <w:pPr>
        <w:ind w:left="460" w:right="519"/>
        <w:spacing w:after="0"/>
        <w:rPr>
          <w:sz w:val="20"/>
          <w:szCs w:val="20"/>
          <w:color w:val="auto"/>
        </w:rPr>
      </w:pPr>
      <w:r>
        <w:rPr>
          <w:rFonts w:ascii="Arial" w:cs="Arial" w:eastAsia="Arial" w:hAnsi="Arial"/>
          <w:sz w:val="18"/>
          <w:szCs w:val="18"/>
          <w:b w:val="1"/>
          <w:bCs w:val="1"/>
          <w:color w:val="auto"/>
        </w:rPr>
        <w:t>We may issue additional shares of Class A common stock or shares of preferred stock to complete our initial business combination or under an employee incentive plan after completion of our initial business combination. We may also issue shares of Class A common stock upon the conversion of the founder shares at a ratio greater than one-to-one at the time of our initial business combination as a result of the anti-dilution provisions contained in our amended and restated certificate of incorporation. Any such issuances would dilute the interest of our stockholders and likely present other risks.</w:t>
      </w:r>
    </w:p>
    <w:p>
      <w:pPr>
        <w:spacing w:after="0" w:line="139"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Our amended and restated certificate of incorporation authorizes the issuance of up to 380,000,000 shares of Class A common stock, par value $ 0.0001 per share, 20,000,000 shares of Class B common stock, par value $0.0001 per share, and 1,000,000 shares of preferred stock, par value $0.0001 per share. Immediately after this offering, there will be 345,000,000 and 11,250,000 (assuming in each case that the underwriters have not exercised their over-allotment option and the forfeiture of 1,312,500 shares of Class B common stock) authorized but unissued shares of Class A common stock and Class B common stock, respectively, available for issuance which amount does not take into account shares reserved for issuance upon exercise of outstanding warrants or shares issuable upon conversion of the Class B common stock. The Class B common stock is automatically convertible into Class A common stock concurrently with or immediately following the consummation of our initial business combination, initially at a one-for-one ratio but subject to adjustment as set forth herein and in our amended and restated certificate of incorporation. Immediately after this offering, there will be no shares of preferred stock issued and outstanding.</w:t>
      </w:r>
    </w:p>
    <w:p>
      <w:pPr>
        <w:spacing w:after="0" w:line="135"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We may issue a substantial number of additional shares of Class A common stock or shares of preferred stock to complete our initial business combination or under an employee incentive plan after completion of our initial business combination. We may also issue shares of Class A common stock upon conversion of the Class B common stock at a ratio greater than one-to-one at the time of our initial business combination as a result of the anti-dilution provisions as set forth therein. However, our amended and restated certificate of incorporation provides, among other things, that prior to our initial business combination, we may not issue additional shares that would entitle the holders thereof to (i) receive funds from the trust account or (ii) vote as a class with our public shares (a) on any initial business combination or (b) to approve an amendment to our amended and restated certificate of incorporation to (x) extend the time we have to consummate a business combination beyond 24 months from the closing of this offering or (y) amend the foregoing provisions. These provisions of our amended and restated certificate of incorporation, like all provisions of our amended and restated certificate of incorporation, may be amended with a stockholder vote. The issuance of additional shares of common stock or shares of preferred stock:</w:t>
      </w:r>
    </w:p>
    <w:p>
      <w:pPr>
        <w:spacing w:after="0" w:line="25" w:lineRule="exact"/>
        <w:rPr>
          <w:sz w:val="20"/>
          <w:szCs w:val="20"/>
          <w:color w:val="auto"/>
        </w:rPr>
      </w:pPr>
    </w:p>
    <w:p>
      <w:pPr>
        <w:ind w:left="1100" w:hanging="322"/>
        <w:spacing w:after="0"/>
        <w:tabs>
          <w:tab w:leader="none" w:pos="11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may significantly dilute the equity interest of investors in this offering;</w:t>
      </w:r>
    </w:p>
    <w:p>
      <w:pPr>
        <w:spacing w:after="0" w:line="36" w:lineRule="exact"/>
        <w:rPr>
          <w:rFonts w:ascii="Arial" w:cs="Arial" w:eastAsia="Arial" w:hAnsi="Arial"/>
          <w:sz w:val="18"/>
          <w:szCs w:val="18"/>
          <w:color w:val="auto"/>
        </w:rPr>
      </w:pPr>
    </w:p>
    <w:p>
      <w:pPr>
        <w:ind w:left="1100" w:right="719" w:hanging="322"/>
        <w:spacing w:after="0" w:line="246" w:lineRule="auto"/>
        <w:tabs>
          <w:tab w:leader="none" w:pos="1089"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may subordinate the rights of holders of Class A common stock if shares of preferred stock are issued with rights senior to those afforded our Class A common stock;</w:t>
      </w:r>
    </w:p>
    <w:p>
      <w:pPr>
        <w:spacing w:after="0" w:line="21" w:lineRule="exact"/>
        <w:rPr>
          <w:rFonts w:ascii="Arial" w:cs="Arial" w:eastAsia="Arial" w:hAnsi="Arial"/>
          <w:sz w:val="18"/>
          <w:szCs w:val="18"/>
          <w:color w:val="auto"/>
        </w:rPr>
      </w:pPr>
    </w:p>
    <w:p>
      <w:pPr>
        <w:ind w:left="1100" w:right="499" w:hanging="322"/>
        <w:spacing w:after="0" w:line="238" w:lineRule="auto"/>
        <w:tabs>
          <w:tab w:leader="none" w:pos="1089"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could cause a change in control if a substantial number of shares of Class A common stock is issued, which may affect, among other things, our ability to use our net operating loss carry forwards, if any, and could result in the resignation or removal of our present officers and directors; and</w:t>
      </w:r>
    </w:p>
    <w:p>
      <w:pPr>
        <w:spacing w:after="0" w:line="15" w:lineRule="exact"/>
        <w:rPr>
          <w:rFonts w:ascii="Arial" w:cs="Arial" w:eastAsia="Arial" w:hAnsi="Arial"/>
          <w:sz w:val="18"/>
          <w:szCs w:val="18"/>
          <w:color w:val="auto"/>
        </w:rPr>
      </w:pPr>
    </w:p>
    <w:p>
      <w:pPr>
        <w:ind w:left="1100" w:right="859" w:hanging="322"/>
        <w:spacing w:after="0" w:line="246" w:lineRule="auto"/>
        <w:tabs>
          <w:tab w:leader="none" w:pos="1089"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units, Class A common stock and/or warrants.</w:t>
      </w:r>
    </w:p>
    <w:p>
      <w:pPr>
        <w:sectPr>
          <w:pgSz w:w="11900" w:h="16838" w:orient="portrait"/>
          <w:cols w:equalWidth="0" w:num="1">
            <w:col w:w="9019"/>
          </w:cols>
          <w:pgMar w:left="1440" w:top="287" w:right="1440"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51" w:name="page52"/>
    <w:bookmarkEnd w:id="51"/>
    <w:p>
      <w:pPr>
        <w:jc w:val="both"/>
        <w:ind w:left="460" w:right="959"/>
        <w:spacing w:after="0" w:line="253" w:lineRule="auto"/>
        <w:rPr>
          <w:sz w:val="20"/>
          <w:szCs w:val="20"/>
          <w:color w:val="auto"/>
        </w:rPr>
      </w:pPr>
      <w:r>
        <w:rPr>
          <w:rFonts w:ascii="Arial" w:cs="Arial" w:eastAsia="Arial" w:hAnsi="Arial"/>
          <w:sz w:val="18"/>
          <w:szCs w:val="18"/>
          <w:b w:val="1"/>
          <w:bCs w:val="1"/>
          <w:color w:val="auto"/>
        </w:rPr>
        <w:t>Unlike some other similarly structured special purpose acquisition companies, our initial stockholders will receive additional shares of Class A common stock if we issue certain shares to consummate an initial business combination.</w:t>
      </w:r>
    </w:p>
    <w:p>
      <w:pPr>
        <w:spacing w:after="0" w:line="123"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The founder shares will automatically convert into shares of Class A common stock concurrently with or immediately following the consummation of our initial business combination on a one-for-one basis, subject to adjustment for stock splits, stock dividends, reorganizations, recapitalizations and the like, and subject to further adjustment as provided herein. In the case that additional shares of Class A common stock or equity-linked securities are issued or deemed issued in connection with our initial business combination, the number of shares of Class A common stock issuable upon conversion of all founder shares will equal, in the aggregate, on an as-converted basis, 20% of the total number of shares of Class A common stock outstanding after such conversion (after giving effect to any redemptions of shares of Class A common stock by public stockholders), including the total number of shares of Class A common stock issued, or deemed issued or issuable upon conversion or exercise of any equity-linked securities or rights issued or deemed issued, by the Company in connection with or in relation to the consummation of the initial business combination (including any forward purchase shares), excluding any shares of Class A common stock or equity-linked securities or rights exercisable for or convertible into shares of Class A common stock issued, or to be issued, to any seller in the initial business combination and any private placement warrants issued to our sponsor, officers or directors upon conversion of working capital loans, provided that such conversion of founder shares will never occur on a less than one-for-one basis. This is different than some other similarly structured special purpose acquisition companies in which the initial stockholders will only be issued an aggregate of 20% of the total number of shares to be outstanding prior to our initial business combination.</w:t>
      </w:r>
    </w:p>
    <w:p>
      <w:pPr>
        <w:spacing w:after="0" w:line="191" w:lineRule="exact"/>
        <w:rPr>
          <w:sz w:val="20"/>
          <w:szCs w:val="20"/>
          <w:color w:val="auto"/>
        </w:rPr>
      </w:pPr>
    </w:p>
    <w:p>
      <w:pPr>
        <w:ind w:left="460" w:right="499"/>
        <w:spacing w:after="0" w:line="242" w:lineRule="auto"/>
        <w:rPr>
          <w:sz w:val="20"/>
          <w:szCs w:val="20"/>
          <w:color w:val="auto"/>
        </w:rPr>
      </w:pPr>
      <w:r>
        <w:rPr>
          <w:rFonts w:ascii="Arial" w:cs="Arial" w:eastAsia="Arial" w:hAnsi="Arial"/>
          <w:sz w:val="18"/>
          <w:szCs w:val="18"/>
          <w:b w:val="1"/>
          <w:bCs w:val="1"/>
          <w:color w:val="auto"/>
        </w:rPr>
        <w:t>Resources could be wasted in researching business combinations that are not completed, which could materially adversely affect subsequent attempts to locate and acquire or merge with another business. If we are unable to complete our initial business combination within the required time period, our public stockholders may only receive their pro rata portion of the funds in the trust account that are available for distribution to public stockholders, and our warrants will expire worthless.</w:t>
      </w:r>
    </w:p>
    <w:p>
      <w:pPr>
        <w:spacing w:after="0" w:line="120" w:lineRule="exact"/>
        <w:rPr>
          <w:sz w:val="20"/>
          <w:szCs w:val="20"/>
          <w:color w:val="auto"/>
        </w:rPr>
      </w:pPr>
    </w:p>
    <w:p>
      <w:pPr>
        <w:ind w:left="460" w:right="539"/>
        <w:spacing w:after="0" w:line="236" w:lineRule="auto"/>
        <w:rPr>
          <w:sz w:val="20"/>
          <w:szCs w:val="20"/>
          <w:color w:val="auto"/>
        </w:rPr>
      </w:pPr>
      <w:r>
        <w:rPr>
          <w:rFonts w:ascii="Arial" w:cs="Arial" w:eastAsia="Arial" w:hAnsi="Arial"/>
          <w:sz w:val="18"/>
          <w:szCs w:val="18"/>
          <w:color w:val="auto"/>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and others. If we decide not to complete a specific initial business combination, the costs incurred up to that point for the proposed transaction likely would not be recoverable. Furthermore, if we reach an agreement relating to a specific target business, we may fail to complete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are unable to complete our initial business combination within the required time period, our public stockholders may only receive their pro rata portion of the funds in the trust account that are available for distribution to public stockholders, and our warrants will expire worthless.</w:t>
      </w:r>
    </w:p>
    <w:p>
      <w:pPr>
        <w:spacing w:after="0" w:line="182" w:lineRule="exact"/>
        <w:rPr>
          <w:sz w:val="20"/>
          <w:szCs w:val="20"/>
          <w:color w:val="auto"/>
        </w:rPr>
      </w:pPr>
    </w:p>
    <w:p>
      <w:pPr>
        <w:ind w:left="460" w:right="799"/>
        <w:spacing w:after="0" w:line="271" w:lineRule="auto"/>
        <w:rPr>
          <w:sz w:val="20"/>
          <w:szCs w:val="20"/>
          <w:color w:val="auto"/>
        </w:rPr>
      </w:pPr>
      <w:r>
        <w:rPr>
          <w:rFonts w:ascii="Arial" w:cs="Arial" w:eastAsia="Arial" w:hAnsi="Arial"/>
          <w:sz w:val="18"/>
          <w:szCs w:val="18"/>
          <w:b w:val="1"/>
          <w:bCs w:val="1"/>
          <w:color w:val="auto"/>
        </w:rPr>
        <w:t>We are dependent upon our executive officers and directors and their loss could adversely affect our ability to operate.</w:t>
      </w:r>
    </w:p>
    <w:p>
      <w:pPr>
        <w:spacing w:after="0" w:line="108"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Our operations are dependent upon a relatively small group of individuals and, in particular, our executive officers and directors. We believe that our success depends on the continued service of our officers and directors, at least until we have completed our initial business combination. In addition, our executive officers and directors are not required to commit any specified amount of time to our affairs and, accordingly, will have conflicts of interest in allocating their time among various business activities, including identifying potential business combinations and monitoring the related due diligence. We do not have an employment agreement with, or key-man insurance on the life of, any of our directors or executive officers. The unexpected loss of the services of one or more of our directors or executive officers could have a detrimental effect on us.</w:t>
      </w:r>
    </w:p>
    <w:p>
      <w:pPr>
        <w:spacing w:after="0" w:line="185" w:lineRule="exact"/>
        <w:rPr>
          <w:sz w:val="20"/>
          <w:szCs w:val="20"/>
          <w:color w:val="auto"/>
        </w:rPr>
      </w:pPr>
    </w:p>
    <w:p>
      <w:pPr>
        <w:ind w:left="460" w:right="539"/>
        <w:spacing w:after="0" w:line="247" w:lineRule="auto"/>
        <w:rPr>
          <w:sz w:val="20"/>
          <w:szCs w:val="20"/>
          <w:color w:val="auto"/>
        </w:rPr>
      </w:pPr>
      <w:r>
        <w:rPr>
          <w:rFonts w:ascii="Arial" w:cs="Arial" w:eastAsia="Arial" w:hAnsi="Arial"/>
          <w:sz w:val="18"/>
          <w:szCs w:val="18"/>
          <w:b w:val="1"/>
          <w:bCs w:val="1"/>
          <w:color w:val="auto"/>
        </w:rPr>
        <w:t>Our ability to successfully effect our initial business combination and to be successful thereafter will be dependent upon the efforts of our key personnel, some of whom may join us following our initial business combination. The loss of key personnel could negatively impact the operations and profitability of our post-combination business.</w:t>
      </w:r>
    </w:p>
    <w:p>
      <w:pPr>
        <w:spacing w:after="0" w:line="128" w:lineRule="exact"/>
        <w:rPr>
          <w:sz w:val="20"/>
          <w:szCs w:val="20"/>
          <w:color w:val="auto"/>
        </w:rPr>
      </w:pPr>
    </w:p>
    <w:p>
      <w:pPr>
        <w:ind w:left="460" w:right="619"/>
        <w:spacing w:after="0" w:line="238" w:lineRule="auto"/>
        <w:rPr>
          <w:sz w:val="20"/>
          <w:szCs w:val="20"/>
          <w:color w:val="auto"/>
        </w:rPr>
      </w:pPr>
      <w:r>
        <w:rPr>
          <w:rFonts w:ascii="Arial" w:cs="Arial" w:eastAsia="Arial" w:hAnsi="Arial"/>
          <w:sz w:val="18"/>
          <w:szCs w:val="18"/>
          <w:color w:val="auto"/>
        </w:rPr>
        <w:t>Our ability to successfully effect our initial business combination is dependent upon the efforts of our key personnel. The role of our key personnel in the target business, however, cannot presently be ascertained. Although some of our key personnel may remain with the target business in senior management or advisory positions following our initial</w:t>
      </w:r>
    </w:p>
    <w:p>
      <w:pPr>
        <w:sectPr>
          <w:pgSz w:w="11900" w:h="16838" w:orient="portrait"/>
          <w:cols w:equalWidth="0" w:num="1">
            <w:col w:w="9019"/>
          </w:cols>
          <w:pgMar w:left="1440" w:top="333" w:right="1440" w:bottom="1440" w:gutter="0" w:footer="0" w:header="0"/>
        </w:sectPr>
      </w:pP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52" w:name="page53"/>
    <w:bookmarkEnd w:id="52"/>
    <w:p>
      <w:pPr>
        <w:ind w:left="460" w:right="479"/>
        <w:spacing w:after="0" w:line="237" w:lineRule="auto"/>
        <w:rPr>
          <w:sz w:val="20"/>
          <w:szCs w:val="20"/>
          <w:color w:val="auto"/>
        </w:rPr>
      </w:pPr>
      <w:r>
        <w:rPr>
          <w:rFonts w:ascii="Arial" w:cs="Arial" w:eastAsia="Arial" w:hAnsi="Arial"/>
          <w:sz w:val="18"/>
          <w:szCs w:val="18"/>
          <w:color w:val="auto"/>
        </w:rPr>
        <w:t>business combination, it is likely that some or all of the management of the target business will remain in place. While we intend to closely scrutinize any individuals we engage after our initial business combination, we cannot assure you that our assessment of these individuals will prove to be correct. These individuals may be unfamiliar with the requirements of operating a company regulated by the SEC, which could cause us to have to expend time and resources helping them become familiar with such requirements.</w:t>
      </w:r>
    </w:p>
    <w:p>
      <w:pPr>
        <w:spacing w:after="0" w:line="183" w:lineRule="exact"/>
        <w:rPr>
          <w:sz w:val="20"/>
          <w:szCs w:val="20"/>
          <w:color w:val="auto"/>
        </w:rPr>
      </w:pPr>
    </w:p>
    <w:p>
      <w:pPr>
        <w:ind w:left="460" w:right="519"/>
        <w:spacing w:after="0" w:line="242" w:lineRule="auto"/>
        <w:rPr>
          <w:sz w:val="20"/>
          <w:szCs w:val="20"/>
          <w:color w:val="auto"/>
        </w:rPr>
      </w:pPr>
      <w:r>
        <w:rPr>
          <w:rFonts w:ascii="Arial" w:cs="Arial" w:eastAsia="Arial" w:hAnsi="Arial"/>
          <w:sz w:val="18"/>
          <w:szCs w:val="18"/>
          <w:b w:val="1"/>
          <w:bCs w:val="1"/>
          <w:color w:val="auto"/>
        </w:rPr>
        <w:t>Our key personnel may negotiate employment or consulting agreements with a target business in connection with a particular business combination, and a particular business combination may be conditioned on the retention or resignation of such key personnel. These agreements may provide for them to receive compensation following our initial business combination and as a result, may cause them to have conflicts of interest in determining whether a particular business combination is the most advantageous.</w:t>
      </w:r>
    </w:p>
    <w:p>
      <w:pPr>
        <w:spacing w:after="0" w:line="120"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Our key personnel may be able to remain with our company after the completion of our initial business combination only if they are able to negotiate employment or consulting agreements in connection with the business combination. Such negotiations would take place simultaneously with the negotiation of the business combination and could provide for such individuals to receive compensation in the form of cash payments and/or our securities for services they would render to us after the completion of the business combination. Such negotiations also could make such key personnel’s retention or resignation a condition to any such agreement. The personal and financial interests of such individuals may influence their motivation in identifying and selecting a target business, subject to their fiduciary duties under Delaware law.</w:t>
      </w:r>
    </w:p>
    <w:p>
      <w:pPr>
        <w:spacing w:after="0" w:line="185" w:lineRule="exact"/>
        <w:rPr>
          <w:sz w:val="20"/>
          <w:szCs w:val="20"/>
          <w:color w:val="auto"/>
        </w:rPr>
      </w:pPr>
    </w:p>
    <w:p>
      <w:pPr>
        <w:ind w:left="460" w:right="499"/>
        <w:spacing w:after="0" w:line="253" w:lineRule="auto"/>
        <w:rPr>
          <w:sz w:val="20"/>
          <w:szCs w:val="20"/>
          <w:color w:val="auto"/>
        </w:rPr>
      </w:pPr>
      <w:r>
        <w:rPr>
          <w:rFonts w:ascii="Arial" w:cs="Arial" w:eastAsia="Arial" w:hAnsi="Arial"/>
          <w:sz w:val="18"/>
          <w:szCs w:val="18"/>
          <w:b w:val="1"/>
          <w:bCs w:val="1"/>
          <w:color w:val="auto"/>
        </w:rPr>
        <w:t>We may have a limited ability to assess the management of a prospective target business and, as a result, may effect our initial business combination with a target business whose management may not have the skills, qualifications or abilities to manage a public company.</w:t>
      </w:r>
    </w:p>
    <w:p>
      <w:pPr>
        <w:spacing w:after="0" w:line="123" w:lineRule="exact"/>
        <w:rPr>
          <w:sz w:val="20"/>
          <w:szCs w:val="20"/>
          <w:color w:val="auto"/>
        </w:rPr>
      </w:pPr>
    </w:p>
    <w:p>
      <w:pPr>
        <w:ind w:left="460" w:right="459"/>
        <w:spacing w:after="0" w:line="235" w:lineRule="auto"/>
        <w:rPr>
          <w:sz w:val="20"/>
          <w:szCs w:val="20"/>
          <w:color w:val="auto"/>
        </w:rPr>
      </w:pPr>
      <w:r>
        <w:rPr>
          <w:rFonts w:ascii="Arial" w:cs="Arial" w:eastAsia="Arial" w:hAnsi="Arial"/>
          <w:sz w:val="18"/>
          <w:szCs w:val="18"/>
          <w:color w:val="auto"/>
        </w:rPr>
        <w:t>When evaluating the desirability of effecting our initial business combination with a prospective target business, our ability to assess the target business’s management may be limited due to a lack of time, resources or information. Our assessment of the capabilities of the target business’s management, therefore, may prove to be incorrect and such management may lack the skills, qualifications or abilities we suspected. Should the target business’s management not possess the skills, qualifications or abilities necessary to manage a public company, the operations and profitability of the post-combination business may be negatively impacted. Accordingly, any stockholders or warrant holders who choose to remain stockholders or warrant holders following the business combination could suffer a reduction in the value of their securities. Such stockholders or warrant 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spacing w:after="0" w:line="192" w:lineRule="exact"/>
        <w:rPr>
          <w:sz w:val="20"/>
          <w:szCs w:val="20"/>
          <w:color w:val="auto"/>
        </w:rPr>
      </w:pPr>
    </w:p>
    <w:p>
      <w:pPr>
        <w:ind w:left="460" w:right="519"/>
        <w:spacing w:after="0" w:line="253" w:lineRule="auto"/>
        <w:rPr>
          <w:sz w:val="20"/>
          <w:szCs w:val="20"/>
          <w:color w:val="auto"/>
        </w:rPr>
      </w:pPr>
      <w:r>
        <w:rPr>
          <w:rFonts w:ascii="Arial" w:cs="Arial" w:eastAsia="Arial" w:hAnsi="Arial"/>
          <w:sz w:val="18"/>
          <w:szCs w:val="18"/>
          <w:b w:val="1"/>
          <w:bCs w:val="1"/>
          <w:color w:val="auto"/>
        </w:rPr>
        <w:t>The officers and directors of an acquisition candidate may resign upon completion of our initial business combination. The loss of a business combination target’s key personnel could negatively impact the operations and profitability of our post-combination business.</w:t>
      </w:r>
    </w:p>
    <w:p>
      <w:pPr>
        <w:spacing w:after="0" w:line="123" w:lineRule="exact"/>
        <w:rPr>
          <w:sz w:val="20"/>
          <w:szCs w:val="20"/>
          <w:color w:val="auto"/>
        </w:rPr>
      </w:pPr>
    </w:p>
    <w:p>
      <w:pPr>
        <w:ind w:left="460" w:right="539"/>
        <w:spacing w:after="0" w:line="238" w:lineRule="auto"/>
        <w:rPr>
          <w:sz w:val="20"/>
          <w:szCs w:val="20"/>
          <w:color w:val="auto"/>
        </w:rPr>
      </w:pPr>
      <w:r>
        <w:rPr>
          <w:rFonts w:ascii="Arial" w:cs="Arial" w:eastAsia="Arial" w:hAnsi="Arial"/>
          <w:sz w:val="18"/>
          <w:szCs w:val="18"/>
          <w:color w:val="auto"/>
        </w:rPr>
        <w:t>The role of an acquisition candidate’s key personnel upon the completion of our initial business combination cannot be ascertained at this time. Although we contemplate that certain members of an acquisition candidate’s management team will remain associated with the acquisition candidate following our initial business combination, it is possible that members of the management of an acquisition candidate will not wish to remain in place.</w:t>
      </w:r>
    </w:p>
    <w:p>
      <w:pPr>
        <w:spacing w:after="0" w:line="180" w:lineRule="exact"/>
        <w:rPr>
          <w:sz w:val="20"/>
          <w:szCs w:val="20"/>
          <w:color w:val="auto"/>
        </w:rPr>
      </w:pPr>
    </w:p>
    <w:p>
      <w:pPr>
        <w:ind w:left="460" w:right="819"/>
        <w:spacing w:after="0" w:line="247" w:lineRule="auto"/>
        <w:rPr>
          <w:sz w:val="20"/>
          <w:szCs w:val="20"/>
          <w:color w:val="auto"/>
        </w:rPr>
      </w:pPr>
      <w:r>
        <w:rPr>
          <w:rFonts w:ascii="Arial" w:cs="Arial" w:eastAsia="Arial" w:hAnsi="Arial"/>
          <w:sz w:val="18"/>
          <w:szCs w:val="18"/>
          <w:b w:val="1"/>
          <w:bCs w:val="1"/>
          <w:color w:val="auto"/>
        </w:rPr>
        <w:t>Our executive 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p>
    <w:p>
      <w:pPr>
        <w:spacing w:after="0" w:line="115" w:lineRule="exact"/>
        <w:rPr>
          <w:sz w:val="20"/>
          <w:szCs w:val="20"/>
          <w:color w:val="auto"/>
        </w:rPr>
      </w:pPr>
    </w:p>
    <w:p>
      <w:pPr>
        <w:ind w:left="460" w:right="459"/>
        <w:spacing w:after="0" w:line="237" w:lineRule="auto"/>
        <w:rPr>
          <w:sz w:val="20"/>
          <w:szCs w:val="20"/>
          <w:color w:val="auto"/>
        </w:rPr>
      </w:pPr>
      <w:r>
        <w:rPr>
          <w:rFonts w:ascii="Arial" w:cs="Arial" w:eastAsia="Arial" w:hAnsi="Arial"/>
          <w:sz w:val="18"/>
          <w:szCs w:val="18"/>
          <w:color w:val="auto"/>
        </w:rPr>
        <w:t>Our executive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executive officers is engaged in several other business endeavors for which he may be entitled to substantial compensation, and our executive officers are not obligated to contribute any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53" w:name="page54"/>
    <w:bookmarkEnd w:id="53"/>
    <w:p>
      <w:pPr>
        <w:ind w:left="460" w:right="479"/>
        <w:spacing w:after="0" w:line="237" w:lineRule="auto"/>
        <w:rPr>
          <w:sz w:val="20"/>
          <w:szCs w:val="20"/>
          <w:color w:val="auto"/>
        </w:rPr>
      </w:pPr>
      <w:r>
        <w:rPr>
          <w:rFonts w:ascii="Arial" w:cs="Arial" w:eastAsia="Arial" w:hAnsi="Arial"/>
          <w:sz w:val="18"/>
          <w:szCs w:val="18"/>
          <w:color w:val="auto"/>
        </w:rPr>
        <w:t>specific number of hours per week to our affairs. Our independent directors also serve as officers and board members for other entities. If our executive officers’ and directors’ other business affairs require them to devote substantial amounts of time to such affairs in excess of their current commitment levels, it could limit their ability to devote time to our affairs which may have a negative impact on our ability to complete our initial business combination. For a complete discussion of our executive officers’ and directors’ other business affairs, please see “Management — Officers, Directors and Director Nominees.”</w:t>
      </w:r>
    </w:p>
    <w:p>
      <w:pPr>
        <w:spacing w:after="0" w:line="181" w:lineRule="exact"/>
        <w:rPr>
          <w:sz w:val="20"/>
          <w:szCs w:val="20"/>
          <w:color w:val="auto"/>
        </w:rPr>
      </w:pPr>
    </w:p>
    <w:p>
      <w:pPr>
        <w:ind w:left="460" w:right="559"/>
        <w:spacing w:after="0" w:line="275" w:lineRule="auto"/>
        <w:rPr>
          <w:sz w:val="20"/>
          <w:szCs w:val="20"/>
          <w:color w:val="auto"/>
        </w:rPr>
      </w:pPr>
      <w:r>
        <w:rPr>
          <w:rFonts w:ascii="Arial" w:cs="Arial" w:eastAsia="Arial" w:hAnsi="Arial"/>
          <w:sz w:val="17"/>
          <w:szCs w:val="17"/>
          <w:b w:val="1"/>
          <w:bCs w:val="1"/>
          <w:color w:val="auto"/>
        </w:rPr>
        <w:t>Our officers and directors presently have, and any of them in the future may have additional, fiduciary or contractual obligations to other entities and, accordingly, may have conflicts of interest in determining to which entity a particular business opportunity should be presented.</w:t>
      </w:r>
    </w:p>
    <w:p>
      <w:pPr>
        <w:spacing w:after="0" w:line="93" w:lineRule="exact"/>
        <w:rPr>
          <w:sz w:val="20"/>
          <w:szCs w:val="20"/>
          <w:color w:val="auto"/>
        </w:rPr>
      </w:pPr>
    </w:p>
    <w:p>
      <w:pPr>
        <w:ind w:left="460" w:right="559"/>
        <w:spacing w:after="0" w:line="235" w:lineRule="auto"/>
        <w:rPr>
          <w:sz w:val="20"/>
          <w:szCs w:val="20"/>
          <w:color w:val="auto"/>
        </w:rPr>
      </w:pPr>
      <w:r>
        <w:rPr>
          <w:rFonts w:ascii="Arial" w:cs="Arial" w:eastAsia="Arial" w:hAnsi="Arial"/>
          <w:sz w:val="18"/>
          <w:szCs w:val="18"/>
          <w:color w:val="auto"/>
        </w:rPr>
        <w:t>Following the completion of this offering and until we consummate our initial business combination, we intend to engage in the business of identifying and combining with one or more businesses. Each of our officers and directors presently has, and any of them in the future may have, additional fiduciary or contractual obligations to other entities pursuant to which such officer or director is or will be required to present a business combination opportunity to such entity. Accordingly, they may have conflicts of interest in determining to which entity a particular business opportunity should be presented. These conflicts may not be resolved in our favor and a potential target business may be presented to another entity prior to its presentation to us. Our amended and restated certificate of incorporation will provide that we renounce our interest in any corporate opportunity offered to any director or officer unless such opportunity is expressly offered to such person solely in his or her capacity as a director or officer of the company and such opportunity is one we are legally and contractually permitted to undertake and would otherwise be reasonable for us to pursue, and to the extent the director or officer is permitted to refer that opportunity to us without violating another legal obligation. In addition, our sponsor and our officers and directors may sponsor or form other special purpose acquisition companies similar to ours or may pursue other business or investment ventures during the period in which we are seeking an initial business combination. Any such companies, businesses or ventures may present additional conflicts of interest in pursuing an initial business combination. However, we do not believe that any such potential conflicts would materially affect our ability to complete our initial business combination.</w:t>
      </w:r>
    </w:p>
    <w:p>
      <w:pPr>
        <w:spacing w:after="0" w:line="145" w:lineRule="exact"/>
        <w:rPr>
          <w:sz w:val="20"/>
          <w:szCs w:val="20"/>
          <w:color w:val="auto"/>
        </w:rPr>
      </w:pPr>
    </w:p>
    <w:p>
      <w:pPr>
        <w:ind w:left="460" w:right="639"/>
        <w:spacing w:after="0" w:line="238" w:lineRule="auto"/>
        <w:rPr>
          <w:sz w:val="20"/>
          <w:szCs w:val="20"/>
          <w:color w:val="auto"/>
        </w:rPr>
      </w:pPr>
      <w:r>
        <w:rPr>
          <w:rFonts w:ascii="Arial" w:cs="Arial" w:eastAsia="Arial" w:hAnsi="Arial"/>
          <w:sz w:val="18"/>
          <w:szCs w:val="18"/>
          <w:color w:val="auto"/>
        </w:rPr>
        <w:t>For a complete discussion of our executive officers’ and directors’ business affiliations and the potential conflicts of interest that you should be aware of, please see “Management — Officers, Directors and Director Nominees,” “Management — Conflicts of Interest” and “Certain Relationships and Related Party Transactions.”</w:t>
      </w:r>
    </w:p>
    <w:p>
      <w:pPr>
        <w:spacing w:after="0" w:line="183" w:lineRule="exact"/>
        <w:rPr>
          <w:sz w:val="20"/>
          <w:szCs w:val="20"/>
          <w:color w:val="auto"/>
        </w:rPr>
      </w:pPr>
    </w:p>
    <w:p>
      <w:pPr>
        <w:ind w:left="460" w:right="919"/>
        <w:spacing w:after="0" w:line="271" w:lineRule="auto"/>
        <w:rPr>
          <w:sz w:val="20"/>
          <w:szCs w:val="20"/>
          <w:color w:val="auto"/>
        </w:rPr>
      </w:pPr>
      <w:r>
        <w:rPr>
          <w:rFonts w:ascii="Arial" w:cs="Arial" w:eastAsia="Arial" w:hAnsi="Arial"/>
          <w:sz w:val="18"/>
          <w:szCs w:val="18"/>
          <w:b w:val="1"/>
          <w:bCs w:val="1"/>
          <w:color w:val="auto"/>
        </w:rPr>
        <w:t>Our executive officers, directors, security holders and their respective affiliates may have competitive pecuniary interests that conflict with our interests.</w:t>
      </w:r>
    </w:p>
    <w:p>
      <w:pPr>
        <w:spacing w:after="0" w:line="108"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We have not adopted a policy that expressly prohibits our directors, executive officers, security holders or affiliates from having a direct or indirect pecuniary or financial interest in any investment to be acquired or disposed of by us or in any transaction to which we are a party or have an interest. In fact, we may enter into a business combination with a target business that is affiliated with our sponsor, our directors or executive officers. Nor do we have a policy that expressly prohibits any such persons from engaging for their own account in business activities of the types conducted by us. Accordingly, such persons or entities may have a conflict between their interests and ours.</w:t>
      </w:r>
    </w:p>
    <w:p>
      <w:pPr>
        <w:spacing w:after="0" w:line="122"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The personal and financial interests of our directors and officers may influence their motivation in timely identifying and selecting a target business and completing a business combination. Consequently, our directors’ and officers’ discretion in identifying and selecting a suitable target business may result in a conflict of interest when determining whether the terms, conditions and timing of a particular business combination are appropriate and in our stockholders’ best interest. If this were the case, it would be a breach of their fiduciary duties to us as a matter of Delaware law and we or our stockholders might have a claim against such individuals for infringing on our stockholders’ rights. However, we might not ultimately be successful in any claim we may make against them for such reason.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54" w:name="page55"/>
    <w:bookmarkEnd w:id="54"/>
    <w:p>
      <w:pPr>
        <w:ind w:left="460" w:right="519"/>
        <w:spacing w:after="0" w:line="253" w:lineRule="auto"/>
        <w:rPr>
          <w:sz w:val="20"/>
          <w:szCs w:val="20"/>
          <w:color w:val="auto"/>
        </w:rPr>
      </w:pPr>
      <w:r>
        <w:rPr>
          <w:rFonts w:ascii="Arial" w:cs="Arial" w:eastAsia="Arial" w:hAnsi="Arial"/>
          <w:sz w:val="18"/>
          <w:szCs w:val="18"/>
          <w:b w:val="1"/>
          <w:bCs w:val="1"/>
          <w:color w:val="auto"/>
        </w:rPr>
        <w:t>We may engage in a business combination with one or more target businesses that have relationships with entities that may be affiliated with our sponsor, executive officers, directors or existing holders which may raise potential conflicts of interest.</w:t>
      </w:r>
    </w:p>
    <w:p>
      <w:pPr>
        <w:spacing w:after="0" w:line="123" w:lineRule="exact"/>
        <w:rPr>
          <w:sz w:val="20"/>
          <w:szCs w:val="20"/>
          <w:color w:val="auto"/>
        </w:rPr>
      </w:pPr>
    </w:p>
    <w:p>
      <w:pPr>
        <w:ind w:left="460" w:right="559"/>
        <w:spacing w:after="0" w:line="235" w:lineRule="auto"/>
        <w:rPr>
          <w:sz w:val="20"/>
          <w:szCs w:val="20"/>
          <w:color w:val="auto"/>
        </w:rPr>
      </w:pPr>
      <w:r>
        <w:rPr>
          <w:rFonts w:ascii="Arial" w:cs="Arial" w:eastAsia="Arial" w:hAnsi="Arial"/>
          <w:sz w:val="18"/>
          <w:szCs w:val="18"/>
          <w:color w:val="auto"/>
        </w:rPr>
        <w:t>In light of the involvement of our sponsor, executive officers and directors with other entities, we may decide to acquire one or more businesses affiliated with our sponsor, executive officers, directors or existing holders. Our directors and officers also serve as officers and board members for other entities, including, without limitation, those described under “Management — Conflicts of Interest.” Such entities may compete with us for business combination opportunities. Our sponsor, officers and directors are not currently aware of any specific opportunities for us to complete our initial business combination with any entities with which they are affiliated, and there have been no substantive discussions concerning a business combination with any such entity or entities. We would pursue such a transaction if we determined that such affiliated entity met our criteria for a business combination as set forth in “Proposed Business — Acquisition Strategy” and such transaction was approved by a majority of our independent and disinterested directors. Despite our agreement to obtain an opinion from an independent investment banking firm which is a member of FINRA or a valuation or appraisal firm regarding the fairness to our company from a financial point of view of a business combination with one or more domestic or international businesses affiliated with our sponsor, executive officers, directors or existing holders, potential conflicts of interest still may exist and, as a result, the terms of the business combination may not be as advantageous to our public stockholders as they would be absent any conflicts of interest.</w:t>
      </w:r>
    </w:p>
    <w:p>
      <w:pPr>
        <w:spacing w:after="0" w:line="191" w:lineRule="exact"/>
        <w:rPr>
          <w:sz w:val="20"/>
          <w:szCs w:val="20"/>
          <w:color w:val="auto"/>
        </w:rPr>
      </w:pPr>
    </w:p>
    <w:p>
      <w:pPr>
        <w:ind w:left="460" w:right="479"/>
        <w:spacing w:after="0" w:line="244" w:lineRule="auto"/>
        <w:rPr>
          <w:sz w:val="20"/>
          <w:szCs w:val="20"/>
          <w:color w:val="auto"/>
        </w:rPr>
      </w:pPr>
      <w:r>
        <w:rPr>
          <w:rFonts w:ascii="Arial" w:cs="Arial" w:eastAsia="Arial" w:hAnsi="Arial"/>
          <w:sz w:val="18"/>
          <w:szCs w:val="18"/>
          <w:b w:val="1"/>
          <w:bCs w:val="1"/>
          <w:color w:val="auto"/>
        </w:rPr>
        <w:t>Since our sponsor, executive officers and directors will lose their entire investment in us if our initial business combination is not completed (other than with respect to public shares they may acquire during or after this offering), a conflict of interest may arise in determining whether a particular business combination target is appropriate for our initial business combination.</w:t>
      </w:r>
    </w:p>
    <w:p>
      <w:pPr>
        <w:spacing w:after="0" w:line="117"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During the period ended July 16, 2020, our sponsor paid $25,000, or approximately $0.002 per share, to cover certain of our offering costs in consideration of 10,062,500 founder shares. Prior to the initial investment in the company of $25,000 by the sponsor, the company had no assets, tangible or intangible. The purchase price of the founder shares was determined by dividing the amount of cash contributed to the company by the number of founder shares issued. The number of founder shares outstanding was determined based on the expectation that the total size of this offering would be a maximum of 40,250,000 units if the underwriters’ over-allotment option is exercised in full, and therefore that such founder shares would represent 20% of the outstanding shares after this offering. Up to 1,312,500 of the founder shares will be forfeited depending on the extent to which the underwriters’ over-allotment is exercised. The founder shares will be worthless if we do not complete an initial business combination. In addition, our sponsor has committed to purchase an aggregate of 6,000,000 private placement warrants (or 6,700,000 warrants if the underwriters’ over-allotment option is exercised in full), each exercisable for one share of Class A common stock at $11.50 per share, for an aggregate purchase price of $9,000,000 (or $10,050,000 if the underwriters’ over-allotment option is exercised in full), or $1.50 per warrant, that will also be worthless if we do not complete our initial business combination. The personal and financial interests of our executive officers and directors may influence their motivation in identifying and selecting a target business combination, completing an initial business combination and influencing the operation of the business following the initial business combination. This risk may become more acute as the 24-month anniversary of the closing of this offering nears, which is the deadline for our completion of an initial business combination.</w:t>
      </w:r>
    </w:p>
    <w:p>
      <w:pPr>
        <w:spacing w:after="0" w:line="190" w:lineRule="exact"/>
        <w:rPr>
          <w:sz w:val="20"/>
          <w:szCs w:val="20"/>
          <w:color w:val="auto"/>
        </w:rPr>
      </w:pPr>
    </w:p>
    <w:p>
      <w:pPr>
        <w:jc w:val="both"/>
        <w:ind w:left="460" w:right="579"/>
        <w:spacing w:after="0" w:line="253" w:lineRule="auto"/>
        <w:rPr>
          <w:sz w:val="20"/>
          <w:szCs w:val="20"/>
          <w:color w:val="auto"/>
        </w:rPr>
      </w:pPr>
      <w:r>
        <w:rPr>
          <w:rFonts w:ascii="Arial" w:cs="Arial" w:eastAsia="Arial" w:hAnsi="Arial"/>
          <w:sz w:val="18"/>
          <w:szCs w:val="18"/>
          <w:b w:val="1"/>
          <w:bCs w:val="1"/>
          <w:color w:val="auto"/>
        </w:rPr>
        <w:t>We may issue notes or other debt securities, or otherwise incur substantial debt, to complete a business combination, which may adversely affect our leverage and financial condition and thus negatively impact the value of our stockholders’ investment in us.</w:t>
      </w:r>
    </w:p>
    <w:p>
      <w:pPr>
        <w:spacing w:after="0" w:line="123" w:lineRule="exact"/>
        <w:rPr>
          <w:sz w:val="20"/>
          <w:szCs w:val="20"/>
          <w:color w:val="auto"/>
        </w:rPr>
      </w:pPr>
    </w:p>
    <w:p>
      <w:pPr>
        <w:ind w:left="460" w:right="599"/>
        <w:spacing w:after="0" w:line="238" w:lineRule="auto"/>
        <w:rPr>
          <w:sz w:val="20"/>
          <w:szCs w:val="20"/>
          <w:color w:val="auto"/>
        </w:rPr>
      </w:pPr>
      <w:r>
        <w:rPr>
          <w:rFonts w:ascii="Arial" w:cs="Arial" w:eastAsia="Arial" w:hAnsi="Arial"/>
          <w:sz w:val="18"/>
          <w:szCs w:val="18"/>
          <w:color w:val="auto"/>
        </w:rPr>
        <w:t>Although we have no commitments as of the date of this prospectus to issue any notes or other debt securities, or to otherwise incur outstanding debt following this offering, we may choose to incur substantial debt to complete our initial business combination. We and our officers have agreed that we will not incur any indebtedness unless we have obtained from the lender a waiver of any right, title, interest or claim of any kind in or to the monies held in the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55" w:name="page56"/>
    <w:bookmarkEnd w:id="55"/>
    <w:p>
      <w:pPr>
        <w:jc w:val="both"/>
        <w:ind w:left="460" w:right="619"/>
        <w:spacing w:after="0"/>
        <w:rPr>
          <w:sz w:val="20"/>
          <w:szCs w:val="20"/>
          <w:color w:val="auto"/>
        </w:rPr>
      </w:pPr>
      <w:r>
        <w:rPr>
          <w:rFonts w:ascii="Arial" w:cs="Arial" w:eastAsia="Arial" w:hAnsi="Arial"/>
          <w:sz w:val="18"/>
          <w:szCs w:val="18"/>
          <w:color w:val="auto"/>
        </w:rPr>
        <w:t>trust account. As such, no issuance of debt will affect the per share amount available for redemption from the trust account. Nevertheless, the incurrence of debt could have a variety of negative effects, including:</w:t>
      </w:r>
    </w:p>
    <w:p>
      <w:pPr>
        <w:spacing w:after="0" w:line="14" w:lineRule="exact"/>
        <w:rPr>
          <w:sz w:val="20"/>
          <w:szCs w:val="20"/>
          <w:color w:val="auto"/>
        </w:rPr>
      </w:pPr>
    </w:p>
    <w:p>
      <w:pPr>
        <w:ind w:left="1100" w:right="1039" w:hanging="322"/>
        <w:spacing w:after="0" w:line="246" w:lineRule="auto"/>
        <w:tabs>
          <w:tab w:leader="none" w:pos="1089"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an initial business combination are insufficient to repay our debt obligations;</w:t>
      </w:r>
    </w:p>
    <w:p>
      <w:pPr>
        <w:spacing w:after="0" w:line="21" w:lineRule="exact"/>
        <w:rPr>
          <w:rFonts w:ascii="Arial" w:cs="Arial" w:eastAsia="Arial" w:hAnsi="Arial"/>
          <w:sz w:val="18"/>
          <w:szCs w:val="18"/>
          <w:color w:val="auto"/>
        </w:rPr>
      </w:pPr>
    </w:p>
    <w:p>
      <w:pPr>
        <w:ind w:left="1100" w:right="639" w:hanging="322"/>
        <w:spacing w:after="0"/>
        <w:tabs>
          <w:tab w:leader="none" w:pos="1089"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27" w:lineRule="exact"/>
        <w:rPr>
          <w:rFonts w:ascii="Arial" w:cs="Arial" w:eastAsia="Arial" w:hAnsi="Arial"/>
          <w:sz w:val="18"/>
          <w:szCs w:val="18"/>
          <w:color w:val="auto"/>
        </w:rPr>
      </w:pPr>
    </w:p>
    <w:p>
      <w:pPr>
        <w:ind w:left="1100" w:right="699" w:hanging="322"/>
        <w:spacing w:after="0" w:line="246" w:lineRule="auto"/>
        <w:tabs>
          <w:tab w:leader="none" w:pos="1089"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is payable on demand;</w:t>
      </w:r>
    </w:p>
    <w:p>
      <w:pPr>
        <w:spacing w:after="0" w:line="7" w:lineRule="exact"/>
        <w:rPr>
          <w:rFonts w:ascii="Arial" w:cs="Arial" w:eastAsia="Arial" w:hAnsi="Arial"/>
          <w:sz w:val="18"/>
          <w:szCs w:val="18"/>
          <w:color w:val="auto"/>
        </w:rPr>
      </w:pPr>
    </w:p>
    <w:p>
      <w:pPr>
        <w:ind w:left="1100" w:right="559" w:hanging="322"/>
        <w:spacing w:after="0" w:line="246" w:lineRule="auto"/>
        <w:tabs>
          <w:tab w:leader="none" w:pos="1089"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contains covenants restricting our ability to obtain such financing while the debt is outstanding;</w:t>
      </w:r>
    </w:p>
    <w:p>
      <w:pPr>
        <w:spacing w:after="0" w:line="21" w:lineRule="exact"/>
        <w:rPr>
          <w:rFonts w:ascii="Arial" w:cs="Arial" w:eastAsia="Arial" w:hAnsi="Arial"/>
          <w:sz w:val="18"/>
          <w:szCs w:val="18"/>
          <w:color w:val="auto"/>
        </w:rPr>
      </w:pPr>
    </w:p>
    <w:p>
      <w:pPr>
        <w:ind w:left="1100" w:hanging="322"/>
        <w:spacing w:after="0"/>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inability to pay dividends on our Class A common stock;</w:t>
      </w:r>
    </w:p>
    <w:p>
      <w:pPr>
        <w:spacing w:after="0" w:line="36" w:lineRule="exact"/>
        <w:rPr>
          <w:rFonts w:ascii="Arial" w:cs="Arial" w:eastAsia="Arial" w:hAnsi="Arial"/>
          <w:sz w:val="18"/>
          <w:szCs w:val="18"/>
          <w:color w:val="auto"/>
        </w:rPr>
      </w:pPr>
    </w:p>
    <w:p>
      <w:pPr>
        <w:ind w:left="1100" w:right="759" w:hanging="322"/>
        <w:spacing w:after="0" w:line="259" w:lineRule="auto"/>
        <w:tabs>
          <w:tab w:leader="none" w:pos="1089" w:val="left"/>
        </w:tabs>
        <w:numPr>
          <w:ilvl w:val="0"/>
          <w:numId w:val="23"/>
        </w:numPr>
        <w:rPr>
          <w:rFonts w:ascii="Arial" w:cs="Arial" w:eastAsia="Arial" w:hAnsi="Arial"/>
          <w:sz w:val="17"/>
          <w:szCs w:val="17"/>
          <w:color w:val="auto"/>
        </w:rPr>
      </w:pPr>
      <w:r>
        <w:rPr>
          <w:rFonts w:ascii="Arial" w:cs="Arial" w:eastAsia="Arial" w:hAnsi="Arial"/>
          <w:sz w:val="17"/>
          <w:szCs w:val="17"/>
          <w:color w:val="auto"/>
        </w:rPr>
        <w:t>using a substantial portion of our cash flow to pay principal and interest on our debt, which will reduce the funds available for dividends on our Class A common stock if declared, expenses, capital expenditures, acquisitions and other general corporate purposes;</w:t>
      </w:r>
    </w:p>
    <w:p>
      <w:pPr>
        <w:spacing w:after="0" w:line="1" w:lineRule="exact"/>
        <w:rPr>
          <w:rFonts w:ascii="Arial" w:cs="Arial" w:eastAsia="Arial" w:hAnsi="Arial"/>
          <w:sz w:val="17"/>
          <w:szCs w:val="17"/>
          <w:color w:val="auto"/>
        </w:rPr>
      </w:pPr>
    </w:p>
    <w:p>
      <w:pPr>
        <w:ind w:left="1100" w:right="579" w:hanging="322"/>
        <w:spacing w:after="0" w:line="246" w:lineRule="auto"/>
        <w:tabs>
          <w:tab w:leader="none" w:pos="1089"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21" w:lineRule="exact"/>
        <w:rPr>
          <w:rFonts w:ascii="Arial" w:cs="Arial" w:eastAsia="Arial" w:hAnsi="Arial"/>
          <w:sz w:val="18"/>
          <w:szCs w:val="18"/>
          <w:color w:val="auto"/>
        </w:rPr>
      </w:pPr>
    </w:p>
    <w:p>
      <w:pPr>
        <w:ind w:left="1100" w:right="819" w:hanging="322"/>
        <w:spacing w:after="0" w:line="246" w:lineRule="auto"/>
        <w:tabs>
          <w:tab w:leader="none" w:pos="1089"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 and</w:t>
      </w:r>
    </w:p>
    <w:p>
      <w:pPr>
        <w:spacing w:after="0" w:line="21" w:lineRule="exact"/>
        <w:rPr>
          <w:rFonts w:ascii="Arial" w:cs="Arial" w:eastAsia="Arial" w:hAnsi="Arial"/>
          <w:sz w:val="18"/>
          <w:szCs w:val="18"/>
          <w:color w:val="auto"/>
        </w:rPr>
      </w:pPr>
    </w:p>
    <w:p>
      <w:pPr>
        <w:ind w:left="1100" w:right="779" w:hanging="322"/>
        <w:spacing w:after="0"/>
        <w:tabs>
          <w:tab w:leader="none" w:pos="1089"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81" w:lineRule="exact"/>
        <w:rPr>
          <w:sz w:val="20"/>
          <w:szCs w:val="20"/>
          <w:color w:val="auto"/>
        </w:rPr>
      </w:pPr>
    </w:p>
    <w:p>
      <w:pPr>
        <w:ind w:left="460" w:right="479"/>
        <w:spacing w:after="0" w:line="244" w:lineRule="auto"/>
        <w:rPr>
          <w:sz w:val="20"/>
          <w:szCs w:val="20"/>
          <w:color w:val="auto"/>
        </w:rPr>
      </w:pPr>
      <w:r>
        <w:rPr>
          <w:rFonts w:ascii="Arial" w:cs="Arial" w:eastAsia="Arial" w:hAnsi="Arial"/>
          <w:sz w:val="18"/>
          <w:szCs w:val="18"/>
          <w:b w:val="1"/>
          <w:bCs w:val="1"/>
          <w:color w:val="auto"/>
        </w:rPr>
        <w:t>We may only be able to complete one business combination with the proceeds of this offering, the sale of the private placement warrants and the sale of forward purchase shares, which will cause us to be solely dependent on a single business which may have a limited number of products or services. This lack of diversification may negatively impact our operations and profitability.</w:t>
      </w:r>
    </w:p>
    <w:p>
      <w:pPr>
        <w:spacing w:after="0" w:line="117"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The net proceeds from this offering and the private placement of warrants will provide us with $337,750,000 (or $388,412,500 if the underwriters’ over-allotment option is exercised in full) that we may use to complete our initial business combination (after taking into account the $12,250,000, or up to $14,087,500 if the over-allotment option is exercised in full, of deferred underwriting commissions being held in the trust account). The proceeds from the sale of forward purchase shares will be up to $150,000,000.</w:t>
      </w:r>
    </w:p>
    <w:p>
      <w:pPr>
        <w:spacing w:after="0" w:line="137" w:lineRule="exact"/>
        <w:rPr>
          <w:sz w:val="20"/>
          <w:szCs w:val="20"/>
          <w:color w:val="auto"/>
        </w:rPr>
      </w:pPr>
    </w:p>
    <w:p>
      <w:pPr>
        <w:ind w:left="460" w:right="459"/>
        <w:spacing w:after="0" w:line="251" w:lineRule="auto"/>
        <w:rPr>
          <w:sz w:val="20"/>
          <w:szCs w:val="20"/>
          <w:color w:val="auto"/>
        </w:rPr>
      </w:pPr>
      <w:r>
        <w:rPr>
          <w:rFonts w:ascii="Arial" w:cs="Arial" w:eastAsia="Arial" w:hAnsi="Arial"/>
          <w:sz w:val="17"/>
          <w:szCs w:val="17"/>
          <w:color w:val="auto"/>
        </w:rPr>
        <w:t>We may effectuate our initial business combination with a single target business or multiple target businesses simultaneously or within a short period of time. However, we may not be able to effectuate our initial business combination with more than one target business because of various factors, including the existence of complex accounting issues and the requirement that we prepare and file pro forma financial statements with the SEC that present operating results and the financial condition of several target businesses as if they had been operated on a combined basis. By completing our initial business combination with only a single entity, our lack of diversification may subject us to numerous economic, competitive and regulatory developments.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Accordingly, the prospects for our success may be:</w:t>
      </w:r>
    </w:p>
    <w:p>
      <w:pPr>
        <w:spacing w:after="0" w:line="19" w:lineRule="exact"/>
        <w:rPr>
          <w:sz w:val="20"/>
          <w:szCs w:val="20"/>
          <w:color w:val="auto"/>
        </w:rPr>
      </w:pPr>
    </w:p>
    <w:p>
      <w:pPr>
        <w:ind w:left="1100" w:hanging="322"/>
        <w:spacing w:after="0"/>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solely dependent upon the performance of a single business, property or asset, or</w:t>
      </w:r>
    </w:p>
    <w:p>
      <w:pPr>
        <w:spacing w:after="0" w:line="22" w:lineRule="exact"/>
        <w:rPr>
          <w:rFonts w:ascii="Arial" w:cs="Arial" w:eastAsia="Arial" w:hAnsi="Arial"/>
          <w:sz w:val="18"/>
          <w:szCs w:val="18"/>
          <w:color w:val="auto"/>
        </w:rPr>
      </w:pPr>
    </w:p>
    <w:p>
      <w:pPr>
        <w:ind w:left="1100" w:right="959" w:hanging="322"/>
        <w:spacing w:after="0" w:line="246" w:lineRule="auto"/>
        <w:tabs>
          <w:tab w:leader="none" w:pos="1089"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dependent upon the development or market acceptance of a single or limited number of products, processes or services.</w:t>
      </w:r>
    </w:p>
    <w:p>
      <w:pPr>
        <w:spacing w:after="0" w:line="129" w:lineRule="exact"/>
        <w:rPr>
          <w:sz w:val="20"/>
          <w:szCs w:val="20"/>
          <w:color w:val="auto"/>
        </w:rPr>
      </w:pPr>
    </w:p>
    <w:p>
      <w:pPr>
        <w:jc w:val="both"/>
        <w:ind w:left="460" w:right="719"/>
        <w:spacing w:after="0"/>
        <w:rPr>
          <w:sz w:val="20"/>
          <w:szCs w:val="20"/>
          <w:color w:val="auto"/>
        </w:rPr>
      </w:pPr>
      <w:r>
        <w:rPr>
          <w:rFonts w:ascii="Arial" w:cs="Arial" w:eastAsia="Arial" w:hAnsi="Arial"/>
          <w:sz w:val="18"/>
          <w:szCs w:val="18"/>
          <w:color w:val="auto"/>
        </w:rPr>
        <w:t>This lack of diversification may subject us to numerous economic, competitive and regulatory risks, any or all of which may have a substantial adverse impact upon the particular industry in which we may operate subsequent to our initial business combination.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56" w:name="page57"/>
    <w:bookmarkEnd w:id="56"/>
    <w:p>
      <w:pPr>
        <w:ind w:left="460" w:right="519"/>
        <w:spacing w:after="0" w:line="275" w:lineRule="auto"/>
        <w:rPr>
          <w:sz w:val="20"/>
          <w:szCs w:val="20"/>
          <w:color w:val="auto"/>
        </w:rPr>
      </w:pPr>
      <w:r>
        <w:rPr>
          <w:rFonts w:ascii="Arial" w:cs="Arial" w:eastAsia="Arial" w:hAnsi="Arial"/>
          <w:sz w:val="17"/>
          <w:szCs w:val="17"/>
          <w:b w:val="1"/>
          <w:bCs w:val="1"/>
          <w:color w:val="auto"/>
        </w:rPr>
        <w:t>We may attempt to simultaneously complete business combinations with multiple prospective targets, which may hinder our ability to complete our initial business combination and give rise to increased costs and risks that could negatively impact our operations and profitability.</w:t>
      </w:r>
    </w:p>
    <w:p>
      <w:pPr>
        <w:spacing w:after="0" w:line="106"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If we determine to simultaneously acquire several businesses that are owned by different sellers, we will need for each of such sellers to agree that our purchase of its business is contingent on the simultaneous closings of the other business combinations, which may make it more difficult for us, and delay our ability, to complete our initial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185" w:lineRule="exact"/>
        <w:rPr>
          <w:sz w:val="20"/>
          <w:szCs w:val="20"/>
          <w:color w:val="auto"/>
        </w:rPr>
      </w:pPr>
    </w:p>
    <w:p>
      <w:pPr>
        <w:ind w:left="460" w:right="739"/>
        <w:spacing w:after="0" w:line="253" w:lineRule="auto"/>
        <w:rPr>
          <w:sz w:val="20"/>
          <w:szCs w:val="20"/>
          <w:color w:val="auto"/>
        </w:rPr>
      </w:pPr>
      <w:r>
        <w:rPr>
          <w:rFonts w:ascii="Arial" w:cs="Arial" w:eastAsia="Arial" w:hAnsi="Arial"/>
          <w:sz w:val="18"/>
          <w:szCs w:val="18"/>
          <w:b w:val="1"/>
          <w:bCs w:val="1"/>
          <w:color w:val="auto"/>
        </w:rPr>
        <w:t>We may attempt to complete our initial business combination with a private company about which little information is available, which may result in a business combination with a company that is not as profitable as we suspected, if at all.</w:t>
      </w:r>
    </w:p>
    <w:p>
      <w:pPr>
        <w:spacing w:after="0" w:line="110" w:lineRule="exact"/>
        <w:rPr>
          <w:sz w:val="20"/>
          <w:szCs w:val="20"/>
          <w:color w:val="auto"/>
        </w:rPr>
      </w:pPr>
    </w:p>
    <w:p>
      <w:pPr>
        <w:ind w:left="460" w:right="519"/>
        <w:spacing w:after="0" w:line="238" w:lineRule="auto"/>
        <w:rPr>
          <w:sz w:val="20"/>
          <w:szCs w:val="20"/>
          <w:color w:val="auto"/>
        </w:rPr>
      </w:pPr>
      <w:r>
        <w:rPr>
          <w:rFonts w:ascii="Arial" w:cs="Arial" w:eastAsia="Arial" w:hAnsi="Arial"/>
          <w:sz w:val="18"/>
          <w:szCs w:val="18"/>
          <w:color w:val="auto"/>
        </w:rPr>
        <w:t>In pursuing our business combination strategy, we may seek to effectuate our initial business combination with a privately held company. Very little public information generally exists about private companies, and we could be required to make our decision on whether to pursue a potential initial business combination on the basis of limited information, which may result in a business combination with a company that is not as profitable as we suspected, if at all.</w:t>
      </w:r>
    </w:p>
    <w:p>
      <w:pPr>
        <w:spacing w:after="0" w:line="180" w:lineRule="exact"/>
        <w:rPr>
          <w:sz w:val="20"/>
          <w:szCs w:val="20"/>
          <w:color w:val="auto"/>
        </w:rPr>
      </w:pPr>
    </w:p>
    <w:p>
      <w:pPr>
        <w:ind w:left="460" w:right="839"/>
        <w:spacing w:after="0" w:line="247" w:lineRule="auto"/>
        <w:rPr>
          <w:sz w:val="20"/>
          <w:szCs w:val="20"/>
          <w:color w:val="auto"/>
        </w:rPr>
      </w:pPr>
      <w:r>
        <w:rPr>
          <w:rFonts w:ascii="Arial" w:cs="Arial" w:eastAsia="Arial" w:hAnsi="Arial"/>
          <w:sz w:val="18"/>
          <w:szCs w:val="18"/>
          <w:b w:val="1"/>
          <w:bCs w:val="1"/>
          <w:color w:val="auto"/>
        </w:rPr>
        <w:t>Our management may not maintain control of a target business after our initial business combination. We cannot provide assurance that, upon loss of control of a target business, new management will possess the skills, qualifications or abilities necessary to profitably operate such business.</w:t>
      </w:r>
    </w:p>
    <w:p>
      <w:pPr>
        <w:spacing w:after="0" w:line="128"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We may structure our initial business combination so that the post-transaction company in which our public stockholders own shares will own less than 100% of the equity interests or assets of a target business, but we will only complete such business combination if the post-transaction company owns or acquires 50% or more of the outstanding voting securities of the target or otherwise acquires a controlling interest in the target sufficient for us not to be required to register as an investment company under the Investment Company Act. We will not consider any transaction that does not meet such criteria. Even if the post-transaction company owns 50% or more of the voting securities of the target, our stockholders prior to the business combination may collectively own a minority interest in the post business combination company, depending on valuations ascribed to the target and us in the business combination. For example, we could pursue a transaction in which we issue a substantial number of new shares of Class A common stock in exchange for all of the outstanding capital stock of a target. In this case, we would acquire a 100% interest in the target. However, as a result of the issuance of a substantial number of new shares of Class A common stock, our stockholders immediately prior to such transaction could own less than a majority of our outstanding Class A common stock subsequent to such transaction. In addition, other minority stockholders may subsequently combine their holdings resulting in a single person or group obtaining a larger share of the company’s shares than we initially acquired. Accordingly, this may make it more likely that our management will not maintain control of the target business.</w:t>
      </w:r>
    </w:p>
    <w:p>
      <w:pPr>
        <w:spacing w:after="0" w:line="191" w:lineRule="exact"/>
        <w:rPr>
          <w:sz w:val="20"/>
          <w:szCs w:val="20"/>
          <w:color w:val="auto"/>
        </w:rPr>
      </w:pPr>
    </w:p>
    <w:p>
      <w:pPr>
        <w:ind w:left="460" w:right="659"/>
        <w:spacing w:after="0" w:line="247" w:lineRule="auto"/>
        <w:rPr>
          <w:sz w:val="20"/>
          <w:szCs w:val="20"/>
          <w:color w:val="auto"/>
        </w:rPr>
      </w:pPr>
      <w:r>
        <w:rPr>
          <w:rFonts w:ascii="Arial" w:cs="Arial" w:eastAsia="Arial" w:hAnsi="Arial"/>
          <w:sz w:val="18"/>
          <w:szCs w:val="18"/>
          <w:b w:val="1"/>
          <w:bCs w:val="1"/>
          <w:color w:val="auto"/>
        </w:rPr>
        <w:t>We do not have a specified maximum redemption threshold. The absence of such a redemption threshold may make it possible for us to complete our initial business combination with which a substantial majority of our stockholders or warrant holders do not agree.</w:t>
      </w:r>
    </w:p>
    <w:p>
      <w:pPr>
        <w:spacing w:after="0" w:line="128" w:lineRule="exact"/>
        <w:rPr>
          <w:sz w:val="20"/>
          <w:szCs w:val="20"/>
          <w:color w:val="auto"/>
        </w:rPr>
      </w:pPr>
    </w:p>
    <w:p>
      <w:pPr>
        <w:ind w:left="460" w:right="539"/>
        <w:spacing w:after="0" w:line="236" w:lineRule="auto"/>
        <w:rPr>
          <w:sz w:val="20"/>
          <w:szCs w:val="20"/>
          <w:color w:val="auto"/>
        </w:rPr>
      </w:pPr>
      <w:r>
        <w:rPr>
          <w:rFonts w:ascii="Arial" w:cs="Arial" w:eastAsia="Arial" w:hAnsi="Arial"/>
          <w:sz w:val="18"/>
          <w:szCs w:val="18"/>
          <w:color w:val="auto"/>
        </w:rPr>
        <w:t>Our amended and restated certificate of incorporation does not provide a specified maximum redemption threshold, except that in no event will we redeem our public shares in an amount that would cause our net tangible assets to be less than $5,000,001. In addition, our proposed initial business combination may impose a minimum cash requirement for: (i) cash consideration to be paid to the target or its owners, (ii) cash for working capital or other general corporate purposes or (iii) the retention of cash to satisfy other conditions. As a result, we may be able to complete our initial business combination even though a substantial majority of our public stockholders do not agree with the transaction and have redeemed their shares or, if we seek stockholder approval of our initial business combination and do not conduct redemptions in connection with our initial business combination pursuant to the tender offer rules, have entered into privately negotiated agreements to sell their shares to our sponsor, officers,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57" w:name="page58"/>
    <w:bookmarkEnd w:id="57"/>
    <w:p>
      <w:pPr>
        <w:ind w:left="460" w:right="479"/>
        <w:spacing w:after="0" w:line="237" w:lineRule="auto"/>
        <w:rPr>
          <w:sz w:val="20"/>
          <w:szCs w:val="20"/>
          <w:color w:val="auto"/>
        </w:rPr>
      </w:pPr>
      <w:r>
        <w:rPr>
          <w:rFonts w:ascii="Arial" w:cs="Arial" w:eastAsia="Arial" w:hAnsi="Arial"/>
          <w:sz w:val="18"/>
          <w:szCs w:val="18"/>
          <w:color w:val="auto"/>
        </w:rPr>
        <w:t>directors, advisors or any of their respective affiliates. In the event the aggregate cash consideration we would be required to pay for all shares of Class A common stock that are validly submitted for redemption plus any amount required to satisfy cash conditions pursuant to the terms of the proposed business combination exceed the aggregate amount of cash available to us, we will not complete the business combination or redeem any shares in connection with such initial business combination, all shares of Class A common stock submitted for redemption will be returned to the holders thereof, and we instead may search for an alternate business combination.</w:t>
      </w:r>
    </w:p>
    <w:p>
      <w:pPr>
        <w:spacing w:after="0" w:line="181" w:lineRule="exact"/>
        <w:rPr>
          <w:sz w:val="20"/>
          <w:szCs w:val="20"/>
          <w:color w:val="auto"/>
        </w:rPr>
      </w:pPr>
    </w:p>
    <w:p>
      <w:pPr>
        <w:ind w:left="460" w:right="539"/>
        <w:spacing w:after="0" w:line="242" w:lineRule="auto"/>
        <w:rPr>
          <w:sz w:val="20"/>
          <w:szCs w:val="20"/>
          <w:color w:val="auto"/>
        </w:rPr>
      </w:pPr>
      <w:r>
        <w:rPr>
          <w:rFonts w:ascii="Arial" w:cs="Arial" w:eastAsia="Arial" w:hAnsi="Arial"/>
          <w:sz w:val="18"/>
          <w:szCs w:val="18"/>
          <w:b w:val="1"/>
          <w:bCs w:val="1"/>
          <w:color w:val="auto"/>
        </w:rPr>
        <w:t>In order to effectuate an initial business combination, special purpose acquisition companies have, in the recent past, amended various provisions of their charters and other governing instruments, including their warrant agreements. We cannot assure you that we will not seek to amend our amended and restated certificate of incorporation or governing instruments in a manner that will make it easier for us to complete our initial business combination that our stockholders may not support.</w:t>
      </w:r>
    </w:p>
    <w:p>
      <w:pPr>
        <w:spacing w:after="0" w:line="120"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In order to effectuate a business combination, special purpose acquisition companies have, in the recent past, amended various provisions of their charters and governing instruments, including their warrant agreements. For example, special purpose acquisition companies have amended the definition of business combination, increased redemption thresholds and extended the time to consummate an initial business combination and, with respect to their warrants, amended their warrant agreements to require the warrants to be exchanged for cash and/or other securities. Amending our amended and restated certificate of incorporation will require the approval of holders of 65% of our common stock, and amending our warrant agreement will require a vote of holders of at least 50% of the public warrants and, solely with respect to any amendment to the terms of the private placement warrants or any provision of the warrant agreement with respect to the private placement warrants, 50% of the number of the then outstanding private placement warrants. In addition, our amended and restated certificate of incorporation requires us to provide our public stockholders with the opportunity to redeem their public shares for cash if we propose an amendment to our amended and restated certificate of incorporation to modify the substance or timing of our obligation to redeem 100% of our public shares if we do not complete an initial business combination within 24 months of the closing of this offering or with respect to any other material provisions relating to stockholders’ rights or pre-initial business combination activity. To the extent any of such amendments would be deemed to fundamentally change the nature of the securities offered through this registration statement, we would register, or seek an exemption from registration for, the affected securities. We cannot assure you that we will not seek to amend our charter or governing instruments or extend the time to consummate an initial business combination in order to effectuate our initial business combination.</w:t>
      </w:r>
    </w:p>
    <w:p>
      <w:pPr>
        <w:spacing w:after="0" w:line="190" w:lineRule="exact"/>
        <w:rPr>
          <w:sz w:val="20"/>
          <w:szCs w:val="20"/>
          <w:color w:val="auto"/>
        </w:rPr>
      </w:pPr>
    </w:p>
    <w:p>
      <w:pPr>
        <w:ind w:left="460" w:right="539"/>
        <w:spacing w:after="0"/>
        <w:rPr>
          <w:sz w:val="20"/>
          <w:szCs w:val="20"/>
          <w:color w:val="auto"/>
        </w:rPr>
      </w:pPr>
      <w:r>
        <w:rPr>
          <w:rFonts w:ascii="Arial" w:cs="Arial" w:eastAsia="Arial" w:hAnsi="Arial"/>
          <w:sz w:val="18"/>
          <w:szCs w:val="18"/>
          <w:b w:val="1"/>
          <w:bCs w:val="1"/>
          <w:color w:val="auto"/>
        </w:rPr>
        <w:t>The provisions of our amended and restated certificate of incorporation that relate to our pre-business combination activity (and corresponding provisions of the agreement governing the release of funds from our trust account) may be amended with the approval of holders of 65% of our common stock, which is a lower amendment threshold than that of some other special purpose acquisition companies. It may be easier for us, therefore, to amend our amended and restated certificate of incorporation to facilitate the completion of an initial business combination that some of our stockholders may not support.</w:t>
      </w:r>
    </w:p>
    <w:p>
      <w:pPr>
        <w:spacing w:after="0" w:line="139"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Our amended and restated certificate of incorporation provides that any of its provisions related to pre-business combination activity (including the requirement to deposit proceeds of this offering and the private placement of warrants into the trust account and not release such amounts except in specified circumstances, and to provide redemption rights to public stockholders as described herein) may be amended if approved by holders of 65% of our common stock entitled to vote thereon and corresponding provisions of the trust agreement governing the release of funds from our trust account may be amended if approved by holders of 65% of our common stock entitled to vote thereon. In all other instances, our amended and restated certificate of incorporation may be amended by holders of a majority of our outstanding common stock entitled to vote thereon, subject to applicable provisions of the DGCL or applicable stock exchange rules. Our initial stockholders, who will collectively beneficially own 20% of our common stock upon the closing of this offering (assuming they do not purchase any units in this offering), may participate in any vote to amend our amended and restated certificate of incorporation and/or trust agreement and will have the discretion to vote in any manner they choose. As a result, we may be able to amend the provisions of our amended and restated certificate of incorporation which govern our pre-business combination behavior more easily than some other special purpose acquisition companies, and this may increase our ability to complete a business combination with which you do not agree. Our stockholders may pursue remedies against us for any breach of our amended and restated certificate of incorporation.</w:t>
      </w:r>
    </w:p>
    <w:p>
      <w:pPr>
        <w:sectPr>
          <w:pgSz w:w="11900" w:h="16838" w:orient="portrait"/>
          <w:cols w:equalWidth="0" w:num="1">
            <w:col w:w="9019"/>
          </w:cols>
          <w:pgMar w:left="1440" w:top="287" w:right="1440" w:bottom="1440" w:gutter="0" w:footer="0" w:header="0"/>
        </w:sectPr>
      </w:pP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58" w:name="page59"/>
    <w:bookmarkEnd w:id="58"/>
    <w:p>
      <w:pPr>
        <w:ind w:left="460" w:right="479"/>
        <w:spacing w:after="0" w:line="235" w:lineRule="auto"/>
        <w:rPr>
          <w:sz w:val="20"/>
          <w:szCs w:val="20"/>
          <w:color w:val="auto"/>
        </w:rPr>
      </w:pPr>
      <w:r>
        <w:rPr>
          <w:rFonts w:ascii="Arial" w:cs="Arial" w:eastAsia="Arial" w:hAnsi="Arial"/>
          <w:sz w:val="18"/>
          <w:szCs w:val="18"/>
          <w:color w:val="auto"/>
        </w:rPr>
        <w:t>Our sponsor, executive officers, directors and director nominees have agreed, pursuant to written agreements with us, that they will not propose any amendment to our amended and restated certificate of incorporation to modify the substance or timing of our obligation to redeem 100% of our public shares if we do not complete our initial business combination within 24 months from the closing of this offering or with respect to any other material provisions relating to stockholders’ rights or pre-initial business combination activity, unless we provide our public stockholders with the opportunity to redeem their Class A common stock upon approval of any such amendment at a per-share price, payable in cash, equal to the aggregate amount then on deposit in the trust account, including interest earned on the funds held in the trust account and not previously released to us to pay our taxes, divided by the number of then outstanding public shares. Our stockholders are not parties to, or third-party beneficiaries of, these agreements and, as a result, will not have the ability to pursue remedies against our sponsor, executive officers, directors or director nominees for any breach of these agreements. As a result, in the event of a breach, our stockholders would need to pursue a stockholder derivative action, subject to applicable law.</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Certain agreements related to this offering may be amended without stockholder approval.</w:t>
      </w:r>
    </w:p>
    <w:p>
      <w:pPr>
        <w:spacing w:after="0" w:line="153"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Each of the agreements related to this offering to which we are a party, other than the warrant agreement and the investment management trust agreement, may be amended without stockholder approval. Such agreements are: the underwriting agreement; the letter agreement among us and our initial stockholders, sponsor, officers and directors; the registration rights agreement among us and our initial stockholders; and the private placement warrants purchase agreement between us and our sponsor. These agreements contain various provisions that our public stockholders might deem to be material. For example, our letter agreement and the underwriting agreement contain certain lock-up provisions with respect to the founder shares, private placement warrants and other securities held by our initial stockholders, sponsor, officers and directors. Amendments to such agreements would require the consent of the applicable parties thereto and would need to be approved by our board of directors, which may do so for a variety of reasons, including to facilitate our initial business combination. While we do not expect our board of directors to approve any amendment to any of these agreements prior to our initial business combination, it may be possible that our board of directors, in exercising its business judgment and subject to its fiduciary duties, chooses to approve one or more amendments to any such agreement. Any amendment entered into in connection with the consummation of our initial business combination will be disclosed in our proxy materials or tender offer documents, as applicable, related to such initial business combination, and any other material amendment to any of our material agreements will be disclosed in a filing with the SEC. Any such amendments would not require approval from our stockholders, may result in the completion of our initial business combination that may not otherwise have been possible, and may have an adverse effect on the value of an investment in our securities. For example, amendments to the lock-up provision discussed above may result in our initial stockholders selling their securities earlier than they would otherwise be permitted, which may have an adverse effect on the price of our securities.</w:t>
      </w:r>
    </w:p>
    <w:p>
      <w:pPr>
        <w:spacing w:after="0" w:line="190" w:lineRule="exact"/>
        <w:rPr>
          <w:sz w:val="20"/>
          <w:szCs w:val="20"/>
          <w:color w:val="auto"/>
        </w:rPr>
      </w:pPr>
    </w:p>
    <w:p>
      <w:pPr>
        <w:ind w:left="460" w:right="579"/>
        <w:spacing w:after="0" w:line="253" w:lineRule="auto"/>
        <w:rPr>
          <w:sz w:val="20"/>
          <w:szCs w:val="20"/>
          <w:color w:val="auto"/>
        </w:rPr>
      </w:pPr>
      <w:r>
        <w:rPr>
          <w:rFonts w:ascii="Arial" w:cs="Arial" w:eastAsia="Arial" w:hAnsi="Arial"/>
          <w:sz w:val="18"/>
          <w:szCs w:val="18"/>
          <w:b w:val="1"/>
          <w:bCs w:val="1"/>
          <w:color w:val="auto"/>
        </w:rPr>
        <w:t>We may be unable to obtain additional financing to complete our initial business combination or to fund the operations and growth of a target business, which could compel us to restructure or abandon a particular business combination.</w:t>
      </w:r>
    </w:p>
    <w:p>
      <w:pPr>
        <w:spacing w:after="0" w:line="123"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We have not selected any specific business combination target but may target businesses with enterprise values that are greater than we could acquire with the net proceeds of this offering, the sale of the private placement warrants and the sale of the forward purchase shares. As a result, if the cash portion of the purchase price exceeds the amount available from the trust account and the sale of forward purchase shares, net of amounts needed to satisfy any redemption by public stockholders, or if the forward purchase shares are not purchased under the forward purchase agreement, we may be required to seek additional financing to complete such proposed initial business combination. We cannot assure you that such financing will be available on acceptable terms, if at all. To the extent that additional financing proves to be unavailable when needed to complete our initial business combination, we would be compelled to either restructure the transaction or abandon that particular business combination and seek an alternative target business candidate. Further, we may be required to obtain additional financing in connection with the closing of our initial business combination for general corporate purposes, including for maintenance or expansion of operations of the post-transaction businesses, the payment of principal or interest due on indebtedness incurred in completing our initial business combination, or to fund the purchase of other companies. If we are unable to complete our initial business combination within the required time period, our public stockholders may only receive their pro rata portion of the funds in the trust account that are available for distribution to public</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59" w:name="page60"/>
    <w:bookmarkEnd w:id="59"/>
    <w:p>
      <w:pPr>
        <w:ind w:left="460" w:right="539"/>
        <w:spacing w:after="0" w:line="237" w:lineRule="auto"/>
        <w:rPr>
          <w:sz w:val="20"/>
          <w:szCs w:val="20"/>
          <w:color w:val="auto"/>
        </w:rPr>
      </w:pPr>
      <w:r>
        <w:rPr>
          <w:rFonts w:ascii="Arial" w:cs="Arial" w:eastAsia="Arial" w:hAnsi="Arial"/>
          <w:sz w:val="18"/>
          <w:szCs w:val="18"/>
          <w:color w:val="auto"/>
        </w:rPr>
        <w:t>stockholders, and our warrants will expire worthless. In addition, even if we do not need additional financing to complete our initial business combination, we may require such financing to fund the operations or growth of the target business. The failure to secure additional financing could have a material adverse effect on the continued development or growth of the target business. None of our officers, directors or stockholders is required to provide any financing to us in connection with or after our initial business combination.</w:t>
      </w:r>
    </w:p>
    <w:p>
      <w:pPr>
        <w:spacing w:after="0" w:line="183" w:lineRule="exact"/>
        <w:rPr>
          <w:sz w:val="20"/>
          <w:szCs w:val="20"/>
          <w:color w:val="auto"/>
        </w:rPr>
      </w:pPr>
    </w:p>
    <w:p>
      <w:pPr>
        <w:ind w:left="460" w:right="739"/>
        <w:spacing w:after="0" w:line="253" w:lineRule="auto"/>
        <w:rPr>
          <w:sz w:val="20"/>
          <w:szCs w:val="20"/>
          <w:color w:val="auto"/>
        </w:rPr>
      </w:pPr>
      <w:r>
        <w:rPr>
          <w:rFonts w:ascii="Arial" w:cs="Arial" w:eastAsia="Arial" w:hAnsi="Arial"/>
          <w:sz w:val="18"/>
          <w:szCs w:val="18"/>
          <w:b w:val="1"/>
          <w:bCs w:val="1"/>
          <w:color w:val="auto"/>
        </w:rPr>
        <w:t>Our initial stockholders control a substantial interest in us and thus may exert a substantial influence on actions requiring a stockholder vote, potentially in a manner that you do not support.</w:t>
      </w:r>
    </w:p>
    <w:p>
      <w:pPr>
        <w:spacing w:after="0" w:line="110"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Upon closing of this offering, our initial stockholders will own 20% of our issued and outstanding common stock (assuming they do not purchase any units in this offering). Accordingly, they may exert a substantial influence on actions requiring a stockholder vote, potentially in a manner that you do not support, including amendments to our amended and restated certificate of incorporation. If our initial stockholders purchase any units in this offering or if our initial stockholders purchase any additional Class A common stock in the aftermarket or in privately negotiated transactions, this would increase their control. Neither our initial stockholders nor, to our knowledge, any of our officers or directors, have any current intention to purchase additional securities, other than as disclosed in this prospectus. Factors that would be considered in making such additional purchases would include consideration of the current trading price of our Class A common stock. In addition, our board of directors, whose members were elected by our sponsor, is and will be divided into three classes, each of which will generally serve for a terms for three years with only one class of directors being elected in each year. We may not hold an annual meeting of stockholders to elect new directors prior to the completion of our initial business combination, in which case all of the current directors will continue in office until at least the completion of the business combination. If there is an annual meeting, as a consequence of our “staggered” board of directors, only a minority of the board of directors will be considered for election and our initial stockholders, because of their ownership position, will have considerable influence regarding the outcome. Accordingly, our initial stockholders will continue to exert control at least until the completion of our initial business combination. Any forward purchase shares will not be issued until completion of our initial business combination, and, accordingly, will not be included in any stockholder vote until such time.</w:t>
      </w:r>
    </w:p>
    <w:p>
      <w:pPr>
        <w:spacing w:after="0" w:line="190" w:lineRule="exact"/>
        <w:rPr>
          <w:sz w:val="20"/>
          <w:szCs w:val="20"/>
          <w:color w:val="auto"/>
        </w:rPr>
      </w:pPr>
    </w:p>
    <w:p>
      <w:pPr>
        <w:ind w:left="460" w:right="639"/>
        <w:spacing w:after="0" w:line="247" w:lineRule="auto"/>
        <w:rPr>
          <w:sz w:val="20"/>
          <w:szCs w:val="20"/>
          <w:color w:val="auto"/>
        </w:rPr>
      </w:pPr>
      <w:r>
        <w:rPr>
          <w:rFonts w:ascii="Arial" w:cs="Arial" w:eastAsia="Arial" w:hAnsi="Arial"/>
          <w:sz w:val="18"/>
          <w:szCs w:val="18"/>
          <w:b w:val="1"/>
          <w:bCs w:val="1"/>
          <w:color w:val="auto"/>
        </w:rPr>
        <w:t>Our initial stockholders paid an aggregate of $25,000 to cover certain of our offering costs in exchange for 10,062,500 founder shares, or approximately $0.002 per founder share and, accordingly, you will experience immediate and substantial dilution from the purchase of our shares of Class A common stock.</w:t>
      </w:r>
    </w:p>
    <w:p>
      <w:pPr>
        <w:spacing w:after="0" w:line="128" w:lineRule="exact"/>
        <w:rPr>
          <w:sz w:val="20"/>
          <w:szCs w:val="20"/>
          <w:color w:val="auto"/>
        </w:rPr>
      </w:pPr>
    </w:p>
    <w:p>
      <w:pPr>
        <w:ind w:left="460" w:right="559"/>
        <w:spacing w:after="0" w:line="235" w:lineRule="auto"/>
        <w:rPr>
          <w:sz w:val="20"/>
          <w:szCs w:val="20"/>
          <w:color w:val="auto"/>
        </w:rPr>
      </w:pPr>
      <w:r>
        <w:rPr>
          <w:rFonts w:ascii="Arial" w:cs="Arial" w:eastAsia="Arial" w:hAnsi="Arial"/>
          <w:sz w:val="18"/>
          <w:szCs w:val="18"/>
          <w:color w:val="auto"/>
        </w:rPr>
        <w:t>The difference between the public offering price per share (allocating all of the unit purchase price to the share of Class A common stock and none to the warrant included in the unit) and the pro forma net tangible book value per share of our Class A common stock after this offering constitutes the dilution to you and the other investors in this offering. Our initial stockholders acquired the founder shares at a nominal price, significantly contributing to this dilution. Upon closing of this offering, and assuming no value is ascribed to the warrants included in the units, you and the other public stockholders will incur an immediate and substantial dilution of approximately 95.2% or $9.52 per share, assuming no exercise of the underwriters’ over-allotment option), the difference between the pro forma net tangible book value per share after this offering of $ 0.48 and the initial offering price of $10.00 per unit. This dilution would increase to the extent that the anti-dilution provisions of the founder shares result in the issuance of shares of Class A common stock on a greater than one-to-one basis upon conversion of the founder shares at the time of our initial business combination and would become exacerbated to the extent that public stockholders seek redemptions from the trust for their public shares. In addition, because of the anti-dilution protection in the founder shares, any equity or equity-linked securities issued in connection with our initial business combination would be disproportionately dilutive to our Class A common stock.</w:t>
      </w:r>
    </w:p>
    <w:p>
      <w:pPr>
        <w:spacing w:after="0" w:line="191" w:lineRule="exact"/>
        <w:rPr>
          <w:sz w:val="20"/>
          <w:szCs w:val="20"/>
          <w:color w:val="auto"/>
        </w:rPr>
      </w:pPr>
    </w:p>
    <w:p>
      <w:pPr>
        <w:ind w:left="460" w:right="499"/>
        <w:spacing w:after="0" w:line="244" w:lineRule="auto"/>
        <w:rPr>
          <w:sz w:val="20"/>
          <w:szCs w:val="20"/>
          <w:color w:val="auto"/>
        </w:rPr>
      </w:pPr>
      <w:r>
        <w:rPr>
          <w:rFonts w:ascii="Arial" w:cs="Arial" w:eastAsia="Arial" w:hAnsi="Arial"/>
          <w:sz w:val="18"/>
          <w:szCs w:val="18"/>
          <w:b w:val="1"/>
          <w:bCs w:val="1"/>
          <w:color w:val="auto"/>
        </w:rPr>
        <w:t>We may amend the terms of the warrants in a manner that may be adverse to holders of public warrants with the approval by the holders of at least 50% of the then outstanding public warrants. As a result, the exercise price of your warrants could be increased, the exercise period could be shortened and the number of shares of Class A common stock purchasable upon exercise of a warrant could be decreased, all without your approval.</w:t>
      </w:r>
    </w:p>
    <w:p>
      <w:pPr>
        <w:spacing w:after="0" w:line="131" w:lineRule="exact"/>
        <w:rPr>
          <w:sz w:val="20"/>
          <w:szCs w:val="20"/>
          <w:color w:val="auto"/>
        </w:rPr>
      </w:pPr>
    </w:p>
    <w:p>
      <w:pPr>
        <w:ind w:left="460" w:right="539"/>
        <w:spacing w:after="0" w:line="238" w:lineRule="auto"/>
        <w:rPr>
          <w:sz w:val="20"/>
          <w:szCs w:val="20"/>
          <w:color w:val="auto"/>
        </w:rPr>
      </w:pPr>
      <w:r>
        <w:rPr>
          <w:rFonts w:ascii="Arial" w:cs="Arial" w:eastAsia="Arial" w:hAnsi="Arial"/>
          <w:sz w:val="18"/>
          <w:szCs w:val="18"/>
          <w:color w:val="auto"/>
        </w:rPr>
        <w:t>Our warrants will be issued in registered form under a warrant agreement between Continental Stock Transfer &amp; Trust Company, as warrant agent, and us. The warrant agreement provides that the terms of the warrants may be amended without the consent of any holder for the purpose of (i) curing any ambiguity or to correct any defective provision or mistake, including to conform the provisions of the warrant agreement to the description of the terms of the warrants</w:t>
      </w:r>
    </w:p>
    <w:p>
      <w:pPr>
        <w:sectPr>
          <w:pgSz w:w="11900" w:h="16838" w:orient="portrait"/>
          <w:cols w:equalWidth="0" w:num="1">
            <w:col w:w="9019"/>
          </w:cols>
          <w:pgMar w:left="1440" w:top="287" w:right="1440"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60" w:name="page61"/>
    <w:bookmarkEnd w:id="60"/>
    <w:p>
      <w:pPr>
        <w:ind w:left="460" w:right="539"/>
        <w:spacing w:after="0" w:line="250" w:lineRule="auto"/>
        <w:rPr>
          <w:sz w:val="20"/>
          <w:szCs w:val="20"/>
          <w:color w:val="auto"/>
        </w:rPr>
      </w:pPr>
      <w:r>
        <w:rPr>
          <w:rFonts w:ascii="Arial" w:cs="Arial" w:eastAsia="Arial" w:hAnsi="Arial"/>
          <w:sz w:val="17"/>
          <w:szCs w:val="17"/>
          <w:color w:val="auto"/>
        </w:rPr>
        <w:t>and the warrant agreement set forth in this prospectus, (ii) adjusting the provisions relating to cash dividends on shares of common stock as contemplated by and in accordance with the warrant agreement or (iii) adding or changing any provisions with respect to matters or questions arising under the warrant agreement as the parties to the warrant agreement may deem necessary or desirable and that the parties deem to not adversely affect the rights of the registered holders of the warrants, provided that the approval by the holders of at least 50% of the then outstanding public warrants is required to make any change that adversely affects the interests of the registered holders of the public warrants. Accordingly, we may amend the terms of the public warrants in a manner adverse to a holder if holders of at least 50% of the then outstanding public warrants approve of such amendment. Although our ability to amend the terms of the public warrants with the consent of at least 50% of the then outstanding public warrants is unlimited, examples of such amendments could be amendments to, among other things, increase the exercise price of the warrants, convert the warrants into cash or stock (at a ratio different than initially provided), shorten the exercise period or decrease the number of shares of Class A common stock purchasable upon exercise of a warrant.</w:t>
      </w:r>
    </w:p>
    <w:p>
      <w:pPr>
        <w:spacing w:after="0" w:line="178" w:lineRule="exact"/>
        <w:rPr>
          <w:sz w:val="20"/>
          <w:szCs w:val="20"/>
          <w:color w:val="auto"/>
        </w:rPr>
      </w:pPr>
    </w:p>
    <w:p>
      <w:pPr>
        <w:ind w:left="460" w:right="519"/>
        <w:spacing w:after="0" w:line="244" w:lineRule="auto"/>
        <w:rPr>
          <w:sz w:val="20"/>
          <w:szCs w:val="20"/>
          <w:color w:val="auto"/>
        </w:rPr>
      </w:pPr>
      <w:r>
        <w:rPr>
          <w:rFonts w:ascii="Arial" w:cs="Arial" w:eastAsia="Arial" w:hAnsi="Arial"/>
          <w:sz w:val="18"/>
          <w:szCs w:val="18"/>
          <w:b w:val="1"/>
          <w:bCs w:val="1"/>
          <w:color w:val="auto"/>
        </w:rPr>
        <w:t>Our warrant agreement will designate the courts of the State of New York or the United States District Court for the Southern District of New York as the sole and exclusive forum for certain types of actions and proceedings that may be initiated by holders of our warrants, which could limit the ability of warrant holders to obtain a favorable judicial forum for disputes with our company.</w:t>
      </w:r>
    </w:p>
    <w:p>
      <w:pPr>
        <w:spacing w:after="0" w:line="117" w:lineRule="exact"/>
        <w:rPr>
          <w:sz w:val="20"/>
          <w:szCs w:val="20"/>
          <w:color w:val="auto"/>
        </w:rPr>
      </w:pPr>
    </w:p>
    <w:p>
      <w:pPr>
        <w:ind w:left="460" w:right="579"/>
        <w:spacing w:after="0" w:line="234" w:lineRule="auto"/>
        <w:rPr>
          <w:sz w:val="20"/>
          <w:szCs w:val="20"/>
          <w:color w:val="auto"/>
        </w:rPr>
      </w:pPr>
      <w:r>
        <w:rPr>
          <w:rFonts w:ascii="Arial" w:cs="Arial" w:eastAsia="Arial" w:hAnsi="Arial"/>
          <w:sz w:val="18"/>
          <w:szCs w:val="18"/>
          <w:color w:val="auto"/>
        </w:rPr>
        <w:t>Our warrant agreement will provide that, subject to applicable law, (i) any action, proceeding or claim against us arising out of or relating in any way to the warrant agreement, including under the Securities Act, will be brought and enforced in the courts of the State of New York or the</w:t>
      </w:r>
    </w:p>
    <w:p>
      <w:pPr>
        <w:spacing w:after="0" w:line="2" w:lineRule="exact"/>
        <w:rPr>
          <w:sz w:val="20"/>
          <w:szCs w:val="20"/>
          <w:color w:val="auto"/>
        </w:rPr>
      </w:pPr>
    </w:p>
    <w:p>
      <w:pPr>
        <w:ind w:left="460" w:right="459"/>
        <w:spacing w:after="0" w:line="238" w:lineRule="auto"/>
        <w:rPr>
          <w:sz w:val="20"/>
          <w:szCs w:val="20"/>
          <w:color w:val="auto"/>
        </w:rPr>
      </w:pPr>
      <w:r>
        <w:rPr>
          <w:rFonts w:ascii="Arial" w:cs="Arial" w:eastAsia="Arial" w:hAnsi="Arial"/>
          <w:sz w:val="18"/>
          <w:szCs w:val="18"/>
          <w:color w:val="auto"/>
        </w:rPr>
        <w:t>United States District Court for the Southern District of New York, and (ii) that we irrevocably submit to such jurisdiction, which jurisdiction shall be the exclusive forum for any such action, proceeding or claim. We will waive any objection to such exclusive jurisdiction and that such courts represent an inconvenient forum.</w:t>
      </w:r>
    </w:p>
    <w:p>
      <w:pPr>
        <w:spacing w:after="0" w:line="137"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Notwithstanding the foregoing, these provisions of the warrant agreement will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any of our warrants shall be deemed to have notice of and to have consented to the forum provisions in our warrant agreement. If any action, the subject matter of which is within the scope the forum provisions of the warrant agreement, is filed in a court other than a court of the State of New York or the United States District Court for the Southern District of New York (a “foreign action”) in the name of any holder of our warrants, such holder shall be deemed to have consented to: (x) the personal jurisdiction of the state and federal courts located in the State of New York in connection with any action brought in any such court to enforce the forum provisions (an “enforcement action”), and (y) having service of process made upon such warrant holder in any such enforcement action by service upon such warrant holder’s counsel in the foreign action as agent for such warrant holder.</w:t>
      </w:r>
    </w:p>
    <w:p>
      <w:pPr>
        <w:spacing w:after="0" w:line="135"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This choice-of-forum provision may limit a warrant holder’s ability to bring a claim in a judicial forum that it finds favorable for disputes with our company, which may discourage such lawsuits. Alternatively, if a court were to find this provision of our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181" w:lineRule="exact"/>
        <w:rPr>
          <w:sz w:val="20"/>
          <w:szCs w:val="20"/>
          <w:color w:val="auto"/>
        </w:rPr>
      </w:pPr>
    </w:p>
    <w:p>
      <w:pPr>
        <w:ind w:left="460" w:right="1799"/>
        <w:spacing w:after="0" w:line="271" w:lineRule="auto"/>
        <w:rPr>
          <w:sz w:val="20"/>
          <w:szCs w:val="20"/>
          <w:color w:val="auto"/>
        </w:rPr>
      </w:pPr>
      <w:r>
        <w:rPr>
          <w:rFonts w:ascii="Arial" w:cs="Arial" w:eastAsia="Arial" w:hAnsi="Arial"/>
          <w:sz w:val="18"/>
          <w:szCs w:val="18"/>
          <w:b w:val="1"/>
          <w:bCs w:val="1"/>
          <w:color w:val="auto"/>
        </w:rPr>
        <w:t>We may redeem your unexpired warrants prior to their exercise at a time that is disadvantageous to you, thereby making your warrants worthless.</w:t>
      </w:r>
    </w:p>
    <w:p>
      <w:pPr>
        <w:spacing w:after="0" w:line="95"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We have the ability to redeem the outstanding public warrants at any time after they become exercisable and prior to their expiration, at a price of $0.01 per warrant, provided that the closing price of our Class A common stock equals or exceeds $18.00 per share (as adjusted for adjustments to the number of shares issuable upon exercise or the exercise price of a warrant as described under the heading “Description of Securities — Warrants — Public Stockholders’ Warrants — Anti-Dilution Adjustments”) for any 20 trading days within a 30 trading-day period ending on the third trading day prior to proper notice of such redemption and provided that certain other conditions are met. If and when the warrants become redeemable by us, we may exercise our redemption right even if we are unable to register or qualify the underlying securities for sale under all applicable state securities laws. As a result, we may redeem the warrants as set forth above even if the holders are otherwise unable to exercise the warrants. Redemption of the outstanding warrants could force you to (i) exercise your warrants and pay the exercise price therefor at a</w:t>
      </w:r>
    </w:p>
    <w:p>
      <w:pPr>
        <w:sectPr>
          <w:pgSz w:w="11900" w:h="16838" w:orient="portrait"/>
          <w:cols w:equalWidth="0" w:num="1">
            <w:col w:w="9019"/>
          </w:cols>
          <w:pgMar w:left="1440" w:top="287" w:right="1440" w:bottom="1440" w:gutter="0" w:footer="0" w:header="0"/>
        </w:sectPr>
      </w:pP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61" w:name="page62"/>
    <w:bookmarkEnd w:id="61"/>
    <w:p>
      <w:pPr>
        <w:ind w:left="460" w:right="799"/>
        <w:spacing w:after="0" w:line="237" w:lineRule="auto"/>
        <w:rPr>
          <w:sz w:val="20"/>
          <w:szCs w:val="20"/>
          <w:color w:val="auto"/>
        </w:rPr>
      </w:pPr>
      <w:r>
        <w:rPr>
          <w:rFonts w:ascii="Arial" w:cs="Arial" w:eastAsia="Arial" w:hAnsi="Arial"/>
          <w:sz w:val="18"/>
          <w:szCs w:val="18"/>
          <w:color w:val="auto"/>
        </w:rPr>
        <w:t>time when it may be disadvantageous for you to do so, (ii) sell your warrants at the then-current market price when you might otherwise wish to hold your warrants or (iii) accept the nominal redemption price which, at the time the outstanding warrants are called for redemption, we expect would be substantially less than the market value of your warrants. None of the private placement warrants will be redeemable by us so long as they are held by our sponsor or its permitted transferees.</w:t>
      </w:r>
    </w:p>
    <w:p>
      <w:pPr>
        <w:spacing w:after="0" w:line="124" w:lineRule="exact"/>
        <w:rPr>
          <w:sz w:val="20"/>
          <w:szCs w:val="20"/>
          <w:color w:val="auto"/>
        </w:rPr>
      </w:pPr>
    </w:p>
    <w:p>
      <w:pPr>
        <w:ind w:left="460" w:right="479"/>
        <w:spacing w:after="0" w:line="248" w:lineRule="auto"/>
        <w:rPr>
          <w:sz w:val="20"/>
          <w:szCs w:val="20"/>
          <w:color w:val="auto"/>
        </w:rPr>
      </w:pPr>
      <w:r>
        <w:rPr>
          <w:rFonts w:ascii="Arial" w:cs="Arial" w:eastAsia="Arial" w:hAnsi="Arial"/>
          <w:sz w:val="17"/>
          <w:szCs w:val="17"/>
          <w:color w:val="auto"/>
        </w:rPr>
        <w:t xml:space="preserve">In addition, we have the ability to redeem the outstanding public warrants at any time after they become exercisable and prior to their expiration, at a price of $0.10 per warrant upon a minimum of 30 days’ prior written notice of redemption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closing price of our Class A common stock equals or exceeds $ 10.00 per share (as adjusted for adjustments to the number of shares issuable upon exercise or the exercise price of a warrant as described under the heading “Description of Securities — Warrants — Public Stockholders’ Warrants — Anti-Dilution Adjustments”) for any 20 trading days within a 30 trading-day period ending on the third trading day prior to proper notice of such redemption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certain other conditions are met, including that (i) if the closing price of our Class A common stock for any 20 trading days within a 30-trading day period ending three trading days before we send notice of redemption to the warrant holders is less than $18.00 per share (as adjusted for adjustments to the number of shares issuable upon exercise or the exercise price of a warrant as described under the heading “Description of Securities — Warrants — Public Shareholders’ Warrants — Anti-dilution Adjustments”), the private placement warrants must also be concurrently called for redemption on the same terms as the outstanding public warrants and</w:t>
      </w:r>
    </w:p>
    <w:p>
      <w:pPr>
        <w:spacing w:after="0" w:line="7" w:lineRule="exact"/>
        <w:rPr>
          <w:sz w:val="20"/>
          <w:szCs w:val="20"/>
          <w:color w:val="auto"/>
        </w:rPr>
      </w:pPr>
    </w:p>
    <w:p>
      <w:pPr>
        <w:ind w:left="460" w:right="499" w:hanging="6"/>
        <w:spacing w:after="0"/>
        <w:tabs>
          <w:tab w:leader="none" w:pos="71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holders will be able to exercise their warrants prior to redemption for a number of shares of Class A common stock determined based on the redemption date and the fair market value of our Class A common stock. Please see “Description of Securities — Warrants — Public Stockholders’ Warrants — Redemption of warrants when the price per share of Class A common stock equals or exceeds $10.00.” The value received upon exercise of the warrants (i) may be less than the value the holders would have received if they had exercised their warrants at a later time where the underlying share price is higher and (ii) may not compensate the holders for the value of the warrants, including because the number of shares of Class A common stock received is capped at 0.361 shares of Class A common stock per warrant (subject to adjustment) irrespective of the remaining life of the warrants.</w:t>
      </w:r>
    </w:p>
    <w:p>
      <w:pPr>
        <w:spacing w:after="0" w:line="311" w:lineRule="exact"/>
        <w:rPr>
          <w:sz w:val="20"/>
          <w:szCs w:val="20"/>
          <w:color w:val="auto"/>
        </w:rPr>
      </w:pPr>
    </w:p>
    <w:p>
      <w:pPr>
        <w:ind w:left="460" w:right="639"/>
        <w:spacing w:after="0" w:line="246" w:lineRule="auto"/>
        <w:rPr>
          <w:sz w:val="20"/>
          <w:szCs w:val="20"/>
          <w:color w:val="auto"/>
        </w:rPr>
      </w:pPr>
      <w:r>
        <w:rPr>
          <w:rFonts w:ascii="Arial" w:cs="Arial" w:eastAsia="Arial" w:hAnsi="Arial"/>
          <w:sz w:val="18"/>
          <w:szCs w:val="18"/>
          <w:color w:val="auto"/>
        </w:rPr>
        <w:t>None of the private placement warrants will be redeemable by us as so long as they are held by our sponsor or its permitted transferees.</w:t>
      </w:r>
    </w:p>
    <w:p>
      <w:pPr>
        <w:spacing w:after="0" w:line="175" w:lineRule="exact"/>
        <w:rPr>
          <w:sz w:val="20"/>
          <w:szCs w:val="20"/>
          <w:color w:val="auto"/>
        </w:rPr>
      </w:pPr>
    </w:p>
    <w:p>
      <w:pPr>
        <w:ind w:left="460" w:right="1079"/>
        <w:spacing w:after="0" w:line="301" w:lineRule="auto"/>
        <w:rPr>
          <w:sz w:val="20"/>
          <w:szCs w:val="20"/>
          <w:color w:val="auto"/>
        </w:rPr>
      </w:pPr>
      <w:r>
        <w:rPr>
          <w:rFonts w:ascii="Arial" w:cs="Arial" w:eastAsia="Arial" w:hAnsi="Arial"/>
          <w:sz w:val="17"/>
          <w:szCs w:val="17"/>
          <w:b w:val="1"/>
          <w:bCs w:val="1"/>
          <w:color w:val="auto"/>
        </w:rPr>
        <w:t>Our warrants may have an adverse effect on the market price of our shares of Class A common stock and make it more difficult to effectuate our initial business combination.</w:t>
      </w:r>
    </w:p>
    <w:p>
      <w:pPr>
        <w:spacing w:after="0" w:line="85" w:lineRule="exact"/>
        <w:rPr>
          <w:sz w:val="20"/>
          <w:szCs w:val="20"/>
          <w:color w:val="auto"/>
        </w:rPr>
      </w:pPr>
    </w:p>
    <w:p>
      <w:pPr>
        <w:ind w:left="460" w:right="499"/>
        <w:spacing w:after="0" w:line="250" w:lineRule="auto"/>
        <w:rPr>
          <w:sz w:val="20"/>
          <w:szCs w:val="20"/>
          <w:color w:val="auto"/>
        </w:rPr>
      </w:pPr>
      <w:r>
        <w:rPr>
          <w:rFonts w:ascii="Arial" w:cs="Arial" w:eastAsia="Arial" w:hAnsi="Arial"/>
          <w:sz w:val="17"/>
          <w:szCs w:val="17"/>
          <w:color w:val="auto"/>
        </w:rPr>
        <w:t>We will be issuing warrants to purchase 11,666,667 shares of our Class A common stock (or up to 13,416,667 shares of Class A common stock if the underwriters’ over-allotment option is exercised in full) as part of the units offered by this prospectus and, simultaneously with the closing of this offering, we will be issuing in a private placement an aggregate of 6,000,000 private placement warrants (or 6,700,000 warrants if the underwriters’ over-allotment option is exercised in full), each exercisable to purchase one share of Class A common stock at $11.50 per share. In addition, if our sponsor or an affiliate of our sponsor or certain of our officers and directors makes any working capital loans, such lender may convert those loans into up to an additional 1,500,000 private placement warrants, at the price of $1.50 per warrant. To the extent we issue common stock to effectuate a business transaction, the potential for the issuance of a substantial number of additional shares of Class A common stock upon exercise of these warrants could make us a less attractive acquisition vehicle to a target business. Such warrants, when exercised, will increase the number of issued and outstanding shares of Class A common stock and reduce the value of the Class A common stock issued to complete the business transaction. Therefore, our warrants may make it more difficult to effectuate a business transaction or increase the cost of acquiring the target business.</w:t>
      </w:r>
    </w:p>
    <w:p>
      <w:pPr>
        <w:spacing w:after="0" w:line="177" w:lineRule="exact"/>
        <w:rPr>
          <w:sz w:val="20"/>
          <w:szCs w:val="20"/>
          <w:color w:val="auto"/>
        </w:rPr>
      </w:pPr>
    </w:p>
    <w:p>
      <w:pPr>
        <w:jc w:val="both"/>
        <w:ind w:left="460" w:right="1199"/>
        <w:spacing w:after="0" w:line="253" w:lineRule="auto"/>
        <w:rPr>
          <w:sz w:val="20"/>
          <w:szCs w:val="20"/>
          <w:color w:val="auto"/>
        </w:rPr>
      </w:pPr>
      <w:r>
        <w:rPr>
          <w:rFonts w:ascii="Arial" w:cs="Arial" w:eastAsia="Arial" w:hAnsi="Arial"/>
          <w:sz w:val="18"/>
          <w:szCs w:val="18"/>
          <w:b w:val="1"/>
          <w:bCs w:val="1"/>
          <w:color w:val="auto"/>
        </w:rPr>
        <w:t>Because each unit contains one-third of one warrant and only a whole warrant may be exercised, the units may be worth less than units of other special purpose acquisition companies.</w:t>
      </w:r>
    </w:p>
    <w:p>
      <w:pPr>
        <w:spacing w:after="0" w:line="110"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Each unit contains one-third of one warrant. Pursuant to the warrant agreement, no fractional warrants will be issued upon separation of the units, and only whole units will trade. If, upon exercise of the warrants, a holder would be entitled to receive a fractional interest in a share, we will, upon exercise, round down to the nearest whole number the number of shares of Class A common stock to be issued to the warrant holder. This is different from other offerings similar to ours whose units include one common share and one warrant to purchase one whole share. We have established the components of the units in this way in order to reduce the dilutive effect of the warrants upon</w:t>
      </w:r>
    </w:p>
    <w:p>
      <w:pPr>
        <w:sectPr>
          <w:pgSz w:w="11900" w:h="16838" w:orient="portrait"/>
          <w:cols w:equalWidth="0" w:num="1">
            <w:col w:w="9019"/>
          </w:cols>
          <w:pgMar w:left="1440" w:top="287" w:right="1440"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62" w:name="page63"/>
    <w:bookmarkEnd w:id="62"/>
    <w:p>
      <w:pPr>
        <w:ind w:left="460" w:right="519"/>
        <w:spacing w:after="0" w:line="238" w:lineRule="auto"/>
        <w:rPr>
          <w:sz w:val="20"/>
          <w:szCs w:val="20"/>
          <w:color w:val="auto"/>
        </w:rPr>
      </w:pPr>
      <w:r>
        <w:rPr>
          <w:rFonts w:ascii="Arial" w:cs="Arial" w:eastAsia="Arial" w:hAnsi="Arial"/>
          <w:sz w:val="18"/>
          <w:szCs w:val="18"/>
          <w:color w:val="auto"/>
        </w:rPr>
        <w:t>completion of a business combination since the warrants will be exercisable in the aggregate for one-third of the number of shares compared to units that each contain a whole warrant to purchase one share, thus making us, we believe, a more attractive merger partner for target businesses. Nevertheless, this unit structure may cause our units to be worth less than if it included a warrant to purchase one whole share.</w:t>
      </w:r>
    </w:p>
    <w:p>
      <w:pPr>
        <w:spacing w:after="0" w:line="180" w:lineRule="exact"/>
        <w:rPr>
          <w:sz w:val="20"/>
          <w:szCs w:val="20"/>
          <w:color w:val="auto"/>
        </w:rPr>
      </w:pPr>
    </w:p>
    <w:p>
      <w:pPr>
        <w:ind w:left="460" w:right="699"/>
        <w:spacing w:after="0" w:line="244" w:lineRule="auto"/>
        <w:rPr>
          <w:sz w:val="20"/>
          <w:szCs w:val="20"/>
          <w:color w:val="auto"/>
        </w:rPr>
      </w:pPr>
      <w:r>
        <w:rPr>
          <w:rFonts w:ascii="Arial" w:cs="Arial" w:eastAsia="Arial" w:hAnsi="Arial"/>
          <w:sz w:val="18"/>
          <w:szCs w:val="18"/>
          <w:b w:val="1"/>
          <w:bCs w:val="1"/>
          <w:color w:val="auto"/>
        </w:rPr>
        <w:t>The determination of the offering price of our units, the size of this offering and terms of the units is more arbitrary than the pricing of securities and size of an offering of an operating company in a particular industry. You may have less assurance, therefore, that the offering price of our units properly reflects the value of such units than you would have in a typical offering of an operating company.</w:t>
      </w:r>
    </w:p>
    <w:p>
      <w:pPr>
        <w:spacing w:after="0" w:line="117"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Prior to this offering there has been no public market for any of our securities. The public offering price of the units and the terms of the warrants were negotiated between us and the underwriters. In determining the size of this offering, management held customary organizational meetings with representatives of the underwriters, both prior to our inception and thereafter, with respect to the state of capital markets, generally, and the amount the underwriters believed they reasonably could raise on our behalf. Factors considered in determining the size of this offering, prices and terms of the units, including the Class A common stock and warrants underlying the units, include:</w:t>
      </w:r>
    </w:p>
    <w:p>
      <w:pPr>
        <w:spacing w:after="0" w:line="27" w:lineRule="exact"/>
        <w:rPr>
          <w:sz w:val="20"/>
          <w:szCs w:val="20"/>
          <w:color w:val="auto"/>
        </w:rPr>
      </w:pPr>
    </w:p>
    <w:p>
      <w:pPr>
        <w:ind w:left="1100" w:right="699" w:hanging="322"/>
        <w:spacing w:after="0" w:line="246" w:lineRule="auto"/>
        <w:tabs>
          <w:tab w:leader="none" w:pos="1089"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history and prospects of companies whose principal business is the acquisition of other companies;</w:t>
      </w:r>
    </w:p>
    <w:p>
      <w:pPr>
        <w:spacing w:after="0" w:line="21" w:lineRule="exact"/>
        <w:rPr>
          <w:rFonts w:ascii="Arial" w:cs="Arial" w:eastAsia="Arial" w:hAnsi="Arial"/>
          <w:sz w:val="18"/>
          <w:szCs w:val="18"/>
          <w:color w:val="auto"/>
        </w:rPr>
      </w:pPr>
    </w:p>
    <w:p>
      <w:pPr>
        <w:ind w:left="1100" w:hanging="322"/>
        <w:spacing w:after="0"/>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prior offerings of those companies;</w:t>
      </w:r>
    </w:p>
    <w:p>
      <w:pPr>
        <w:spacing w:after="0" w:line="22" w:lineRule="exact"/>
        <w:rPr>
          <w:rFonts w:ascii="Arial" w:cs="Arial" w:eastAsia="Arial" w:hAnsi="Arial"/>
          <w:sz w:val="18"/>
          <w:szCs w:val="18"/>
          <w:color w:val="auto"/>
        </w:rPr>
      </w:pPr>
    </w:p>
    <w:p>
      <w:pPr>
        <w:ind w:left="1100" w:hanging="322"/>
        <w:spacing w:after="0"/>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prospects for acquiring an operating business at attractive values;</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review of debt to equity ratios in leveraged transactions;</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capital structure;</w:t>
      </w:r>
    </w:p>
    <w:p>
      <w:pPr>
        <w:spacing w:after="0" w:line="22" w:lineRule="exact"/>
        <w:rPr>
          <w:rFonts w:ascii="Arial" w:cs="Arial" w:eastAsia="Arial" w:hAnsi="Arial"/>
          <w:sz w:val="18"/>
          <w:szCs w:val="18"/>
          <w:color w:val="auto"/>
        </w:rPr>
      </w:pPr>
    </w:p>
    <w:p>
      <w:pPr>
        <w:ind w:left="1100" w:hanging="322"/>
        <w:spacing w:after="0"/>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assessment of our management and their experience in identifying operating companies;</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conditions of the securities markets at the time of this offering; and</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factors as were deemed relevant.</w:t>
      </w:r>
    </w:p>
    <w:p>
      <w:pPr>
        <w:spacing w:after="0" w:line="131" w:lineRule="exact"/>
        <w:rPr>
          <w:sz w:val="20"/>
          <w:szCs w:val="20"/>
          <w:color w:val="auto"/>
        </w:rPr>
      </w:pPr>
    </w:p>
    <w:p>
      <w:pPr>
        <w:ind w:left="460" w:right="539"/>
        <w:spacing w:after="0"/>
        <w:rPr>
          <w:sz w:val="20"/>
          <w:szCs w:val="20"/>
          <w:color w:val="auto"/>
        </w:rPr>
      </w:pPr>
      <w:r>
        <w:rPr>
          <w:rFonts w:ascii="Arial" w:cs="Arial" w:eastAsia="Arial" w:hAnsi="Arial"/>
          <w:sz w:val="18"/>
          <w:szCs w:val="18"/>
          <w:color w:val="auto"/>
        </w:rPr>
        <w:t>Although these factors were considered, the determination of our offering size, price and terms of the units is more arbitrary than the pricing of securities of an operating company in a particular industry since we have no historical operations or financial results.</w:t>
      </w:r>
    </w:p>
    <w:p>
      <w:pPr>
        <w:spacing w:after="0" w:line="181" w:lineRule="exact"/>
        <w:rPr>
          <w:sz w:val="20"/>
          <w:szCs w:val="20"/>
          <w:color w:val="auto"/>
        </w:rPr>
      </w:pPr>
    </w:p>
    <w:p>
      <w:pPr>
        <w:ind w:left="460" w:right="1199"/>
        <w:spacing w:after="0" w:line="271" w:lineRule="auto"/>
        <w:rPr>
          <w:sz w:val="20"/>
          <w:szCs w:val="20"/>
          <w:color w:val="auto"/>
        </w:rPr>
      </w:pPr>
      <w:r>
        <w:rPr>
          <w:rFonts w:ascii="Arial" w:cs="Arial" w:eastAsia="Arial" w:hAnsi="Arial"/>
          <w:sz w:val="18"/>
          <w:szCs w:val="18"/>
          <w:b w:val="1"/>
          <w:bCs w:val="1"/>
          <w:color w:val="auto"/>
        </w:rPr>
        <w:t>There is currently no market for our securities and a market for our securities may not develop, which would adversely affect the liquidity and price of our securities.</w:t>
      </w:r>
    </w:p>
    <w:p>
      <w:pPr>
        <w:spacing w:after="0" w:line="108" w:lineRule="exact"/>
        <w:rPr>
          <w:sz w:val="20"/>
          <w:szCs w:val="20"/>
          <w:color w:val="auto"/>
        </w:rPr>
      </w:pPr>
    </w:p>
    <w:p>
      <w:pPr>
        <w:ind w:left="460" w:right="459"/>
        <w:spacing w:after="0" w:line="236" w:lineRule="auto"/>
        <w:rPr>
          <w:sz w:val="20"/>
          <w:szCs w:val="20"/>
          <w:color w:val="auto"/>
        </w:rPr>
      </w:pPr>
      <w:r>
        <w:rPr>
          <w:rFonts w:ascii="Arial" w:cs="Arial" w:eastAsia="Arial" w:hAnsi="Arial"/>
          <w:sz w:val="18"/>
          <w:szCs w:val="18"/>
          <w:color w:val="auto"/>
        </w:rPr>
        <w:t>There is currently no market for our securities. Stockholders therefore have no access to information about prior market history on which to base their investment decision. Following this offering, the price of our securities may vary significantly due to one or more potential business combinations and general market or economic conditions, including as a result of the COVID-19 outbreak and other events (such as terrorist attacks, natural disasters or a significant outbreak of other infectious diseases). Furthermore, an active trading market for our securities may never develop or, if developed, it may not be sustained. You may be unable to sell your securities unless a market can be established and sustained.</w:t>
      </w:r>
    </w:p>
    <w:p>
      <w:pPr>
        <w:spacing w:after="0" w:line="186" w:lineRule="exact"/>
        <w:rPr>
          <w:sz w:val="20"/>
          <w:szCs w:val="20"/>
          <w:color w:val="auto"/>
        </w:rPr>
      </w:pPr>
    </w:p>
    <w:p>
      <w:pPr>
        <w:ind w:left="460" w:right="559"/>
        <w:spacing w:after="0" w:line="253" w:lineRule="auto"/>
        <w:rPr>
          <w:sz w:val="20"/>
          <w:szCs w:val="20"/>
          <w:color w:val="auto"/>
        </w:rPr>
      </w:pPr>
      <w:r>
        <w:rPr>
          <w:rFonts w:ascii="Arial" w:cs="Arial" w:eastAsia="Arial" w:hAnsi="Arial"/>
          <w:sz w:val="18"/>
          <w:szCs w:val="18"/>
          <w:b w:val="1"/>
          <w:bCs w:val="1"/>
          <w:color w:val="auto"/>
        </w:rPr>
        <w:t>Because we must furnish our stockholders with target business financial statements, we may lose the ability to complete an otherwise advantageous initial business combination with some prospective target businesses.</w:t>
      </w:r>
    </w:p>
    <w:p>
      <w:pPr>
        <w:spacing w:after="0" w:line="123" w:lineRule="exact"/>
        <w:rPr>
          <w:sz w:val="20"/>
          <w:szCs w:val="20"/>
          <w:color w:val="auto"/>
        </w:rPr>
      </w:pPr>
    </w:p>
    <w:p>
      <w:pPr>
        <w:ind w:left="460" w:right="519"/>
        <w:spacing w:after="0" w:line="251" w:lineRule="auto"/>
        <w:rPr>
          <w:sz w:val="20"/>
          <w:szCs w:val="20"/>
          <w:color w:val="auto"/>
        </w:rPr>
      </w:pPr>
      <w:r>
        <w:rPr>
          <w:rFonts w:ascii="Arial" w:cs="Arial" w:eastAsia="Arial" w:hAnsi="Arial"/>
          <w:sz w:val="17"/>
          <w:szCs w:val="17"/>
          <w:color w:val="auto"/>
        </w:rPr>
        <w:t>The federal proxy rules require that the proxy statement with respect to the vote on an initial business combination include historical and pro forma financial statement disclosure. We will include the same financial statement disclosure in connection with our tender offer documents, whether or not they are required under the tender offer rules. These financial statements may be required to be prepared in accordance with, or be reconciled to, accounting principles generally accepted in the United States of America (“GAAP”), or international financial reporting standards as issued by the International Accounting Standards Board (“IFRS”), depending on the circumstances and the historical financial statements may be required to be audited in accordance with the standards of the Public Company Accounting Oversight Board (United States) (“PCAOB”). These financial statement requirements may limit the pool of potential target businesses we may acquire because some targets may be unable to provide such financial statements in time for us to disclose such statements in accordance with federal proxy rules and complete our initial business combination within the prescribed time frame.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63" w:name="page64"/>
    <w:bookmarkEnd w:id="63"/>
    <w:p>
      <w:pPr>
        <w:ind w:left="460" w:right="599"/>
        <w:spacing w:after="0" w:line="244" w:lineRule="auto"/>
        <w:rPr>
          <w:sz w:val="20"/>
          <w:szCs w:val="20"/>
          <w:color w:val="auto"/>
        </w:rPr>
      </w:pPr>
      <w:r>
        <w:rPr>
          <w:rFonts w:ascii="Arial" w:cs="Arial" w:eastAsia="Arial" w:hAnsi="Arial"/>
          <w:sz w:val="18"/>
          <w:szCs w:val="18"/>
          <w:b w:val="1"/>
          <w:bCs w:val="1"/>
          <w:color w:val="auto"/>
        </w:rPr>
        <w:t>We are an emerging growth company and a smaller reporting company within the meaning of the Securities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spacing w:after="0" w:line="131"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internal controls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As a result, our stockholders may not have access to certain information they may deem important. We could be an emerging growth company for up to five years, although circumstances could cause us to lose that status earlier, including if the market value of our Class A common stock held by non-affiliates exceeds $700 million as of any June 30 before that time, in which case we would no longer be an emerging growth company as of the following December 31.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32"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46" w:lineRule="exact"/>
        <w:rPr>
          <w:sz w:val="20"/>
          <w:szCs w:val="20"/>
          <w:color w:val="auto"/>
        </w:rPr>
      </w:pPr>
    </w:p>
    <w:p>
      <w:pPr>
        <w:ind w:left="460" w:right="459"/>
        <w:spacing w:after="0" w:line="230" w:lineRule="auto"/>
        <w:rPr>
          <w:sz w:val="20"/>
          <w:szCs w:val="20"/>
          <w:color w:val="auto"/>
        </w:rPr>
      </w:pPr>
      <w:r>
        <w:rPr>
          <w:rFonts w:ascii="Arial" w:cs="Arial" w:eastAsia="Arial" w:hAnsi="Arial"/>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exceeds $250 million as of the prior June 30</w:t>
      </w:r>
      <w:r>
        <w:rPr>
          <w:rFonts w:ascii="Arial" w:cs="Arial" w:eastAsia="Arial" w:hAnsi="Arial"/>
          <w:sz w:val="20"/>
          <w:szCs w:val="20"/>
          <w:color w:val="auto"/>
          <w:vertAlign w:val="superscript"/>
        </w:rPr>
        <w:t>th</w:t>
      </w:r>
      <w:r>
        <w:rPr>
          <w:rFonts w:ascii="Arial" w:cs="Arial" w:eastAsia="Arial" w:hAnsi="Arial"/>
          <w:sz w:val="18"/>
          <w:szCs w:val="18"/>
          <w:color w:val="auto"/>
        </w:rPr>
        <w:t>, or (2) our annual revenues exceeded $100 million during such completed fiscal year and the market value of our common stock held by non-affiliates exceeds $700 million as of the prior June 30</w:t>
      </w:r>
      <w:r>
        <w:rPr>
          <w:rFonts w:ascii="Arial" w:cs="Arial" w:eastAsia="Arial" w:hAnsi="Arial"/>
          <w:sz w:val="20"/>
          <w:szCs w:val="20"/>
          <w:color w:val="auto"/>
          <w:vertAlign w:val="superscript"/>
        </w:rPr>
        <w:t>th</w:t>
      </w:r>
      <w:r>
        <w:rPr>
          <w:rFonts w:ascii="Arial" w:cs="Arial" w:eastAsia="Arial" w:hAnsi="Arial"/>
          <w:sz w:val="18"/>
          <w:szCs w:val="18"/>
          <w:color w:val="auto"/>
        </w:rPr>
        <w:t>. To the extent we take advantage of such reduced disclosure obligations, it may also make comparison of our financial statements with other public companies difficult or impossible.</w:t>
      </w:r>
    </w:p>
    <w:p>
      <w:pPr>
        <w:spacing w:after="0" w:line="187" w:lineRule="exact"/>
        <w:rPr>
          <w:sz w:val="20"/>
          <w:szCs w:val="20"/>
          <w:color w:val="auto"/>
        </w:rPr>
      </w:pPr>
    </w:p>
    <w:p>
      <w:pPr>
        <w:jc w:val="both"/>
        <w:ind w:left="460" w:right="859"/>
        <w:spacing w:after="0" w:line="275" w:lineRule="auto"/>
        <w:rPr>
          <w:sz w:val="20"/>
          <w:szCs w:val="20"/>
          <w:color w:val="auto"/>
        </w:rPr>
      </w:pPr>
      <w:r>
        <w:rPr>
          <w:rFonts w:ascii="Arial" w:cs="Arial" w:eastAsia="Arial" w:hAnsi="Arial"/>
          <w:sz w:val="17"/>
          <w:szCs w:val="17"/>
          <w:b w:val="1"/>
          <w:bCs w:val="1"/>
          <w:color w:val="auto"/>
        </w:rPr>
        <w:t>Compliance obligations under the Sarbanes-Oxley Act may make it more difficult for us to effectuate our initial business combination, require substantial financial and management resources, and increase the time and costs of completing an initial business combination.</w:t>
      </w:r>
    </w:p>
    <w:p>
      <w:pPr>
        <w:spacing w:after="0" w:line="106"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Section 404 of the Sarbanes-Oxley Act requires that we evaluate and report on our system of internal controls beginning with our Annual Report on Form 10-K for the year ending December 31, 2021. Only in the event we are deemed to be a large accelerated filer or an accelerated filer, and no longer qualify as an emerging growth company, will we be required to comply with the independent registered public accounting firm attestation requirement on our internal control over financial reporting. Further, for as long as we remain an emerging growth company, we will not be required to comply with the independent registered public accounting firm attestation requirement on our internal control over financial reporting. The fact that we are a blank check company makes compliance with the requirements of the Sarbanes-Oxley Act particularly burdensome on us as compared to other public companies because a target business with which we seek to complete our initial business combination may not be in compliance with the provisions of the Sarbanes-Oxley Act regarding adequacy of its internal controls.</w:t>
      </w:r>
    </w:p>
    <w:p>
      <w:pPr>
        <w:sectPr>
          <w:pgSz w:w="11900" w:h="16838" w:orient="portrait"/>
          <w:cols w:equalWidth="0" w:num="1">
            <w:col w:w="9019"/>
          </w:cols>
          <w:pgMar w:left="1440" w:top="333" w:right="1440" w:bottom="1440" w:gutter="0" w:footer="0" w:header="0"/>
        </w:sectPr>
      </w:pP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64" w:name="page65"/>
    <w:bookmarkEnd w:id="64"/>
    <w:p>
      <w:pPr>
        <w:ind w:left="460" w:right="619"/>
        <w:spacing w:after="0" w:line="274" w:lineRule="auto"/>
        <w:rPr>
          <w:sz w:val="20"/>
          <w:szCs w:val="20"/>
          <w:color w:val="auto"/>
        </w:rPr>
      </w:pPr>
      <w:r>
        <w:rPr>
          <w:rFonts w:ascii="Arial" w:cs="Arial" w:eastAsia="Arial" w:hAnsi="Arial"/>
          <w:sz w:val="17"/>
          <w:szCs w:val="17"/>
          <w:color w:val="auto"/>
        </w:rPr>
        <w:t>The development of the internal control of any such entity to achieve compliance with the Sarbanes-Oxley Act may increase the time and costs necessary to complete any such business combination.</w:t>
      </w:r>
    </w:p>
    <w:p>
      <w:pPr>
        <w:spacing w:after="0" w:line="153" w:lineRule="exact"/>
        <w:rPr>
          <w:sz w:val="20"/>
          <w:szCs w:val="20"/>
          <w:color w:val="auto"/>
        </w:rPr>
      </w:pPr>
    </w:p>
    <w:p>
      <w:pPr>
        <w:jc w:val="both"/>
        <w:ind w:left="460" w:right="839"/>
        <w:spacing w:after="0" w:line="253" w:lineRule="auto"/>
        <w:rPr>
          <w:sz w:val="20"/>
          <w:szCs w:val="20"/>
          <w:color w:val="auto"/>
        </w:rPr>
      </w:pPr>
      <w:r>
        <w:rPr>
          <w:rFonts w:ascii="Arial" w:cs="Arial" w:eastAsia="Arial" w:hAnsi="Arial"/>
          <w:sz w:val="18"/>
          <w:szCs w:val="18"/>
          <w:b w:val="1"/>
          <w:bCs w:val="1"/>
          <w:color w:val="auto"/>
        </w:rPr>
        <w:t>Provisions in our amended and restated certificate of incorporation and Delaware law may inhibit a takeover of us, which could limit the price investors might be willing to pay in the future for our shares of Class A common stock and could entrench management.</w:t>
      </w:r>
    </w:p>
    <w:p>
      <w:pPr>
        <w:spacing w:after="0" w:line="110" w:lineRule="exact"/>
        <w:rPr>
          <w:sz w:val="20"/>
          <w:szCs w:val="20"/>
          <w:color w:val="auto"/>
        </w:rPr>
      </w:pPr>
    </w:p>
    <w:p>
      <w:pPr>
        <w:ind w:left="460" w:right="539"/>
        <w:spacing w:after="0" w:line="237" w:lineRule="auto"/>
        <w:rPr>
          <w:sz w:val="20"/>
          <w:szCs w:val="20"/>
          <w:color w:val="auto"/>
        </w:rPr>
      </w:pPr>
      <w:r>
        <w:rPr>
          <w:rFonts w:ascii="Arial" w:cs="Arial" w:eastAsia="Arial" w:hAnsi="Arial"/>
          <w:sz w:val="18"/>
          <w:szCs w:val="18"/>
          <w:color w:val="auto"/>
        </w:rPr>
        <w:t>Our amended and restated certificate of incorporation contains provisions that may discourage unsolicited takeover proposals that stockholders may consider to be in their best interests. These provisions include a staggered board of directors and the ability of the board of directors to designate the terms of and issue new series of preferred stock, which may make more difficult the removal of management and may discourage transactions that otherwise could involve payment of a premium over prevailing market prices for our securities.</w:t>
      </w:r>
    </w:p>
    <w:p>
      <w:pPr>
        <w:spacing w:after="0" w:line="137" w:lineRule="exact"/>
        <w:rPr>
          <w:sz w:val="20"/>
          <w:szCs w:val="20"/>
          <w:color w:val="auto"/>
        </w:rPr>
      </w:pPr>
    </w:p>
    <w:p>
      <w:pPr>
        <w:ind w:left="460" w:right="599"/>
        <w:spacing w:after="0" w:line="238" w:lineRule="auto"/>
        <w:rPr>
          <w:sz w:val="20"/>
          <w:szCs w:val="20"/>
          <w:color w:val="auto"/>
        </w:rPr>
      </w:pPr>
      <w:r>
        <w:rPr>
          <w:rFonts w:ascii="Arial" w:cs="Arial" w:eastAsia="Arial" w:hAnsi="Arial"/>
          <w:sz w:val="18"/>
          <w:szCs w:val="18"/>
          <w:color w:val="auto"/>
        </w:rPr>
        <w:t>We are also subject to anti-takeover provisions under Delaware law, which could delay or prevent a change of control. Together these provisions may make the removal of management more difficult and may discourage transactions that otherwise could involve payment of a premium over prevailing market prices for our securities.</w:t>
      </w:r>
    </w:p>
    <w:p>
      <w:pPr>
        <w:spacing w:after="0" w:line="183" w:lineRule="exact"/>
        <w:rPr>
          <w:sz w:val="20"/>
          <w:szCs w:val="20"/>
          <w:color w:val="auto"/>
        </w:rPr>
      </w:pPr>
    </w:p>
    <w:p>
      <w:pPr>
        <w:ind w:left="460" w:right="839"/>
        <w:spacing w:after="0" w:line="271" w:lineRule="auto"/>
        <w:rPr>
          <w:sz w:val="20"/>
          <w:szCs w:val="20"/>
          <w:color w:val="auto"/>
        </w:rPr>
      </w:pPr>
      <w:r>
        <w:rPr>
          <w:rFonts w:ascii="Arial" w:cs="Arial" w:eastAsia="Arial" w:hAnsi="Arial"/>
          <w:sz w:val="18"/>
          <w:szCs w:val="18"/>
          <w:b w:val="1"/>
          <w:bCs w:val="1"/>
          <w:color w:val="auto"/>
        </w:rPr>
        <w:t>Provisions in our amended and restated certificate of incorporation and Delaware law may have the effect of discouraging lawsuits against our directors and officers.</w:t>
      </w:r>
    </w:p>
    <w:p>
      <w:pPr>
        <w:spacing w:after="0" w:line="108" w:lineRule="exact"/>
        <w:rPr>
          <w:sz w:val="20"/>
          <w:szCs w:val="20"/>
          <w:color w:val="auto"/>
        </w:rPr>
      </w:pPr>
    </w:p>
    <w:p>
      <w:pPr>
        <w:ind w:left="460" w:right="559"/>
        <w:spacing w:after="0" w:line="248" w:lineRule="auto"/>
        <w:rPr>
          <w:sz w:val="20"/>
          <w:szCs w:val="20"/>
          <w:color w:val="auto"/>
        </w:rPr>
      </w:pPr>
      <w:r>
        <w:rPr>
          <w:rFonts w:ascii="Arial" w:cs="Arial" w:eastAsia="Arial" w:hAnsi="Arial"/>
          <w:sz w:val="17"/>
          <w:szCs w:val="17"/>
          <w:color w:val="auto"/>
        </w:rPr>
        <w:t>Our amended and restated certificate of incorporation will require, unless we consent in writing to the selection of an alternative forum, that (i) any derivative action or proceeding brought on our behalf,</w:t>
      </w:r>
    </w:p>
    <w:p>
      <w:pPr>
        <w:spacing w:after="0" w:line="1" w:lineRule="exact"/>
        <w:rPr>
          <w:sz w:val="20"/>
          <w:szCs w:val="20"/>
          <w:color w:val="auto"/>
        </w:rPr>
      </w:pPr>
    </w:p>
    <w:p>
      <w:pPr>
        <w:ind w:left="460" w:right="479" w:hanging="6"/>
        <w:spacing w:after="0" w:line="235" w:lineRule="auto"/>
        <w:tabs>
          <w:tab w:leader="none" w:pos="71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any director, officer or other employee to us or our stockholders, (iii) any action asserting a claim against us, our directors, officers or employees arising pursuant to any provision of the DGCL or our amended and restated certificate of incorporation or bylaws, or (iv) any action asserting a claim against us, our directors, officers or employees governed by the internal affairs doctrine may be brought only in the Court of Chancery in the State of Delaware, except any claim (A) as to which the Court of Chancery of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for which the Court of Chancery does not have subject matter jurisdiction, as to which the Court of Chancery and the federal district court for the District of Delaware shall have concurrent jurisdiction. If an action is brought outside of Delaware, the stockholder bringing the suit will be deemed to have consented to service of process on such stockholder’s counsel. Although we believe this provision benefits us by providing increased consistency in the application of Delaware law in the types of lawsuits to which it applies, a court may determine that this provision is unenforceable, and to the extent it is enforceable, the provision may have the effect of discouraging lawsuits against our directors and officers, although our stockholders will not be deemed to have waived our compliance with federal securities laws and the rules and regulations thereunder.</w:t>
      </w:r>
    </w:p>
    <w:p>
      <w:pPr>
        <w:spacing w:after="0" w:line="132"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Notwithstanding the foregoing, our amended and restated certificate of incorporation will provide that the exclusive forum provision will not apply to suits brought to enforce a duty or liability created by the Exchange Act or any other claim for which the federal courts have exclusive jurisdiction. Section 27 of the Exchange Act creates exclusive federal jurisdiction over all suits brought to enforce any duty or liability created by the Exchange Act or the rules and regulations thereunder. Additionally, unless we consent in writing to the selection of an alternative forum, the federal courts shall be the exclusive forum for the resolution of any complaint asserting a cause of action arising under the Securities Act against us or any of our directors, officers, other employees or agents. Any person or entity purchasing or otherwise acquiring any interest in our securities shall be deemed to have notice of and consented to these provisions. Although we believe this provision benefits us by providing increased consistency in the application of Delaware law in the types of lawsuits to which it applies, the provision may limit our stockholders’ ability to obtain a favorable judicial forum for disputes with us and may have the effect of discouraging lawsuits against our directors and officers.</w:t>
      </w:r>
    </w:p>
    <w:p>
      <w:pPr>
        <w:spacing w:after="0" w:line="181" w:lineRule="exact"/>
        <w:rPr>
          <w:sz w:val="20"/>
          <w:szCs w:val="20"/>
          <w:color w:val="auto"/>
        </w:rPr>
      </w:pPr>
    </w:p>
    <w:p>
      <w:pPr>
        <w:ind w:left="460" w:right="859"/>
        <w:spacing w:after="0" w:line="271" w:lineRule="auto"/>
        <w:rPr>
          <w:sz w:val="20"/>
          <w:szCs w:val="20"/>
          <w:color w:val="auto"/>
        </w:rPr>
      </w:pPr>
      <w:r>
        <w:rPr>
          <w:rFonts w:ascii="Arial" w:cs="Arial" w:eastAsia="Arial" w:hAnsi="Arial"/>
          <w:sz w:val="18"/>
          <w:szCs w:val="18"/>
          <w:b w:val="1"/>
          <w:bCs w:val="1"/>
          <w:color w:val="auto"/>
        </w:rPr>
        <w:t>Cyber incidents or attacks directed at us could result in information theft, data corruption, operational disruption and/or financial loss.</w:t>
      </w:r>
    </w:p>
    <w:p>
      <w:pPr>
        <w:spacing w:after="0" w:line="108" w:lineRule="exact"/>
        <w:rPr>
          <w:sz w:val="20"/>
          <w:szCs w:val="20"/>
          <w:color w:val="auto"/>
        </w:rPr>
      </w:pPr>
    </w:p>
    <w:p>
      <w:pPr>
        <w:ind w:left="460" w:right="599"/>
        <w:spacing w:after="0"/>
        <w:rPr>
          <w:sz w:val="20"/>
          <w:szCs w:val="20"/>
          <w:color w:val="auto"/>
        </w:rPr>
      </w:pPr>
      <w:r>
        <w:rPr>
          <w:rFonts w:ascii="Arial" w:cs="Arial" w:eastAsia="Arial" w:hAnsi="Arial"/>
          <w:sz w:val="18"/>
          <w:szCs w:val="18"/>
          <w:color w:val="auto"/>
        </w:rPr>
        <w:t>We depend on digital technologies, including information systems, infrastructure and cloud applications and services, including those of third parties with which we may deal. Sophisticated and deliberate attacks on, or</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65" w:name="page66"/>
    <w:bookmarkEnd w:id="65"/>
    <w:p>
      <w:pPr>
        <w:ind w:left="460" w:right="499"/>
        <w:spacing w:after="0" w:line="237" w:lineRule="auto"/>
        <w:rPr>
          <w:sz w:val="20"/>
          <w:szCs w:val="20"/>
          <w:color w:val="auto"/>
        </w:rPr>
      </w:pPr>
      <w:r>
        <w:rPr>
          <w:rFonts w:ascii="Arial" w:cs="Arial" w:eastAsia="Arial" w:hAnsi="Arial"/>
          <w:sz w:val="18"/>
          <w:szCs w:val="18"/>
          <w:color w:val="auto"/>
        </w:rPr>
        <w:t>security breaches in, our systems or infrastructure, or the systems or infrastructure of third parties or the cloud, could lead to corruption or misappropriation of our assets, proprietary information and sensitive or confidential data. As an early stage company without significant investments in data security protection, we may not be sufficiently protected against such occurrences. We may not have sufficient resources to adequately protect against, or to investigate and remediate any vulnerability to, cyber incidents. It is possible that any of these occurrences, or a combination of them, could have adverse consequences on our business and lead to financial loss.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If we effect our initial business combination with a company located outside of the</w:t>
      </w:r>
    </w:p>
    <w:p>
      <w:pPr>
        <w:spacing w:after="0" w:line="1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United States, we would be subject to a variety of additional risks that may adversely affect us.</w:t>
      </w:r>
    </w:p>
    <w:p>
      <w:pPr>
        <w:spacing w:after="0" w:line="142" w:lineRule="exact"/>
        <w:rPr>
          <w:sz w:val="20"/>
          <w:szCs w:val="20"/>
          <w:color w:val="auto"/>
        </w:rPr>
      </w:pPr>
    </w:p>
    <w:p>
      <w:pPr>
        <w:ind w:left="460" w:right="759"/>
        <w:spacing w:after="0" w:line="238" w:lineRule="auto"/>
        <w:rPr>
          <w:sz w:val="20"/>
          <w:szCs w:val="20"/>
          <w:color w:val="auto"/>
        </w:rPr>
      </w:pPr>
      <w:r>
        <w:rPr>
          <w:rFonts w:ascii="Arial" w:cs="Arial" w:eastAsia="Arial" w:hAnsi="Arial"/>
          <w:sz w:val="18"/>
          <w:szCs w:val="18"/>
          <w:color w:val="auto"/>
        </w:rPr>
        <w:t>If we pursue a target company with operations or opportunities outside of the United States for our initial business combination, we may face additional burdens in connection with investigating, agreeing to and completing such initial business combination, and if we effect such initial business combination, we would be subject to a variety of additional risks that may negatively impact our operations.</w:t>
      </w:r>
    </w:p>
    <w:p>
      <w:pPr>
        <w:spacing w:after="0" w:line="135"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If we pursue a target a company with operations or opportunities outside of the United States for our initial business combination, we would be subject to risks associated with cross-border business combinations, including in connection with investigating, agreeing to and completing our initial business combination, conducting due diligence in a foreign jurisdiction, having such transaction approved by any local governments, regulators or agencies and changes in the purchase price based on fluctuations in foreign exchange rates.</w:t>
      </w:r>
    </w:p>
    <w:p>
      <w:pPr>
        <w:spacing w:after="0" w:line="137" w:lineRule="exact"/>
        <w:rPr>
          <w:sz w:val="20"/>
          <w:szCs w:val="20"/>
          <w:color w:val="auto"/>
        </w:rPr>
      </w:pPr>
    </w:p>
    <w:p>
      <w:pPr>
        <w:jc w:val="both"/>
        <w:ind w:left="460" w:right="559"/>
        <w:spacing w:after="0"/>
        <w:rPr>
          <w:sz w:val="20"/>
          <w:szCs w:val="20"/>
          <w:color w:val="auto"/>
        </w:rPr>
      </w:pPr>
      <w:r>
        <w:rPr>
          <w:rFonts w:ascii="Arial" w:cs="Arial" w:eastAsia="Arial" w:hAnsi="Arial"/>
          <w:sz w:val="18"/>
          <w:szCs w:val="18"/>
          <w:color w:val="auto"/>
        </w:rPr>
        <w:t>If we effect our initial business combination with such a company, we would be subject to any special considerations or risks associated with companies operating in an international setting, including any of the following:</w:t>
      </w:r>
    </w:p>
    <w:p>
      <w:pPr>
        <w:spacing w:after="0" w:line="14" w:lineRule="exact"/>
        <w:rPr>
          <w:sz w:val="20"/>
          <w:szCs w:val="20"/>
          <w:color w:val="auto"/>
        </w:rPr>
      </w:pPr>
    </w:p>
    <w:p>
      <w:pPr>
        <w:ind w:left="1100" w:hanging="322"/>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costs and difficulties inherent in managing cross-border business operations;</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rules and regulations regarding currency redemption;</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complex corporate withholding taxes on individuals;</w:t>
      </w:r>
    </w:p>
    <w:p>
      <w:pPr>
        <w:spacing w:after="0" w:line="22" w:lineRule="exact"/>
        <w:rPr>
          <w:rFonts w:ascii="Arial" w:cs="Arial" w:eastAsia="Arial" w:hAnsi="Arial"/>
          <w:sz w:val="18"/>
          <w:szCs w:val="18"/>
          <w:color w:val="auto"/>
        </w:rPr>
      </w:pPr>
    </w:p>
    <w:p>
      <w:pPr>
        <w:ind w:left="1100" w:hanging="322"/>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laws governing the manner in which future business combinations may be effected;</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exchange listing and/or delisting requirements;</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22" w:lineRule="exact"/>
        <w:rPr>
          <w:rFonts w:ascii="Arial" w:cs="Arial" w:eastAsia="Arial" w:hAnsi="Arial"/>
          <w:sz w:val="18"/>
          <w:szCs w:val="18"/>
          <w:color w:val="auto"/>
        </w:rPr>
      </w:pPr>
    </w:p>
    <w:p>
      <w:pPr>
        <w:ind w:left="1100" w:hanging="322"/>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regulations related to customs and import/export matters;</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local or regional economic policies and market conditions;</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unexpected changes in regulatory requirements;</w:t>
      </w:r>
    </w:p>
    <w:p>
      <w:pPr>
        <w:spacing w:after="0" w:line="22" w:lineRule="exact"/>
        <w:rPr>
          <w:rFonts w:ascii="Arial" w:cs="Arial" w:eastAsia="Arial" w:hAnsi="Arial"/>
          <w:sz w:val="18"/>
          <w:szCs w:val="18"/>
          <w:color w:val="auto"/>
        </w:rPr>
      </w:pPr>
    </w:p>
    <w:p>
      <w:pPr>
        <w:ind w:left="1100" w:hanging="322"/>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challenges in managing and staffing international operations;</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36" w:lineRule="exact"/>
        <w:rPr>
          <w:rFonts w:ascii="Arial" w:cs="Arial" w:eastAsia="Arial" w:hAnsi="Arial"/>
          <w:sz w:val="18"/>
          <w:szCs w:val="18"/>
          <w:color w:val="auto"/>
        </w:rPr>
      </w:pPr>
    </w:p>
    <w:p>
      <w:pPr>
        <w:ind w:left="1100" w:right="1419" w:hanging="322"/>
        <w:spacing w:after="0" w:line="246" w:lineRule="auto"/>
        <w:tabs>
          <w:tab w:leader="none" w:pos="1089" w:val="left"/>
        </w:tabs>
        <w:numPr>
          <w:ilvl w:val="0"/>
          <w:numId w:val="28"/>
        </w:numPr>
        <w:rPr>
          <w:rFonts w:ascii="Arial" w:cs="Arial" w:eastAsia="Arial" w:hAnsi="Arial"/>
          <w:sz w:val="18"/>
          <w:szCs w:val="18"/>
          <w:color w:val="auto"/>
        </w:rPr>
      </w:pPr>
      <w:r>
        <w:rPr>
          <w:rFonts w:ascii="Arial" w:cs="Arial" w:eastAsia="Arial" w:hAnsi="Arial"/>
          <w:sz w:val="18"/>
          <w:szCs w:val="18"/>
          <w:color w:val="auto"/>
        </w:rPr>
        <w:t>tax issues, such as tax law changes and variations in tax laws as compared to the United States;</w:t>
      </w:r>
    </w:p>
    <w:p>
      <w:pPr>
        <w:spacing w:after="0" w:line="7" w:lineRule="exact"/>
        <w:rPr>
          <w:rFonts w:ascii="Arial" w:cs="Arial" w:eastAsia="Arial" w:hAnsi="Arial"/>
          <w:sz w:val="18"/>
          <w:szCs w:val="18"/>
          <w:color w:val="auto"/>
        </w:rPr>
      </w:pPr>
    </w:p>
    <w:p>
      <w:pPr>
        <w:ind w:left="1100" w:hanging="322"/>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currency fluctuations and exchange controls;</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rates of inflation;</w:t>
      </w:r>
    </w:p>
    <w:p>
      <w:pPr>
        <w:spacing w:after="0" w:line="22" w:lineRule="exact"/>
        <w:rPr>
          <w:rFonts w:ascii="Arial" w:cs="Arial" w:eastAsia="Arial" w:hAnsi="Arial"/>
          <w:sz w:val="18"/>
          <w:szCs w:val="18"/>
          <w:color w:val="auto"/>
        </w:rPr>
      </w:pPr>
    </w:p>
    <w:p>
      <w:pPr>
        <w:ind w:left="1100" w:hanging="322"/>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challenges in collecting accounts receivable;</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employment regulations;</w:t>
      </w:r>
    </w:p>
    <w:p>
      <w:pPr>
        <w:spacing w:after="0" w:line="22" w:lineRule="exact"/>
        <w:rPr>
          <w:rFonts w:ascii="Arial" w:cs="Arial" w:eastAsia="Arial" w:hAnsi="Arial"/>
          <w:sz w:val="18"/>
          <w:szCs w:val="18"/>
          <w:color w:val="auto"/>
        </w:rPr>
      </w:pPr>
    </w:p>
    <w:p>
      <w:pPr>
        <w:ind w:left="1100" w:hanging="322"/>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underdeveloped or unpredictable legal or regulatory systems;</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corruption;</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protection of intellectual property;</w:t>
      </w:r>
    </w:p>
    <w:p>
      <w:pPr>
        <w:spacing w:after="0" w:line="22" w:lineRule="exact"/>
        <w:rPr>
          <w:rFonts w:ascii="Arial" w:cs="Arial" w:eastAsia="Arial" w:hAnsi="Arial"/>
          <w:sz w:val="18"/>
          <w:szCs w:val="18"/>
          <w:color w:val="auto"/>
        </w:rPr>
      </w:pPr>
    </w:p>
    <w:p>
      <w:pPr>
        <w:ind w:left="1100" w:hanging="322"/>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social unrest, crime, strikes, riots and civil disturbances;</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regime changes and political upheaval;</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terrorist attacks and wars; and</w:t>
      </w:r>
    </w:p>
    <w:p>
      <w:pPr>
        <w:spacing w:after="0" w:line="22" w:lineRule="exact"/>
        <w:rPr>
          <w:rFonts w:ascii="Arial" w:cs="Arial" w:eastAsia="Arial" w:hAnsi="Arial"/>
          <w:sz w:val="18"/>
          <w:szCs w:val="18"/>
          <w:color w:val="auto"/>
        </w:rPr>
      </w:pPr>
    </w:p>
    <w:p>
      <w:pPr>
        <w:ind w:left="1100" w:hanging="322"/>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deterioration of political relations with the United States.</w:t>
      </w:r>
    </w:p>
    <w:p>
      <w:pPr>
        <w:spacing w:after="0" w:line="144"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We may not be able to adequately address these additional risks. If we were unable to do so, we may be unable to complete such initial business combination, or, if we complete such initial business combination, our operations might suffer, either of which may adversely impact our business, financial condition and results of operations.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66"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Some of the statements contained in this prospectus may constitute “forward-looking statements” for purposes of the federal securities laws.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“would” and similar expressions may identify forward-looking statements, but the absence of these words does not mean that a statement is not forward-looking. Forward-looking statements in this prospectus may include, for example, statements about:</w:t>
      </w:r>
    </w:p>
    <w:p>
      <w:pPr>
        <w:spacing w:after="0" w:line="17" w:lineRule="exact"/>
        <w:rPr>
          <w:sz w:val="20"/>
          <w:szCs w:val="20"/>
          <w:color w:val="auto"/>
        </w:rPr>
      </w:pPr>
    </w:p>
    <w:p>
      <w:pPr>
        <w:ind w:left="1100" w:hanging="322"/>
        <w:spacing w:after="0"/>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select an appropriate target business or businesses;</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complete our initial business combination;</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expectations around the performance of the prospective target business or businesses;</w:t>
      </w:r>
    </w:p>
    <w:p>
      <w:pPr>
        <w:spacing w:after="0" w:line="22" w:lineRule="exact"/>
        <w:rPr>
          <w:rFonts w:ascii="Arial" w:cs="Arial" w:eastAsia="Arial" w:hAnsi="Arial"/>
          <w:sz w:val="18"/>
          <w:szCs w:val="18"/>
          <w:color w:val="auto"/>
        </w:rPr>
      </w:pPr>
    </w:p>
    <w:p>
      <w:pPr>
        <w:ind w:left="1100" w:right="659" w:hanging="322"/>
        <w:spacing w:after="0" w:line="246" w:lineRule="auto"/>
        <w:tabs>
          <w:tab w:leader="none" w:pos="1089"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 following our initial business combination;</w:t>
      </w:r>
    </w:p>
    <w:p>
      <w:pPr>
        <w:spacing w:after="0" w:line="21" w:lineRule="exact"/>
        <w:rPr>
          <w:rFonts w:ascii="Arial" w:cs="Arial" w:eastAsia="Arial" w:hAnsi="Arial"/>
          <w:sz w:val="18"/>
          <w:szCs w:val="18"/>
          <w:color w:val="auto"/>
        </w:rPr>
      </w:pPr>
    </w:p>
    <w:p>
      <w:pPr>
        <w:ind w:left="1100" w:right="959" w:hanging="322"/>
        <w:spacing w:after="0" w:line="273" w:lineRule="auto"/>
        <w:tabs>
          <w:tab w:leader="none" w:pos="1089"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officers and directors allocating their time to other businesses and potentially having conflicts of interest with our business or in approving our initial business combination;</w:t>
      </w:r>
    </w:p>
    <w:p>
      <w:pPr>
        <w:ind w:left="1100" w:hanging="322"/>
        <w:spacing w:after="0"/>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proceeds of forward purchase shares being available to us;</w:t>
      </w:r>
    </w:p>
    <w:p>
      <w:pPr>
        <w:spacing w:after="0" w:line="22" w:lineRule="exact"/>
        <w:rPr>
          <w:rFonts w:ascii="Arial" w:cs="Arial" w:eastAsia="Arial" w:hAnsi="Arial"/>
          <w:sz w:val="18"/>
          <w:szCs w:val="18"/>
          <w:color w:val="auto"/>
        </w:rPr>
      </w:pPr>
    </w:p>
    <w:p>
      <w:pPr>
        <w:ind w:left="1100" w:hanging="322"/>
        <w:spacing w:after="0"/>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potential ability to obtain additional financing to complete our initial business combination;</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pool of prospective target businesses;</w:t>
      </w:r>
    </w:p>
    <w:p>
      <w:pPr>
        <w:spacing w:after="0" w:line="36" w:lineRule="exact"/>
        <w:rPr>
          <w:rFonts w:ascii="Arial" w:cs="Arial" w:eastAsia="Arial" w:hAnsi="Arial"/>
          <w:sz w:val="18"/>
          <w:szCs w:val="18"/>
          <w:color w:val="auto"/>
        </w:rPr>
      </w:pPr>
    </w:p>
    <w:p>
      <w:pPr>
        <w:ind w:left="1100" w:right="459" w:hanging="322"/>
        <w:spacing w:after="0" w:line="246" w:lineRule="auto"/>
        <w:tabs>
          <w:tab w:leader="none" w:pos="1089"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consummate an initial business combination due to the uncertainty resulting from the recent COVID-19 pandemic;</w:t>
      </w:r>
    </w:p>
    <w:p>
      <w:pPr>
        <w:spacing w:after="0" w:line="7" w:lineRule="exact"/>
        <w:rPr>
          <w:rFonts w:ascii="Arial" w:cs="Arial" w:eastAsia="Arial" w:hAnsi="Arial"/>
          <w:sz w:val="18"/>
          <w:szCs w:val="18"/>
          <w:color w:val="auto"/>
        </w:rPr>
      </w:pPr>
    </w:p>
    <w:p>
      <w:pPr>
        <w:ind w:left="1100" w:right="1479" w:hanging="322"/>
        <w:spacing w:after="0" w:line="246" w:lineRule="auto"/>
        <w:tabs>
          <w:tab w:leader="none" w:pos="1089"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ability of our officers and directors to generate a number of potential business combination opportunities;</w:t>
      </w:r>
    </w:p>
    <w:p>
      <w:pPr>
        <w:spacing w:after="0" w:line="21" w:lineRule="exact"/>
        <w:rPr>
          <w:rFonts w:ascii="Arial" w:cs="Arial" w:eastAsia="Arial" w:hAnsi="Arial"/>
          <w:sz w:val="18"/>
          <w:szCs w:val="18"/>
          <w:color w:val="auto"/>
        </w:rPr>
      </w:pPr>
    </w:p>
    <w:p>
      <w:pPr>
        <w:ind w:left="1100" w:hanging="322"/>
        <w:spacing w:after="0"/>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lack of a market for our securities;</w:t>
      </w:r>
    </w:p>
    <w:p>
      <w:pPr>
        <w:spacing w:after="0" w:line="22" w:lineRule="exact"/>
        <w:rPr>
          <w:rFonts w:ascii="Arial" w:cs="Arial" w:eastAsia="Arial" w:hAnsi="Arial"/>
          <w:sz w:val="18"/>
          <w:szCs w:val="18"/>
          <w:color w:val="auto"/>
        </w:rPr>
      </w:pPr>
    </w:p>
    <w:p>
      <w:pPr>
        <w:ind w:left="1100" w:right="739" w:hanging="322"/>
        <w:spacing w:after="0" w:line="246" w:lineRule="auto"/>
        <w:tabs>
          <w:tab w:leader="none" w:pos="1089"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use of proceeds not held in the trust account or available to us from interest income on the trust account balance;</w:t>
      </w:r>
    </w:p>
    <w:p>
      <w:pPr>
        <w:spacing w:after="0" w:line="21" w:lineRule="exact"/>
        <w:rPr>
          <w:rFonts w:ascii="Arial" w:cs="Arial" w:eastAsia="Arial" w:hAnsi="Arial"/>
          <w:sz w:val="18"/>
          <w:szCs w:val="18"/>
          <w:color w:val="auto"/>
        </w:rPr>
      </w:pPr>
    </w:p>
    <w:p>
      <w:pPr>
        <w:ind w:left="1100" w:hanging="322"/>
        <w:spacing w:after="0"/>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trust account not being subject to claims of third parties; or</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financial performance following this offering.</w:t>
      </w:r>
    </w:p>
    <w:p>
      <w:pPr>
        <w:spacing w:after="0" w:line="131" w:lineRule="exact"/>
        <w:rPr>
          <w:sz w:val="20"/>
          <w:szCs w:val="20"/>
          <w:color w:val="auto"/>
        </w:rPr>
      </w:pPr>
    </w:p>
    <w:p>
      <w:pPr>
        <w:ind w:left="460" w:right="459"/>
        <w:spacing w:after="0" w:line="236" w:lineRule="auto"/>
        <w:rPr>
          <w:sz w:val="20"/>
          <w:szCs w:val="20"/>
          <w:color w:val="auto"/>
        </w:rPr>
      </w:pPr>
      <w:r>
        <w:rPr>
          <w:rFonts w:ascii="Arial" w:cs="Arial" w:eastAsia="Arial" w:hAnsi="Arial"/>
          <w:sz w:val="18"/>
          <w:szCs w:val="18"/>
          <w:color w:val="auto"/>
        </w:rPr>
        <w:t>The forward-looking statements contained in this prospectus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66" w:lineRule="exact"/>
        <w:rPr>
          <w:sz w:val="20"/>
          <w:szCs w:val="20"/>
          <w:color w:val="auto"/>
        </w:rPr>
      </w:pPr>
    </w:p>
    <w:p>
      <w:pPr>
        <w:ind w:left="460" w:right="499"/>
        <w:spacing w:after="0"/>
        <w:rPr>
          <w:sz w:val="20"/>
          <w:szCs w:val="20"/>
          <w:color w:val="auto"/>
        </w:rPr>
      </w:pPr>
      <w:r>
        <w:rPr>
          <w:rFonts w:ascii="Arial" w:cs="Arial" w:eastAsia="Arial" w:hAnsi="Arial"/>
          <w:sz w:val="18"/>
          <w:szCs w:val="18"/>
          <w:color w:val="auto"/>
        </w:rPr>
        <w:t>We are offering 35,000,000 units at an offering price of $10.00 per unit. We estimate that the net proceeds of this offering together with the funds we will receive from the sale of the private placement warrants will be used as set forth in the following table.</w:t>
      </w:r>
    </w:p>
    <w:p>
      <w:pPr>
        <w:spacing w:after="0" w:line="150"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5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Without</w:t>
            </w:r>
          </w:p>
        </w:tc>
        <w:tc>
          <w:tcPr>
            <w:tcW w:w="120" w:type="dxa"/>
            <w:vAlign w:val="bottom"/>
          </w:tcPr>
          <w:p>
            <w:pPr>
              <w:spacing w:after="0"/>
              <w:rPr>
                <w:sz w:val="14"/>
                <w:szCs w:val="14"/>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Over-allotment</w:t>
            </w:r>
          </w:p>
        </w:tc>
        <w:tc>
          <w:tcPr>
            <w:tcW w:w="0" w:type="dxa"/>
            <w:vAlign w:val="bottom"/>
          </w:tcPr>
          <w:p>
            <w:pPr>
              <w:spacing w:after="0"/>
              <w:rPr>
                <w:sz w:val="1"/>
                <w:szCs w:val="1"/>
                <w:color w:val="auto"/>
              </w:rPr>
            </w:pPr>
          </w:p>
        </w:tc>
      </w:tr>
      <w:tr>
        <w:trPr>
          <w:trHeight w:val="162"/>
        </w:trPr>
        <w:tc>
          <w:tcPr>
            <w:tcW w:w="5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Over-allotment</w:t>
            </w:r>
          </w:p>
        </w:tc>
        <w:tc>
          <w:tcPr>
            <w:tcW w:w="120" w:type="dxa"/>
            <w:vAlign w:val="bottom"/>
          </w:tcPr>
          <w:p>
            <w:pPr>
              <w:spacing w:after="0"/>
              <w:rPr>
                <w:sz w:val="14"/>
                <w:szCs w:val="14"/>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90"/>
        </w:trPr>
        <w:tc>
          <w:tcPr>
            <w:tcW w:w="5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Option</w:t>
            </w:r>
          </w:p>
        </w:tc>
        <w:tc>
          <w:tcPr>
            <w:tcW w:w="120" w:type="dxa"/>
            <w:vAlign w:val="bottom"/>
          </w:tcPr>
          <w:p>
            <w:pPr>
              <w:spacing w:after="0"/>
              <w:rPr>
                <w:sz w:val="16"/>
                <w:szCs w:val="16"/>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Exercised</w:t>
            </w:r>
          </w:p>
        </w:tc>
        <w:tc>
          <w:tcPr>
            <w:tcW w:w="0" w:type="dxa"/>
            <w:vAlign w:val="bottom"/>
          </w:tcPr>
          <w:p>
            <w:pPr>
              <w:spacing w:after="0"/>
              <w:rPr>
                <w:sz w:val="1"/>
                <w:szCs w:val="1"/>
                <w:color w:val="auto"/>
              </w:rPr>
            </w:pPr>
          </w:p>
        </w:tc>
      </w:tr>
      <w:tr>
        <w:trPr>
          <w:trHeight w:val="26"/>
        </w:trPr>
        <w:tc>
          <w:tcPr>
            <w:tcW w:w="52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Gross proceeds</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5240" w:type="dxa"/>
            <w:vAlign w:val="bottom"/>
          </w:tcPr>
          <w:p>
            <w:pPr>
              <w:ind w:left="180"/>
              <w:spacing w:after="0"/>
              <w:rPr>
                <w:sz w:val="20"/>
                <w:szCs w:val="20"/>
                <w:color w:val="auto"/>
              </w:rPr>
            </w:pPr>
            <w:r>
              <w:rPr>
                <w:rFonts w:ascii="Arial" w:cs="Arial" w:eastAsia="Arial" w:hAnsi="Arial"/>
                <w:sz w:val="18"/>
                <w:szCs w:val="18"/>
                <w:color w:val="auto"/>
              </w:rPr>
              <w:t>Gross proceeds from units offered to public</w:t>
            </w:r>
            <w:r>
              <w:rPr>
                <w:rFonts w:ascii="Arial" w:cs="Arial" w:eastAsia="Arial" w:hAnsi="Arial"/>
                <w:sz w:val="20"/>
                <w:szCs w:val="20"/>
                <w:color w:val="auto"/>
                <w:vertAlign w:val="superscript"/>
              </w:rPr>
              <w:t>(1)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350,000,000</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402,500,000</w:t>
            </w:r>
          </w:p>
        </w:tc>
        <w:tc>
          <w:tcPr>
            <w:tcW w:w="0" w:type="dxa"/>
            <w:vAlign w:val="bottom"/>
          </w:tcPr>
          <w:p>
            <w:pPr>
              <w:spacing w:after="0"/>
              <w:rPr>
                <w:sz w:val="1"/>
                <w:szCs w:val="1"/>
                <w:color w:val="auto"/>
              </w:rPr>
            </w:pPr>
          </w:p>
        </w:tc>
      </w:tr>
      <w:tr>
        <w:trPr>
          <w:trHeight w:val="202"/>
        </w:trPr>
        <w:tc>
          <w:tcPr>
            <w:tcW w:w="52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Gross proceeds from private placement warrants offered in the</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private placement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9,000,000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10,050,000</w:t>
            </w:r>
          </w:p>
        </w:tc>
        <w:tc>
          <w:tcPr>
            <w:tcW w:w="0" w:type="dxa"/>
            <w:vAlign w:val="bottom"/>
          </w:tcPr>
          <w:p>
            <w:pPr>
              <w:spacing w:after="0"/>
              <w:rPr>
                <w:sz w:val="1"/>
                <w:szCs w:val="1"/>
                <w:color w:val="auto"/>
              </w:rPr>
            </w:pPr>
          </w:p>
        </w:tc>
      </w:tr>
      <w:tr>
        <w:trPr>
          <w:trHeight w:val="20"/>
        </w:trPr>
        <w:tc>
          <w:tcPr>
            <w:tcW w:w="5240" w:type="dxa"/>
            <w:vAlign w:val="bottom"/>
            <w:vMerge w:val="restart"/>
          </w:tcPr>
          <w:p>
            <w:pPr>
              <w:ind w:left="360"/>
              <w:spacing w:after="0"/>
              <w:rPr>
                <w:sz w:val="20"/>
                <w:szCs w:val="20"/>
                <w:color w:val="auto"/>
              </w:rPr>
            </w:pPr>
            <w:r>
              <w:rPr>
                <w:rFonts w:ascii="Arial" w:cs="Arial" w:eastAsia="Arial" w:hAnsi="Arial"/>
                <w:sz w:val="18"/>
                <w:szCs w:val="18"/>
                <w:color w:val="auto"/>
              </w:rPr>
              <w:t>Total gross proceeds</w:t>
            </w: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2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359,000,000</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412,550,000</w:t>
            </w:r>
          </w:p>
        </w:tc>
        <w:tc>
          <w:tcPr>
            <w:tcW w:w="0" w:type="dxa"/>
            <w:vAlign w:val="bottom"/>
          </w:tcPr>
          <w:p>
            <w:pPr>
              <w:spacing w:after="0"/>
              <w:rPr>
                <w:sz w:val="1"/>
                <w:szCs w:val="1"/>
                <w:color w:val="auto"/>
              </w:rPr>
            </w:pPr>
          </w:p>
        </w:tc>
      </w:tr>
      <w:tr>
        <w:trPr>
          <w:trHeight w:val="283"/>
        </w:trPr>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Estimated offering expenses</w:t>
            </w:r>
            <w:r>
              <w:rPr>
                <w:rFonts w:ascii="Arial" w:cs="Arial" w:eastAsia="Arial" w:hAnsi="Arial"/>
                <w:sz w:val="20"/>
                <w:szCs w:val="20"/>
                <w:color w:val="auto"/>
                <w:vertAlign w:val="superscript"/>
              </w:rPr>
              <w:t>(2)</w:t>
            </w:r>
          </w:p>
        </w:tc>
        <w:tc>
          <w:tcPr>
            <w:tcW w:w="8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1020" w:type="dxa"/>
            <w:vAlign w:val="bottom"/>
            <w:tcBorders>
              <w:top w:val="single" w:sz="8" w:color="auto"/>
            </w:tcBorders>
            <w:shd w:val="clear" w:color="auto" w:fill="CCEEFF"/>
          </w:tcPr>
          <w:p>
            <w:pPr>
              <w:spacing w:after="0"/>
              <w:rPr>
                <w:sz w:val="24"/>
                <w:szCs w:val="24"/>
                <w:color w:val="auto"/>
              </w:rPr>
            </w:pPr>
          </w:p>
        </w:tc>
        <w:tc>
          <w:tcPr>
            <w:tcW w:w="16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1100" w:type="dxa"/>
            <w:vAlign w:val="bottom"/>
            <w:tcBorders>
              <w:top w:val="single" w:sz="8" w:color="auto"/>
            </w:tcBorders>
            <w:shd w:val="clear" w:color="auto" w:fill="CCEEFF"/>
          </w:tcPr>
          <w:p>
            <w:pPr>
              <w:spacing w:after="0"/>
              <w:rPr>
                <w:sz w:val="24"/>
                <w:szCs w:val="24"/>
                <w:color w:val="auto"/>
              </w:rPr>
            </w:pPr>
          </w:p>
        </w:tc>
        <w:tc>
          <w:tcPr>
            <w:tcW w:w="16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240" w:type="dxa"/>
            <w:vAlign w:val="bottom"/>
          </w:tcPr>
          <w:p>
            <w:pPr>
              <w:ind w:left="180"/>
              <w:spacing w:after="0" w:line="201" w:lineRule="exact"/>
              <w:rPr>
                <w:sz w:val="20"/>
                <w:szCs w:val="20"/>
                <w:color w:val="auto"/>
              </w:rPr>
            </w:pPr>
            <w:r>
              <w:rPr>
                <w:rFonts w:ascii="Arial" w:cs="Arial" w:eastAsia="Arial" w:hAnsi="Arial"/>
                <w:sz w:val="18"/>
                <w:szCs w:val="18"/>
                <w:color w:val="auto"/>
              </w:rPr>
              <w:t>Underwriting commissions (2.0% of gross proceeds from units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240" w:type="dxa"/>
            <w:vAlign w:val="bottom"/>
          </w:tcPr>
          <w:p>
            <w:pPr>
              <w:ind w:left="360"/>
              <w:spacing w:after="0"/>
              <w:rPr>
                <w:sz w:val="20"/>
                <w:szCs w:val="20"/>
                <w:color w:val="auto"/>
              </w:rPr>
            </w:pPr>
            <w:r>
              <w:rPr>
                <w:rFonts w:ascii="Arial" w:cs="Arial" w:eastAsia="Arial" w:hAnsi="Arial"/>
                <w:sz w:val="18"/>
                <w:szCs w:val="18"/>
                <w:color w:val="auto"/>
              </w:rPr>
              <w:t>offered to public, excluding deferred portion)</w:t>
            </w:r>
            <w:r>
              <w:rPr>
                <w:rFonts w:ascii="Arial" w:cs="Arial" w:eastAsia="Arial" w:hAnsi="Arial"/>
                <w:sz w:val="20"/>
                <w:szCs w:val="20"/>
                <w:color w:val="auto"/>
                <w:vertAlign w:val="superscript"/>
              </w:rPr>
              <w:t>(3)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7,000,000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8,050,000</w:t>
            </w:r>
          </w:p>
        </w:tc>
        <w:tc>
          <w:tcPr>
            <w:tcW w:w="0" w:type="dxa"/>
            <w:vAlign w:val="bottom"/>
          </w:tcPr>
          <w:p>
            <w:pPr>
              <w:spacing w:after="0"/>
              <w:rPr>
                <w:sz w:val="1"/>
                <w:szCs w:val="1"/>
                <w:color w:val="auto"/>
              </w:rPr>
            </w:pPr>
          </w:p>
        </w:tc>
      </w:tr>
      <w:tr>
        <w:trPr>
          <w:trHeight w:val="263"/>
        </w:trPr>
        <w:tc>
          <w:tcPr>
            <w:tcW w:w="5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Legal fees and expenses</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325,000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325,000</w:t>
            </w:r>
          </w:p>
        </w:tc>
        <w:tc>
          <w:tcPr>
            <w:tcW w:w="0" w:type="dxa"/>
            <w:vAlign w:val="bottom"/>
          </w:tcPr>
          <w:p>
            <w:pPr>
              <w:spacing w:after="0"/>
              <w:rPr>
                <w:sz w:val="1"/>
                <w:szCs w:val="1"/>
                <w:color w:val="auto"/>
              </w:rPr>
            </w:pPr>
          </w:p>
        </w:tc>
      </w:tr>
      <w:tr>
        <w:trPr>
          <w:trHeight w:val="257"/>
        </w:trPr>
        <w:tc>
          <w:tcPr>
            <w:tcW w:w="5240" w:type="dxa"/>
            <w:vAlign w:val="bottom"/>
          </w:tcPr>
          <w:p>
            <w:pPr>
              <w:ind w:left="180"/>
              <w:spacing w:after="0"/>
              <w:rPr>
                <w:sz w:val="20"/>
                <w:szCs w:val="20"/>
                <w:color w:val="auto"/>
              </w:rPr>
            </w:pPr>
            <w:r>
              <w:rPr>
                <w:rFonts w:ascii="Arial" w:cs="Arial" w:eastAsia="Arial" w:hAnsi="Arial"/>
                <w:sz w:val="18"/>
                <w:szCs w:val="18"/>
                <w:color w:val="auto"/>
              </w:rPr>
              <w:t>Printing and engraving expenses</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Accounting fees and expenses</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57"/>
        </w:trPr>
        <w:tc>
          <w:tcPr>
            <w:tcW w:w="5240" w:type="dxa"/>
            <w:vAlign w:val="bottom"/>
          </w:tcPr>
          <w:p>
            <w:pPr>
              <w:ind w:left="180"/>
              <w:spacing w:after="0"/>
              <w:rPr>
                <w:sz w:val="20"/>
                <w:szCs w:val="20"/>
                <w:color w:val="auto"/>
              </w:rPr>
            </w:pPr>
            <w:r>
              <w:rPr>
                <w:rFonts w:ascii="Arial" w:cs="Arial" w:eastAsia="Arial" w:hAnsi="Arial"/>
                <w:sz w:val="18"/>
                <w:szCs w:val="18"/>
                <w:color w:val="auto"/>
              </w:rPr>
              <w:t>SEC/FINRA Expenses</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113,120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113,120</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Road show expenses</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57"/>
        </w:trPr>
        <w:tc>
          <w:tcPr>
            <w:tcW w:w="5240" w:type="dxa"/>
            <w:vAlign w:val="bottom"/>
          </w:tcPr>
          <w:p>
            <w:pPr>
              <w:ind w:left="180"/>
              <w:spacing w:after="0"/>
              <w:rPr>
                <w:sz w:val="20"/>
                <w:szCs w:val="20"/>
                <w:color w:val="auto"/>
              </w:rPr>
            </w:pPr>
            <w:r>
              <w:rPr>
                <w:rFonts w:ascii="Arial" w:cs="Arial" w:eastAsia="Arial" w:hAnsi="Arial"/>
                <w:sz w:val="18"/>
                <w:szCs w:val="18"/>
                <w:color w:val="auto"/>
              </w:rPr>
              <w:t>Nasdaq listing and filing fees</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Directors and officers insurance</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125,000</w:t>
            </w:r>
          </w:p>
        </w:tc>
        <w:tc>
          <w:tcPr>
            <w:tcW w:w="0" w:type="dxa"/>
            <w:vAlign w:val="bottom"/>
          </w:tcPr>
          <w:p>
            <w:pPr>
              <w:spacing w:after="0"/>
              <w:rPr>
                <w:sz w:val="1"/>
                <w:szCs w:val="1"/>
                <w:color w:val="auto"/>
              </w:rPr>
            </w:pPr>
          </w:p>
        </w:tc>
      </w:tr>
      <w:tr>
        <w:trPr>
          <w:trHeight w:val="277"/>
        </w:trPr>
        <w:tc>
          <w:tcPr>
            <w:tcW w:w="5240" w:type="dxa"/>
            <w:vAlign w:val="bottom"/>
          </w:tcPr>
          <w:p>
            <w:pPr>
              <w:ind w:left="180"/>
              <w:spacing w:after="0"/>
              <w:rPr>
                <w:sz w:val="20"/>
                <w:szCs w:val="20"/>
                <w:color w:val="auto"/>
              </w:rPr>
            </w:pPr>
            <w:r>
              <w:rPr>
                <w:rFonts w:ascii="Arial" w:cs="Arial" w:eastAsia="Arial" w:hAnsi="Arial"/>
                <w:sz w:val="18"/>
                <w:szCs w:val="18"/>
                <w:color w:val="auto"/>
              </w:rPr>
              <w:t>Miscellaneous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246,880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246,880</w:t>
            </w:r>
          </w:p>
        </w:tc>
        <w:tc>
          <w:tcPr>
            <w:tcW w:w="0" w:type="dxa"/>
            <w:vAlign w:val="bottom"/>
          </w:tcPr>
          <w:p>
            <w:pPr>
              <w:spacing w:after="0"/>
              <w:rPr>
                <w:sz w:val="1"/>
                <w:szCs w:val="1"/>
                <w:color w:val="auto"/>
              </w:rPr>
            </w:pPr>
          </w:p>
        </w:tc>
      </w:tr>
      <w:tr>
        <w:trPr>
          <w:trHeight w:val="188"/>
        </w:trPr>
        <w:tc>
          <w:tcPr>
            <w:tcW w:w="5240" w:type="dxa"/>
            <w:vAlign w:val="bottom"/>
            <w:tcBorders>
              <w:top w:val="single" w:sz="8" w:color="CCEEFF"/>
            </w:tcBorders>
            <w:shd w:val="clear" w:color="auto" w:fill="CCEEFF"/>
          </w:tcPr>
          <w:p>
            <w:pPr>
              <w:ind w:left="360"/>
              <w:spacing w:after="0" w:line="189" w:lineRule="exact"/>
              <w:rPr>
                <w:sz w:val="20"/>
                <w:szCs w:val="20"/>
                <w:color w:val="auto"/>
              </w:rPr>
            </w:pPr>
            <w:r>
              <w:rPr>
                <w:rFonts w:ascii="Arial" w:cs="Arial" w:eastAsia="Arial" w:hAnsi="Arial"/>
                <w:sz w:val="18"/>
                <w:szCs w:val="18"/>
                <w:color w:val="auto"/>
              </w:rPr>
              <w:t>Total offering expenses (other than underwriting</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commissions)</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tcPr>
          <w:p>
            <w:pPr>
              <w:spacing w:after="0"/>
              <w:rPr>
                <w:sz w:val="20"/>
                <w:szCs w:val="20"/>
                <w:color w:val="auto"/>
              </w:rPr>
            </w:pPr>
            <w:r>
              <w:rPr>
                <w:rFonts w:ascii="Arial" w:cs="Arial" w:eastAsia="Arial" w:hAnsi="Arial"/>
                <w:sz w:val="18"/>
                <w:szCs w:val="18"/>
                <w:color w:val="auto"/>
              </w:rPr>
              <w:t>Proceeds after estimated offering expenses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351,000,000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403,500,000</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Held in trust account</w:t>
            </w:r>
            <w:r>
              <w:rPr>
                <w:rFonts w:ascii="Arial" w:cs="Arial" w:eastAsia="Arial" w:hAnsi="Arial"/>
                <w:sz w:val="20"/>
                <w:szCs w:val="20"/>
                <w:color w:val="auto"/>
                <w:vertAlign w:val="superscript"/>
              </w:rPr>
              <w:t>(3)</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350,000,000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402,500,000</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tcPr>
          <w:p>
            <w:pPr>
              <w:spacing w:after="0"/>
              <w:rPr>
                <w:sz w:val="20"/>
                <w:szCs w:val="20"/>
                <w:color w:val="auto"/>
              </w:rPr>
            </w:pPr>
            <w:r>
              <w:rPr>
                <w:rFonts w:ascii="Arial" w:cs="Arial" w:eastAsia="Arial" w:hAnsi="Arial"/>
                <w:sz w:val="18"/>
                <w:szCs w:val="18"/>
                <w:color w:val="auto"/>
              </w:rPr>
              <w:t>% of public offering size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Not held in trust account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60" w:right="779"/>
        <w:spacing w:after="0" w:line="273" w:lineRule="auto"/>
        <w:rPr>
          <w:sz w:val="20"/>
          <w:szCs w:val="20"/>
          <w:color w:val="auto"/>
        </w:rPr>
      </w:pPr>
      <w:r>
        <w:rPr>
          <w:rFonts w:ascii="Arial" w:cs="Arial" w:eastAsia="Arial" w:hAnsi="Arial"/>
          <w:sz w:val="18"/>
          <w:szCs w:val="18"/>
          <w:color w:val="auto"/>
        </w:rPr>
        <w:t>The following table shows the use of the approximately $1,000,000 of net proceeds not held in the trust account</w:t>
      </w:r>
      <w:r>
        <w:rPr>
          <w:rFonts w:ascii="Arial" w:cs="Arial" w:eastAsia="Arial" w:hAnsi="Arial"/>
          <w:sz w:val="20"/>
          <w:szCs w:val="20"/>
          <w:color w:val="auto"/>
          <w:vertAlign w:val="superscript"/>
        </w:rPr>
        <w:t>(4)</w:t>
      </w:r>
    </w:p>
    <w:p>
      <w:pPr>
        <w:spacing w:after="0" w:line="152"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Amount</w:t>
            </w:r>
          </w:p>
        </w:tc>
        <w:tc>
          <w:tcPr>
            <w:tcW w:w="14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 of Total</w:t>
            </w:r>
          </w:p>
        </w:tc>
      </w:tr>
      <w:tr>
        <w:trPr>
          <w:trHeight w:val="25"/>
        </w:trPr>
        <w:tc>
          <w:tcPr>
            <w:tcW w:w="5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182"/>
        </w:trPr>
        <w:tc>
          <w:tcPr>
            <w:tcW w:w="53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Legal, accounting, due diligence, travel, and other expenses in</w:t>
            </w: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44"/>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connection with any business combination</w:t>
            </w:r>
            <w:r>
              <w:rPr>
                <w:rFonts w:ascii="Arial" w:cs="Arial" w:eastAsia="Arial" w:hAnsi="Arial"/>
                <w:sz w:val="20"/>
                <w:szCs w:val="20"/>
                <w:color w:val="auto"/>
                <w:vertAlign w:val="superscript"/>
              </w:rPr>
              <w:t>(5)</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740,000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74.0%</w:t>
            </w:r>
          </w:p>
        </w:tc>
      </w:tr>
      <w:tr>
        <w:trPr>
          <w:trHeight w:val="202"/>
        </w:trPr>
        <w:tc>
          <w:tcPr>
            <w:tcW w:w="5360" w:type="dxa"/>
            <w:vAlign w:val="bottom"/>
          </w:tcPr>
          <w:p>
            <w:pPr>
              <w:spacing w:after="0" w:line="201" w:lineRule="exact"/>
              <w:rPr>
                <w:sz w:val="20"/>
                <w:szCs w:val="20"/>
                <w:color w:val="auto"/>
              </w:rPr>
            </w:pPr>
            <w:r>
              <w:rPr>
                <w:rFonts w:ascii="Arial" w:cs="Arial" w:eastAsia="Arial" w:hAnsi="Arial"/>
                <w:sz w:val="18"/>
                <w:szCs w:val="18"/>
                <w:color w:val="auto"/>
              </w:rPr>
              <w:t>Legal and accounting fees related to regulatory reporting</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7"/>
        </w:trPr>
        <w:tc>
          <w:tcPr>
            <w:tcW w:w="5360" w:type="dxa"/>
            <w:vAlign w:val="bottom"/>
          </w:tcPr>
          <w:p>
            <w:pPr>
              <w:ind w:left="180"/>
              <w:spacing w:after="0"/>
              <w:rPr>
                <w:sz w:val="20"/>
                <w:szCs w:val="20"/>
                <w:color w:val="auto"/>
              </w:rPr>
            </w:pPr>
            <w:r>
              <w:rPr>
                <w:rFonts w:ascii="Arial" w:cs="Arial" w:eastAsia="Arial" w:hAnsi="Arial"/>
                <w:sz w:val="18"/>
                <w:szCs w:val="18"/>
                <w:color w:val="auto"/>
              </w:rPr>
              <w:t>obligations</w:t>
            </w:r>
          </w:p>
        </w:tc>
        <w:tc>
          <w:tcPr>
            <w:tcW w:w="2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85,000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8.5%</w:t>
            </w:r>
          </w:p>
        </w:tc>
      </w:tr>
      <w:tr>
        <w:trPr>
          <w:trHeight w:val="27"/>
        </w:trPr>
        <w:tc>
          <w:tcPr>
            <w:tcW w:w="5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63"/>
        </w:trPr>
        <w:tc>
          <w:tcPr>
            <w:tcW w:w="5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Nasdaq and other regulatory fees</w:t>
            </w: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75,000</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02"/>
        </w:trPr>
        <w:tc>
          <w:tcPr>
            <w:tcW w:w="5360" w:type="dxa"/>
            <w:vAlign w:val="bottom"/>
          </w:tcPr>
          <w:p>
            <w:pPr>
              <w:spacing w:after="0" w:line="201" w:lineRule="exact"/>
              <w:rPr>
                <w:sz w:val="20"/>
                <w:szCs w:val="20"/>
                <w:color w:val="auto"/>
              </w:rPr>
            </w:pPr>
            <w:r>
              <w:rPr>
                <w:rFonts w:ascii="Arial" w:cs="Arial" w:eastAsia="Arial" w:hAnsi="Arial"/>
                <w:sz w:val="18"/>
                <w:szCs w:val="18"/>
                <w:color w:val="auto"/>
              </w:rPr>
              <w:t>Consulting, travel and miscellaneous expenses incurred during</w:t>
            </w: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7"/>
        </w:trPr>
        <w:tc>
          <w:tcPr>
            <w:tcW w:w="5360" w:type="dxa"/>
            <w:vAlign w:val="bottom"/>
          </w:tcPr>
          <w:p>
            <w:pPr>
              <w:ind w:left="180"/>
              <w:spacing w:after="0"/>
              <w:rPr>
                <w:sz w:val="20"/>
                <w:szCs w:val="20"/>
                <w:color w:val="auto"/>
              </w:rPr>
            </w:pPr>
            <w:r>
              <w:rPr>
                <w:rFonts w:ascii="Arial" w:cs="Arial" w:eastAsia="Arial" w:hAnsi="Arial"/>
                <w:sz w:val="18"/>
                <w:szCs w:val="18"/>
                <w:color w:val="auto"/>
              </w:rPr>
              <w:t>search for initial business combination target</w:t>
            </w:r>
          </w:p>
        </w:tc>
        <w:tc>
          <w:tcPr>
            <w:tcW w:w="2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75,000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7.5%</w:t>
            </w:r>
          </w:p>
        </w:tc>
      </w:tr>
      <w:tr>
        <w:trPr>
          <w:trHeight w:val="27"/>
        </w:trPr>
        <w:tc>
          <w:tcPr>
            <w:tcW w:w="5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77"/>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to cover miscellaneous expenses</w:t>
            </w:r>
          </w:p>
        </w:tc>
        <w:tc>
          <w:tcPr>
            <w:tcW w:w="2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5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97"/>
        </w:trPr>
        <w:tc>
          <w:tcPr>
            <w:tcW w:w="536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1,000,000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64"/>
        </w:trPr>
        <w:tc>
          <w:tcPr>
            <w:tcW w:w="536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r>
    </w:tbl>
    <w:p>
      <w:pPr>
        <w:spacing w:after="0" w:line="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73" w:lineRule="exact"/>
        <w:rPr>
          <w:sz w:val="20"/>
          <w:szCs w:val="20"/>
          <w:color w:val="auto"/>
        </w:rPr>
      </w:pPr>
    </w:p>
    <w:p>
      <w:pPr>
        <w:ind w:left="880" w:right="639" w:hanging="426"/>
        <w:spacing w:after="0" w:line="216" w:lineRule="auto"/>
        <w:tabs>
          <w:tab w:leader="none" w:pos="882" w:val="left"/>
        </w:tabs>
        <w:numPr>
          <w:ilvl w:val="0"/>
          <w:numId w:val="30"/>
        </w:numPr>
        <w:rPr>
          <w:rFonts w:ascii="Arial" w:cs="Arial" w:eastAsia="Arial" w:hAnsi="Arial"/>
          <w:sz w:val="13"/>
          <w:szCs w:val="13"/>
          <w:color w:val="auto"/>
        </w:rPr>
      </w:pPr>
      <w:r>
        <w:rPr>
          <w:rFonts w:ascii="Arial" w:cs="Arial" w:eastAsia="Arial" w:hAnsi="Arial"/>
          <w:sz w:val="13"/>
          <w:szCs w:val="13"/>
          <w:color w:val="auto"/>
        </w:rPr>
        <w:t>Includes amounts payable to public stockholders who properly redeem their shares in connection with our successful completion of our initial business combination.</w:t>
      </w:r>
    </w:p>
    <w:p>
      <w:pPr>
        <w:ind w:left="880" w:right="499" w:hanging="426"/>
        <w:spacing w:after="0" w:line="223" w:lineRule="auto"/>
        <w:tabs>
          <w:tab w:leader="none" w:pos="875" w:val="left"/>
        </w:tabs>
        <w:numPr>
          <w:ilvl w:val="0"/>
          <w:numId w:val="30"/>
        </w:numPr>
        <w:rPr>
          <w:rFonts w:ascii="Arial" w:cs="Arial" w:eastAsia="Arial" w:hAnsi="Arial"/>
          <w:sz w:val="13"/>
          <w:szCs w:val="13"/>
          <w:color w:val="auto"/>
        </w:rPr>
      </w:pPr>
      <w:r>
        <w:rPr>
          <w:rFonts w:ascii="Arial" w:cs="Arial" w:eastAsia="Arial" w:hAnsi="Arial"/>
          <w:sz w:val="13"/>
          <w:szCs w:val="13"/>
          <w:color w:val="auto"/>
        </w:rPr>
        <w:t>A portion of the offering expenses will be paid from the proceeds of loans from our sponsor of up to $300,000 as described in this prospectus. These loans will be repaid upon completion of this offering out of the $1,000,000 of offering proceeds that has been allocated for the payment of offering expenses other than underwriting commissions. In the event that offering expenses are less than set forth in this table, any such amounts will be used for post-closing working capital expenses.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68" w:name="page69"/>
    <w:bookmarkEnd w:id="68"/>
    <w:p>
      <w:pPr>
        <w:ind w:left="880" w:right="499" w:hanging="426"/>
        <w:spacing w:after="0" w:line="216" w:lineRule="auto"/>
        <w:tabs>
          <w:tab w:leader="none" w:pos="8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 underwriters have agreed to defer underwriting commissions of 3.5% of the gross proceeds of this offering. Upon and concurrently with the completion of our initial business combination, up to $12,250,000, which constitutes the underwriters’ deferred commissions (or up to $14,087,500 if the underwriters’ over-allotment option is exercised in full) will be paid to the underwriters from the funds held in the trust account. See “Underwriting”. The remaining funds, less amounts released to the trustee to pay redeeming stockholders, will be released to us and can be used to pay all or a portion of the purchase price of the business or businesses with which our initial business combination occurs or for general corporate purposes, including payment of principal or interest on indebtedness incurred in connection with our initial business combination, to fund the purchases of other companies or for working capital. The underwriters will not be entitled to any interest accrued on the deferred underwriting discounts and commissions.</w:t>
      </w:r>
    </w:p>
    <w:p>
      <w:pPr>
        <w:spacing w:after="0" w:line="3" w:lineRule="exact"/>
        <w:rPr>
          <w:rFonts w:ascii="Arial" w:cs="Arial" w:eastAsia="Arial" w:hAnsi="Arial"/>
          <w:sz w:val="13"/>
          <w:szCs w:val="13"/>
          <w:color w:val="auto"/>
        </w:rPr>
      </w:pPr>
    </w:p>
    <w:p>
      <w:pPr>
        <w:ind w:left="880" w:right="479" w:hanging="426"/>
        <w:spacing w:after="0" w:line="216" w:lineRule="auto"/>
        <w:tabs>
          <w:tab w:leader="none" w:pos="8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These expenses are estimates only. Our actual expenditures for some or all of these items may differ from the estimates set forth herein. For example, we may incur greater legal and accounting expenses than our current estimates in connection with negotiating and structuring our initial business combination based upon the level of complexity of such business combination. In the event we identify a business combination target in a specific industry subject to specific regulations, we may incur additional expenses associated with legal due diligence and the engagement of special legal counsel. In addition, our staffing needs may vary and as a result, we may engage a number of consultants to assist with legal and financial due diligence. We do not anticipate any change in our intended use of proceeds, other than fluctuations among the current categories of allocated expenses, which fluctuations, to the extent they exceed current estimates for any specific category of expenses, would not be available for our expenses. The amount in the table above does not include interest available to us from the trust account. 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We estimate the interest earned on the trust account will be approximately $350,000 per year, assuming an interest rate of 0.1% per year; however, we can provide no assurances regarding this amount.</w:t>
      </w:r>
    </w:p>
    <w:p>
      <w:pPr>
        <w:spacing w:after="0" w:line="5" w:lineRule="exact"/>
        <w:rPr>
          <w:rFonts w:ascii="Arial" w:cs="Arial" w:eastAsia="Arial" w:hAnsi="Arial"/>
          <w:sz w:val="13"/>
          <w:szCs w:val="13"/>
          <w:color w:val="auto"/>
        </w:rPr>
      </w:pPr>
    </w:p>
    <w:p>
      <w:pPr>
        <w:ind w:left="880" w:right="599" w:hanging="426"/>
        <w:spacing w:after="0" w:line="230" w:lineRule="auto"/>
        <w:tabs>
          <w:tab w:leader="none" w:pos="882" w:val="left"/>
        </w:tabs>
        <w:numPr>
          <w:ilvl w:val="0"/>
          <w:numId w:val="31"/>
        </w:numPr>
        <w:rPr>
          <w:rFonts w:ascii="Arial" w:cs="Arial" w:eastAsia="Arial" w:hAnsi="Arial"/>
          <w:sz w:val="13"/>
          <w:szCs w:val="13"/>
          <w:color w:val="auto"/>
        </w:rPr>
      </w:pPr>
      <w:r>
        <w:rPr>
          <w:rFonts w:ascii="Arial" w:cs="Arial" w:eastAsia="Arial" w:hAnsi="Arial"/>
          <w:sz w:val="13"/>
          <w:szCs w:val="13"/>
          <w:color w:val="auto"/>
        </w:rPr>
        <w:t>Includes estimated amounts that may also be used in connection with our initial business combination to fund a “no shop” provision and commitment fees for financing.</w:t>
      </w:r>
    </w:p>
    <w:p>
      <w:pPr>
        <w:spacing w:after="0" w:line="137" w:lineRule="exact"/>
        <w:rPr>
          <w:sz w:val="20"/>
          <w:szCs w:val="20"/>
          <w:color w:val="auto"/>
        </w:rPr>
      </w:pPr>
    </w:p>
    <w:p>
      <w:pPr>
        <w:ind w:left="460" w:right="539"/>
        <w:spacing w:after="0" w:line="235" w:lineRule="auto"/>
        <w:rPr>
          <w:sz w:val="20"/>
          <w:szCs w:val="20"/>
          <w:color w:val="auto"/>
        </w:rPr>
      </w:pPr>
      <w:r>
        <w:rPr>
          <w:rFonts w:ascii="Arial" w:cs="Arial" w:eastAsia="Arial" w:hAnsi="Arial"/>
          <w:sz w:val="18"/>
          <w:szCs w:val="18"/>
          <w:color w:val="auto"/>
        </w:rPr>
        <w:t>Nasdaq rules provide that at least 90% of the gross proceeds from this offering and the sale of the private placement warrants be deposited in a trust account. Of the $359.00 million in gross proceeds we receive from this offering and the sale of the private placement warrants described in this prospectus, or $412.55 million if the underwriters’ over-allotment option is exercised in full, $350.0 million ($10.00 per unit), or $402.5 million if the underwriters’ over-allotment option is exercised in full ($10.00 per unit), will be deposited into a trust account with Continental Stock Transfer &amp; Trust Company acting as trustee, after deducting $7.00 million in underwriting discounts and commissions payable upon the closing of this offering (or $8.05 million if the underwriters’ over-allotment option is exercised in full) and an aggregate of $2.0 million to pay fees and expenses in connection with the closing of this offering and for working capital following this offering. The proceeds held in the trust account will be invested only in U.S. government treasury bills with a maturity of 185 days or less or in money market funds meeting certain conditions under Rule 2a-7 under the Investment Company Act which invest only in direct U.S. government treasury obligations. We estimate the interest earned on the trust account will be approximately $350,000 per year, assuming an interest rate of 0.1% per year; however, we can provide no assurances regarding this amount.</w:t>
      </w:r>
    </w:p>
    <w:p>
      <w:pPr>
        <w:spacing w:after="0" w:line="132" w:lineRule="exact"/>
        <w:rPr>
          <w:sz w:val="20"/>
          <w:szCs w:val="20"/>
          <w:color w:val="auto"/>
        </w:rPr>
      </w:pPr>
    </w:p>
    <w:p>
      <w:pPr>
        <w:ind w:left="460" w:right="559"/>
        <w:spacing w:after="0" w:line="251" w:lineRule="auto"/>
        <w:rPr>
          <w:sz w:val="20"/>
          <w:szCs w:val="20"/>
          <w:color w:val="auto"/>
        </w:rPr>
      </w:pPr>
      <w:r>
        <w:rPr>
          <w:rFonts w:ascii="Arial" w:cs="Arial" w:eastAsia="Arial" w:hAnsi="Arial"/>
          <w:sz w:val="17"/>
          <w:szCs w:val="17"/>
          <w:color w:val="auto"/>
        </w:rPr>
        <w:t>We expect that the interest earned on the trust account will be sufficient to pay income taxes. We will not be permitted to withdraw any of the principal or interest held in the trust account, except for the withdrawal of interest to pay our taxes, until the earliest of (i) the completion of our initial business combination, (ii) the redemption of our public shares if we are unable to complete our initial business combination within 24 months from the closing of this offering, subject to applicable law, and (iii) the redemption of our public shares properly submitted in connection with a stockholder vote to approve an amendment to our amended and restated certificate of incorporation to modify the substance or timing of our obligation to redeem 100% of our public shares if we have not consummated our initial business combination within 24 months from the closing of this offering or with respect to any other material provisions relating to stockholders’ rights or pre-initial business combination activity.</w:t>
      </w:r>
    </w:p>
    <w:p>
      <w:pPr>
        <w:spacing w:after="0" w:line="129"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The net proceeds held in the trust account may be used as consideration to pay the sellers of a target business with which we ultimately complete our initial business combination. If our initial business combination is paid for using equity or debt securities, or not all of the funds released from the trust account are used for payment of the consideration in connection with our initial business combination, we may apply the balance of the cash released from the trust account for general corporate purposes, including for maintenance or expansion of operations of the post-transaction company, the payment of principal or interest due on indebtedness incurred in completing our initial business combination, to fund the purchase of other companies or for working capital. There is no limitation on our ability to raise funds through the issuance of equity-linked securities or through loans, advances or other indebtedness in connection with our initial business combination, including pursuant to forward purchase agreements or backstop arrangements we may enter into following consummation of this offering. However, our amended and restated certificate of incorporation provides that, following this offering and prior to the consummation of our initial business combination, we will be prohibited from issuing additional securities that would entitle the holders thereof to (i) receive funds from the trust account or (ii) vote as a class with our public shares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9" w:name="page70"/>
    <w:bookmarkEnd w:id="69"/>
    <w:p>
      <w:pPr>
        <w:ind w:left="460" w:right="519" w:hanging="6"/>
        <w:spacing w:after="0" w:line="261" w:lineRule="auto"/>
        <w:tabs>
          <w:tab w:leader="none" w:pos="73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on any initial business combination or (b) to approve an amendment to our amended and restated certificate of incorporation to (x) extend the time we have to consummate a business combination beyond 24 months from the closing of this offering or (y) amend the foregoing provisions.</w:t>
      </w:r>
    </w:p>
    <w:p>
      <w:pPr>
        <w:spacing w:after="0" w:line="105" w:lineRule="exact"/>
        <w:rPr>
          <w:sz w:val="20"/>
          <w:szCs w:val="20"/>
          <w:color w:val="auto"/>
        </w:rPr>
      </w:pPr>
    </w:p>
    <w:p>
      <w:pPr>
        <w:ind w:left="460" w:right="539"/>
        <w:spacing w:after="0" w:line="236" w:lineRule="auto"/>
        <w:rPr>
          <w:sz w:val="20"/>
          <w:szCs w:val="20"/>
          <w:color w:val="auto"/>
        </w:rPr>
      </w:pPr>
      <w:r>
        <w:rPr>
          <w:rFonts w:ascii="Arial" w:cs="Arial" w:eastAsia="Arial" w:hAnsi="Arial"/>
          <w:sz w:val="18"/>
          <w:szCs w:val="18"/>
          <w:color w:val="auto"/>
        </w:rPr>
        <w:t>We believe that amounts not held in trust will be sufficient to pay the costs and expenses to which such proceeds are allocated. This belief is based on the fact that while we may begin preliminary due diligence of a target business in connection with an indication of interest, we intend to undertake in-depth due diligence, depending on the circumstances of the relevant prospective business combination, only after we have negotiated and signed a letter of intent or other preliminary agreement that addresses the terms of a business combination. However, if our estimate of the costs of undertaking in-depth due diligence and negotiating a business combination is less than the actual amount necessary to do so, we may be required to raise additional capital, the amount, availability and cost of which is currently unascertainable. If we are required to seek additional capital, we could seek such additional capital through loans or additional investments from our sponsor, members of our management team or any of their affiliates, but such persons are not under any obligation to advance funds to, or invest in, us.</w:t>
      </w:r>
    </w:p>
    <w:p>
      <w:pPr>
        <w:spacing w:after="0" w:line="136" w:lineRule="exact"/>
        <w:rPr>
          <w:sz w:val="20"/>
          <w:szCs w:val="20"/>
          <w:color w:val="auto"/>
        </w:rPr>
      </w:pPr>
    </w:p>
    <w:p>
      <w:pPr>
        <w:ind w:left="460" w:right="519"/>
        <w:spacing w:after="0" w:line="238" w:lineRule="auto"/>
        <w:rPr>
          <w:sz w:val="20"/>
          <w:szCs w:val="20"/>
          <w:color w:val="auto"/>
        </w:rPr>
      </w:pPr>
      <w:r>
        <w:rPr>
          <w:rFonts w:ascii="Arial" w:cs="Arial" w:eastAsia="Arial" w:hAnsi="Arial"/>
          <w:sz w:val="18"/>
          <w:szCs w:val="18"/>
          <w:color w:val="auto"/>
        </w:rPr>
        <w:t>Prior to the closing of this offering, our sponsor has agreed to loan us up to $300,000 to be used for a portion of the expenses of this offering. These loans are non-interest bearing, unsecured and are due at the earlier of December 31, 2020 or the closing of this offering. The loan will be repaid upon the closing of this offering out of the $1,000,000 of offering proceeds that has been allocated to the payment of offering expenses.</w:t>
      </w:r>
    </w:p>
    <w:p>
      <w:pPr>
        <w:spacing w:after="0" w:line="135" w:lineRule="exact"/>
        <w:rPr>
          <w:sz w:val="20"/>
          <w:szCs w:val="20"/>
          <w:color w:val="auto"/>
        </w:rPr>
      </w:pPr>
    </w:p>
    <w:p>
      <w:pPr>
        <w:ind w:left="460" w:right="519"/>
        <w:spacing w:after="0" w:line="250" w:lineRule="auto"/>
        <w:rPr>
          <w:sz w:val="20"/>
          <w:szCs w:val="20"/>
          <w:color w:val="auto"/>
        </w:rPr>
      </w:pPr>
      <w:r>
        <w:rPr>
          <w:rFonts w:ascii="Arial" w:cs="Arial" w:eastAsia="Arial" w:hAnsi="Arial"/>
          <w:sz w:val="17"/>
          <w:szCs w:val="17"/>
          <w:color w:val="auto"/>
        </w:rPr>
        <w:t>In addition, in order to finance transaction costs in connection with an intended initial business combination, our sponsor or an affiliate of our sponsor or certain of our officers and directors may, but are not obligated to, loan us funds as may be required. If we complete our initial business combination, we would repay such loaned amounts. In the event that our initial business combination does not close, we may use a portion of the working capital held outside the trust account to repay such loaned amounts but no proceeds from our trust account would be used to repay such loaned amounts. Up to $1,500,000 of such loans may be convertible into warrants of the post business combination entity at a price of $1.50 per warrant at the option of the lender. The warrants would be identical to the private placement warrants. Except as set forth above, the terms of such loans, if any, have not been determined and no written agreements exist with respect to such loans.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120"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We have entered into separate forward purchase agreements with affiliates of our sponsor, Casdin Capital and Corvex Management, in their capacities as investment advisors on behalf of their Clients, pursuant to which, subject to the conditions described below, they will cause certain Clients to purchase from us up to an aggregate amount of 15,000,000 shares of Class A common stock, or the forward purchase shares, for $10.00 per forward purchase share, or an aggregate amount of up to $150,000,000, in a private placement that will close concurrently with the closing of our initial business combination. The amount of forward purchase shares sold pursuant to the forward purchase agreements will be determined in our discretion based on our need for additional capital to consummate the initial business combination. Under each forward purchase agreement, we are required to approach Casdin Capital and Corvex Management if we propose to raise additional capital by issuing any equity, or securities convertible into, exchangeable or exercisable for equity securities in connection with the initial business combination. The respective obligations of Casdin Capital and Corvex Management to cause Clients to purchase forward purchase shares will, among other things, be conditioned on our completing an initial business combination with a company engaged in a business that is within the investment objectives of the Clients purchasing forward purchase shares and on the business combination (including the target assets or business, and the terms of the business combination) being reasonably acceptable to such Clients as determined by Casdin Capital or Corvex Management, as relevant, as investment advisors on behalf of such Clients. In determining whether a target is reasonably acceptable to Clients, we expect that Casdin Capital or Corvex Management, as relevant, would consider many of the same criteria as we will consider, but will also consider whether the investment is an appropriate investment for such Clients. Each of Casdin Capital and Corvex Management will have the right to transfer a portion of the purchase obligation under the forward purchase agreement to third parties, or upon mutual agreement, to each other, subject to compliance with applicable securities laws. To the extent that we obtain alternative financing to fund the initial business combination and the Clients participate in such financing, the aggregate commitment under the forward purchase agreement will be reduced by the amount of such alternative financing.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166"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We have not paid any cash dividends on our common stock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If we increase or decrease the size of this offering pursuant to Rule 462(b) under the Securities Act, we will effect a stock dividend or share contribution back to capital or other appropriate mechanism immediately prior to the consummation of this offering in such amount as to maintain the number of founder shares at 20.0% of our issued and outstanding common stock upon the consummation of this offering. Further, if we incur any indebtedness in connection with our initial business combination, our ability to declare dividends may be limited by restrictive covenants we may agree to in connection therewith.</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DILUTION</w:t>
      </w:r>
    </w:p>
    <w:p>
      <w:pPr>
        <w:spacing w:after="0" w:line="166" w:lineRule="exact"/>
        <w:rPr>
          <w:sz w:val="20"/>
          <w:szCs w:val="20"/>
          <w:color w:val="auto"/>
        </w:rPr>
      </w:pPr>
    </w:p>
    <w:p>
      <w:pPr>
        <w:ind w:left="460" w:right="579"/>
        <w:spacing w:after="0" w:line="236" w:lineRule="auto"/>
        <w:rPr>
          <w:sz w:val="20"/>
          <w:szCs w:val="20"/>
          <w:color w:val="auto"/>
        </w:rPr>
      </w:pPr>
      <w:r>
        <w:rPr>
          <w:rFonts w:ascii="Arial" w:cs="Arial" w:eastAsia="Arial" w:hAnsi="Arial"/>
          <w:sz w:val="18"/>
          <w:szCs w:val="18"/>
          <w:color w:val="auto"/>
        </w:rPr>
        <w:t>The difference between the public offering price per share of Class A common stock, assuming no value is attributed to the warrants included in the units we are offering pursuant to this prospectus or the private placement warrants, and the pro forma net tangible book value per share of our Class A common stock after this offering constitutes the dilution to investors in this offering. Such calculation does not reflect any dilution associated with the sale and exercise of warrants, including the private placement warrants, which would cause the actual dilution to the public stockholders to be higher, particularly where a cashless exercise is utilized. Net tangible book value per share is determined by dividing our net tangible book value, which is our total tangible assets less total liabilities (including the value of shares of Class A common stock which may be redeemed for cash), by the number of shares of outstanding Class A common stock.</w:t>
      </w:r>
    </w:p>
    <w:p>
      <w:pPr>
        <w:spacing w:after="0" w:line="125"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At July 16, 2020, our net tangible book deficit was $67,681, or approximately $(0.01) per share of common stock. After giving effect to the sale of 35,000,000 shares of Class A common stock included in the units we are offering by this prospectus (or 40,250,000 shares of Class A common stock if the underwriters’ over-allotment option is exercised in full), the sale of the private placement warrants and the deduction of underwriting commissions and estimated expenses of this offering, our pro forma net tangible book value at July 16, 2020 would have been $5,000,009 or $0.48 per share (or $0.42 per share if the underwriters’ over-allotment option is exercised in full), representing an immediate increase in net tangible book value (as decreased by the value of 33,377,231 shares of Class A common stock that may be redeemed for cash, or 38,443,481 shares of Class A common stock if the underwriters’ over-allotment option is exercised in full) of $0.49 per share (or $0.43 if the underwriters’ over-allotment option is exercised in full) to our initial stockholders as of the date of this prospectus. Total dilution to public stockholders from this offering will be $9.52 per share (or $9.58 if the underwriters’ over-allotment option is exercised in full).</w:t>
      </w:r>
    </w:p>
    <w:p>
      <w:pPr>
        <w:spacing w:after="0" w:line="135" w:lineRule="exact"/>
        <w:rPr>
          <w:sz w:val="20"/>
          <w:szCs w:val="20"/>
          <w:color w:val="auto"/>
        </w:rPr>
      </w:pPr>
    </w:p>
    <w:p>
      <w:pPr>
        <w:ind w:left="460" w:right="699"/>
        <w:spacing w:after="0" w:line="274" w:lineRule="auto"/>
        <w:rPr>
          <w:sz w:val="20"/>
          <w:szCs w:val="20"/>
          <w:color w:val="auto"/>
        </w:rPr>
      </w:pPr>
      <w:r>
        <w:rPr>
          <w:rFonts w:ascii="Arial" w:cs="Arial" w:eastAsia="Arial" w:hAnsi="Arial"/>
          <w:sz w:val="17"/>
          <w:szCs w:val="17"/>
          <w:color w:val="auto"/>
        </w:rPr>
        <w:t>The following table illustrates the dilution to the public stockholders on a per-share basis, assuming no value is attributed to the warrants included in the units or the private placement warrants:</w:t>
      </w:r>
    </w:p>
    <w:p>
      <w:pPr>
        <w:spacing w:after="0" w:line="122"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5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Without</w:t>
            </w:r>
          </w:p>
        </w:tc>
        <w:tc>
          <w:tcPr>
            <w:tcW w:w="260" w:type="dxa"/>
            <w:vAlign w:val="bottom"/>
          </w:tcPr>
          <w:p>
            <w:pPr>
              <w:spacing w:after="0"/>
              <w:rPr>
                <w:sz w:val="14"/>
                <w:szCs w:val="14"/>
                <w:color w:val="auto"/>
              </w:rPr>
            </w:pPr>
          </w:p>
        </w:tc>
        <w:tc>
          <w:tcPr>
            <w:tcW w:w="960" w:type="dxa"/>
            <w:vAlign w:val="bottom"/>
          </w:tcPr>
          <w:p>
            <w:pPr>
              <w:jc w:val="right"/>
              <w:ind w:right="393"/>
              <w:spacing w:after="0"/>
              <w:rPr>
                <w:sz w:val="20"/>
                <w:szCs w:val="20"/>
                <w:color w:val="auto"/>
              </w:rPr>
            </w:pPr>
            <w:r>
              <w:rPr>
                <w:rFonts w:ascii="Arial" w:cs="Arial" w:eastAsia="Arial" w:hAnsi="Arial"/>
                <w:sz w:val="14"/>
                <w:szCs w:val="14"/>
                <w:b w:val="1"/>
                <w:bCs w:val="1"/>
                <w:color w:val="auto"/>
              </w:rPr>
              <w:t>With</w:t>
            </w:r>
          </w:p>
        </w:tc>
      </w:tr>
      <w:tr>
        <w:trPr>
          <w:trHeight w:val="190"/>
        </w:trPr>
        <w:tc>
          <w:tcPr>
            <w:tcW w:w="5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Over-allotment</w:t>
            </w:r>
          </w:p>
        </w:tc>
        <w:tc>
          <w:tcPr>
            <w:tcW w:w="122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rPr>
              <w:t>Over-allotment</w:t>
            </w:r>
          </w:p>
        </w:tc>
      </w:tr>
      <w:tr>
        <w:trPr>
          <w:trHeight w:val="26"/>
        </w:trPr>
        <w:tc>
          <w:tcPr>
            <w:tcW w:w="54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38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10.00</w:t>
            </w:r>
          </w:p>
        </w:tc>
      </w:tr>
      <w:tr>
        <w:trPr>
          <w:trHeight w:val="257"/>
        </w:trPr>
        <w:tc>
          <w:tcPr>
            <w:tcW w:w="5480" w:type="dxa"/>
            <w:vAlign w:val="bottom"/>
          </w:tcPr>
          <w:p>
            <w:pPr>
              <w:spacing w:after="0"/>
              <w:rPr>
                <w:sz w:val="20"/>
                <w:szCs w:val="20"/>
                <w:color w:val="auto"/>
              </w:rPr>
            </w:pPr>
            <w:r>
              <w:rPr>
                <w:rFonts w:ascii="Arial" w:cs="Arial" w:eastAsia="Arial" w:hAnsi="Arial"/>
                <w:sz w:val="18"/>
                <w:szCs w:val="18"/>
                <w:color w:val="auto"/>
              </w:rPr>
              <w:t>Net tangible book deficit before this offering</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(0.01)</w:t>
            </w:r>
          </w:p>
        </w:tc>
      </w:tr>
      <w:tr>
        <w:trPr>
          <w:trHeight w:val="27"/>
        </w:trPr>
        <w:tc>
          <w:tcPr>
            <w:tcW w:w="5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64"/>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attributable to public stockholders</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0.49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0.43</w:t>
            </w:r>
          </w:p>
        </w:tc>
      </w:tr>
      <w:tr>
        <w:trPr>
          <w:trHeight w:val="202"/>
        </w:trPr>
        <w:tc>
          <w:tcPr>
            <w:tcW w:w="5480" w:type="dxa"/>
            <w:vAlign w:val="bottom"/>
          </w:tcPr>
          <w:p>
            <w:pPr>
              <w:spacing w:after="0" w:line="201" w:lineRule="exact"/>
              <w:rPr>
                <w:sz w:val="20"/>
                <w:szCs w:val="20"/>
                <w:color w:val="auto"/>
              </w:rPr>
            </w:pPr>
            <w:r>
              <w:rPr>
                <w:rFonts w:ascii="Arial" w:cs="Arial" w:eastAsia="Arial" w:hAnsi="Arial"/>
                <w:sz w:val="18"/>
                <w:szCs w:val="18"/>
                <w:color w:val="auto"/>
              </w:rPr>
              <w:t>Pro forma net tangible book value after this offering and the sale of</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7"/>
        </w:trPr>
        <w:tc>
          <w:tcPr>
            <w:tcW w:w="5480" w:type="dxa"/>
            <w:vAlign w:val="bottom"/>
          </w:tcPr>
          <w:p>
            <w:pPr>
              <w:ind w:left="180"/>
              <w:spacing w:after="0"/>
              <w:rPr>
                <w:sz w:val="20"/>
                <w:szCs w:val="20"/>
                <w:color w:val="auto"/>
              </w:rPr>
            </w:pPr>
            <w:r>
              <w:rPr>
                <w:rFonts w:ascii="Arial" w:cs="Arial" w:eastAsia="Arial" w:hAnsi="Arial"/>
                <w:sz w:val="18"/>
                <w:szCs w:val="18"/>
                <w:color w:val="auto"/>
              </w:rPr>
              <w:t>the private placement warrants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0.42</w:t>
            </w:r>
          </w:p>
        </w:tc>
      </w:tr>
      <w:tr>
        <w:trPr>
          <w:trHeight w:val="27"/>
        </w:trPr>
        <w:tc>
          <w:tcPr>
            <w:tcW w:w="5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63"/>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Dilution to public stockholders</w:t>
            </w:r>
          </w:p>
        </w:tc>
        <w:tc>
          <w:tcPr>
            <w:tcW w:w="38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9.52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9.58</w:t>
            </w:r>
          </w:p>
        </w:tc>
      </w:tr>
      <w:tr>
        <w:trPr>
          <w:trHeight w:val="257"/>
        </w:trPr>
        <w:tc>
          <w:tcPr>
            <w:tcW w:w="5480" w:type="dxa"/>
            <w:vAlign w:val="bottom"/>
          </w:tcPr>
          <w:p>
            <w:pPr>
              <w:spacing w:after="0"/>
              <w:rPr>
                <w:sz w:val="20"/>
                <w:szCs w:val="20"/>
                <w:color w:val="auto"/>
              </w:rPr>
            </w:pPr>
            <w:r>
              <w:rPr>
                <w:rFonts w:ascii="Arial" w:cs="Arial" w:eastAsia="Arial" w:hAnsi="Arial"/>
                <w:sz w:val="18"/>
                <w:szCs w:val="18"/>
                <w:color w:val="auto"/>
              </w:rPr>
              <w:t>Percentage of dilution to public stockholders</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95.8%</w:t>
            </w:r>
          </w:p>
        </w:tc>
      </w:tr>
    </w:tbl>
    <w:p>
      <w:pPr>
        <w:spacing w:after="0" w:line="175"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For purposes of presentation, we have reduced our pro forma net tangible book value after this offering (assuming no exercise of the underwriters’ over-allotment option) by $333,772,310 because holders of up to approximately 95.4% of our public shares may redeem their shares for a pro rata share of the aggregate amount then on deposit in the trust account at a per share redemption price equal to the amount in the trust account as set forth in our tender offer or proxy materials (initially anticipated to be the aggregate amount held in trust two business days prior to the commencement of our tender offer or stockholders meeting, including interest earned on the funds held in the trust account and not previously released to us to pay our taxes), divided by the number of shares of Class A common stock sold in this offering.</w:t>
      </w:r>
    </w:p>
    <w:p>
      <w:pPr>
        <w:spacing w:after="0" w:line="139" w:lineRule="exact"/>
        <w:rPr>
          <w:sz w:val="20"/>
          <w:szCs w:val="20"/>
          <w:color w:val="auto"/>
        </w:rPr>
      </w:pPr>
    </w:p>
    <w:p>
      <w:pPr>
        <w:ind w:left="460" w:right="1119"/>
        <w:spacing w:after="0" w:line="246" w:lineRule="auto"/>
        <w:rPr>
          <w:sz w:val="20"/>
          <w:szCs w:val="20"/>
          <w:color w:val="auto"/>
        </w:rPr>
      </w:pPr>
      <w:r>
        <w:rPr>
          <w:rFonts w:ascii="Arial" w:cs="Arial" w:eastAsia="Arial" w:hAnsi="Arial"/>
          <w:sz w:val="18"/>
          <w:szCs w:val="18"/>
          <w:color w:val="auto"/>
        </w:rPr>
        <w:t>The following table sets forth information with respect to our initial stockholders and the public stockholders:</w:t>
      </w:r>
    </w:p>
    <w:p>
      <w:pPr>
        <w:spacing w:after="0" w:line="225"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1960" w:type="dxa"/>
            <w:vAlign w:val="bottom"/>
          </w:tcPr>
          <w:p>
            <w:pPr>
              <w:spacing w:after="0"/>
              <w:rPr>
                <w:sz w:val="16"/>
                <w:szCs w:val="16"/>
                <w:color w:val="auto"/>
              </w:rPr>
            </w:pPr>
          </w:p>
        </w:tc>
        <w:tc>
          <w:tcPr>
            <w:tcW w:w="2560" w:type="dxa"/>
            <w:vAlign w:val="bottom"/>
            <w:gridSpan w:val="6"/>
          </w:tcPr>
          <w:p>
            <w:pPr>
              <w:ind w:left="540"/>
              <w:spacing w:after="0"/>
              <w:rPr>
                <w:sz w:val="20"/>
                <w:szCs w:val="20"/>
                <w:color w:val="auto"/>
              </w:rPr>
            </w:pPr>
            <w:r>
              <w:rPr>
                <w:rFonts w:ascii="Arial" w:cs="Arial" w:eastAsia="Arial" w:hAnsi="Arial"/>
                <w:sz w:val="14"/>
                <w:szCs w:val="14"/>
                <w:b w:val="1"/>
                <w:bCs w:val="1"/>
                <w:color w:val="auto"/>
              </w:rPr>
              <w:t>Shares Purchased</w:t>
            </w:r>
          </w:p>
        </w:tc>
        <w:tc>
          <w:tcPr>
            <w:tcW w:w="228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Total Consideration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rPr>
              <w:t>Average Price</w:t>
            </w:r>
          </w:p>
        </w:tc>
        <w:tc>
          <w:tcPr>
            <w:tcW w:w="0" w:type="dxa"/>
            <w:vAlign w:val="bottom"/>
          </w:tcPr>
          <w:p>
            <w:pPr>
              <w:spacing w:after="0"/>
              <w:rPr>
                <w:sz w:val="1"/>
                <w:szCs w:val="1"/>
                <w:color w:val="auto"/>
              </w:rPr>
            </w:pPr>
          </w:p>
        </w:tc>
      </w:tr>
      <w:tr>
        <w:trPr>
          <w:trHeight w:val="25"/>
        </w:trPr>
        <w:tc>
          <w:tcPr>
            <w:tcW w:w="19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19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960" w:type="dxa"/>
            <w:vAlign w:val="bottom"/>
          </w:tcPr>
          <w:p>
            <w:pPr>
              <w:spacing w:after="0"/>
              <w:rPr>
                <w:sz w:val="16"/>
                <w:szCs w:val="16"/>
                <w:color w:val="auto"/>
              </w:rPr>
            </w:pPr>
          </w:p>
        </w:tc>
        <w:tc>
          <w:tcPr>
            <w:tcW w:w="1200" w:type="dxa"/>
            <w:vAlign w:val="bottom"/>
            <w:gridSpan w:val="2"/>
          </w:tcPr>
          <w:p>
            <w:pPr>
              <w:ind w:left="280"/>
              <w:spacing w:after="0"/>
              <w:rPr>
                <w:sz w:val="20"/>
                <w:szCs w:val="20"/>
                <w:color w:val="auto"/>
              </w:rPr>
            </w:pPr>
            <w:r>
              <w:rPr>
                <w:rFonts w:ascii="Arial" w:cs="Arial" w:eastAsia="Arial" w:hAnsi="Arial"/>
                <w:sz w:val="14"/>
                <w:szCs w:val="14"/>
                <w:b w:val="1"/>
                <w:bCs w:val="1"/>
                <w:color w:val="auto"/>
              </w:rPr>
              <w:t>Number</w:t>
            </w:r>
          </w:p>
        </w:tc>
        <w:tc>
          <w:tcPr>
            <w:tcW w:w="1360" w:type="dxa"/>
            <w:vAlign w:val="bottom"/>
            <w:gridSpan w:val="4"/>
          </w:tcPr>
          <w:p>
            <w:pPr>
              <w:ind w:left="160"/>
              <w:spacing w:after="0"/>
              <w:rPr>
                <w:sz w:val="20"/>
                <w:szCs w:val="20"/>
                <w:color w:val="auto"/>
              </w:rPr>
            </w:pPr>
            <w:r>
              <w:rPr>
                <w:rFonts w:ascii="Arial" w:cs="Arial" w:eastAsia="Arial" w:hAnsi="Arial"/>
                <w:sz w:val="14"/>
                <w:szCs w:val="14"/>
                <w:b w:val="1"/>
                <w:bCs w:val="1"/>
                <w:color w:val="auto"/>
              </w:rPr>
              <w:t>Percentage</w:t>
            </w: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Amount</w:t>
            </w:r>
          </w:p>
        </w:tc>
        <w:tc>
          <w:tcPr>
            <w:tcW w:w="11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Percentage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199"/>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5"/>
        </w:trPr>
        <w:tc>
          <w:tcPr>
            <w:tcW w:w="19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Initial Stockholders</w:t>
            </w:r>
            <w:r>
              <w:rPr>
                <w:rFonts w:ascii="Arial" w:cs="Arial" w:eastAsia="Arial" w:hAnsi="Arial"/>
                <w:sz w:val="20"/>
                <w:szCs w:val="20"/>
                <w:color w:val="auto"/>
                <w:vertAlign w:val="superscript"/>
              </w:rPr>
              <w:t>(1)</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8,750,000</w:t>
            </w:r>
          </w:p>
        </w:tc>
        <w:tc>
          <w:tcPr>
            <w:tcW w:w="1360" w:type="dxa"/>
            <w:vAlign w:val="bottom"/>
            <w:gridSpan w:val="4"/>
            <w:shd w:val="clear" w:color="auto" w:fill="CCEEFF"/>
          </w:tcPr>
          <w:p>
            <w:pPr>
              <w:ind w:left="500"/>
              <w:spacing w:after="0"/>
              <w:rPr>
                <w:sz w:val="20"/>
                <w:szCs w:val="20"/>
                <w:color w:val="auto"/>
              </w:rPr>
            </w:pPr>
            <w:r>
              <w:rPr>
                <w:rFonts w:ascii="Arial" w:cs="Arial" w:eastAsia="Arial" w:hAnsi="Arial"/>
                <w:sz w:val="18"/>
                <w:szCs w:val="18"/>
                <w:color w:val="auto"/>
              </w:rPr>
              <w:t>20.00% $</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0.003</w:t>
            </w:r>
          </w:p>
        </w:tc>
        <w:tc>
          <w:tcPr>
            <w:tcW w:w="0" w:type="dxa"/>
            <w:vAlign w:val="bottom"/>
          </w:tcPr>
          <w:p>
            <w:pPr>
              <w:spacing w:after="0"/>
              <w:rPr>
                <w:sz w:val="1"/>
                <w:szCs w:val="1"/>
                <w:color w:val="auto"/>
              </w:rPr>
            </w:pPr>
          </w:p>
        </w:tc>
      </w:tr>
      <w:tr>
        <w:trPr>
          <w:trHeight w:val="277"/>
        </w:trPr>
        <w:tc>
          <w:tcPr>
            <w:tcW w:w="1960" w:type="dxa"/>
            <w:vAlign w:val="bottom"/>
          </w:tcPr>
          <w:p>
            <w:pPr>
              <w:spacing w:after="0"/>
              <w:rPr>
                <w:sz w:val="20"/>
                <w:szCs w:val="20"/>
                <w:color w:val="auto"/>
              </w:rPr>
            </w:pPr>
            <w:r>
              <w:rPr>
                <w:rFonts w:ascii="Arial" w:cs="Arial" w:eastAsia="Arial" w:hAnsi="Arial"/>
                <w:sz w:val="18"/>
                <w:szCs w:val="18"/>
                <w:color w:val="auto"/>
              </w:rPr>
              <w:t>Public Stockholders</w:t>
            </w:r>
          </w:p>
        </w:tc>
        <w:tc>
          <w:tcPr>
            <w:tcW w:w="1100" w:type="dxa"/>
            <w:vAlign w:val="bottom"/>
          </w:tcPr>
          <w:p>
            <w:pPr>
              <w:jc w:val="right"/>
              <w:spacing w:after="0"/>
              <w:rPr>
                <w:sz w:val="20"/>
                <w:szCs w:val="20"/>
                <w:color w:val="auto"/>
              </w:rPr>
            </w:pPr>
            <w:r>
              <w:rPr>
                <w:rFonts w:ascii="Arial" w:cs="Arial" w:eastAsia="Arial" w:hAnsi="Arial"/>
                <w:sz w:val="18"/>
                <w:szCs w:val="18"/>
                <w:color w:val="auto"/>
              </w:rPr>
              <w:t>35,000,000</w:t>
            </w:r>
          </w:p>
        </w:tc>
        <w:tc>
          <w:tcPr>
            <w:tcW w:w="100" w:type="dxa"/>
            <w:vAlign w:val="bottom"/>
          </w:tcPr>
          <w:p>
            <w:pPr>
              <w:spacing w:after="0"/>
              <w:rPr>
                <w:sz w:val="24"/>
                <w:szCs w:val="24"/>
                <w:color w:val="auto"/>
              </w:rPr>
            </w:pPr>
          </w:p>
        </w:tc>
        <w:tc>
          <w:tcPr>
            <w:tcW w:w="960" w:type="dxa"/>
            <w:vAlign w:val="bottom"/>
          </w:tcPr>
          <w:p>
            <w:pPr>
              <w:ind w:left="500"/>
              <w:spacing w:after="0"/>
              <w:rPr>
                <w:sz w:val="20"/>
                <w:szCs w:val="20"/>
                <w:color w:val="auto"/>
              </w:rPr>
            </w:pPr>
            <w:r>
              <w:rPr>
                <w:rFonts w:ascii="Arial" w:cs="Arial" w:eastAsia="Arial" w:hAnsi="Arial"/>
                <w:sz w:val="18"/>
                <w:szCs w:val="18"/>
                <w:color w:val="auto"/>
                <w:w w:val="97"/>
              </w:rPr>
              <w:t>80.00</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350,000,000</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99.99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196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19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43,750,000</w:t>
            </w:r>
          </w:p>
        </w:tc>
        <w:tc>
          <w:tcPr>
            <w:tcW w:w="100" w:type="dxa"/>
            <w:vAlign w:val="bottom"/>
            <w:shd w:val="clear" w:color="auto" w:fill="CCEEFF"/>
          </w:tcPr>
          <w:p>
            <w:pPr>
              <w:spacing w:after="0"/>
              <w:rPr>
                <w:sz w:val="22"/>
                <w:szCs w:val="22"/>
                <w:color w:val="auto"/>
              </w:rPr>
            </w:pPr>
          </w:p>
        </w:tc>
        <w:tc>
          <w:tcPr>
            <w:tcW w:w="1360" w:type="dxa"/>
            <w:vAlign w:val="bottom"/>
            <w:gridSpan w:val="4"/>
            <w:shd w:val="clear" w:color="auto" w:fill="CCEEFF"/>
          </w:tcPr>
          <w:p>
            <w:pPr>
              <w:ind w:left="500"/>
              <w:spacing w:after="0"/>
              <w:rPr>
                <w:sz w:val="20"/>
                <w:szCs w:val="20"/>
                <w:color w:val="auto"/>
              </w:rPr>
            </w:pPr>
            <w:r>
              <w:rPr>
                <w:rFonts w:ascii="Arial" w:cs="Arial" w:eastAsia="Arial" w:hAnsi="Arial"/>
                <w:sz w:val="18"/>
                <w:szCs w:val="18"/>
                <w:color w:val="auto"/>
              </w:rPr>
              <w:t>100.0% $</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350,025,000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73" w:lineRule="exact"/>
        <w:rPr>
          <w:sz w:val="20"/>
          <w:szCs w:val="20"/>
          <w:color w:val="auto"/>
        </w:rPr>
      </w:pPr>
    </w:p>
    <w:p>
      <w:pPr>
        <w:ind w:left="880" w:right="659" w:hanging="426"/>
        <w:spacing w:after="0" w:line="230" w:lineRule="auto"/>
        <w:tabs>
          <w:tab w:leader="none" w:pos="875" w:val="left"/>
        </w:tabs>
        <w:numPr>
          <w:ilvl w:val="0"/>
          <w:numId w:val="33"/>
        </w:numPr>
        <w:rPr>
          <w:rFonts w:ascii="Arial" w:cs="Arial" w:eastAsia="Arial" w:hAnsi="Arial"/>
          <w:sz w:val="13"/>
          <w:szCs w:val="13"/>
          <w:color w:val="auto"/>
        </w:rPr>
      </w:pPr>
      <w:r>
        <w:rPr>
          <w:rFonts w:ascii="Arial" w:cs="Arial" w:eastAsia="Arial" w:hAnsi="Arial"/>
          <w:sz w:val="13"/>
          <w:szCs w:val="13"/>
          <w:color w:val="auto"/>
        </w:rPr>
        <w:t>Assumes that 1,312,500 founder shares are forfeited after the closing of this offering in the event the underwriters do not exercise their over-allotment option.</w:t>
      </w:r>
    </w:p>
    <w:p>
      <w:pPr>
        <w:sectPr>
          <w:pgSz w:w="11900" w:h="16838" w:orient="portrait"/>
          <w:cols w:equalWidth="0" w:num="1">
            <w:col w:w="9019"/>
          </w:cols>
          <w:pgMar w:left="1440" w:top="333" w:right="1440" w:bottom="1440"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72" w:name="page73"/>
    <w:bookmarkEnd w:id="72"/>
    <w:p>
      <w:pPr>
        <w:ind w:left="460"/>
        <w:spacing w:after="0"/>
        <w:rPr>
          <w:sz w:val="20"/>
          <w:szCs w:val="20"/>
          <w:color w:val="auto"/>
        </w:rPr>
      </w:pPr>
      <w:r>
        <w:rPr>
          <w:rFonts w:ascii="Arial" w:cs="Arial" w:eastAsia="Arial" w:hAnsi="Arial"/>
          <w:sz w:val="18"/>
          <w:szCs w:val="18"/>
          <w:color w:val="auto"/>
        </w:rPr>
        <w:t>The pro forma net tangible book value per share after the offering is calculated as follows:</w:t>
      </w:r>
    </w:p>
    <w:p>
      <w:pPr>
        <w:spacing w:after="0" w:line="159"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Without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With</w:t>
            </w:r>
          </w:p>
        </w:tc>
        <w:tc>
          <w:tcPr>
            <w:tcW w:w="0" w:type="dxa"/>
            <w:vAlign w:val="bottom"/>
          </w:tcPr>
          <w:p>
            <w:pPr>
              <w:spacing w:after="0"/>
              <w:rPr>
                <w:sz w:val="1"/>
                <w:szCs w:val="1"/>
                <w:color w:val="auto"/>
              </w:rPr>
            </w:pPr>
          </w:p>
        </w:tc>
      </w:tr>
      <w:tr>
        <w:trPr>
          <w:trHeight w:val="190"/>
        </w:trPr>
        <w:tc>
          <w:tcPr>
            <w:tcW w:w="5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Over-allotment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Over-allotment</w:t>
            </w:r>
          </w:p>
        </w:tc>
        <w:tc>
          <w:tcPr>
            <w:tcW w:w="0" w:type="dxa"/>
            <w:vAlign w:val="bottom"/>
          </w:tcPr>
          <w:p>
            <w:pPr>
              <w:spacing w:after="0"/>
              <w:rPr>
                <w:sz w:val="1"/>
                <w:szCs w:val="1"/>
                <w:color w:val="auto"/>
              </w:rPr>
            </w:pPr>
          </w:p>
        </w:tc>
      </w:tr>
      <w:tr>
        <w:trPr>
          <w:trHeight w:val="26"/>
        </w:trPr>
        <w:tc>
          <w:tcPr>
            <w:tcW w:w="53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Numerator:</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300" w:type="dxa"/>
            <w:vAlign w:val="bottom"/>
          </w:tcPr>
          <w:p>
            <w:pPr>
              <w:spacing w:after="0"/>
              <w:rPr>
                <w:sz w:val="20"/>
                <w:szCs w:val="20"/>
                <w:color w:val="auto"/>
              </w:rPr>
            </w:pPr>
            <w:r>
              <w:rPr>
                <w:rFonts w:ascii="Arial" w:cs="Arial" w:eastAsia="Arial" w:hAnsi="Arial"/>
                <w:sz w:val="18"/>
                <w:szCs w:val="18"/>
                <w:color w:val="auto"/>
              </w:rPr>
              <w:t>Net tangible book deficit before this offering</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(67,681)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(67,681)</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5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proceeds from this offering and sale of the private placement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warrants</w:t>
            </w:r>
            <w:r>
              <w:rPr>
                <w:rFonts w:ascii="Arial" w:cs="Arial" w:eastAsia="Arial" w:hAnsi="Arial"/>
                <w:sz w:val="5"/>
                <w:szCs w:val="5"/>
                <w:color w:val="auto"/>
              </w:rPr>
              <w:t>(1)</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351,000,000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403,500,000</w:t>
            </w:r>
          </w:p>
        </w:tc>
        <w:tc>
          <w:tcPr>
            <w:tcW w:w="0" w:type="dxa"/>
            <w:vAlign w:val="bottom"/>
          </w:tcPr>
          <w:p>
            <w:pPr>
              <w:spacing w:after="0"/>
              <w:rPr>
                <w:sz w:val="1"/>
                <w:szCs w:val="1"/>
                <w:color w:val="auto"/>
              </w:rPr>
            </w:pPr>
          </w:p>
        </w:tc>
      </w:tr>
      <w:tr>
        <w:trPr>
          <w:trHeight w:val="202"/>
        </w:trPr>
        <w:tc>
          <w:tcPr>
            <w:tcW w:w="5300" w:type="dxa"/>
            <w:vAlign w:val="bottom"/>
          </w:tcPr>
          <w:p>
            <w:pPr>
              <w:spacing w:after="0" w:line="201" w:lineRule="exact"/>
              <w:rPr>
                <w:sz w:val="20"/>
                <w:szCs w:val="20"/>
                <w:color w:val="auto"/>
              </w:rPr>
            </w:pPr>
            <w:r>
              <w:rPr>
                <w:rFonts w:ascii="Arial" w:cs="Arial" w:eastAsia="Arial" w:hAnsi="Arial"/>
                <w:sz w:val="18"/>
                <w:szCs w:val="18"/>
                <w:color w:val="auto"/>
              </w:rPr>
              <w:t>Plus: Offering costs paid in advance, excluded from tangible book</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300" w:type="dxa"/>
            <w:vAlign w:val="bottom"/>
          </w:tcPr>
          <w:p>
            <w:pPr>
              <w:ind w:left="180"/>
              <w:spacing w:after="0"/>
              <w:rPr>
                <w:sz w:val="20"/>
                <w:szCs w:val="20"/>
                <w:color w:val="auto"/>
              </w:rPr>
            </w:pPr>
            <w:r>
              <w:rPr>
                <w:rFonts w:ascii="Arial" w:cs="Arial" w:eastAsia="Arial" w:hAnsi="Arial"/>
                <w:sz w:val="18"/>
                <w:szCs w:val="18"/>
                <w:color w:val="auto"/>
              </w:rPr>
              <w:t>value before this offering</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90,000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90,000</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Deferred underwriting commissions</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(12,250,000)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(14,087,500)</w:t>
            </w:r>
          </w:p>
        </w:tc>
        <w:tc>
          <w:tcPr>
            <w:tcW w:w="0" w:type="dxa"/>
            <w:vAlign w:val="bottom"/>
          </w:tcPr>
          <w:p>
            <w:pPr>
              <w:spacing w:after="0"/>
              <w:rPr>
                <w:sz w:val="1"/>
                <w:szCs w:val="1"/>
                <w:color w:val="auto"/>
              </w:rPr>
            </w:pPr>
          </w:p>
        </w:tc>
      </w:tr>
      <w:tr>
        <w:trPr>
          <w:trHeight w:val="277"/>
        </w:trPr>
        <w:tc>
          <w:tcPr>
            <w:tcW w:w="5300" w:type="dxa"/>
            <w:vAlign w:val="bottom"/>
          </w:tcPr>
          <w:p>
            <w:pPr>
              <w:spacing w:after="0"/>
              <w:rPr>
                <w:sz w:val="20"/>
                <w:szCs w:val="20"/>
                <w:color w:val="auto"/>
              </w:rPr>
            </w:pPr>
            <w:r>
              <w:rPr>
                <w:rFonts w:ascii="Arial" w:cs="Arial" w:eastAsia="Arial" w:hAnsi="Arial"/>
                <w:sz w:val="18"/>
                <w:szCs w:val="18"/>
                <w:color w:val="auto"/>
              </w:rPr>
              <w:t>Less: Proceeds held in trust subject to redemption</w:t>
            </w:r>
            <w:r>
              <w:rPr>
                <w:rFonts w:ascii="Arial" w:cs="Arial" w:eastAsia="Arial" w:hAnsi="Arial"/>
                <w:sz w:val="5"/>
                <w:szCs w:val="5"/>
                <w:color w:val="auto"/>
              </w:rPr>
              <w:t>(2)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(333,772,310)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(384,434,810)</w:t>
            </w:r>
          </w:p>
        </w:tc>
        <w:tc>
          <w:tcPr>
            <w:tcW w:w="0" w:type="dxa"/>
            <w:vAlign w:val="bottom"/>
          </w:tcPr>
          <w:p>
            <w:pPr>
              <w:spacing w:after="0"/>
              <w:rPr>
                <w:sz w:val="1"/>
                <w:szCs w:val="1"/>
                <w:color w:val="auto"/>
              </w:rPr>
            </w:pPr>
          </w:p>
        </w:tc>
      </w:tr>
      <w:tr>
        <w:trPr>
          <w:trHeight w:val="20"/>
        </w:trPr>
        <w:tc>
          <w:tcPr>
            <w:tcW w:w="5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5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5,000,009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5,000,009</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Denominator:</w:t>
            </w: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Class B common stock outstanding prior to this offering</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10,062,500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10,062,500</w:t>
            </w:r>
          </w:p>
        </w:tc>
        <w:tc>
          <w:tcPr>
            <w:tcW w:w="0" w:type="dxa"/>
            <w:vAlign w:val="bottom"/>
          </w:tcPr>
          <w:p>
            <w:pPr>
              <w:spacing w:after="0"/>
              <w:rPr>
                <w:sz w:val="1"/>
                <w:szCs w:val="1"/>
                <w:color w:val="auto"/>
              </w:rPr>
            </w:pPr>
          </w:p>
        </w:tc>
      </w:tr>
      <w:tr>
        <w:trPr>
          <w:trHeight w:val="257"/>
        </w:trPr>
        <w:tc>
          <w:tcPr>
            <w:tcW w:w="5300" w:type="dxa"/>
            <w:vAlign w:val="bottom"/>
          </w:tcPr>
          <w:p>
            <w:pPr>
              <w:spacing w:after="0"/>
              <w:rPr>
                <w:sz w:val="20"/>
                <w:szCs w:val="20"/>
                <w:color w:val="auto"/>
              </w:rPr>
            </w:pPr>
            <w:r>
              <w:rPr>
                <w:rFonts w:ascii="Arial" w:cs="Arial" w:eastAsia="Arial" w:hAnsi="Arial"/>
                <w:sz w:val="18"/>
                <w:szCs w:val="18"/>
                <w:color w:val="auto"/>
              </w:rPr>
              <w:t>Class B common stock forfeited if over-allotment is not exercised</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(1,312,500)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Class A common stock included in the units offered</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35,000,000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40,250,000</w:t>
            </w:r>
          </w:p>
        </w:tc>
        <w:tc>
          <w:tcPr>
            <w:tcW w:w="0" w:type="dxa"/>
            <w:vAlign w:val="bottom"/>
          </w:tcPr>
          <w:p>
            <w:pPr>
              <w:spacing w:after="0"/>
              <w:rPr>
                <w:sz w:val="1"/>
                <w:szCs w:val="1"/>
                <w:color w:val="auto"/>
              </w:rPr>
            </w:pPr>
          </w:p>
        </w:tc>
      </w:tr>
      <w:tr>
        <w:trPr>
          <w:trHeight w:val="277"/>
        </w:trPr>
        <w:tc>
          <w:tcPr>
            <w:tcW w:w="5300" w:type="dxa"/>
            <w:vAlign w:val="bottom"/>
          </w:tcPr>
          <w:p>
            <w:pPr>
              <w:spacing w:after="0"/>
              <w:rPr>
                <w:sz w:val="20"/>
                <w:szCs w:val="20"/>
                <w:color w:val="auto"/>
              </w:rPr>
            </w:pPr>
            <w:r>
              <w:rPr>
                <w:rFonts w:ascii="Arial" w:cs="Arial" w:eastAsia="Arial" w:hAnsi="Arial"/>
                <w:sz w:val="18"/>
                <w:szCs w:val="18"/>
                <w:color w:val="auto"/>
              </w:rPr>
              <w:t>Less: Shares subject to redemption</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(33,377,231)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(38,443,481)</w:t>
            </w:r>
          </w:p>
        </w:tc>
        <w:tc>
          <w:tcPr>
            <w:tcW w:w="0" w:type="dxa"/>
            <w:vAlign w:val="bottom"/>
          </w:tcPr>
          <w:p>
            <w:pPr>
              <w:spacing w:after="0"/>
              <w:rPr>
                <w:sz w:val="1"/>
                <w:szCs w:val="1"/>
                <w:color w:val="auto"/>
              </w:rPr>
            </w:pPr>
          </w:p>
        </w:tc>
      </w:tr>
      <w:tr>
        <w:trPr>
          <w:trHeight w:val="20"/>
        </w:trPr>
        <w:tc>
          <w:tcPr>
            <w:tcW w:w="5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10,372,769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11,869,019</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73" w:lineRule="exact"/>
        <w:rPr>
          <w:sz w:val="20"/>
          <w:szCs w:val="20"/>
          <w:color w:val="auto"/>
        </w:rPr>
      </w:pPr>
    </w:p>
    <w:p>
      <w:pPr>
        <w:ind w:left="880" w:right="999" w:hanging="426"/>
        <w:spacing w:after="0" w:line="216" w:lineRule="auto"/>
        <w:tabs>
          <w:tab w:leader="none" w:pos="882" w:val="left"/>
        </w:tabs>
        <w:numPr>
          <w:ilvl w:val="0"/>
          <w:numId w:val="34"/>
        </w:numPr>
        <w:rPr>
          <w:rFonts w:ascii="Arial" w:cs="Arial" w:eastAsia="Arial" w:hAnsi="Arial"/>
          <w:sz w:val="13"/>
          <w:szCs w:val="13"/>
          <w:color w:val="auto"/>
        </w:rPr>
      </w:pPr>
      <w:r>
        <w:rPr>
          <w:rFonts w:ascii="Arial" w:cs="Arial" w:eastAsia="Arial" w:hAnsi="Arial"/>
          <w:sz w:val="13"/>
          <w:szCs w:val="13"/>
          <w:color w:val="auto"/>
        </w:rPr>
        <w:t>Expenses applied against gross proceeds include offering expenses of $1,000,000 and underwriting commissions of $7,000,000 (excluding deferred underwriting fees). See “Use of Proceeds.”</w:t>
      </w:r>
    </w:p>
    <w:p>
      <w:pPr>
        <w:ind w:left="880" w:right="499" w:hanging="426"/>
        <w:spacing w:after="0" w:line="220" w:lineRule="auto"/>
        <w:tabs>
          <w:tab w:leader="none" w:pos="882" w:val="left"/>
        </w:tabs>
        <w:numPr>
          <w:ilvl w:val="0"/>
          <w:numId w:val="34"/>
        </w:numPr>
        <w:rPr>
          <w:rFonts w:ascii="Arial" w:cs="Arial" w:eastAsia="Arial" w:hAnsi="Arial"/>
          <w:sz w:val="13"/>
          <w:szCs w:val="13"/>
          <w:color w:val="auto"/>
        </w:rPr>
      </w:pPr>
      <w:r>
        <w:rPr>
          <w:rFonts w:ascii="Arial" w:cs="Arial" w:eastAsia="Arial" w:hAnsi="Arial"/>
          <w:sz w:val="13"/>
          <w:szCs w:val="13"/>
          <w:color w:val="auto"/>
        </w:rPr>
        <w:t>If we seek stockholder approval of our initial business combination and we do not conduct redemptions in connection with our initial business combination pursuant to the tender offer rules, our sponsor, initial stockholders, directors, executive officers, advisors or their respective affiliates may purchase public shares or public warrants in privately negotiated transactions or in the open market either prior to or following the completion of our initial business combination. In the event of any such purchases of our shares prior to the completion of our initial business combination, the number of shares of Class A common stock subject to redemption will be reduced by the amount of any such purchases, increasing the pro forma net tangible book value per share. See “Proposed Business — Initial Business Combination — Permitted Purchases of Our Securities.”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66" w:lineRule="exact"/>
        <w:rPr>
          <w:sz w:val="20"/>
          <w:szCs w:val="20"/>
          <w:color w:val="auto"/>
        </w:rPr>
      </w:pPr>
    </w:p>
    <w:p>
      <w:pPr>
        <w:ind w:left="460" w:right="539"/>
        <w:spacing w:after="0" w:line="238" w:lineRule="auto"/>
        <w:rPr>
          <w:sz w:val="20"/>
          <w:szCs w:val="20"/>
          <w:color w:val="auto"/>
        </w:rPr>
      </w:pPr>
      <w:r>
        <w:rPr>
          <w:rFonts w:ascii="Arial" w:cs="Arial" w:eastAsia="Arial" w:hAnsi="Arial"/>
          <w:sz w:val="18"/>
          <w:szCs w:val="18"/>
          <w:color w:val="auto"/>
        </w:rPr>
        <w:t>The following table sets forth our capitalization at July 16, 2020, and as adjusted to give effect to the filing of our amended and restated certificate of incorporation, the sale of our units in this offering and the sale of the private placement warrants and the application of the estimated net proceeds derived from the sale of such securities, assuming no exercise by the underwriters of their over-allotment option:</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5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rPr>
              <w:t>July 16, 2020</w:t>
            </w:r>
          </w:p>
        </w:tc>
      </w:tr>
      <w:tr>
        <w:trPr>
          <w:trHeight w:val="26"/>
        </w:trPr>
        <w:tc>
          <w:tcPr>
            <w:tcW w:w="5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r>
      <w:tr>
        <w:trPr>
          <w:trHeight w:val="252"/>
        </w:trPr>
        <w:tc>
          <w:tcPr>
            <w:tcW w:w="5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3"/>
          </w:tcPr>
          <w:p>
            <w:pPr>
              <w:ind w:left="100"/>
              <w:spacing w:after="0"/>
              <w:rPr>
                <w:sz w:val="20"/>
                <w:szCs w:val="20"/>
                <w:color w:val="auto"/>
              </w:rPr>
            </w:pPr>
            <w:r>
              <w:rPr>
                <w:rFonts w:ascii="Arial" w:cs="Arial" w:eastAsia="Arial" w:hAnsi="Arial"/>
                <w:sz w:val="14"/>
                <w:szCs w:val="14"/>
                <w:b w:val="1"/>
                <w:bCs w:val="1"/>
                <w:color w:val="auto"/>
              </w:rPr>
              <w:t>Actual</w:t>
            </w:r>
          </w:p>
        </w:tc>
        <w:tc>
          <w:tcPr>
            <w:tcW w:w="1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As Adjusted</w:t>
            </w:r>
          </w:p>
        </w:tc>
      </w:tr>
      <w:tr>
        <w:trPr>
          <w:trHeight w:val="26"/>
        </w:trPr>
        <w:tc>
          <w:tcPr>
            <w:tcW w:w="54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63"/>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Note payable to related party</w:t>
            </w:r>
            <w:r>
              <w:rPr>
                <w:rFonts w:ascii="Arial" w:cs="Arial" w:eastAsia="Arial" w:hAnsi="Arial"/>
                <w:sz w:val="20"/>
                <w:szCs w:val="20"/>
                <w:color w:val="auto"/>
                <w:vertAlign w:val="superscript"/>
              </w:rPr>
              <w:t>(1)</w:t>
            </w:r>
          </w:p>
        </w:tc>
        <w:tc>
          <w:tcPr>
            <w:tcW w:w="4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77"/>
        </w:trPr>
        <w:tc>
          <w:tcPr>
            <w:tcW w:w="5440" w:type="dxa"/>
            <w:vAlign w:val="bottom"/>
          </w:tcPr>
          <w:p>
            <w:pPr>
              <w:spacing w:after="0"/>
              <w:rPr>
                <w:sz w:val="20"/>
                <w:szCs w:val="20"/>
                <w:color w:val="auto"/>
              </w:rPr>
            </w:pPr>
            <w:r>
              <w:rPr>
                <w:rFonts w:ascii="Arial" w:cs="Arial" w:eastAsia="Arial" w:hAnsi="Arial"/>
                <w:sz w:val="18"/>
                <w:szCs w:val="18"/>
                <w:color w:val="auto"/>
              </w:rPr>
              <w:t>Deferred underwriting commissions</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12,250,000</w:t>
            </w:r>
          </w:p>
        </w:tc>
        <w:tc>
          <w:tcPr>
            <w:tcW w:w="120" w:type="dxa"/>
            <w:vAlign w:val="bottom"/>
          </w:tcPr>
          <w:p>
            <w:pPr>
              <w:spacing w:after="0"/>
              <w:rPr>
                <w:sz w:val="24"/>
                <w:szCs w:val="24"/>
                <w:color w:val="auto"/>
              </w:rPr>
            </w:pPr>
          </w:p>
        </w:tc>
      </w:tr>
      <w:tr>
        <w:trPr>
          <w:trHeight w:val="188"/>
        </w:trPr>
        <w:tc>
          <w:tcPr>
            <w:tcW w:w="544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Class A common stock subject to possible redemption; -0- and</w:t>
            </w:r>
          </w:p>
        </w:tc>
        <w:tc>
          <w:tcPr>
            <w:tcW w:w="2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r>
      <w:tr>
        <w:trPr>
          <w:trHeight w:val="244"/>
        </w:trPr>
        <w:tc>
          <w:tcPr>
            <w:tcW w:w="5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33,377,231 shares, actual and as adjusted, respectively</w:t>
            </w:r>
            <w:r>
              <w:rPr>
                <w:rFonts w:ascii="Arial" w:cs="Arial" w:eastAsia="Arial" w:hAnsi="Arial"/>
                <w:sz w:val="20"/>
                <w:szCs w:val="20"/>
                <w:color w:val="auto"/>
                <w:vertAlign w:val="superscript"/>
              </w:rPr>
              <w:t>(2)</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333,772,310</w:t>
            </w:r>
          </w:p>
        </w:tc>
        <w:tc>
          <w:tcPr>
            <w:tcW w:w="120" w:type="dxa"/>
            <w:vAlign w:val="bottom"/>
            <w:shd w:val="clear" w:color="auto" w:fill="CCEEFF"/>
          </w:tcPr>
          <w:p>
            <w:pPr>
              <w:spacing w:after="0"/>
              <w:rPr>
                <w:sz w:val="21"/>
                <w:szCs w:val="21"/>
                <w:color w:val="auto"/>
              </w:rPr>
            </w:pPr>
          </w:p>
        </w:tc>
      </w:tr>
      <w:tr>
        <w:trPr>
          <w:trHeight w:val="182"/>
        </w:trPr>
        <w:tc>
          <w:tcPr>
            <w:tcW w:w="5440" w:type="dxa"/>
            <w:vAlign w:val="bottom"/>
          </w:tcPr>
          <w:p>
            <w:pPr>
              <w:spacing w:after="0" w:line="182" w:lineRule="exact"/>
              <w:rPr>
                <w:sz w:val="20"/>
                <w:szCs w:val="20"/>
                <w:color w:val="auto"/>
              </w:rPr>
            </w:pPr>
            <w:r>
              <w:rPr>
                <w:rFonts w:ascii="Arial" w:cs="Arial" w:eastAsia="Arial" w:hAnsi="Arial"/>
                <w:sz w:val="18"/>
                <w:szCs w:val="18"/>
                <w:color w:val="auto"/>
              </w:rPr>
              <w:t>Preferred stock, $0.0001 par value, 1,000,000 shares authorized;</w:t>
            </w:r>
          </w:p>
        </w:tc>
        <w:tc>
          <w:tcPr>
            <w:tcW w:w="2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17"/>
        </w:trPr>
        <w:tc>
          <w:tcPr>
            <w:tcW w:w="5440" w:type="dxa"/>
            <w:vAlign w:val="bottom"/>
          </w:tcPr>
          <w:p>
            <w:pPr>
              <w:ind w:left="180"/>
              <w:spacing w:after="0"/>
              <w:rPr>
                <w:sz w:val="20"/>
                <w:szCs w:val="20"/>
                <w:color w:val="auto"/>
              </w:rPr>
            </w:pPr>
            <w:r>
              <w:rPr>
                <w:rFonts w:ascii="Arial" w:cs="Arial" w:eastAsia="Arial" w:hAnsi="Arial"/>
                <w:sz w:val="18"/>
                <w:szCs w:val="18"/>
                <w:color w:val="auto"/>
              </w:rPr>
              <w:t>none issued and outstanding, actual and as adjusted</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7"/>
        </w:trPr>
        <w:tc>
          <w:tcPr>
            <w:tcW w:w="5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02"/>
        </w:trPr>
        <w:tc>
          <w:tcPr>
            <w:tcW w:w="5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Class A common stock, $0.0001 par value, 380,000,000 shares</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54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authorized; -0- and 1,622,769 shares issued and outstanding</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54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(excluding -0- and 33,377,231 shares subject to possible</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24"/>
        </w:trPr>
        <w:tc>
          <w:tcPr>
            <w:tcW w:w="5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redemption), actual and as adjusted, respectively</w:t>
            </w:r>
          </w:p>
        </w:tc>
        <w:tc>
          <w:tcPr>
            <w:tcW w:w="2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02"/>
        </w:trPr>
        <w:tc>
          <w:tcPr>
            <w:tcW w:w="5440" w:type="dxa"/>
            <w:vAlign w:val="bottom"/>
          </w:tcPr>
          <w:p>
            <w:pPr>
              <w:spacing w:after="0" w:line="201" w:lineRule="exact"/>
              <w:rPr>
                <w:sz w:val="20"/>
                <w:szCs w:val="20"/>
                <w:color w:val="auto"/>
              </w:rPr>
            </w:pPr>
            <w:r>
              <w:rPr>
                <w:rFonts w:ascii="Arial" w:cs="Arial" w:eastAsia="Arial" w:hAnsi="Arial"/>
                <w:sz w:val="18"/>
                <w:szCs w:val="18"/>
                <w:color w:val="auto"/>
              </w:rPr>
              <w:t>Class B common stock, $0.0001 par value, 20,000,000 shares</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440" w:type="dxa"/>
            <w:vAlign w:val="bottom"/>
          </w:tcPr>
          <w:p>
            <w:pPr>
              <w:ind w:left="180"/>
              <w:spacing w:after="0" w:line="202" w:lineRule="exact"/>
              <w:rPr>
                <w:sz w:val="20"/>
                <w:szCs w:val="20"/>
                <w:color w:val="auto"/>
              </w:rPr>
            </w:pPr>
            <w:r>
              <w:rPr>
                <w:rFonts w:ascii="Arial" w:cs="Arial" w:eastAsia="Arial" w:hAnsi="Arial"/>
                <w:sz w:val="18"/>
                <w:szCs w:val="18"/>
                <w:color w:val="auto"/>
              </w:rPr>
              <w:t>authorized; 10,062,500 and 8,750,000 shares issued and</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44"/>
        </w:trPr>
        <w:tc>
          <w:tcPr>
            <w:tcW w:w="5440" w:type="dxa"/>
            <w:vAlign w:val="bottom"/>
          </w:tcPr>
          <w:p>
            <w:pPr>
              <w:ind w:left="180"/>
              <w:spacing w:after="0"/>
              <w:rPr>
                <w:sz w:val="20"/>
                <w:szCs w:val="20"/>
                <w:color w:val="auto"/>
              </w:rPr>
            </w:pPr>
            <w:r>
              <w:rPr>
                <w:rFonts w:ascii="Arial" w:cs="Arial" w:eastAsia="Arial" w:hAnsi="Arial"/>
                <w:sz w:val="18"/>
                <w:szCs w:val="18"/>
                <w:color w:val="auto"/>
              </w:rPr>
              <w:t>outstanding, actual and as adjusted, respectively</w:t>
            </w:r>
            <w:r>
              <w:rPr>
                <w:rFonts w:ascii="Arial" w:cs="Arial" w:eastAsia="Arial" w:hAnsi="Arial"/>
                <w:sz w:val="20"/>
                <w:szCs w:val="20"/>
                <w:color w:val="auto"/>
                <w:vertAlign w:val="superscript"/>
              </w:rPr>
              <w:t>(3)</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1,006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875</w:t>
            </w:r>
          </w:p>
        </w:tc>
        <w:tc>
          <w:tcPr>
            <w:tcW w:w="120" w:type="dxa"/>
            <w:vAlign w:val="bottom"/>
          </w:tcPr>
          <w:p>
            <w:pPr>
              <w:spacing w:after="0"/>
              <w:rPr>
                <w:sz w:val="21"/>
                <w:szCs w:val="21"/>
                <w:color w:val="auto"/>
              </w:rPr>
            </w:pPr>
          </w:p>
        </w:tc>
      </w:tr>
      <w:tr>
        <w:trPr>
          <w:trHeight w:val="263"/>
        </w:trPr>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23,994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5,001,653</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77"/>
        </w:trPr>
        <w:tc>
          <w:tcPr>
            <w:tcW w:w="5440" w:type="dxa"/>
            <w:vAlign w:val="bottom"/>
          </w:tcPr>
          <w:p>
            <w:pPr>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(2,681)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(2,681)</w:t>
            </w:r>
          </w:p>
        </w:tc>
      </w:tr>
      <w:tr>
        <w:trPr>
          <w:trHeight w:val="270"/>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22,319</w:t>
            </w: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5,000,009</w:t>
            </w:r>
          </w:p>
        </w:tc>
        <w:tc>
          <w:tcPr>
            <w:tcW w:w="120" w:type="dxa"/>
            <w:vAlign w:val="bottom"/>
            <w:tcBorders>
              <w:top w:val="single" w:sz="8" w:color="CCEEFF"/>
            </w:tcBorders>
            <w:shd w:val="clear" w:color="auto" w:fill="CCEEFF"/>
          </w:tcPr>
          <w:p>
            <w:pPr>
              <w:spacing w:after="0"/>
              <w:rPr>
                <w:sz w:val="23"/>
                <w:szCs w:val="23"/>
                <w:color w:val="auto"/>
              </w:rPr>
            </w:pPr>
          </w:p>
        </w:tc>
      </w:tr>
      <w:tr>
        <w:trPr>
          <w:trHeight w:val="250"/>
        </w:trPr>
        <w:tc>
          <w:tcPr>
            <w:tcW w:w="5440" w:type="dxa"/>
            <w:vAlign w:val="bottom"/>
          </w:tcPr>
          <w:p>
            <w:pPr>
              <w:spacing w:after="0"/>
              <w:rPr>
                <w:sz w:val="20"/>
                <w:szCs w:val="20"/>
                <w:color w:val="auto"/>
              </w:rPr>
            </w:pPr>
            <w:r>
              <w:rPr>
                <w:rFonts w:ascii="Arial" w:cs="Arial" w:eastAsia="Arial" w:hAnsi="Arial"/>
                <w:sz w:val="18"/>
                <w:szCs w:val="18"/>
                <w:color w:val="auto"/>
              </w:rPr>
              <w:t>Total capitalization</w:t>
            </w: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22,319</w:t>
            </w:r>
          </w:p>
        </w:tc>
        <w:tc>
          <w:tcPr>
            <w:tcW w:w="100" w:type="dxa"/>
            <w:vAlign w:val="bottom"/>
          </w:tcPr>
          <w:p>
            <w:pPr>
              <w:spacing w:after="0"/>
              <w:rPr>
                <w:sz w:val="21"/>
                <w:szCs w:val="21"/>
                <w:color w:val="auto"/>
              </w:rPr>
            </w:pPr>
          </w:p>
        </w:tc>
        <w:tc>
          <w:tcPr>
            <w:tcW w:w="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351,022,319</w:t>
            </w:r>
          </w:p>
        </w:tc>
        <w:tc>
          <w:tcPr>
            <w:tcW w:w="120" w:type="dxa"/>
            <w:vAlign w:val="bottom"/>
          </w:tcPr>
          <w:p>
            <w:pPr>
              <w:spacing w:after="0"/>
              <w:rPr>
                <w:sz w:val="21"/>
                <w:szCs w:val="21"/>
                <w:color w:val="auto"/>
              </w:rPr>
            </w:pPr>
          </w:p>
        </w:tc>
      </w:tr>
      <w:tr>
        <w:trPr>
          <w:trHeight w:val="20"/>
        </w:trPr>
        <w:tc>
          <w:tcPr>
            <w:tcW w:w="5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73" w:lineRule="exact"/>
        <w:rPr>
          <w:sz w:val="20"/>
          <w:szCs w:val="20"/>
          <w:color w:val="auto"/>
        </w:rPr>
      </w:pPr>
    </w:p>
    <w:p>
      <w:pPr>
        <w:ind w:left="880" w:right="579" w:hanging="426"/>
        <w:spacing w:after="0" w:line="234" w:lineRule="auto"/>
        <w:tabs>
          <w:tab w:leader="none" w:pos="882" w:val="left"/>
        </w:tabs>
        <w:numPr>
          <w:ilvl w:val="0"/>
          <w:numId w:val="35"/>
        </w:numPr>
        <w:rPr>
          <w:rFonts w:ascii="Arial" w:cs="Arial" w:eastAsia="Arial" w:hAnsi="Arial"/>
          <w:sz w:val="12"/>
          <w:szCs w:val="12"/>
          <w:color w:val="auto"/>
        </w:rPr>
      </w:pPr>
      <w:r>
        <w:rPr>
          <w:rFonts w:ascii="Arial" w:cs="Arial" w:eastAsia="Arial" w:hAnsi="Arial"/>
          <w:sz w:val="12"/>
          <w:szCs w:val="12"/>
          <w:color w:val="auto"/>
        </w:rPr>
        <w:t>Our sponsor may loan us up to $300,000 under an unsecured promissory note to be used for a portion of the expenses of this offering. The “as adjusted” information gives effect to the repayment of any loans made under this note out of the proceeds from this offering and the sale of the private placement warrants. As of July 16, 2020, we had not borrowed any amounts under the promissory note.</w:t>
      </w:r>
    </w:p>
    <w:p>
      <w:pPr>
        <w:spacing w:after="0" w:line="1" w:lineRule="exact"/>
        <w:rPr>
          <w:rFonts w:ascii="Arial" w:cs="Arial" w:eastAsia="Arial" w:hAnsi="Arial"/>
          <w:sz w:val="12"/>
          <w:szCs w:val="12"/>
          <w:color w:val="auto"/>
        </w:rPr>
      </w:pPr>
    </w:p>
    <w:p>
      <w:pPr>
        <w:ind w:left="880" w:right="459" w:hanging="426"/>
        <w:spacing w:after="0" w:line="216" w:lineRule="auto"/>
        <w:tabs>
          <w:tab w:leader="none" w:pos="882" w:val="left"/>
        </w:tabs>
        <w:numPr>
          <w:ilvl w:val="0"/>
          <w:numId w:val="35"/>
        </w:numPr>
        <w:rPr>
          <w:rFonts w:ascii="Arial" w:cs="Arial" w:eastAsia="Arial" w:hAnsi="Arial"/>
          <w:sz w:val="13"/>
          <w:szCs w:val="13"/>
          <w:color w:val="auto"/>
        </w:rPr>
      </w:pPr>
      <w:r>
        <w:rPr>
          <w:rFonts w:ascii="Arial" w:cs="Arial" w:eastAsia="Arial" w:hAnsi="Arial"/>
          <w:sz w:val="13"/>
          <w:szCs w:val="13"/>
          <w:color w:val="auto"/>
        </w:rPr>
        <w:t>Upon the completion of our initial business combination, we will provide our public stockholders with the opportunity to redeem their public shares for cash at a per share price equal to the aggregate amount then on deposit in the trust account calculated as of two business days prior to the consummation of our initial business combination, including interest earned on the funds held in the trust account and not previously released to us to pay our taxes, divided by the number of then outstanding public shares, subject to the limitations described herein whereby redemptions cannot cause our net tangible assets to be less than $5,000,001.</w:t>
      </w:r>
    </w:p>
    <w:p>
      <w:pPr>
        <w:spacing w:after="0" w:line="2" w:lineRule="exact"/>
        <w:rPr>
          <w:rFonts w:ascii="Arial" w:cs="Arial" w:eastAsia="Arial" w:hAnsi="Arial"/>
          <w:sz w:val="13"/>
          <w:szCs w:val="13"/>
          <w:color w:val="auto"/>
        </w:rPr>
      </w:pPr>
    </w:p>
    <w:p>
      <w:pPr>
        <w:ind w:left="880" w:right="619" w:hanging="426"/>
        <w:spacing w:after="0" w:line="230" w:lineRule="auto"/>
        <w:tabs>
          <w:tab w:leader="none" w:pos="875" w:val="left"/>
        </w:tabs>
        <w:numPr>
          <w:ilvl w:val="0"/>
          <w:numId w:val="35"/>
        </w:numPr>
        <w:rPr>
          <w:rFonts w:ascii="Arial" w:cs="Arial" w:eastAsia="Arial" w:hAnsi="Arial"/>
          <w:sz w:val="13"/>
          <w:szCs w:val="13"/>
          <w:color w:val="auto"/>
        </w:rPr>
      </w:pPr>
      <w:r>
        <w:rPr>
          <w:rFonts w:ascii="Arial" w:cs="Arial" w:eastAsia="Arial" w:hAnsi="Arial"/>
          <w:sz w:val="13"/>
          <w:szCs w:val="13"/>
          <w:color w:val="auto"/>
        </w:rPr>
        <w:t>Actual share amount is prior to any forfeiture of founder shares and as adjusted amount assumes no exercise of the underwriters’ over-allotment option and forfeiture of an aggregate of 1,312,500 founder shares.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74" w:name="page75"/>
    <w:bookmarkEnd w:id="74"/>
    <w:p>
      <w:pPr>
        <w:ind w:left="232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18"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Overview</w:t>
      </w:r>
    </w:p>
    <w:p>
      <w:pPr>
        <w:spacing w:after="0" w:line="166"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We are a blank check company incorporated on July 10, 2020 as a Delaware corporation and formed for the purpose of effecting a merger, capital stock exchange, asset acquisition, stock purchase, reorganization or similar business combination with one or more businesses. We have not selected any specific business combination target and we have not, nor has anyone on our behalf, engaged in any substantive discussions directly or indirectly, with any business combination target with respect to an initial business combination with us. We may pursue an initial business combination target in any industry, sector or geographic region. We intend to focus our search for an initial business combination in the life sciences sector. We intend to effectuate our initial business combination using cash from the proceeds of this offering and the private placement of the private placement warrants and any forward purchase shares, the proceeds of the sale of our shares in connection with our initial business combination (pursuant to forward purchase agreements or backstop agreements we may enter into following the consummation of this offering or otherwise), shares issued to the owners of the target, debt issued to bank or other lenders or the owners of the target, or a combination of the foregoing.</w:t>
      </w:r>
    </w:p>
    <w:p>
      <w:pPr>
        <w:spacing w:after="0" w:line="133" w:lineRule="exact"/>
        <w:rPr>
          <w:sz w:val="20"/>
          <w:szCs w:val="20"/>
          <w:color w:val="auto"/>
        </w:rPr>
      </w:pPr>
    </w:p>
    <w:p>
      <w:pPr>
        <w:ind w:left="460" w:right="839"/>
        <w:spacing w:after="0" w:line="246" w:lineRule="auto"/>
        <w:rPr>
          <w:sz w:val="20"/>
          <w:szCs w:val="20"/>
          <w:color w:val="auto"/>
        </w:rPr>
      </w:pPr>
      <w:r>
        <w:rPr>
          <w:rFonts w:ascii="Arial" w:cs="Arial" w:eastAsia="Arial" w:hAnsi="Arial"/>
          <w:sz w:val="18"/>
          <w:szCs w:val="18"/>
          <w:color w:val="auto"/>
        </w:rPr>
        <w:t>The issuance of additional shares in connection with a business combination to the owners of the target or other investors, including any forward purchase shares:</w:t>
      </w:r>
    </w:p>
    <w:p>
      <w:pPr>
        <w:spacing w:after="0" w:line="21" w:lineRule="exact"/>
        <w:rPr>
          <w:sz w:val="20"/>
          <w:szCs w:val="20"/>
          <w:color w:val="auto"/>
        </w:rPr>
      </w:pPr>
    </w:p>
    <w:p>
      <w:pPr>
        <w:ind w:left="1100" w:right="539" w:hanging="322"/>
        <w:spacing w:after="0" w:line="238" w:lineRule="auto"/>
        <w:tabs>
          <w:tab w:leader="none" w:pos="1089"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may significantly dilute the equity interest of investors in this offering, which dilution would increase if the anti-dilution provisions in the Class B common stock resulted in the issuance of Class A common stock on a greater than one-to-one basis upon conversion of the Class B common stock;</w:t>
      </w:r>
    </w:p>
    <w:p>
      <w:pPr>
        <w:spacing w:after="0" w:line="29" w:lineRule="exact"/>
        <w:rPr>
          <w:rFonts w:ascii="Arial" w:cs="Arial" w:eastAsia="Arial" w:hAnsi="Arial"/>
          <w:sz w:val="18"/>
          <w:szCs w:val="18"/>
          <w:color w:val="auto"/>
        </w:rPr>
      </w:pPr>
    </w:p>
    <w:p>
      <w:pPr>
        <w:ind w:left="1100" w:right="699" w:hanging="322"/>
        <w:spacing w:after="0" w:line="246" w:lineRule="auto"/>
        <w:tabs>
          <w:tab w:leader="none" w:pos="1089"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may subordinate the rights of holders of Class A common stock if shares of preferred stock are issued with rights senior to those afforded our Class A common stock;</w:t>
      </w:r>
    </w:p>
    <w:p>
      <w:pPr>
        <w:spacing w:after="0" w:line="7" w:lineRule="exact"/>
        <w:rPr>
          <w:rFonts w:ascii="Arial" w:cs="Arial" w:eastAsia="Arial" w:hAnsi="Arial"/>
          <w:sz w:val="18"/>
          <w:szCs w:val="18"/>
          <w:color w:val="auto"/>
        </w:rPr>
      </w:pPr>
    </w:p>
    <w:p>
      <w:pPr>
        <w:ind w:left="1100" w:right="719" w:hanging="322"/>
        <w:spacing w:after="0" w:line="238" w:lineRule="auto"/>
        <w:tabs>
          <w:tab w:leader="none" w:pos="1089"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could cause a change in control if a substantial number of shares of our Class A common stock are issued, which may affect, among other things, our ability to use our net operating loss carry forwards, if any, and could result in the resignation or removal of our present officers and directors;</w:t>
      </w:r>
    </w:p>
    <w:p>
      <w:pPr>
        <w:spacing w:after="0" w:line="29" w:lineRule="exact"/>
        <w:rPr>
          <w:rFonts w:ascii="Arial" w:cs="Arial" w:eastAsia="Arial" w:hAnsi="Arial"/>
          <w:sz w:val="18"/>
          <w:szCs w:val="18"/>
          <w:color w:val="auto"/>
        </w:rPr>
      </w:pPr>
    </w:p>
    <w:p>
      <w:pPr>
        <w:ind w:left="1100" w:right="659" w:hanging="322"/>
        <w:spacing w:after="0" w:line="246" w:lineRule="auto"/>
        <w:tabs>
          <w:tab w:leader="none" w:pos="1089"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may have the effect of delaying or preventing a change of control of us by diluting the share ownership or voting rights of a person seeking to obtain control of us; and</w:t>
      </w:r>
    </w:p>
    <w:p>
      <w:pPr>
        <w:spacing w:after="0" w:line="21" w:lineRule="exact"/>
        <w:rPr>
          <w:rFonts w:ascii="Arial" w:cs="Arial" w:eastAsia="Arial" w:hAnsi="Arial"/>
          <w:sz w:val="18"/>
          <w:szCs w:val="18"/>
          <w:color w:val="auto"/>
        </w:rPr>
      </w:pPr>
    </w:p>
    <w:p>
      <w:pPr>
        <w:ind w:left="1100" w:hanging="322"/>
        <w:spacing w:after="0"/>
        <w:tabs>
          <w:tab w:leader="none" w:pos="11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Class A common stock and/or warrants.</w:t>
      </w:r>
    </w:p>
    <w:p>
      <w:pPr>
        <w:spacing w:after="0" w:line="131" w:lineRule="exact"/>
        <w:rPr>
          <w:sz w:val="20"/>
          <w:szCs w:val="20"/>
          <w:color w:val="auto"/>
        </w:rPr>
      </w:pPr>
    </w:p>
    <w:p>
      <w:pPr>
        <w:ind w:left="460" w:right="559"/>
        <w:spacing w:after="0" w:line="246" w:lineRule="auto"/>
        <w:rPr>
          <w:sz w:val="20"/>
          <w:szCs w:val="20"/>
          <w:color w:val="auto"/>
        </w:rPr>
      </w:pPr>
      <w:r>
        <w:rPr>
          <w:rFonts w:ascii="Arial" w:cs="Arial" w:eastAsia="Arial" w:hAnsi="Arial"/>
          <w:sz w:val="18"/>
          <w:szCs w:val="18"/>
          <w:color w:val="auto"/>
        </w:rPr>
        <w:t>Similarly, if we issue debt securities or otherwise incur significant debt to bank or other lenders or the owners of a target, it could result in:</w:t>
      </w:r>
    </w:p>
    <w:p>
      <w:pPr>
        <w:spacing w:after="0" w:line="21" w:lineRule="exact"/>
        <w:rPr>
          <w:sz w:val="20"/>
          <w:szCs w:val="20"/>
          <w:color w:val="auto"/>
        </w:rPr>
      </w:pPr>
    </w:p>
    <w:p>
      <w:pPr>
        <w:ind w:left="1100" w:right="1039" w:hanging="322"/>
        <w:spacing w:after="0" w:line="246" w:lineRule="auto"/>
        <w:tabs>
          <w:tab w:leader="none" w:pos="1089"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an initial business combination are insufficient to repay our debt obligations;</w:t>
      </w:r>
    </w:p>
    <w:p>
      <w:pPr>
        <w:spacing w:after="0" w:line="21" w:lineRule="exact"/>
        <w:rPr>
          <w:rFonts w:ascii="Arial" w:cs="Arial" w:eastAsia="Arial" w:hAnsi="Arial"/>
          <w:sz w:val="18"/>
          <w:szCs w:val="18"/>
          <w:color w:val="auto"/>
        </w:rPr>
      </w:pPr>
    </w:p>
    <w:p>
      <w:pPr>
        <w:ind w:left="1100" w:right="639" w:hanging="322"/>
        <w:spacing w:after="0"/>
        <w:tabs>
          <w:tab w:leader="none" w:pos="1089"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3" w:lineRule="exact"/>
        <w:rPr>
          <w:rFonts w:ascii="Arial" w:cs="Arial" w:eastAsia="Arial" w:hAnsi="Arial"/>
          <w:sz w:val="18"/>
          <w:szCs w:val="18"/>
          <w:color w:val="auto"/>
        </w:rPr>
      </w:pPr>
    </w:p>
    <w:p>
      <w:pPr>
        <w:ind w:left="1100" w:right="699" w:hanging="322"/>
        <w:spacing w:after="0" w:line="246" w:lineRule="auto"/>
        <w:tabs>
          <w:tab w:leader="none" w:pos="1089"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is payable on demand;</w:t>
      </w:r>
    </w:p>
    <w:p>
      <w:pPr>
        <w:spacing w:after="0" w:line="21" w:lineRule="exact"/>
        <w:rPr>
          <w:rFonts w:ascii="Arial" w:cs="Arial" w:eastAsia="Arial" w:hAnsi="Arial"/>
          <w:sz w:val="18"/>
          <w:szCs w:val="18"/>
          <w:color w:val="auto"/>
        </w:rPr>
      </w:pPr>
    </w:p>
    <w:p>
      <w:pPr>
        <w:ind w:left="1100" w:right="559" w:hanging="322"/>
        <w:spacing w:after="0" w:line="246" w:lineRule="auto"/>
        <w:tabs>
          <w:tab w:leader="none" w:pos="1089"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contains covenants restricting our ability to obtain such financing while the debt is outstanding;</w:t>
      </w:r>
    </w:p>
    <w:p>
      <w:pPr>
        <w:spacing w:after="0" w:line="21" w:lineRule="exact"/>
        <w:rPr>
          <w:rFonts w:ascii="Arial" w:cs="Arial" w:eastAsia="Arial" w:hAnsi="Arial"/>
          <w:sz w:val="18"/>
          <w:szCs w:val="18"/>
          <w:color w:val="auto"/>
        </w:rPr>
      </w:pPr>
    </w:p>
    <w:p>
      <w:pPr>
        <w:ind w:left="1100" w:hanging="322"/>
        <w:spacing w:after="0"/>
        <w:tabs>
          <w:tab w:leader="none" w:pos="11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inability to pay dividends on our Class A common stock;</w:t>
      </w:r>
    </w:p>
    <w:p>
      <w:pPr>
        <w:spacing w:after="0" w:line="22" w:lineRule="exact"/>
        <w:rPr>
          <w:rFonts w:ascii="Arial" w:cs="Arial" w:eastAsia="Arial" w:hAnsi="Arial"/>
          <w:sz w:val="18"/>
          <w:szCs w:val="18"/>
          <w:color w:val="auto"/>
        </w:rPr>
      </w:pPr>
    </w:p>
    <w:p>
      <w:pPr>
        <w:ind w:left="1100" w:right="759" w:hanging="322"/>
        <w:spacing w:after="0" w:line="261" w:lineRule="auto"/>
        <w:tabs>
          <w:tab w:leader="none" w:pos="1089" w:val="left"/>
        </w:tabs>
        <w:numPr>
          <w:ilvl w:val="0"/>
          <w:numId w:val="37"/>
        </w:numPr>
        <w:rPr>
          <w:rFonts w:ascii="Arial" w:cs="Arial" w:eastAsia="Arial" w:hAnsi="Arial"/>
          <w:sz w:val="17"/>
          <w:szCs w:val="17"/>
          <w:color w:val="auto"/>
        </w:rPr>
      </w:pPr>
      <w:r>
        <w:rPr>
          <w:rFonts w:ascii="Arial" w:cs="Arial" w:eastAsia="Arial" w:hAnsi="Arial"/>
          <w:sz w:val="17"/>
          <w:szCs w:val="17"/>
          <w:color w:val="auto"/>
        </w:rPr>
        <w:t>using a substantial portion of our cash flow to pay principal and interest on our debt, which will reduce the funds available for dividends on our Class A common stock if declared, expenses, capital expenditures, acquisitions and other general corporate purposes;</w:t>
      </w:r>
    </w:p>
    <w:p>
      <w:pPr>
        <w:spacing w:after="0" w:line="10" w:lineRule="exact"/>
        <w:rPr>
          <w:rFonts w:ascii="Arial" w:cs="Arial" w:eastAsia="Arial" w:hAnsi="Arial"/>
          <w:sz w:val="17"/>
          <w:szCs w:val="17"/>
          <w:color w:val="auto"/>
        </w:rPr>
      </w:pPr>
    </w:p>
    <w:p>
      <w:pPr>
        <w:ind w:left="1100" w:right="579" w:hanging="322"/>
        <w:spacing w:after="0" w:line="246" w:lineRule="auto"/>
        <w:tabs>
          <w:tab w:leader="none" w:pos="1089"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21" w:lineRule="exact"/>
        <w:rPr>
          <w:rFonts w:ascii="Arial" w:cs="Arial" w:eastAsia="Arial" w:hAnsi="Arial"/>
          <w:sz w:val="18"/>
          <w:szCs w:val="18"/>
          <w:color w:val="auto"/>
        </w:rPr>
      </w:pPr>
    </w:p>
    <w:p>
      <w:pPr>
        <w:ind w:left="1100" w:right="819" w:hanging="322"/>
        <w:spacing w:after="0" w:line="246" w:lineRule="auto"/>
        <w:tabs>
          <w:tab w:leader="none" w:pos="1089"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 and</w:t>
      </w:r>
    </w:p>
    <w:p>
      <w:pPr>
        <w:spacing w:after="0" w:line="7" w:lineRule="exact"/>
        <w:rPr>
          <w:rFonts w:ascii="Arial" w:cs="Arial" w:eastAsia="Arial" w:hAnsi="Arial"/>
          <w:sz w:val="18"/>
          <w:szCs w:val="18"/>
          <w:color w:val="auto"/>
        </w:rPr>
      </w:pPr>
    </w:p>
    <w:p>
      <w:pPr>
        <w:ind w:left="1100" w:right="779" w:hanging="322"/>
        <w:spacing w:after="0"/>
        <w:tabs>
          <w:tab w:leader="none" w:pos="1089"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75" w:name="page76"/>
    <w:bookmarkEnd w:id="75"/>
    <w:p>
      <w:pPr>
        <w:ind w:left="460" w:right="739"/>
        <w:spacing w:after="0" w:line="238" w:lineRule="auto"/>
        <w:rPr>
          <w:sz w:val="20"/>
          <w:szCs w:val="20"/>
          <w:color w:val="auto"/>
        </w:rPr>
      </w:pPr>
      <w:r>
        <w:rPr>
          <w:rFonts w:ascii="Arial" w:cs="Arial" w:eastAsia="Arial" w:hAnsi="Arial"/>
          <w:sz w:val="18"/>
          <w:szCs w:val="18"/>
          <w:color w:val="auto"/>
        </w:rPr>
        <w:t>As indicated in the accompanying financial statements, at July 16, 2020, we had no cash, deferred offering costs of $90,000, and a working capital deficit of $(67,681). Further, we expect to incur significant costs in the pursuit of our initial business combination. We cannot assure you that our plans to raise capital or to complete our initial business combination will be successful.</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Results of Operations and Known Trends or Future Events</w:t>
      </w:r>
    </w:p>
    <w:p>
      <w:pPr>
        <w:spacing w:after="0" w:line="153"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We have neither engaged in any operations nor generated any revenues to date. Our only activities since inception have been organizational activities and those necessary to prepare for this offering. Following this offering, we will not generate any operating revenues until after completion of our initial business combination. We will generate non-operating income in the form of interest income on cash and cash equivalents after this offering. There has been no significant change in our financial or trading position and no material adverse change has occurred since the date of our audited financial statements. After this offering, we expect to incur increased expenses as a result of being a public company (for legal, financial reporting, accounting and auditing compliance), as well as for due diligence expenses. We expect our expenses to increase substantially after the closing of this offering.</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Liquidity and Capital Resources</w:t>
      </w:r>
    </w:p>
    <w:p>
      <w:pPr>
        <w:spacing w:after="0" w:line="166" w:lineRule="exact"/>
        <w:rPr>
          <w:sz w:val="20"/>
          <w:szCs w:val="20"/>
          <w:color w:val="auto"/>
        </w:rPr>
      </w:pPr>
    </w:p>
    <w:p>
      <w:pPr>
        <w:ind w:left="460" w:right="719"/>
        <w:spacing w:after="0"/>
        <w:rPr>
          <w:sz w:val="20"/>
          <w:szCs w:val="20"/>
          <w:color w:val="auto"/>
        </w:rPr>
      </w:pPr>
      <w:r>
        <w:rPr>
          <w:rFonts w:ascii="Arial" w:cs="Arial" w:eastAsia="Arial" w:hAnsi="Arial"/>
          <w:sz w:val="18"/>
          <w:szCs w:val="18"/>
          <w:color w:val="auto"/>
        </w:rPr>
        <w:t>Our liquidity needs have been satisfied prior to the completion of this offering through a capital contribution from our sponsor of $25,000 in exchange for the issuance of the founder shares to our sponsor and up to $300,000 in loans available from our sponsor.</w:t>
      </w:r>
    </w:p>
    <w:p>
      <w:pPr>
        <w:spacing w:after="0" w:line="135"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We estimate that the net proceeds from the sale of the units in this offering and the sale of the private placement warrants for an aggregate purchase price of $9,000,000 (or $10,050,000 if the underwriters’ over-allotment option is exercised in full), after deducting offering expenses of approximately $1,000,000 and underwriting commissions of $7,000,000 (or $8,050,000 if the underwriters’ over-allotment option is exercised in full) (excluding deferred underwriting commissions of $12,250,000, or $14,087,500 if the underwriters’ over-allotment option is exercised in full), will be $351,000,000 (or $403,500,000 if the underwriters’ over-allotment option is exercised in full). $350,000,000 (or $402,500,000 if the underwriters’ over-allotment option is exercised in full) will be held in the trust account, which includes the deferred underwriting commissions described above. 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The remaining approximately $1,000,000 will not be held in the trust account. In the event that our offering expenses exceed our estimate of $1,000,000, we may fund such excess with funds not to be held in the trust account. In such case, the amount of funds we intend to be held outside the trust account would decrease by a corresponding amount. Conversely, in the event that the offering expenses are less than our estimate of $1,000,000, the amount of funds we intend to be held outside the trust account would increase by a corresponding amount.</w:t>
      </w:r>
    </w:p>
    <w:p>
      <w:pPr>
        <w:spacing w:after="0" w:line="132"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We intend to use substantially all of the funds held in the trust account, including any amounts representing interest earned on the trust account (excluding deferred underwriting commissions) and the proceeds from the sale of forward purchase shares to complete our initial business combination. We may withdraw interest to pay our taxes. We estimate our annual franchise tax obligations, based on the number of shares of our common stock authorized and outstanding after the completion of this offering, to be $300,000, which is the maximum amount of annual franchise taxes payable by us as a Delaware corporation per annum, which we may pay from funds from this offering held outside of the trust account or from interest earned on the funds held in the trust account and released to us for this purpose. Our annual income tax obligations will depend on the amount of interest and other income earned on the amounts held in the trust account. We expect the interest earned on the amount in the trust account will be sufficient to pay our income taxes. To the extent that our equity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w:t>
      </w:r>
    </w:p>
    <w:p>
      <w:pPr>
        <w:spacing w:after="0" w:line="146" w:lineRule="exact"/>
        <w:rPr>
          <w:sz w:val="20"/>
          <w:szCs w:val="20"/>
          <w:color w:val="auto"/>
        </w:rPr>
      </w:pPr>
    </w:p>
    <w:p>
      <w:pPr>
        <w:ind w:left="460" w:right="539"/>
        <w:spacing w:after="0" w:line="253" w:lineRule="auto"/>
        <w:rPr>
          <w:sz w:val="20"/>
          <w:szCs w:val="20"/>
          <w:color w:val="auto"/>
        </w:rPr>
      </w:pPr>
      <w:r>
        <w:rPr>
          <w:rFonts w:ascii="Arial" w:cs="Arial" w:eastAsia="Arial" w:hAnsi="Arial"/>
          <w:sz w:val="17"/>
          <w:szCs w:val="17"/>
          <w:color w:val="auto"/>
        </w:rPr>
        <w:t>Prior to the completion of our initial business combination, we will have available to us the approximately $1,000,000 of proceeds held outside the trust account. We will use these funds to primarily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a business combination.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76" w:name="page77"/>
    <w:bookmarkEnd w:id="76"/>
    <w:p>
      <w:pPr>
        <w:ind w:left="460" w:right="479"/>
        <w:spacing w:after="0" w:line="235" w:lineRule="auto"/>
        <w:rPr>
          <w:sz w:val="20"/>
          <w:szCs w:val="20"/>
          <w:color w:val="auto"/>
        </w:rPr>
      </w:pPr>
      <w:r>
        <w:rPr>
          <w:rFonts w:ascii="Arial" w:cs="Arial" w:eastAsia="Arial" w:hAnsi="Arial"/>
          <w:sz w:val="18"/>
          <w:szCs w:val="18"/>
          <w:color w:val="auto"/>
        </w:rPr>
        <w:t>We do not believe we will need to raise additional funds following this offering in order to meet the expenditures required for operating our business prior to our initial business combination. However, if our estimates of the costs of identifying a target business, undertaking in-depth due diligence and negotiating an initial business combination are less than the actual amount necessary to do so, we may have insufficient funds available to operate our business prior to our initial business combination. In order to fund working capital deficiencies or finance transaction costs in connection with an intended initial business combination, our sponsor or an affiliate of our sponsor or certain of our officers and directors may, but are not obligated to, loan us funds as may be required. If we complete our initial business combination, we would repay such loaned amounts. In the event that our initial business combination does not close, we may use a portion of the working capital held outside the trust account to repay such loaned amounts but no proceeds from our trust account would be used for such repayment. Up to $ 1,500,000 of such loans may be convertible into warrants of the post business combination entity at a price of $1.50 per warrant at the option of the lender. The warrants would be identical to the private placement warrants. The terms of such loans, if any, have not been determined and no written agreements exist with respect to such loans.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132"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We expect our primary liquidity requirements during that period to include approximately $740,000 for legal, accounting, due diligence, travel and other expenses associated with structuring, negotiating and documenting successful business combinations; $ 85,000 for legal and accounting fees related to regulatory reporting requirements; $75,000 for Nasdaq and other regulatory fees; $75,000 for consulting, travel and miscellaneous expenses incurred during the search for a business combination target; and approximately $25,000 for general working capital that will be used for miscellaneous expenses and reserves.</w:t>
      </w:r>
    </w:p>
    <w:p>
      <w:pPr>
        <w:spacing w:after="0" w:line="135" w:lineRule="exact"/>
        <w:rPr>
          <w:sz w:val="20"/>
          <w:szCs w:val="20"/>
          <w:color w:val="auto"/>
        </w:rPr>
      </w:pPr>
    </w:p>
    <w:p>
      <w:pPr>
        <w:ind w:left="460" w:right="659"/>
        <w:spacing w:after="0" w:line="236" w:lineRule="auto"/>
        <w:rPr>
          <w:sz w:val="20"/>
          <w:szCs w:val="20"/>
          <w:color w:val="auto"/>
        </w:rPr>
      </w:pPr>
      <w:r>
        <w:rPr>
          <w:rFonts w:ascii="Arial" w:cs="Arial" w:eastAsia="Arial" w:hAnsi="Arial"/>
          <w:sz w:val="18"/>
          <w:szCs w:val="18"/>
          <w:color w:val="auto"/>
        </w:rPr>
        <w:t>These amounts are estimates and may differ materially from our actual expenses. In addition, we could use a portion of the funds not being placed in trust to pay commitment fees for financing, fees to consultants to assist us with our search for a target business or as a down payment or to fund a “no-shop” provision (a provision designed to keep target businesses from “shopping” around for transactions with other companies or investors on terms more favorable to such target businesses) with respect to a particular proposed business combination, although we do not have any current intention to do so. If we entered into an agreement where we paid for the right to receive exclusivity from a target business, the amount that would be used as a down payment or to fund a “no-shop” provision would be determined based on the terms of the specific business combination and the amount of our available funds at the time. Our forfeiture of such funds (whether as a result of our breach or otherwise) could result in our not having sufficient funds to continue searching for, or conducting due diligence with respect to, prospective target businesses.</w:t>
      </w:r>
    </w:p>
    <w:p>
      <w:pPr>
        <w:spacing w:after="0" w:line="136"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Moreover, we may need to obtain additional financing to complete our initial business combination, either because the transaction requires more cash than is available from the proceeds held in our trust account and from the proceeds of the sale of forward purchase shares or because we become obligated to redeem a significant number of our public shares upon completion of the business combination, or because any or all of the forward purchase shares are not purchased under the forward purchase agreement, in which case we may issue additional securities or incur debt in connection with such business combination. In addition, we intend to target businesses with enterprise values that are greater than we could acquire with the net proceeds of this offering and the sale of the private placement units, and, as a result, if the cash portion of the purchase price exceeds the amount available from the trust account, net of amounts needed to satisfy any redemptions by public shareholders, we may be required to seek additional financing to complete such proposed initial business combination. We may also obtain financing prior to the closing of our initial business combination to fund our working capital needs and transaction costs in connection with our search for and completion of our initial business combination. There is no limitation on our ability to raise funds through the issuance of equity or equity-linked securities or through loans, advances or other indebtedness in connection with our initial business combination, including pursuant to forward purchase agreements or backstop agreements we may enter into following consummation of this offering. Subject to compliance with applicable securities laws, we would only complete such financing simultaneously with the completion of our initial business combination. If we are unable to complete our initial business combination because we do not have sufficient funds available to us, we will be forced to cease operations and liquidate the trust account. In addition, following our initial business combination, if cash on hand is insufficient, we may need to obtain additional financing in order to meet our obligations.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77" w:name="page78"/>
    <w:bookmarkEnd w:id="77"/>
    <w:p>
      <w:pPr>
        <w:ind w:left="460"/>
        <w:spacing w:after="0"/>
        <w:rPr>
          <w:sz w:val="20"/>
          <w:szCs w:val="20"/>
          <w:color w:val="auto"/>
        </w:rPr>
      </w:pPr>
      <w:r>
        <w:rPr>
          <w:rFonts w:ascii="Arial" w:cs="Arial" w:eastAsia="Arial" w:hAnsi="Arial"/>
          <w:sz w:val="18"/>
          <w:szCs w:val="18"/>
          <w:b w:val="1"/>
          <w:bCs w:val="1"/>
          <w:color w:val="auto"/>
        </w:rPr>
        <w:t>Controls and Procedures</w:t>
      </w:r>
    </w:p>
    <w:p>
      <w:pPr>
        <w:spacing w:after="0" w:line="166"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We are not currently required to maintain an effective system of internal controls as defined by Section 404 of the Sarbanes-Oxley Act. We will be required to comply with the internal control requirements of the Sarbanes-Oxley Act for the fiscal year ending December 31, 2021. Only in the event that we are deemed to be a large accelerated filer or an accelerated filer and no longer an emerging growth company would we be required to comply with the independent registered public accounting firm attestation requirement. Further, for as long as we remain an emerging growth company as defined in the JOBS Act, we intend to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w:t>
      </w:r>
    </w:p>
    <w:p>
      <w:pPr>
        <w:spacing w:after="0" w:line="125"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Prior to the closing of this offering, we have not completed an assessment, nor has our independent registered public accounting firm tested our systems, of internal controls. We expect to assess the internal controls of our target business or businesses prior to the completion of our initial business combination and, if necessary, to implement and test additional controls as we may determine are necessary in order to state that we maintain an effective system of internal controls. A target business may not be in compliance with the provisions of the Sarbanes-Oxley Act regarding the adequacy of internal controls. Many small and mid-sized target businesses we may consider for our initial business combination may have internal controls that need improvement in areas such as:</w:t>
      </w:r>
    </w:p>
    <w:p>
      <w:pPr>
        <w:spacing w:after="0" w:line="32" w:lineRule="exact"/>
        <w:rPr>
          <w:sz w:val="20"/>
          <w:szCs w:val="20"/>
          <w:color w:val="auto"/>
        </w:rPr>
      </w:pPr>
    </w:p>
    <w:p>
      <w:pPr>
        <w:ind w:left="1100" w:hanging="322"/>
        <w:spacing w:after="0"/>
        <w:tabs>
          <w:tab w:leader="none" w:pos="11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staffing for financial, accounting and external reporting areas, including segregation of duties;</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reconciliation of accounts;</w:t>
      </w:r>
    </w:p>
    <w:p>
      <w:pPr>
        <w:spacing w:after="0" w:line="22" w:lineRule="exact"/>
        <w:rPr>
          <w:rFonts w:ascii="Arial" w:cs="Arial" w:eastAsia="Arial" w:hAnsi="Arial"/>
          <w:sz w:val="18"/>
          <w:szCs w:val="18"/>
          <w:color w:val="auto"/>
        </w:rPr>
      </w:pPr>
    </w:p>
    <w:p>
      <w:pPr>
        <w:ind w:left="1100" w:hanging="322"/>
        <w:spacing w:after="0"/>
        <w:tabs>
          <w:tab w:leader="none" w:pos="11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proper recording of expenses and liabilities in the period to which they relate;</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evidence of internal review and approval of accounting transactions;</w:t>
      </w:r>
    </w:p>
    <w:p>
      <w:pPr>
        <w:spacing w:after="0" w:line="36" w:lineRule="exact"/>
        <w:rPr>
          <w:rFonts w:ascii="Arial" w:cs="Arial" w:eastAsia="Arial" w:hAnsi="Arial"/>
          <w:sz w:val="18"/>
          <w:szCs w:val="18"/>
          <w:color w:val="auto"/>
        </w:rPr>
      </w:pPr>
    </w:p>
    <w:p>
      <w:pPr>
        <w:ind w:left="1100" w:right="619" w:hanging="322"/>
        <w:spacing w:after="0" w:line="246" w:lineRule="auto"/>
        <w:tabs>
          <w:tab w:leader="none" w:pos="1089" w:val="left"/>
        </w:tabs>
        <w:numPr>
          <w:ilvl w:val="0"/>
          <w:numId w:val="38"/>
        </w:numPr>
        <w:rPr>
          <w:rFonts w:ascii="Arial" w:cs="Arial" w:eastAsia="Arial" w:hAnsi="Arial"/>
          <w:sz w:val="18"/>
          <w:szCs w:val="18"/>
          <w:color w:val="auto"/>
        </w:rPr>
      </w:pPr>
      <w:r>
        <w:rPr>
          <w:rFonts w:ascii="Arial" w:cs="Arial" w:eastAsia="Arial" w:hAnsi="Arial"/>
          <w:sz w:val="18"/>
          <w:szCs w:val="18"/>
          <w:color w:val="auto"/>
        </w:rPr>
        <w:t>documentation of processes, assumptions and conclusions underlying significant estimates; and</w:t>
      </w:r>
    </w:p>
    <w:p>
      <w:pPr>
        <w:spacing w:after="0" w:line="7" w:lineRule="exact"/>
        <w:rPr>
          <w:rFonts w:ascii="Arial" w:cs="Arial" w:eastAsia="Arial" w:hAnsi="Arial"/>
          <w:sz w:val="18"/>
          <w:szCs w:val="18"/>
          <w:color w:val="auto"/>
        </w:rPr>
      </w:pPr>
    </w:p>
    <w:p>
      <w:pPr>
        <w:ind w:left="1100" w:hanging="322"/>
        <w:spacing w:after="0"/>
        <w:tabs>
          <w:tab w:leader="none" w:pos="11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documentation of accounting policies and procedures.</w:t>
      </w:r>
    </w:p>
    <w:p>
      <w:pPr>
        <w:spacing w:after="0" w:line="144"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Because it will take time, management involvement and perhaps outside resources to determine what internal control improvements are necessary for us to meet regulatory requirements and market expectations for our operation of a target business, we may incur significant expenses in meeting our public reporting responsibilities, particularly in the areas of designing, enhancing, or remediating internal and disclosure controls. Doing so effectively may also take longer than we expect, thus increasing our exposure to financial fraud or erroneous financing reporting.</w:t>
      </w:r>
    </w:p>
    <w:p>
      <w:pPr>
        <w:spacing w:after="0" w:line="137" w:lineRule="exact"/>
        <w:rPr>
          <w:sz w:val="20"/>
          <w:szCs w:val="20"/>
          <w:color w:val="auto"/>
        </w:rPr>
      </w:pPr>
    </w:p>
    <w:p>
      <w:pPr>
        <w:ind w:left="460" w:right="599"/>
        <w:spacing w:after="0" w:line="238" w:lineRule="auto"/>
        <w:rPr>
          <w:sz w:val="20"/>
          <w:szCs w:val="20"/>
          <w:color w:val="auto"/>
        </w:rPr>
      </w:pPr>
      <w:r>
        <w:rPr>
          <w:rFonts w:ascii="Arial" w:cs="Arial" w:eastAsia="Arial" w:hAnsi="Arial"/>
          <w:sz w:val="18"/>
          <w:szCs w:val="18"/>
          <w:color w:val="auto"/>
        </w:rPr>
        <w:t>Once our management’s report on internal controls is complete, we will retain our independent registered public accounting firm to audit and render an opinion on such report when required by Section 404 of the Sarbanes-Oxley Act. The independent registered public accounting firm may identify additional issues concerning a target business’s internal controls while performing their audit of internal control over financial reporting.</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53"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The net proceeds of this offering and the sale of the private placement warrants held in the trust account will be invested in U.S. government treasury obligations with a maturity of 185 days or less or in money market funds meeting certain conditions under Rule 2a-7 under the Investment Company Act which invest only in direct U.S. government treasury obligations. Due to the short-term nature of these investments, we believe there will be no associated material exposure to interest rate risk.</w:t>
      </w:r>
    </w:p>
    <w:p>
      <w:pPr>
        <w:spacing w:after="0" w:line="180" w:lineRule="exact"/>
        <w:rPr>
          <w:sz w:val="20"/>
          <w:szCs w:val="20"/>
          <w:color w:val="auto"/>
        </w:rPr>
      </w:pPr>
    </w:p>
    <w:p>
      <w:pPr>
        <w:ind w:left="460" w:right="1059"/>
        <w:spacing w:after="0" w:line="271" w:lineRule="auto"/>
        <w:rPr>
          <w:sz w:val="20"/>
          <w:szCs w:val="20"/>
          <w:color w:val="auto"/>
        </w:rPr>
      </w:pPr>
      <w:r>
        <w:rPr>
          <w:rFonts w:ascii="Arial" w:cs="Arial" w:eastAsia="Arial" w:hAnsi="Arial"/>
          <w:sz w:val="18"/>
          <w:szCs w:val="18"/>
          <w:b w:val="1"/>
          <w:bCs w:val="1"/>
          <w:color w:val="auto"/>
        </w:rPr>
        <w:t>Off-Balance Sheet Arrangements; Commitments and Contractual Obligations; Quarterly Results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As of July 16, 2020, we did not have any off-balance sheet arrangements as defined in Item 303(a)(4)</w:t>
      </w:r>
    </w:p>
    <w:p>
      <w:pPr>
        <w:spacing w:after="0" w:line="7" w:lineRule="exact"/>
        <w:rPr>
          <w:sz w:val="20"/>
          <w:szCs w:val="20"/>
          <w:color w:val="auto"/>
        </w:rPr>
      </w:pPr>
    </w:p>
    <w:p>
      <w:pPr>
        <w:ind w:left="460" w:right="739" w:hanging="6"/>
        <w:spacing w:after="0"/>
        <w:tabs>
          <w:tab w:leader="none" w:pos="71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of Regulation S-K and did not have any commitments or contractual obligations. No unaudited quarterly operating data is included in this prospectus as we have not conducted any operations to date.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78" w:name="page79"/>
    <w:bookmarkEnd w:id="78"/>
    <w:p>
      <w:pPr>
        <w:ind w:left="460"/>
        <w:spacing w:after="0"/>
        <w:rPr>
          <w:sz w:val="20"/>
          <w:szCs w:val="20"/>
          <w:color w:val="auto"/>
        </w:rPr>
      </w:pPr>
      <w:r>
        <w:rPr>
          <w:rFonts w:ascii="Arial" w:cs="Arial" w:eastAsia="Arial" w:hAnsi="Arial"/>
          <w:sz w:val="18"/>
          <w:szCs w:val="18"/>
          <w:b w:val="1"/>
          <w:bCs w:val="1"/>
          <w:color w:val="auto"/>
        </w:rPr>
        <w:t>JOBS Act</w:t>
      </w:r>
    </w:p>
    <w:p>
      <w:pPr>
        <w:spacing w:after="0" w:line="166" w:lineRule="exact"/>
        <w:rPr>
          <w:sz w:val="20"/>
          <w:szCs w:val="20"/>
          <w:color w:val="auto"/>
        </w:rPr>
      </w:pPr>
    </w:p>
    <w:p>
      <w:pPr>
        <w:ind w:left="460" w:right="559"/>
        <w:spacing w:after="0" w:line="252" w:lineRule="auto"/>
        <w:rPr>
          <w:sz w:val="20"/>
          <w:szCs w:val="20"/>
          <w:color w:val="auto"/>
        </w:rPr>
      </w:pPr>
      <w:r>
        <w:rPr>
          <w:rFonts w:ascii="Arial" w:cs="Arial" w:eastAsia="Arial" w:hAnsi="Arial"/>
          <w:sz w:val="17"/>
          <w:szCs w:val="17"/>
          <w:color w:val="auto"/>
        </w:rPr>
        <w:t>The JOBS Act contains provisions that, among other things, relax certain reporting requirements for qualifying public companies. We will qualify as an “emerging growth company” and under the JOBS Act will be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our financial statements may not be comparable to companies that comply with new or revised accounting pronouncements as of public company effective dates.</w:t>
      </w:r>
    </w:p>
    <w:p>
      <w:pPr>
        <w:spacing w:after="0" w:line="113"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independent registered public accounting firm’s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independent registered public accounting firm’s report providing additional information about the audit and the financial statements (auditor discussion and analysis), and (iv)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this offering or until we are no longer an “emerging growth company,” whichever is earlier.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PROPOSED BUSINESS</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General</w:t>
      </w:r>
    </w:p>
    <w:p>
      <w:pPr>
        <w:spacing w:after="0" w:line="166"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We are a newly organized blank check company incorporated in July 2020 as a Delaware corporation for the purpose of effecting a merger, capital stock exchange, asset acquisition, stock purchase, reorganization or similar business combination with one or more businesses, which we refer to throughout this prospectus as our initial business combination. To date our efforts have been limited to organizational activities as well as activities related to this offering. We have not selected any specific business combination target and we have not, nor has anyone on our behalf, engaged in any substantive discussions, directly or indirectly, with any business combination target with respect to an initial business combination with us. While we may pursue an initial business combination target in any industry, sector or geographic region, we intend to capitalize on our management team’s background and experience to identify promising opportunities in the life sciences sector.</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Founders</w:t>
      </w:r>
    </w:p>
    <w:p>
      <w:pPr>
        <w:spacing w:after="0" w:line="153" w:lineRule="exact"/>
        <w:rPr>
          <w:sz w:val="20"/>
          <w:szCs w:val="20"/>
          <w:color w:val="auto"/>
        </w:rPr>
      </w:pPr>
    </w:p>
    <w:p>
      <w:pPr>
        <w:ind w:left="460" w:right="599"/>
        <w:spacing w:after="0" w:line="238" w:lineRule="auto"/>
        <w:rPr>
          <w:sz w:val="20"/>
          <w:szCs w:val="20"/>
          <w:color w:val="auto"/>
        </w:rPr>
      </w:pPr>
      <w:r>
        <w:rPr>
          <w:rFonts w:ascii="Arial" w:cs="Arial" w:eastAsia="Arial" w:hAnsi="Arial"/>
          <w:sz w:val="18"/>
          <w:szCs w:val="18"/>
          <w:color w:val="auto"/>
        </w:rPr>
        <w:t>Our team intends to leverage the strong life sciences knowledge base and public and private market experience of our sponsor with the goal of executing a successful business combination in the life sciences sector. Our sponsor is an affiliate of Eli Casdin, founder and Chief Investment Officer of Casdin Capital, and of Keith Meister, founder and Chief Investment Officer of Corvex Management, two leading investment firms.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Eli Casdin and Casdin Capital</w:t>
      </w:r>
    </w:p>
    <w:p>
      <w:pPr>
        <w:spacing w:after="0" w:line="166" w:lineRule="exact"/>
        <w:rPr>
          <w:sz w:val="20"/>
          <w:szCs w:val="20"/>
          <w:color w:val="auto"/>
        </w:rPr>
      </w:pPr>
    </w:p>
    <w:p>
      <w:pPr>
        <w:ind w:left="460" w:right="559"/>
        <w:spacing w:after="0" w:line="237" w:lineRule="auto"/>
        <w:rPr>
          <w:sz w:val="20"/>
          <w:szCs w:val="20"/>
          <w:color w:val="auto"/>
        </w:rPr>
      </w:pPr>
      <w:r>
        <w:rPr>
          <w:rFonts w:ascii="Arial" w:cs="Arial" w:eastAsia="Arial" w:hAnsi="Arial"/>
          <w:sz w:val="18"/>
          <w:szCs w:val="18"/>
          <w:color w:val="auto"/>
        </w:rPr>
        <w:t>Founded by industry veteran Eli Casdin, Casdin Capital launched in 2011 as a leading thematic investor in the fast growing life sciences industry. Casdin Capital’s investment strategy includes but also extends beyond traditional drug development, finding opportunity in the vast universe of companies at the epicenter of innovation, spanning biotechnology and its many constituents. Companies beyond drug developers include developers of molecular-based diagnostics, providers of tools, developers of technology and data assets and operators of service companies that support research, development and product commercialization.</w:t>
      </w:r>
    </w:p>
    <w:p>
      <w:pPr>
        <w:spacing w:after="0" w:line="135" w:lineRule="exact"/>
        <w:rPr>
          <w:sz w:val="20"/>
          <w:szCs w:val="20"/>
          <w:color w:val="auto"/>
        </w:rPr>
      </w:pPr>
    </w:p>
    <w:p>
      <w:pPr>
        <w:ind w:left="460" w:right="559"/>
        <w:spacing w:after="0" w:line="237" w:lineRule="auto"/>
        <w:rPr>
          <w:sz w:val="20"/>
          <w:szCs w:val="20"/>
          <w:color w:val="auto"/>
        </w:rPr>
      </w:pPr>
      <w:r>
        <w:rPr>
          <w:rFonts w:ascii="Arial" w:cs="Arial" w:eastAsia="Arial" w:hAnsi="Arial"/>
          <w:sz w:val="18"/>
          <w:szCs w:val="18"/>
          <w:color w:val="auto"/>
        </w:rPr>
        <w:t>With nearly two decades of experience and a family history in the space that reaches back decades further, Mr. Casdin serves as both Casdin Capital’s Chief Executive and Chief Investment Officer. His track record is based on an ability to find opportunities on both the ‘bio’ and ‘tech’ sides and his understanding of where the two intersect. We believe that Mr. Casdin’s interest in industry synergy and his overall vision and understanding of the life sciences industry will open us to a large investment universe and help us identify significant inefficiencies.</w:t>
      </w:r>
    </w:p>
    <w:p>
      <w:pPr>
        <w:spacing w:after="0" w:line="124" w:lineRule="exact"/>
        <w:rPr>
          <w:sz w:val="20"/>
          <w:szCs w:val="20"/>
          <w:color w:val="auto"/>
        </w:rPr>
      </w:pPr>
    </w:p>
    <w:p>
      <w:pPr>
        <w:ind w:left="460" w:right="519"/>
        <w:spacing w:after="0" w:line="237" w:lineRule="auto"/>
        <w:rPr>
          <w:sz w:val="20"/>
          <w:szCs w:val="20"/>
          <w:color w:val="auto"/>
        </w:rPr>
      </w:pPr>
      <w:r>
        <w:rPr>
          <w:rFonts w:ascii="Arial" w:cs="Arial" w:eastAsia="Arial" w:hAnsi="Arial"/>
          <w:sz w:val="18"/>
          <w:szCs w:val="18"/>
          <w:color w:val="auto"/>
        </w:rPr>
        <w:t>With this broad industry lens and a long-term view, Mr. Casdin has been active in the private and public side of the capital market since 2011, investing in 69 private companies and holding over 30 public company positions as of June 30, 2020. As one of the early cross-over funds, Casdin Capital has also participated in 22 crossover investment rounds, 21 initial public offerings following crossover investments and 41 total initial public offerings. Casdin Capital currently has 42 private portfolio companies and an active deal flow that brought it into conversation with hundreds of companies across the industry in the first few months of 2020 alone.</w:t>
      </w:r>
    </w:p>
    <w:p>
      <w:pPr>
        <w:spacing w:after="0" w:line="135"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Casdin Capital’s thematic investment approach and focus on an investor/partner model has allowed the firm to forge strong relationships with companies, scientists and stakeholders, which we intend to draw upon as we identify opportunities for our initial business combination. Relying on deep research and a rich network of contacts to identify the connections between the science, technology and sharp, experienced management teams, Casdin Capital’s proven track record stems from working with management teams and scientists as valuable industry partners. We believe these robust partnerships and a focus on the entire life sciences continuum is what sets Casdin Capital apart from and in front of its peers and will allow our team to spot new opportunities and potential challenges long before most investors understand the space.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80" w:name="page81"/>
    <w:bookmarkEnd w:id="80"/>
    <w:p>
      <w:pPr>
        <w:ind w:left="460"/>
        <w:spacing w:after="0"/>
        <w:rPr>
          <w:sz w:val="20"/>
          <w:szCs w:val="20"/>
          <w:color w:val="auto"/>
        </w:rPr>
      </w:pPr>
      <w:r>
        <w:rPr>
          <w:rFonts w:ascii="Arial" w:cs="Arial" w:eastAsia="Arial" w:hAnsi="Arial"/>
          <w:sz w:val="18"/>
          <w:szCs w:val="18"/>
          <w:b w:val="1"/>
          <w:bCs w:val="1"/>
          <w:i w:val="1"/>
          <w:iCs w:val="1"/>
          <w:color w:val="auto"/>
        </w:rPr>
        <w:t>Keith Meister and Corvex Management</w:t>
      </w:r>
    </w:p>
    <w:p>
      <w:pPr>
        <w:spacing w:after="0" w:line="139" w:lineRule="exact"/>
        <w:rPr>
          <w:sz w:val="20"/>
          <w:szCs w:val="20"/>
          <w:color w:val="auto"/>
        </w:rPr>
      </w:pPr>
    </w:p>
    <w:p>
      <w:pPr>
        <w:ind w:left="460" w:right="519"/>
        <w:spacing w:after="0" w:line="237" w:lineRule="auto"/>
        <w:rPr>
          <w:sz w:val="20"/>
          <w:szCs w:val="20"/>
          <w:color w:val="auto"/>
        </w:rPr>
      </w:pPr>
      <w:r>
        <w:rPr>
          <w:rFonts w:ascii="Arial" w:cs="Arial" w:eastAsia="Arial" w:hAnsi="Arial"/>
          <w:sz w:val="18"/>
          <w:szCs w:val="18"/>
          <w:color w:val="auto"/>
        </w:rPr>
        <w:t>Keith Meister is the Founder and Chief Investment Officer of Corvex Management, a New York based investment advisor. As Chief Investment Officer of Corvex Management, Mr. Meister is focused on investing in high-quality businesses that benefit from constructive shareholder engagement. Since inception Corvex Management has invested more than $6 billion through its funds, special purpose vehicles and co-investments specifically for situations offering the opportunity for extensive engagement or board representations.</w:t>
      </w:r>
    </w:p>
    <w:p>
      <w:pPr>
        <w:spacing w:after="0" w:line="124" w:lineRule="exact"/>
        <w:rPr>
          <w:sz w:val="20"/>
          <w:szCs w:val="20"/>
          <w:color w:val="auto"/>
        </w:rPr>
      </w:pPr>
    </w:p>
    <w:p>
      <w:pPr>
        <w:ind w:left="460" w:right="539"/>
        <w:spacing w:after="0" w:line="251" w:lineRule="auto"/>
        <w:rPr>
          <w:sz w:val="20"/>
          <w:szCs w:val="20"/>
          <w:color w:val="auto"/>
        </w:rPr>
      </w:pPr>
      <w:r>
        <w:rPr>
          <w:rFonts w:ascii="Arial" w:cs="Arial" w:eastAsia="Arial" w:hAnsi="Arial"/>
          <w:sz w:val="17"/>
          <w:szCs w:val="17"/>
          <w:color w:val="auto"/>
        </w:rPr>
        <w:t>Mr. Meister’s active investing approach identifies asymmetric risk/reward opportunities and underscores a particular skill in finding synergies across diversified holdings. Focused on identifying market dislocations and adept at spotting differentiated points of view, the Corvex Management team has built success not only by creating a concentrated portfolio based on deep industry understanding and a willingness to take the longer-term view, but also by capitalizing on market inefficiencies and short-term volatility. Critical to that success is Mr. Meister’s track record effecting change at companies, even without a controlling stake, by creating buy-in from management teams, directors, and shareholders. Mr. Meister and his team have an extensive history of partnership and collaboration with key stakeholders, leading industry experts and like-minded shareholders, and are known for maintaining productive, ongoing dialogues with boards, management teams, and advisors.</w:t>
      </w:r>
    </w:p>
    <w:p>
      <w:pPr>
        <w:spacing w:after="0" w:line="102"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We expect to benefit from Mr. Meister’s significant experience as a director of 14 public companies, which includes a long history of working with boards and management teams to create shareholder value through improved corporate governance, capital allocation, and operations. Since founding Corvex Management, Mr. Meister has served on the boards of directors of MGM Resorts International (NYSE: MGM), Yum Brands, Inc. (NYSE: YUM), The Williams Companies (NYSE: WMB), ADT, Inc. (NYSE: ADT), Ralcorp Holdings, Inc. and Motorola Mobility, Inc. Mr. Meister also brings to CM Life Sciences the experience of having helped these companies enter into transactions with an aggregate value of over $80 billion involving spin-offs, asset dispositions, acquisitions, mergers, recapitalizations, and various forms of capital market transactions.</w:t>
      </w:r>
    </w:p>
    <w:p>
      <w:pPr>
        <w:spacing w:after="0" w:line="112" w:lineRule="exact"/>
        <w:rPr>
          <w:sz w:val="20"/>
          <w:szCs w:val="20"/>
          <w:color w:val="auto"/>
        </w:rPr>
      </w:pPr>
    </w:p>
    <w:p>
      <w:pPr>
        <w:ind w:left="460" w:right="719"/>
        <w:spacing w:after="0" w:line="248" w:lineRule="auto"/>
        <w:rPr>
          <w:sz w:val="20"/>
          <w:szCs w:val="20"/>
          <w:color w:val="auto"/>
        </w:rPr>
      </w:pPr>
      <w:r>
        <w:rPr>
          <w:rFonts w:ascii="Arial" w:cs="Arial" w:eastAsia="Arial" w:hAnsi="Arial"/>
          <w:sz w:val="17"/>
          <w:szCs w:val="17"/>
          <w:color w:val="auto"/>
        </w:rPr>
        <w:t>Prior to founding Corvex Management, Mr. Meister was Chief Executive Officer/Principal Executive Officer of Icahn Enterprises L.P. (NYSE: IEP), a diversified holding company, from 2003 through</w:t>
      </w:r>
    </w:p>
    <w:p>
      <w:pPr>
        <w:spacing w:after="0" w:line="1" w:lineRule="exact"/>
        <w:rPr>
          <w:sz w:val="20"/>
          <w:szCs w:val="20"/>
          <w:color w:val="auto"/>
        </w:rPr>
      </w:pPr>
    </w:p>
    <w:p>
      <w:pPr>
        <w:ind w:left="460" w:right="719"/>
        <w:spacing w:after="0" w:line="238" w:lineRule="auto"/>
        <w:rPr>
          <w:sz w:val="20"/>
          <w:szCs w:val="20"/>
          <w:color w:val="auto"/>
        </w:rPr>
      </w:pPr>
      <w:r>
        <w:rPr>
          <w:rFonts w:ascii="Arial" w:cs="Arial" w:eastAsia="Arial" w:hAnsi="Arial"/>
          <w:sz w:val="18"/>
          <w:szCs w:val="18"/>
          <w:color w:val="auto"/>
        </w:rPr>
        <w:t>2010. During his term as CEO/PEO, Icahn Enterprises grew from $ 1.5 billion to $ 18 billion in total assets while generating over 20% annual returns for shareholders. As CEO/PEO of Icahn Enterprises, Mr. Meister was responsible for overseeing a portfolio of holdings that spanned a wide range of industries including automotive, gaming, oil &amp; gas, general industrial and asset management.</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Management and Board of Directors</w:t>
      </w:r>
    </w:p>
    <w:p>
      <w:pPr>
        <w:spacing w:after="0" w:line="139" w:lineRule="exact"/>
        <w:rPr>
          <w:sz w:val="20"/>
          <w:szCs w:val="20"/>
          <w:color w:val="auto"/>
        </w:rPr>
      </w:pPr>
    </w:p>
    <w:p>
      <w:pPr>
        <w:ind w:left="460" w:right="559"/>
        <w:spacing w:after="0" w:line="257" w:lineRule="auto"/>
        <w:rPr>
          <w:sz w:val="20"/>
          <w:szCs w:val="20"/>
          <w:color w:val="auto"/>
        </w:rPr>
      </w:pPr>
      <w:r>
        <w:rPr>
          <w:rFonts w:ascii="Arial" w:cs="Arial" w:eastAsia="Arial" w:hAnsi="Arial"/>
          <w:sz w:val="17"/>
          <w:szCs w:val="17"/>
          <w:color w:val="auto"/>
        </w:rPr>
        <w:t>Our management team includes healthcare industry veterans who have started, built and/or financed multiple companies with revenue in excess of $1 billion, managed clinical development divisions, designed and managed large-scale data science and machine learning projects, and worked in healthcare venture capital, private equity, hedge funds, investment banking and consulting.</w:t>
      </w:r>
    </w:p>
    <w:p>
      <w:pPr>
        <w:spacing w:after="0" w:line="72"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b w:val="1"/>
          <w:bCs w:val="1"/>
          <w:i w:val="1"/>
          <w:iCs w:val="1"/>
          <w:color w:val="auto"/>
        </w:rPr>
        <w:t>Eli Casdin</w:t>
      </w:r>
      <w:r>
        <w:rPr>
          <w:rFonts w:ascii="Arial" w:cs="Arial" w:eastAsia="Arial" w:hAnsi="Arial"/>
          <w:sz w:val="18"/>
          <w:szCs w:val="18"/>
          <w:color w:val="auto"/>
        </w:rPr>
        <w:t>, our Chief Executive Officer, is founder and Chief Investment Officer of Casdin Capital. Mr.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Casdin founded Casdin Capital in 2011. For the last 17 years he has analyzed and invested in disruptive technologies and business models in life sciences and healthcare. Prior to founding Casdin Capital, Mr. Casdin was a vice president at Alliance Bernstein’s “thematic” based investment group where he researched and invested in the implications of new technologies for the life sciences and healthcare sectors. The black book, “The Dawn of Molecular Medicine,” co-authored by Mr. Casdin, details the early, yet already accelerating, wave of innovations in life sciences, and the next wave of investment opportunities. Mr. Casdin’s prior experience includes time at Bear Stearns and Cooper Hill Partners, a healthcare focused investment firm. Mr. Casdin earned a B.S. from Columbia University and an MBA from Columbia Business School. Mr. Casdin serves on the board of directors for Exact Sciences Coporation (Nasdaq: EXAS), and also serves a director or observer on the boards of a number of privately held life sciences companies. He has previously served as a director or observer on other, now public, boards, including Invitae Corporation (NYSE: NVTA), Relay Therapeutics, Inc. (Nasdaq: RLAY), and Magenta Therapeutics (Nasdaq: MGTA). Mr. Casdin is currently a member of the New York Genome Center Board and a member of The Columbia University School of General Studies Board of Visitors.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81" w:name="page82"/>
    <w:bookmarkEnd w:id="81"/>
    <w:p>
      <w:pPr>
        <w:ind w:left="460" w:right="499"/>
        <w:spacing w:after="0" w:line="238" w:lineRule="auto"/>
        <w:rPr>
          <w:sz w:val="20"/>
          <w:szCs w:val="20"/>
          <w:color w:val="auto"/>
        </w:rPr>
      </w:pPr>
      <w:r>
        <w:rPr>
          <w:rFonts w:ascii="Arial" w:cs="Arial" w:eastAsia="Arial" w:hAnsi="Arial"/>
          <w:sz w:val="18"/>
          <w:szCs w:val="18"/>
          <w:b w:val="1"/>
          <w:bCs w:val="1"/>
          <w:i w:val="1"/>
          <w:iCs w:val="1"/>
          <w:color w:val="auto"/>
        </w:rPr>
        <w:t>Keith A. Meister</w:t>
      </w:r>
      <w:r>
        <w:rPr>
          <w:rFonts w:ascii="Arial" w:cs="Arial" w:eastAsia="Arial" w:hAnsi="Arial"/>
          <w:sz w:val="18"/>
          <w:szCs w:val="18"/>
          <w:color w:val="auto"/>
        </w:rPr>
        <w:t>, our Chairman of the Board, is Managing Partner and Chief Investment Officer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Corvex Management, which he founded in December 2010. Prior to founding Corvex Management, Mr. Meister served as Chief Executive Officer and then Principal Executive Officer and Vice Chairman of the Board of Icahn Enterprises L.P. (NYSE: IEP) from August 2003 to August 2010. From their launch in November 2004 to August 2010, Mr. Meister also served as Senior Managing Director of the General Partners of Icahn Partners LP and affiliated funds. Mr. Meister currently serves on the board of directors for MGM Resorts International (NYSE: MGM) and has previously served as a director on numerous other public boards including: Yum! Brands, Inc. (NYSE: YUM), The Williams Companies, Inc. (NYSE: WMB), ADT, Inc. (NYSE: ADT), Ralcorp Holdings, Inc. and Motorola, Inc. (now Motorola Solutions, Inc., NYSE: MSI/Motorola Mobility, Inc.), among others. He is a director for Roar Digital, LLC, chairman of the board of directors for Harlem Children’s Zone and a member of the board of trustees for the American Museum of Natural History. Mr. Meister received an A.B. in government, cum laude, from Harvard College in 1995.</w:t>
      </w:r>
    </w:p>
    <w:p>
      <w:pPr>
        <w:spacing w:after="0" w:line="99"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b w:val="1"/>
          <w:bCs w:val="1"/>
          <w:i w:val="1"/>
          <w:iCs w:val="1"/>
          <w:color w:val="auto"/>
        </w:rPr>
        <w:t>Munib Islam</w:t>
      </w:r>
      <w:r>
        <w:rPr>
          <w:rFonts w:ascii="Arial" w:cs="Arial" w:eastAsia="Arial" w:hAnsi="Arial"/>
          <w:sz w:val="18"/>
          <w:szCs w:val="18"/>
          <w:color w:val="auto"/>
        </w:rPr>
        <w:t>, who will serve as a Director following completion of this offering, served as Co-Chief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 Officer and a Partner at Third Point LLC, an investment management firm from mid-2019 through 2020. Mr. Islam was integrally involved in the operations of Third Point, including investing, risk management, marketing, hiring, and talent development. Prior to becoming co-Chief Investment Officer, he served as Head of Equities at Third Point, and in such role, Mr. Islam spearheaded research on Third Point’s strategic block investments globally, including investments in Sony Corporation (NYSE: SNE), Campbell’s Soup Corporation (NYSE: CPB), Nestlé S.A. (OTCMKTS: NSRGY) and DowDuPont Inc. Mr. Islam also served on the board of directors and executive selection and audit committees of Baxter International, Inc. (NYSE: BAX), currently an approximately $45 billion health care company, from 2015 through 2019. From 2008 to 2011, he worked at Highbridge Capital, where he was a Managing Director and Portfolio Manager of Highbridge’s European Value Equities fund. Mr. Islam first joined Third Point in 2004, after working at Oak Hill Capital and at Lazard LLC. He received a B.A. in Economics, magna cum laude, from Dartmouth College and an MBA from the Graduate School of Business at Stanford University. He currently sits on the Boards of the Stanford Business School Trust and the Brearley School in New York City.</w:t>
      </w:r>
    </w:p>
    <w:p>
      <w:pPr>
        <w:spacing w:after="0" w:line="142" w:lineRule="exact"/>
        <w:rPr>
          <w:sz w:val="20"/>
          <w:szCs w:val="20"/>
          <w:color w:val="auto"/>
        </w:rPr>
      </w:pPr>
    </w:p>
    <w:p>
      <w:pPr>
        <w:ind w:left="460" w:right="1259"/>
        <w:spacing w:after="0" w:line="257" w:lineRule="auto"/>
        <w:rPr>
          <w:sz w:val="20"/>
          <w:szCs w:val="20"/>
          <w:color w:val="auto"/>
        </w:rPr>
      </w:pPr>
      <w:r>
        <w:rPr>
          <w:rFonts w:ascii="Arial" w:cs="Arial" w:eastAsia="Arial" w:hAnsi="Arial"/>
          <w:sz w:val="17"/>
          <w:szCs w:val="17"/>
          <w:color w:val="auto"/>
        </w:rPr>
        <w:t>We believe our management team is well positioned to take advantage of the growing set of investment opportunities focused on the healthcare industry, and that our extensive existing relationships with portfolio companies along with our ongoing efforts to identify investment opportunities will allow us to generate an attractive transaction for our stockholders.</w:t>
      </w:r>
    </w:p>
    <w:p>
      <w:pPr>
        <w:spacing w:after="0" w:line="121"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Past performance of our management team does not guarantee either (i) success with respect to any business combination we may consummate or (ii) that we will be able to identify a suitable candidate for our initial business combination. You should not rely on the historical performance record of our management team or their respective affiliates or any related investment’s performance as indicative of our future performance of an investment in the company or the returns the company will, or is likely to, generate going forward. None of the members of our management team has any experience with blank check companies or special purpose acquisition companies. For more information on the experience and background of our management team, see the section entitled “Management.”</w:t>
      </w:r>
    </w:p>
    <w:p>
      <w:pPr>
        <w:spacing w:after="0" w:line="127"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We believe our ability to complete an initial business combination may be enhanced by our having entered into forward purchase agreements with affiliates of our sponsor, Casdin Capital and Corvex Management, in their capacities as investment advisors on behalf of their Clients, pursuant to which, subject to the conditions described below, they will cause certain Clients to purchase from us up to an aggregate amount of 15,000,000 shares of Class A common stock, or the forward purchase shares, for $10.00 per forward purchase share, or an aggregate amount of up to $150,000,000, in a private placement that will close concurrently with the closing of our initial business combination. The amount of forward purchase shares sold pursuant to the forward purchase agreements will be determined in our discretion based on our need for additional capital to consummate the initial business combination. Under each forward purchase agreement, we are required to approach Casdin Capital and Corvex Management if we propose to raise additional capital by issuing any equity, or securities convertible into, exchangeable or exercisable for equity securities in connection with the initial business combination. The respective obligations of Casdin Capital and Corvex Management to cause Clients to purchase forward purchase shares will, among other things, be conditioned on our completing an initial business combination with a company engaged in a business that is within the investment objectives of the Clients purchasing forward purchase shares and on the business combination (including the target assets or business, and the terms of the business combination) being reasonably acceptable to such Clients as determined by Casdin Capital or Corvex Management, as relevant, as investment advisors on behalf of such Clients. In determining whether a target is reasonably acceptable to Clients, we expect that Casdin Capital or Corvex Management, as relevant, would consider many</w:t>
      </w:r>
    </w:p>
    <w:p>
      <w:pPr>
        <w:sectPr>
          <w:pgSz w:w="11900" w:h="16838" w:orient="portrait"/>
          <w:cols w:equalWidth="0" w:num="1">
            <w:col w:w="9019"/>
          </w:cols>
          <w:pgMar w:left="1440" w:top="265" w:right="1440" w:bottom="1440"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82" w:name="page83"/>
    <w:bookmarkEnd w:id="82"/>
    <w:p>
      <w:pPr>
        <w:ind w:left="460" w:right="479"/>
        <w:spacing w:after="0" w:line="250" w:lineRule="auto"/>
        <w:rPr>
          <w:sz w:val="20"/>
          <w:szCs w:val="20"/>
          <w:color w:val="auto"/>
        </w:rPr>
      </w:pPr>
      <w:r>
        <w:rPr>
          <w:rFonts w:ascii="Arial" w:cs="Arial" w:eastAsia="Arial" w:hAnsi="Arial"/>
          <w:sz w:val="17"/>
          <w:szCs w:val="17"/>
          <w:color w:val="auto"/>
        </w:rPr>
        <w:t>of the same criteria as we will consider, but will also consider whether the investment is an appropriate investment for such Clients. Each of Casdin Capital and Corvex Management will have the right to transfer a portion of the purchase obligation under the forward purchase agreement to third parties, or upon mutual agreement, to each other, subject to compliance with applicable securities laws. To the extent that we obtain alternative financing to fund the initial business combination and the Clients participate in such financing, the aggregate commitment under the forward purchase agreement will be reduced by the amount of such alternative financing. Please see the risk factor entitled “In evaluating a prospective target business for our initial business combination, our management will consider the availability of funds from the sale of the forward purchase shares, which may be used as part of the consideration to the sellers in the initial business combination. If all or some of the forward purchase shares are not purchased under the forward purchase agreement, we may decide not to consummate our initial business combination, or if we decide to, we may lack sufficient funds to consummate our initial business combination” for more information.</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Industry Opportunity</w:t>
      </w:r>
    </w:p>
    <w:p>
      <w:pPr>
        <w:spacing w:after="0" w:line="139" w:lineRule="exact"/>
        <w:rPr>
          <w:sz w:val="20"/>
          <w:szCs w:val="20"/>
          <w:color w:val="auto"/>
        </w:rPr>
      </w:pPr>
    </w:p>
    <w:p>
      <w:pPr>
        <w:ind w:left="460" w:right="539"/>
        <w:spacing w:after="0" w:line="236" w:lineRule="auto"/>
        <w:rPr>
          <w:sz w:val="20"/>
          <w:szCs w:val="20"/>
          <w:color w:val="auto"/>
        </w:rPr>
      </w:pPr>
      <w:r>
        <w:rPr>
          <w:rFonts w:ascii="Arial" w:cs="Arial" w:eastAsia="Arial" w:hAnsi="Arial"/>
          <w:sz w:val="18"/>
          <w:szCs w:val="18"/>
          <w:color w:val="auto"/>
        </w:rPr>
        <w:t>CM Life Sciences was founded to take advantage of a dynamic life sciences sector that continues to be buoyed by innovation. With a broadening set of applications for biotechnology that includes research tools and infrastructure, diagnostics, therapeutics, data, and industrial outputs, the life sciences sector offers compelling opportunities for investors who possess a broad overview and understand the trends and themes. CM Life Sciences is that type of investment partnership, combining the unique industry experience, operational expertise, and investment savvy of Mr. Casdin and Mr. Meister to bring together strong companies and management teams and work with them to capitalize on the near- and far-term opportunities.</w:t>
      </w:r>
    </w:p>
    <w:p>
      <w:pPr>
        <w:spacing w:after="0" w:line="113"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Healthcare spending in the United States currently exceeds $3.6 trillion, and the Center for Medicare and Medicaid Services estimates that number will soon approach 20% of total U.S. Gross Domestic Product. Investors are just now beginning to recognize that life sciences will be a major beneficiary of that growth. The momentum of discovery and propagation of science and technologies combined with the appeal of early-stage industry formation creates dynamic investment opportunities and significant advantages to knowledgeable specialists. New drugs generally receive significant attention and biotechnology investor focus, but there also exists tremendous opportunity in the broader and bigger industry of “bio” and “technology.”</w:t>
      </w:r>
    </w:p>
    <w:p>
      <w:pPr>
        <w:spacing w:after="0" w:line="127" w:lineRule="exact"/>
        <w:rPr>
          <w:sz w:val="20"/>
          <w:szCs w:val="20"/>
          <w:color w:val="auto"/>
        </w:rPr>
      </w:pPr>
    </w:p>
    <w:p>
      <w:pPr>
        <w:ind w:left="460" w:right="459"/>
        <w:spacing w:after="0" w:line="236" w:lineRule="auto"/>
        <w:rPr>
          <w:sz w:val="20"/>
          <w:szCs w:val="20"/>
          <w:color w:val="auto"/>
        </w:rPr>
      </w:pPr>
      <w:r>
        <w:rPr>
          <w:rFonts w:ascii="Arial" w:cs="Arial" w:eastAsia="Arial" w:hAnsi="Arial"/>
          <w:sz w:val="18"/>
          <w:szCs w:val="18"/>
          <w:color w:val="auto"/>
        </w:rPr>
        <w:t>The development of therapeutics are a powerful expression of this opportunity. That said, we intend to broaden the investment aperture even within this application to include the products and services that enable the discovery, development, manufacture and commercialization of these therapies. The momentum of research and development strategies of the biopharmaceutical industry makes this clear, with global R&amp;D expenditures projected by Statista to be $ 182 billion in 2019, with more than $70 billion in estimated expenditures on U.S. health and medical R&amp;D from federal, state and local governments and other industry sources. These figures encompass spending on all steps from discovery through clinical development and highlight the scope and scale of opportunity for therapeutic ecosystem industry players. U.S. Food and Drug Administration (FDA) approval of new drugs increased approximately 40% comparing 2010 to 2014 numbers with those of 2015 to 2019, and the base case outlook in the next five years forecasts that net medicine spending in the United States will increase from $344 billion in 2018 to $420 billion in 2023. Therefore, the industry is in a powerful growth mode.</w:t>
      </w:r>
    </w:p>
    <w:p>
      <w:pPr>
        <w:spacing w:after="0" w:line="108" w:lineRule="exact"/>
        <w:rPr>
          <w:sz w:val="20"/>
          <w:szCs w:val="20"/>
          <w:color w:val="auto"/>
        </w:rPr>
      </w:pPr>
    </w:p>
    <w:p>
      <w:pPr>
        <w:ind w:left="460" w:right="539"/>
        <w:spacing w:after="0" w:line="237" w:lineRule="auto"/>
        <w:rPr>
          <w:sz w:val="20"/>
          <w:szCs w:val="20"/>
          <w:color w:val="auto"/>
        </w:rPr>
      </w:pPr>
      <w:r>
        <w:rPr>
          <w:rFonts w:ascii="Arial" w:cs="Arial" w:eastAsia="Arial" w:hAnsi="Arial"/>
          <w:sz w:val="18"/>
          <w:szCs w:val="18"/>
          <w:color w:val="auto"/>
        </w:rPr>
        <w:t>While certain enabling life sciences company’s products get embedded early and have long lucrative life cycles with high profitability, the industry, by and large, remains fragmented, with most companies under-resourced and under-scaled. CM Life Sciences will offer significant and under-appreciated opportunities to consolidate these strong but fledgling companies, a common strategy in every major industry but one possible only now that the life sciences industry has ripened. We will focus our search for business combination targets in three separate areas of the larger life sciences industry, including:</w:t>
      </w:r>
    </w:p>
    <w:p>
      <w:pPr>
        <w:spacing w:after="0" w:line="27" w:lineRule="exact"/>
        <w:rPr>
          <w:sz w:val="20"/>
          <w:szCs w:val="20"/>
          <w:color w:val="auto"/>
        </w:rPr>
      </w:pPr>
    </w:p>
    <w:p>
      <w:pPr>
        <w:ind w:left="1100" w:right="459" w:hanging="322"/>
        <w:spacing w:after="0" w:line="236" w:lineRule="auto"/>
        <w:tabs>
          <w:tab w:leader="none" w:pos="1089" w:val="left"/>
        </w:tabs>
        <w:numPr>
          <w:ilvl w:val="0"/>
          <w:numId w:val="40"/>
        </w:numPr>
        <w:rPr>
          <w:rFonts w:ascii="Arial" w:cs="Arial" w:eastAsia="Arial" w:hAnsi="Arial"/>
          <w:sz w:val="18"/>
          <w:szCs w:val="18"/>
          <w:color w:val="auto"/>
        </w:rPr>
      </w:pPr>
      <w:r>
        <w:rPr>
          <w:rFonts w:ascii="Arial" w:cs="Arial" w:eastAsia="Arial" w:hAnsi="Arial"/>
          <w:sz w:val="18"/>
          <w:szCs w:val="18"/>
          <w:color w:val="auto"/>
        </w:rPr>
        <w:t>Life Sciences Tools: Research markets endeavor to understand complex biological systems through the use of analytical technologies. These applications create adjacent opportunities for tools in areas such as sample preparation and in regulated downstream “applied markets.” With life sciences tools comprising an approximately $30 billion global market opportunity, the research spending across industry, academia, and government also supports long term GDP-plus growth. Cyclical innovation adds to the growth profile, particularly with the current wave of innovation in the ’omics fields. We identify particular opportunities around the industry’s tools, technology and data analysis and its coordination with the various end-customer segments to take advantage of the attractive fundamental trends.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83" w:name="page84"/>
    <w:bookmarkEnd w:id="83"/>
    <w:p>
      <w:pPr>
        <w:ind w:left="1100" w:right="499" w:hanging="322"/>
        <w:spacing w:after="0" w:line="236" w:lineRule="auto"/>
        <w:tabs>
          <w:tab w:leader="none" w:pos="1089" w:val="left"/>
        </w:tabs>
        <w:numPr>
          <w:ilvl w:val="0"/>
          <w:numId w:val="41"/>
        </w:numPr>
        <w:rPr>
          <w:rFonts w:ascii="Arial" w:cs="Arial" w:eastAsia="Arial" w:hAnsi="Arial"/>
          <w:sz w:val="18"/>
          <w:szCs w:val="18"/>
          <w:color w:val="auto"/>
        </w:rPr>
      </w:pPr>
      <w:r>
        <w:rPr>
          <w:rFonts w:ascii="Arial" w:cs="Arial" w:eastAsia="Arial" w:hAnsi="Arial"/>
          <w:sz w:val="18"/>
          <w:szCs w:val="18"/>
          <w:color w:val="auto"/>
        </w:rPr>
        <w:t>Synthetic Biology: So called Read/Write technologies, which describe the ability to sequence and synthesize genetic information, are powering the genomic revolution. These technologies have matured to the point where biological systems can be harnessed and manipulated towards a broad variety of applications that include diagnostic, therapeutic and broader industrial solutions. Given the flexibility of biological systems, investment opportunities exist for those who can identify applications outside a traditionally narrow focus. Many of these applications introduce the opportunity to create new products and new markets, as well as to enable more efficient and more environmentally sustainable manufacturing of existing products.</w:t>
      </w:r>
    </w:p>
    <w:p>
      <w:pPr>
        <w:spacing w:after="0" w:line="17" w:lineRule="exact"/>
        <w:rPr>
          <w:rFonts w:ascii="Arial" w:cs="Arial" w:eastAsia="Arial" w:hAnsi="Arial"/>
          <w:sz w:val="18"/>
          <w:szCs w:val="18"/>
          <w:color w:val="auto"/>
        </w:rPr>
      </w:pPr>
    </w:p>
    <w:p>
      <w:pPr>
        <w:ind w:left="1100" w:right="479" w:hanging="322"/>
        <w:spacing w:after="0" w:line="236" w:lineRule="auto"/>
        <w:tabs>
          <w:tab w:leader="none" w:pos="1089"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Diagnostics: The diagnostics industry is leveraging advances in biological tools and broader technologies, including cloud computing and data sciences. These new tools have ushered in advances in risk prediction, therapeutic regimen tailoring, and outcomes analysis, to name just a few. The results have been immediate, both to patient outcomes and industry value, but we believe that the potential of these tools is only now being realized. We believe use of “diagnostic” to describe this dynamic category is a misnomer, and prefer the term “molecular information.” The synergy created by a limited set of publicly investable opportunities and, structurally, the imbalance between channel and content capabilities across industry players is likely to drive powerful new investment opportunities. With progress in regulatory and reimbursement systems, we believe investment opportunities will continue to expand.</w:t>
      </w:r>
    </w:p>
    <w:p>
      <w:pPr>
        <w:spacing w:after="0" w:line="138" w:lineRule="exact"/>
        <w:rPr>
          <w:sz w:val="20"/>
          <w:szCs w:val="20"/>
          <w:color w:val="auto"/>
        </w:rPr>
      </w:pPr>
    </w:p>
    <w:p>
      <w:pPr>
        <w:ind w:left="460" w:right="579"/>
        <w:spacing w:after="0" w:line="237" w:lineRule="auto"/>
        <w:rPr>
          <w:sz w:val="20"/>
          <w:szCs w:val="20"/>
          <w:color w:val="auto"/>
        </w:rPr>
      </w:pPr>
      <w:r>
        <w:rPr>
          <w:rFonts w:ascii="Arial" w:cs="Arial" w:eastAsia="Arial" w:hAnsi="Arial"/>
          <w:sz w:val="18"/>
          <w:szCs w:val="18"/>
          <w:color w:val="auto"/>
        </w:rPr>
        <w:t>We believe that the current state of the life sciences IPO market will enhance our ability to locate attractive targets. Approximately 180 biotechnology companies have gone public since 2016 in the United States. Despite the current level of IPO activity, in February 2020, there were estimated to be approximately 9,500 life sciences companies globally, only a fraction of which are publicly traded. As these companies mature, they will need partners to complement, enhance, and extend their reach. CM Life Sciences is positioned to be a major participant in that process.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Acquisition Strategy</w:t>
      </w:r>
    </w:p>
    <w:p>
      <w:pPr>
        <w:spacing w:after="0" w:line="166" w:lineRule="exact"/>
        <w:rPr>
          <w:sz w:val="20"/>
          <w:szCs w:val="20"/>
          <w:color w:val="auto"/>
        </w:rPr>
      </w:pPr>
    </w:p>
    <w:p>
      <w:pPr>
        <w:ind w:left="460" w:right="539"/>
        <w:spacing w:after="0" w:line="238" w:lineRule="auto"/>
        <w:rPr>
          <w:sz w:val="20"/>
          <w:szCs w:val="20"/>
          <w:color w:val="auto"/>
        </w:rPr>
      </w:pPr>
      <w:r>
        <w:rPr>
          <w:rFonts w:ascii="Arial" w:cs="Arial" w:eastAsia="Arial" w:hAnsi="Arial"/>
          <w:sz w:val="18"/>
          <w:szCs w:val="18"/>
          <w:color w:val="auto"/>
        </w:rPr>
        <w:t>CM Life Sciences has a focused acquisition strategy. We believe that the rise in both the number and quality of companies entering the genomics space today presages significant consolidation and restructuring. Our comprehensive understanding of the science, strong ties to the industry, and broad experience guiding public companies gives us a competitive advantage to help shape, and profit from, this key moment in the maturation of the industry.</w:t>
      </w:r>
    </w:p>
    <w:p>
      <w:pPr>
        <w:spacing w:after="0" w:line="121" w:lineRule="exact"/>
        <w:rPr>
          <w:sz w:val="20"/>
          <w:szCs w:val="20"/>
          <w:color w:val="auto"/>
        </w:rPr>
      </w:pPr>
    </w:p>
    <w:p>
      <w:pPr>
        <w:ind w:left="460" w:right="579"/>
        <w:spacing w:after="0" w:line="236" w:lineRule="auto"/>
        <w:rPr>
          <w:sz w:val="20"/>
          <w:szCs w:val="20"/>
          <w:color w:val="auto"/>
        </w:rPr>
      </w:pPr>
      <w:r>
        <w:rPr>
          <w:rFonts w:ascii="Arial" w:cs="Arial" w:eastAsia="Arial" w:hAnsi="Arial"/>
          <w:sz w:val="18"/>
          <w:szCs w:val="18"/>
          <w:color w:val="auto"/>
        </w:rPr>
        <w:t>Not only do we anticipate CM Life Sciences will have the advantage in sourcing transactions and creating strong, publicly listed life sciences companies, but the broad vision and on-the-ground expertise of our management team should allow us to see opportunities and synergies even before the target company’s management or board may. With robust partnerships and deep relationships dating back to the industry’s beginnings, our management and board have a track record of identifying potential opportunities and potential challenges, long before most other investors. With over two decades of research, diligence, formal and informal advising, and Board stewardship, we believe our founders are uniquely suited to bridge the gap between private promises and public profits; creating significant shareholder value by structuring companies for the public market typically inaccessible to private equity buyers.</w:t>
      </w:r>
    </w:p>
    <w:p>
      <w:pPr>
        <w:spacing w:after="0" w:line="138"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Over the years, Casdin Capital has developed a rich, reflective and repeatable scientific process as rigorous as any found in relevant research labs, which we intend to draw upon as we evaluate targets. Our strategy is to seek out every possible data point and test every possible hypothesis. By methodically breaking down core elements, from treatments to management teams to political-historical context, and examining them from all angles, testing theories as we go, our leadership team learns and grows in step with the life sciences industry itself. When we assess company targets and the mechanisms for solving them, whether a drug or a technology application, we will seek to understand their innovative methodologies, not just their market potential. Beyond the science, we will also scrutinize target markets and competitors, question CEOs, Executive Teams and Boards on their ability to measure outcomes and push toward solutions, and create models for everything from commercial launch capabilities to regulatory hurdles to an entire team’s industry expertise and history. Deep knowledge of the science and its applications is only the beginning. Our experience continually reminds us to focus on leadership’s ability to grow a business and create an empowered workforce, and we seek companies that create the drive and resilience necessary to reach ambitious goals and, ultimately, market success.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79" w:right="1440" w:bottom="1440" w:gutter="0" w:footer="0" w:header="0"/>
        </w:sectPr>
      </w:pPr>
    </w:p>
    <w:bookmarkStart w:id="84" w:name="page85"/>
    <w:bookmarkEnd w:id="84"/>
    <w:p>
      <w:pPr>
        <w:ind w:left="460" w:right="479"/>
        <w:spacing w:after="0" w:line="236" w:lineRule="auto"/>
        <w:rPr>
          <w:sz w:val="20"/>
          <w:szCs w:val="20"/>
          <w:color w:val="auto"/>
        </w:rPr>
      </w:pPr>
      <w:r>
        <w:rPr>
          <w:rFonts w:ascii="Arial" w:cs="Arial" w:eastAsia="Arial" w:hAnsi="Arial"/>
          <w:sz w:val="18"/>
          <w:szCs w:val="18"/>
          <w:color w:val="auto"/>
        </w:rPr>
        <w:t>With over four decades of combined experience in structuring and executing strategic investments and capital market transactions, our founders bring together a unique understanding of the industry and the world of corporate governance. Together Mr. Casdin and Mr. Meister specifically have bought, sold, combined and separated businesses and assets across industries and geographies, and together are strategically situated to identify and capitalize on industry consolidation. We also know that many companies lack the resources, infrastructure, and governance experience required to transition into successful public companies. Our team’s long-standing experience leading large, publicly traded corporations at the board and executive levels opens the door to many companies not yet envisioning themselves in the public market. We believe our experience structuring and executing complex transactions is as key an advantage when completing an initial business combination as it is when identifying future opportunities sparked by it.</w:t>
      </w:r>
    </w:p>
    <w:p>
      <w:pPr>
        <w:spacing w:after="0" w:line="124" w:lineRule="exact"/>
        <w:rPr>
          <w:sz w:val="20"/>
          <w:szCs w:val="20"/>
          <w:color w:val="auto"/>
        </w:rPr>
      </w:pPr>
    </w:p>
    <w:p>
      <w:pPr>
        <w:ind w:left="460" w:right="459"/>
        <w:spacing w:after="0" w:line="234" w:lineRule="auto"/>
        <w:rPr>
          <w:sz w:val="20"/>
          <w:szCs w:val="20"/>
          <w:color w:val="auto"/>
        </w:rPr>
      </w:pPr>
      <w:r>
        <w:rPr>
          <w:rFonts w:ascii="Arial" w:cs="Arial" w:eastAsia="Arial" w:hAnsi="Arial"/>
          <w:sz w:val="18"/>
          <w:szCs w:val="18"/>
          <w:color w:val="auto"/>
        </w:rPr>
        <w:t>Casdin Capital’s investments in 69 private companies and their diligencing of hundreds of other investments every year has allowed them to map the far reaches of an industry most are just beginning to explore. As of June 30</w:t>
      </w:r>
      <w:r>
        <w:rPr>
          <w:rFonts w:ascii="Arial" w:cs="Arial" w:eastAsia="Arial" w:hAnsi="Arial"/>
          <w:sz w:val="20"/>
          <w:szCs w:val="20"/>
          <w:color w:val="auto"/>
          <w:vertAlign w:val="superscript"/>
        </w:rPr>
        <w:t>th</w:t>
      </w:r>
      <w:r>
        <w:rPr>
          <w:rFonts w:ascii="Arial" w:cs="Arial" w:eastAsia="Arial" w:hAnsi="Arial"/>
          <w:sz w:val="18"/>
          <w:szCs w:val="18"/>
          <w:color w:val="auto"/>
        </w:rPr>
        <w:t>, 2020, Casdin has interests in 42 private portfolio companies and in these companies they have partnered with 45 of the leading venture and healthcare investing firms and strategic arms of large incumbents, including Google Ventures, Arch Ventures, Atlas Ventures, Third Rock Ventures, Flagship Ventures, Wuxi Apptec (OTCMKTS: WUXIF), Danaher Corporation (NYSE: DHR), Viking Global, Warburg Pincus and Andreesson Horowitz. We expect that this deep understanding and these strong relationships will provide CM Life Sciences a pipeline of proprietary opportunities that will continue to increase as new players enter the space, and as established players continue to branch out. CM Life Sciences is not prohibited from pursuing combinations with companies affiliated with our sponsor, executive officers, or directors. In the event we seek to complete a combination with a target that is affiliated with our sponsor, we would obtain an opinion of an independent investment banking firm which is a member of FINRA or a valuation or appraisal firm stating that such an initial business combination is fair to our company from a financial point of view. Our amended and restated certificate of incorporation provides that a target will not be deemed an affiliate solely by virtue of ownership by our sponsor or its affiliates, or any of their or our executive officers or directors, of less than 10% of its common stock, individually or in the aggregate. Moreover, we anticipate value-creation opportunities from combining private companies already in the portfolios of our affiliates, Casdin Capital and Corvex Management, presenting unique opportunities at the partnership’s inception and opening us to other dynamic platforms across the industry.</w:t>
      </w:r>
    </w:p>
    <w:p>
      <w:pPr>
        <w:spacing w:after="0" w:line="140" w:lineRule="exact"/>
        <w:rPr>
          <w:sz w:val="20"/>
          <w:szCs w:val="20"/>
          <w:color w:val="auto"/>
        </w:rPr>
      </w:pPr>
    </w:p>
    <w:p>
      <w:pPr>
        <w:ind w:left="460" w:right="479"/>
        <w:spacing w:after="0" w:line="251" w:lineRule="auto"/>
        <w:rPr>
          <w:sz w:val="20"/>
          <w:szCs w:val="20"/>
          <w:color w:val="auto"/>
        </w:rPr>
      </w:pPr>
      <w:r>
        <w:rPr>
          <w:rFonts w:ascii="Arial" w:cs="Arial" w:eastAsia="Arial" w:hAnsi="Arial"/>
          <w:sz w:val="17"/>
          <w:szCs w:val="17"/>
          <w:color w:val="auto"/>
        </w:rPr>
        <w:t>Casdin Capital has developed relationships going back to the unlocking of the human genome, and today is a familiar and trusted participant in this dynamic and complex industry, as well-versed in the science as in the business models that underpin it. We intend to leverage Casdin Capital’s position as more than just an investor, but a key partner to major and emerging companies, to work with the most successful and innovative industry professionals, the ones who will continue to drive growth and profits over the next few decades. Combined with Corvex Management, our leadership team is diverse and deep, with strengths in science and business, in research and investing, capital markets and corporate board rooms, and as alert to industry realignments as they are to subtle market moves. Success and strong returns come as much from our collective dedication as it does from our area-expertise. Our seasoned management team and board intends to leverage information from industry experts, scientists, management teams, and corporate directors to proceed with discipline and rigor to complete an attractive business combination that will produce attractive returns for our shareholders.</w:t>
      </w:r>
    </w:p>
    <w:p>
      <w:pPr>
        <w:spacing w:after="0" w:line="125" w:lineRule="exact"/>
        <w:rPr>
          <w:sz w:val="20"/>
          <w:szCs w:val="20"/>
          <w:color w:val="auto"/>
        </w:rPr>
      </w:pPr>
    </w:p>
    <w:p>
      <w:pPr>
        <w:jc w:val="both"/>
        <w:ind w:left="460" w:right="739"/>
        <w:spacing w:after="0"/>
        <w:rPr>
          <w:sz w:val="20"/>
          <w:szCs w:val="20"/>
          <w:color w:val="auto"/>
        </w:rPr>
      </w:pPr>
      <w:r>
        <w:rPr>
          <w:rFonts w:ascii="Arial" w:cs="Arial" w:eastAsia="Arial" w:hAnsi="Arial"/>
          <w:sz w:val="18"/>
          <w:szCs w:val="18"/>
          <w:color w:val="auto"/>
        </w:rPr>
        <w:t>Consistent with this strategy, we have identified the following criteria to evaluate prospective target businesses. We intend to seek to acquire companies in the Life Sciences Tools, Synthetic Biology and Diagnostics fields and that we believe:</w:t>
      </w:r>
    </w:p>
    <w:p>
      <w:pPr>
        <w:spacing w:after="0" w:line="14" w:lineRule="exact"/>
        <w:rPr>
          <w:sz w:val="20"/>
          <w:szCs w:val="20"/>
          <w:color w:val="auto"/>
        </w:rPr>
      </w:pPr>
    </w:p>
    <w:p>
      <w:pPr>
        <w:ind w:left="1100" w:right="559" w:hanging="322"/>
        <w:spacing w:after="0" w:line="246" w:lineRule="auto"/>
        <w:tabs>
          <w:tab w:leader="none" w:pos="1089" w:val="left"/>
        </w:tabs>
        <w:numPr>
          <w:ilvl w:val="0"/>
          <w:numId w:val="42"/>
        </w:numPr>
        <w:rPr>
          <w:rFonts w:ascii="Arial" w:cs="Arial" w:eastAsia="Arial" w:hAnsi="Arial"/>
          <w:sz w:val="18"/>
          <w:szCs w:val="18"/>
          <w:color w:val="auto"/>
        </w:rPr>
      </w:pPr>
      <w:r>
        <w:rPr>
          <w:rFonts w:ascii="Arial" w:cs="Arial" w:eastAsia="Arial" w:hAnsi="Arial"/>
          <w:sz w:val="18"/>
          <w:szCs w:val="18"/>
          <w:color w:val="auto"/>
        </w:rPr>
        <w:t>have a potential scientific or other business advantage or opportunity in the markets in which they operate;</w:t>
      </w:r>
    </w:p>
    <w:p>
      <w:pPr>
        <w:spacing w:after="0" w:line="21" w:lineRule="exact"/>
        <w:rPr>
          <w:rFonts w:ascii="Arial" w:cs="Arial" w:eastAsia="Arial" w:hAnsi="Arial"/>
          <w:sz w:val="18"/>
          <w:szCs w:val="18"/>
          <w:color w:val="auto"/>
        </w:rPr>
      </w:pPr>
    </w:p>
    <w:p>
      <w:pPr>
        <w:ind w:left="1100" w:hanging="322"/>
        <w:spacing w:after="0"/>
        <w:tabs>
          <w:tab w:leader="none" w:pos="11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have strong and experienced management teams or key personnel; and</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will offer attractive risk-adjusted equity returns for our shareholders.</w:t>
      </w:r>
    </w:p>
    <w:p>
      <w:pPr>
        <w:spacing w:after="0" w:line="131"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These criteria are not intended to be exhaustive. Any evaluation relating to the merits of a particular initial business combination may be based, to the extent relevant, on these general guidelines as well as other considerations, factors and criteria that our management team may deem relevant. In the event that we decide to enter into our initial business combination with a target business that we believe does not meet the above criteria and guidelines, we will disclose that the target business does not meet the above criteria in our stockholder communications related to our initial business combination, which, as discussed in this prospectus, would be in the form of proxy materials or tender offer documents, as applicable, that we would file with the SEC.</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85" w:name="page86"/>
    <w:bookmarkEnd w:id="85"/>
    <w:p>
      <w:pPr>
        <w:ind w:left="460"/>
        <w:spacing w:after="0"/>
        <w:rPr>
          <w:sz w:val="20"/>
          <w:szCs w:val="20"/>
          <w:color w:val="auto"/>
        </w:rPr>
      </w:pPr>
      <w:r>
        <w:rPr>
          <w:rFonts w:ascii="Arial" w:cs="Arial" w:eastAsia="Arial" w:hAnsi="Arial"/>
          <w:sz w:val="18"/>
          <w:szCs w:val="18"/>
          <w:b w:val="1"/>
          <w:bCs w:val="1"/>
          <w:color w:val="auto"/>
        </w:rPr>
        <w:t>Initial Business Combination</w:t>
      </w:r>
    </w:p>
    <w:p>
      <w:pPr>
        <w:spacing w:after="0" w:line="166" w:lineRule="exact"/>
        <w:rPr>
          <w:sz w:val="20"/>
          <w:szCs w:val="20"/>
          <w:color w:val="auto"/>
        </w:rPr>
      </w:pPr>
    </w:p>
    <w:p>
      <w:pPr>
        <w:ind w:left="460" w:right="619"/>
        <w:spacing w:after="0" w:line="236" w:lineRule="auto"/>
        <w:rPr>
          <w:sz w:val="20"/>
          <w:szCs w:val="20"/>
          <w:color w:val="auto"/>
        </w:rPr>
      </w:pPr>
      <w:r>
        <w:rPr>
          <w:rFonts w:ascii="Arial" w:cs="Arial" w:eastAsia="Arial" w:hAnsi="Arial"/>
          <w:sz w:val="18"/>
          <w:szCs w:val="18"/>
          <w:color w:val="auto"/>
        </w:rPr>
        <w:t>Nasdaq rules require that we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our signing a definitive agreement in connection with our initial business combination. Our board of directors will make the determination as to the fair market value of our initial business combination. If our board of directors is not able to independently determine the fair market value of our initial business combination, we will obtain an opinion from an independent investment banking firm which is a member of FINRA or a valuation or appraisal firm with respect to the satisfaction of such criteria. While we consider it unlikely that our board of directors will not be able to make an independent determination of the fair market value of our initial business combination, it may be unable to do so if it is less familiar or experienced with the business of a particular target or if there is a significant amount of uncertainty as to the value of the target’s assets or prospects.</w:t>
      </w:r>
    </w:p>
    <w:p>
      <w:pPr>
        <w:spacing w:after="0" w:line="122" w:lineRule="exact"/>
        <w:rPr>
          <w:sz w:val="20"/>
          <w:szCs w:val="20"/>
          <w:color w:val="auto"/>
        </w:rPr>
      </w:pPr>
    </w:p>
    <w:p>
      <w:pPr>
        <w:ind w:left="460" w:right="479"/>
        <w:spacing w:after="0" w:line="249" w:lineRule="auto"/>
        <w:rPr>
          <w:sz w:val="20"/>
          <w:szCs w:val="20"/>
          <w:color w:val="auto"/>
        </w:rPr>
      </w:pPr>
      <w:r>
        <w:rPr>
          <w:rFonts w:ascii="Arial" w:cs="Arial" w:eastAsia="Arial" w:hAnsi="Arial"/>
          <w:sz w:val="17"/>
          <w:szCs w:val="17"/>
          <w:color w:val="auto"/>
        </w:rPr>
        <w:t>We anticipate structuring our initial business combination so that the post-transaction company in which our public stockholders own shares will own or acquire 100% of the equity interests or assets of the target business or businesses. We may, however, structure our initial business combination such that the post-transaction company owns or acquires less than 100% of such interests or assets of the target business in order to meet certain objectives of the target management team or stockholders or for other reasons, but we will only complete such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of 1940, as amended, or the Investment Company Act. Even if the post-transaction company owns or acquires 50% or more of the voting securities of the target, our stockholders prior to the business combination may collectively own a minority interest in the post-transaction company, depending on valuations ascribed to the target and us in the business combination transaction. For example, we could pursue a transaction in which we issue a substantial number of new shares in exchange for all of the outstanding capital stock of a target. In this case, we would acquire a 100% controlling interest in the target. However, as a result of the issuance of a substantial number of new shares, our stockholders immediately prior to our initial business combination could own less than a majority of our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taken into account for purposes of the 80% of net assets test described above. If the business combination involves more than one target business, the 80% of net assets test will be based on the aggregate value of all of the target businesses.</w:t>
      </w:r>
    </w:p>
    <w:p>
      <w:pPr>
        <w:spacing w:after="0" w:line="345" w:lineRule="exact"/>
        <w:rPr>
          <w:sz w:val="20"/>
          <w:szCs w:val="20"/>
          <w:color w:val="auto"/>
        </w:rPr>
      </w:pPr>
    </w:p>
    <w:p>
      <w:pPr>
        <w:ind w:left="460" w:right="459"/>
        <w:spacing w:after="0" w:line="237" w:lineRule="auto"/>
        <w:rPr>
          <w:sz w:val="20"/>
          <w:szCs w:val="20"/>
          <w:color w:val="auto"/>
        </w:rPr>
      </w:pPr>
      <w:r>
        <w:rPr>
          <w:rFonts w:ascii="Arial" w:cs="Arial" w:eastAsia="Arial" w:hAnsi="Arial"/>
          <w:sz w:val="18"/>
          <w:szCs w:val="18"/>
          <w:color w:val="auto"/>
        </w:rPr>
        <w:t>Prior to the date of this prospectus, we will file a Registration Statement on Form 8-A with the SEC to voluntarily register our securities under Section 12 of the Securities Exchange Act of 1934, as amended, or the Exchange Act. As a result, we will be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Sourcing of Potential Initial Business Combination Targets</w:t>
      </w:r>
    </w:p>
    <w:p>
      <w:pPr>
        <w:spacing w:after="0" w:line="166"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While we do not presently anticipate engaging the services of professional firms or other individuals that specialize in business acquisitions on any formal basis, we may engage these firms or other individuals in the future, in which event we may pay a finder’s fee, consulting fee or other compensation to be determined in an arm’s length negotiation based on the terms of the transaction. We will engage a finder only to the extent our management determines that the use of a finder may bring opportunities to us that may not otherwise be available to us or if finders approach us on an unsolicited basis with a potential transaction that our management determines is in our best interest to pursue. Payment of a finder’s fee is customarily tied to completion of a transaction, in which case any such fee will be paid out of the funds held in the trust account. In no event, however, will our sponsor or any of our existing officers or directors, or any entity with which they are affiliated, be paid any finder’s fee, consulting fee or other compensation by the company prior to, or for any services they render in order to effectuate, the completion of our initial business combination (regardless of the type of transaction that it is).</w:t>
      </w:r>
    </w:p>
    <w:p>
      <w:pPr>
        <w:spacing w:after="0" w:line="122"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We are not prohibited from pursuing an initial business combination with a company that is affiliated with our sponsor, executive officers or directors, or completing the business combination through a joint venture or other form of shared ownership with our sponsor, executive officers or directors. In the event we seek to complete an initial business combination with a target that is affiliated with our sponsor, executive officers or directors, we, or a</w:t>
      </w:r>
    </w:p>
    <w:p>
      <w:pPr>
        <w:sectPr>
          <w:pgSz w:w="11900" w:h="16838" w:orient="portrait"/>
          <w:cols w:equalWidth="0" w:num="1">
            <w:col w:w="9019"/>
          </w:cols>
          <w:pgMar w:left="1440" w:top="333" w:right="1440" w:bottom="1440" w:gutter="0" w:footer="0" w:header="0"/>
        </w:sectPr>
      </w:pP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86" w:name="page87"/>
    <w:bookmarkEnd w:id="86"/>
    <w:p>
      <w:pPr>
        <w:ind w:left="460" w:right="499"/>
        <w:spacing w:after="0" w:line="237" w:lineRule="auto"/>
        <w:rPr>
          <w:sz w:val="20"/>
          <w:szCs w:val="20"/>
          <w:color w:val="auto"/>
        </w:rPr>
      </w:pPr>
      <w:r>
        <w:rPr>
          <w:rFonts w:ascii="Arial" w:cs="Arial" w:eastAsia="Arial" w:hAnsi="Arial"/>
          <w:sz w:val="18"/>
          <w:szCs w:val="18"/>
          <w:color w:val="auto"/>
        </w:rPr>
        <w:t>committee of independent directors, would obtain an opinion from an independent investment banking firm which is a member of FINRA or a valuation or appraisal firm stating that such an initial business combination is fair to our company from a financial point of view. Our amended and restated certificate of incorporation provides that a target will not be deemed an affiliate solely by virtue of ownership by our sponsor or its affiliates, or any of their or our executive officers or directors, of less than 10% of its common stock, individually or in the aggregate.</w:t>
      </w:r>
    </w:p>
    <w:p>
      <w:pPr>
        <w:spacing w:after="0" w:line="124"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Members of our management team and our independent directors will directly or indirectly own founder shares and/or private placement warrants and/or forward purchase shares following this offering and, accordingly,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135" w:lineRule="exact"/>
        <w:rPr>
          <w:sz w:val="20"/>
          <w:szCs w:val="20"/>
          <w:color w:val="auto"/>
        </w:rPr>
      </w:pPr>
    </w:p>
    <w:p>
      <w:pPr>
        <w:ind w:left="460" w:right="519"/>
        <w:spacing w:after="0" w:line="235" w:lineRule="auto"/>
        <w:rPr>
          <w:sz w:val="20"/>
          <w:szCs w:val="20"/>
          <w:color w:val="auto"/>
        </w:rPr>
      </w:pPr>
      <w:r>
        <w:rPr>
          <w:rFonts w:ascii="Arial" w:cs="Arial" w:eastAsia="Arial" w:hAnsi="Arial"/>
          <w:sz w:val="18"/>
          <w:szCs w:val="18"/>
          <w:color w:val="auto"/>
        </w:rPr>
        <w:t>Each of our officers and directors presently has, and any of them in the future may have additional, fiduciary or contractual obligations to another entity pursuant to which such officer or director is or will be required to present a business combination opportunity to such entity. Accordingly, if any of our officers or directors becomes aware of a business combination opportunity which is suitable for an entity to which he or she has then current fiduciary or contractual obligations, he or she will honor his or her fiduciary or contractual obligations to present such business combination opportunity to such other entity. Our amended and restated certificate of incorporation will provide that we renounce our interest in any corporate opportunity offered to any director or officer unless such opportunity is expressly offered to such person solely in his or her capacity as a director or officer of the company and such opportunity is one we are legally and contractually permitted to undertake and would otherwise be reasonable for us to pursue, and to the extent the director or officer is permitted to refer that opportunity to us without violating another legal obligation. We do not believe, however, that the fiduciary duties or contractual obligations of our officers or directors will materially affect our ability to complete our initial business combination.</w:t>
      </w:r>
    </w:p>
    <w:p>
      <w:pPr>
        <w:spacing w:after="0" w:line="146"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In addition, our sponsor and our officers and directors may sponsor or form other special purpose acquisition companies similar to ours or may pursue other business or investment ventures during the period in which we are seeking an initial business combination. Any such companies, businesses or investments may present additional conflicts of interest in pursuing an initial business combination. However, we do not believe that any such potential conflicts would materially affect our ability to complete our initial business combination.</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Financial Position</w:t>
      </w:r>
    </w:p>
    <w:p>
      <w:pPr>
        <w:spacing w:after="0" w:line="153" w:lineRule="exact"/>
        <w:rPr>
          <w:sz w:val="20"/>
          <w:szCs w:val="20"/>
          <w:color w:val="auto"/>
        </w:rPr>
      </w:pPr>
    </w:p>
    <w:p>
      <w:pPr>
        <w:ind w:left="460" w:right="539"/>
        <w:spacing w:after="0" w:line="236" w:lineRule="auto"/>
        <w:rPr>
          <w:sz w:val="20"/>
          <w:szCs w:val="20"/>
          <w:color w:val="auto"/>
        </w:rPr>
      </w:pPr>
      <w:r>
        <w:rPr>
          <w:rFonts w:ascii="Arial" w:cs="Arial" w:eastAsia="Arial" w:hAnsi="Arial"/>
          <w:sz w:val="18"/>
          <w:szCs w:val="18"/>
          <w:color w:val="auto"/>
        </w:rPr>
        <w:t>With funds available for a business combination initially in the amount of $ 337,750,000 (assuming no redemptions), after payment of $ 12,250,000 of deferred underwriting fees (or $388,412,500 (assuming no redemptions) after payment of $14,087,500 of deferred underwriting fees if the underwriters’ over-allotment option is exercised in full) and up to $150,000,000 in proceeds from the sale of forward purchase shares, we offer a target business a variety of options such as creating a liquidity event for its owners, providing capital for the potential growth and expansion of its operations or strengthening its balance sheet by reducing its debt ratio. Because we are able to complete our initial business combination using our cash, debt or equity securities, or a combination of the foregoing, we have the flexibility to use the most efficient combination that will allow us to tailor the consideration to be paid to the target business to fit its needs and desires. However, we have not taken any steps to secure third party financing and there can be no assurance it will be available to us.</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Lack of Business Diversification</w:t>
      </w:r>
    </w:p>
    <w:p>
      <w:pPr>
        <w:spacing w:after="0" w:line="166" w:lineRule="exact"/>
        <w:rPr>
          <w:sz w:val="20"/>
          <w:szCs w:val="20"/>
          <w:color w:val="auto"/>
        </w:rPr>
      </w:pPr>
    </w:p>
    <w:p>
      <w:pPr>
        <w:ind w:left="460" w:right="579"/>
        <w:spacing w:after="0" w:line="237" w:lineRule="auto"/>
        <w:rPr>
          <w:sz w:val="20"/>
          <w:szCs w:val="20"/>
          <w:color w:val="auto"/>
        </w:rPr>
      </w:pPr>
      <w:r>
        <w:rPr>
          <w:rFonts w:ascii="Arial" w:cs="Arial" w:eastAsia="Arial" w:hAnsi="Arial"/>
          <w:sz w:val="18"/>
          <w:szCs w:val="18"/>
          <w:color w:val="auto"/>
        </w:rPr>
        <w:t>For an indefinite period of time after the completion of our initial business combination, the prospects for our success may depend entirely on the future performance of a single business. Unlike other entities that have the resources to complete business combinations with multiple entities in one or several industries, it is probable that we will not have the resources to diversify our operations and mitigate the risks of being in a single line of business. By completing our initial business combination with only a single entity, our lack of diversification may:</w:t>
      </w:r>
    </w:p>
    <w:p>
      <w:pPr>
        <w:spacing w:after="0" w:line="29" w:lineRule="exact"/>
        <w:rPr>
          <w:sz w:val="20"/>
          <w:szCs w:val="20"/>
          <w:color w:val="auto"/>
        </w:rPr>
      </w:pPr>
    </w:p>
    <w:p>
      <w:pPr>
        <w:ind w:left="1100" w:right="639" w:hanging="322"/>
        <w:spacing w:after="0"/>
        <w:tabs>
          <w:tab w:leader="none" w:pos="1089"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subject us to negative economic, competitive and regulatory developments, any or all of which may have a substantial adverse impact on the particular industry in which we operate after our initial business combination, and</w:t>
      </w:r>
    </w:p>
    <w:p>
      <w:pPr>
        <w:spacing w:after="0" w:line="13" w:lineRule="exact"/>
        <w:rPr>
          <w:rFonts w:ascii="Arial" w:cs="Arial" w:eastAsia="Arial" w:hAnsi="Arial"/>
          <w:sz w:val="18"/>
          <w:szCs w:val="18"/>
          <w:color w:val="auto"/>
        </w:rPr>
      </w:pPr>
    </w:p>
    <w:p>
      <w:pPr>
        <w:ind w:left="1100" w:right="1079" w:hanging="322"/>
        <w:spacing w:after="0" w:line="246" w:lineRule="auto"/>
        <w:tabs>
          <w:tab w:leader="none" w:pos="1089" w:val="left"/>
        </w:tabs>
        <w:numPr>
          <w:ilvl w:val="0"/>
          <w:numId w:val="43"/>
        </w:numPr>
        <w:rPr>
          <w:rFonts w:ascii="Arial" w:cs="Arial" w:eastAsia="Arial" w:hAnsi="Arial"/>
          <w:sz w:val="18"/>
          <w:szCs w:val="18"/>
          <w:color w:val="auto"/>
        </w:rPr>
      </w:pPr>
      <w:r>
        <w:rPr>
          <w:rFonts w:ascii="Arial" w:cs="Arial" w:eastAsia="Arial" w:hAnsi="Arial"/>
          <w:sz w:val="18"/>
          <w:szCs w:val="18"/>
          <w:color w:val="auto"/>
        </w:rPr>
        <w:t>cause us to depend on the marketing and sale of a single product or limited number of products or services.</w:t>
      </w:r>
    </w:p>
    <w:p>
      <w:pPr>
        <w:sectPr>
          <w:pgSz w:w="11900" w:h="16838" w:orient="portrait"/>
          <w:cols w:equalWidth="0" w:num="1">
            <w:col w:w="9019"/>
          </w:cols>
          <w:pgMar w:left="1440" w:top="287" w:right="1440"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87" w:name="page88"/>
    <w:bookmarkEnd w:id="87"/>
    <w:p>
      <w:pPr>
        <w:ind w:left="460"/>
        <w:spacing w:after="0"/>
        <w:rPr>
          <w:sz w:val="20"/>
          <w:szCs w:val="20"/>
          <w:color w:val="auto"/>
        </w:rPr>
      </w:pPr>
      <w:r>
        <w:rPr>
          <w:rFonts w:ascii="Arial" w:cs="Arial" w:eastAsia="Arial" w:hAnsi="Arial"/>
          <w:sz w:val="18"/>
          <w:szCs w:val="18"/>
          <w:b w:val="1"/>
          <w:bCs w:val="1"/>
          <w:i w:val="1"/>
          <w:iCs w:val="1"/>
          <w:color w:val="auto"/>
        </w:rPr>
        <w:t>Limited Ability to Evaluate the Target’s Management Team</w:t>
      </w:r>
    </w:p>
    <w:p>
      <w:pPr>
        <w:spacing w:after="0" w:line="166"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Although we intend to closely scrutinize the management of a prospective target business when evaluating the desirability of effecting our initial business combination with that business, our assessment of the target business’s management may not prove to be correct. In addition, the future management may not have the necessary skills, qualifications or abilities to manage a public company. Furthermore, the future role of members of our management team, if any, in the target business cannot presently be stated with any certainty. The determination as to whether any of the members of our management team will remain with the combined company will be made at the time of our initial business combination. While it is possible that one or more of our directors will remain associated in some capacity with us following our initial business combination, it is unlikely that any of them will devote their full efforts to our affairs subsequent to our initial business combination. Moreover, we cannot assure you that members of our management team will have significant experience or knowledge relating to the operations of the particular target business.</w:t>
      </w:r>
    </w:p>
    <w:p>
      <w:pPr>
        <w:spacing w:after="0" w:line="123" w:lineRule="exact"/>
        <w:rPr>
          <w:sz w:val="20"/>
          <w:szCs w:val="20"/>
          <w:color w:val="auto"/>
        </w:rPr>
      </w:pPr>
    </w:p>
    <w:p>
      <w:pPr>
        <w:ind w:left="460" w:right="579"/>
        <w:spacing w:after="0"/>
        <w:rPr>
          <w:sz w:val="20"/>
          <w:szCs w:val="20"/>
          <w:color w:val="auto"/>
        </w:rPr>
      </w:pPr>
      <w:r>
        <w:rPr>
          <w:rFonts w:ascii="Arial" w:cs="Arial" w:eastAsia="Arial" w:hAnsi="Arial"/>
          <w:sz w:val="18"/>
          <w:szCs w:val="18"/>
          <w:color w:val="auto"/>
        </w:rPr>
        <w:t>We cannot assure you that any of our key personnel will remain in senior management or advisory positions with the combined company. The determination as to whether any of our key personnel will remain with the combined company will be made at the time of our initial business combination.</w:t>
      </w:r>
    </w:p>
    <w:p>
      <w:pPr>
        <w:spacing w:after="0" w:line="135" w:lineRule="exact"/>
        <w:rPr>
          <w:sz w:val="20"/>
          <w:szCs w:val="20"/>
          <w:color w:val="auto"/>
        </w:rPr>
      </w:pPr>
    </w:p>
    <w:p>
      <w:pPr>
        <w:ind w:left="460" w:right="599"/>
        <w:spacing w:after="0" w:line="238" w:lineRule="auto"/>
        <w:rPr>
          <w:sz w:val="20"/>
          <w:szCs w:val="20"/>
          <w:color w:val="auto"/>
        </w:rPr>
      </w:pPr>
      <w:r>
        <w:rPr>
          <w:rFonts w:ascii="Arial" w:cs="Arial" w:eastAsia="Arial" w:hAnsi="Arial"/>
          <w:sz w:val="18"/>
          <w:szCs w:val="18"/>
          <w:color w:val="auto"/>
        </w:rPr>
        <w:t>Following a business combination, we may seek to recruit additional managers to supplement the incumbent management of the target business. We cannot assure you that we will have the ability to recruit additional managers, or that additional managers will have the requisite skills, knowledge or experience necessary to enhance the incumbent management.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Stockholders May Not Have the Ability to Approve Our Initial Business Combination</w:t>
      </w:r>
    </w:p>
    <w:p>
      <w:pPr>
        <w:spacing w:after="0" w:line="166"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We may conduct redemptions without a stockholder vote pursuant to the tender offer rules of the SEC subject to the provisions of our amended and restated certificate of incorporation. However, we will seek stockholder approval if it is required by law or applicable stock exchange rule, or we may decide to seek stockholder approval for business or other legal reasons.</w:t>
      </w:r>
    </w:p>
    <w:p>
      <w:pPr>
        <w:spacing w:after="0" w:line="124" w:lineRule="exact"/>
        <w:rPr>
          <w:sz w:val="20"/>
          <w:szCs w:val="20"/>
          <w:color w:val="auto"/>
        </w:rPr>
      </w:pPr>
    </w:p>
    <w:p>
      <w:pPr>
        <w:ind w:left="460" w:right="559"/>
        <w:spacing w:after="0"/>
        <w:rPr>
          <w:sz w:val="20"/>
          <w:szCs w:val="20"/>
          <w:color w:val="auto"/>
        </w:rPr>
      </w:pPr>
      <w:r>
        <w:rPr>
          <w:rFonts w:ascii="Arial" w:cs="Arial" w:eastAsia="Arial" w:hAnsi="Arial"/>
          <w:sz w:val="18"/>
          <w:szCs w:val="18"/>
          <w:color w:val="auto"/>
        </w:rPr>
        <w:t>Presented in the table below is a graphic explanation of the types of initial business combinations we may consider and whether stockholder approval is currently required under Delaware law for each such transaction.</w:t>
      </w:r>
    </w:p>
    <w:p>
      <w:pPr>
        <w:spacing w:after="0" w:line="163"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6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WHETHER</w:t>
            </w:r>
          </w:p>
        </w:tc>
      </w:tr>
      <w:tr>
        <w:trPr>
          <w:trHeight w:val="162"/>
        </w:trPr>
        <w:tc>
          <w:tcPr>
            <w:tcW w:w="6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STOCKHOLDER</w:t>
            </w:r>
          </w:p>
        </w:tc>
      </w:tr>
      <w:tr>
        <w:trPr>
          <w:trHeight w:val="162"/>
        </w:trPr>
        <w:tc>
          <w:tcPr>
            <w:tcW w:w="6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APPROVAL IS</w:t>
            </w:r>
          </w:p>
        </w:tc>
      </w:tr>
      <w:tr>
        <w:trPr>
          <w:trHeight w:val="190"/>
        </w:trPr>
        <w:tc>
          <w:tcPr>
            <w:tcW w:w="6980" w:type="dxa"/>
            <w:vAlign w:val="bottom"/>
            <w:gridSpan w:val="2"/>
          </w:tcPr>
          <w:p>
            <w:pPr>
              <w:spacing w:after="0"/>
              <w:rPr>
                <w:sz w:val="20"/>
                <w:szCs w:val="20"/>
                <w:color w:val="auto"/>
              </w:rPr>
            </w:pPr>
            <w:r>
              <w:rPr>
                <w:rFonts w:ascii="Arial" w:cs="Arial" w:eastAsia="Arial" w:hAnsi="Arial"/>
                <w:sz w:val="14"/>
                <w:szCs w:val="14"/>
                <w:b w:val="1"/>
                <w:bCs w:val="1"/>
                <w:color w:val="auto"/>
              </w:rPr>
              <w:t>TYPE OF TRANSACTION</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REQUIRED</w:t>
            </w:r>
          </w:p>
        </w:tc>
      </w:tr>
      <w:tr>
        <w:trPr>
          <w:trHeight w:val="25"/>
        </w:trPr>
        <w:tc>
          <w:tcPr>
            <w:tcW w:w="6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980" w:type="dxa"/>
            <w:vAlign w:val="bottom"/>
            <w:gridSpan w:val="2"/>
          </w:tcPr>
          <w:p>
            <w:pPr>
              <w:spacing w:after="0"/>
              <w:rPr>
                <w:sz w:val="20"/>
                <w:szCs w:val="20"/>
                <w:color w:val="auto"/>
              </w:rPr>
            </w:pPr>
            <w:r>
              <w:rPr>
                <w:rFonts w:ascii="Arial" w:cs="Arial" w:eastAsia="Arial" w:hAnsi="Arial"/>
                <w:sz w:val="18"/>
                <w:szCs w:val="18"/>
                <w:color w:val="auto"/>
              </w:rPr>
              <w:t>Purchase of assets</w:t>
            </w: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83"/>
        </w:trPr>
        <w:tc>
          <w:tcPr>
            <w:tcW w:w="6980" w:type="dxa"/>
            <w:vAlign w:val="bottom"/>
            <w:gridSpan w:val="2"/>
          </w:tcPr>
          <w:p>
            <w:pPr>
              <w:spacing w:after="0"/>
              <w:rPr>
                <w:sz w:val="20"/>
                <w:szCs w:val="20"/>
                <w:color w:val="auto"/>
              </w:rPr>
            </w:pPr>
            <w:r>
              <w:rPr>
                <w:rFonts w:ascii="Arial" w:cs="Arial" w:eastAsia="Arial" w:hAnsi="Arial"/>
                <w:sz w:val="18"/>
                <w:szCs w:val="18"/>
                <w:color w:val="auto"/>
              </w:rPr>
              <w:t>Purchase of stock of target not involving a merger with the company</w:t>
            </w: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84"/>
        </w:trPr>
        <w:tc>
          <w:tcPr>
            <w:tcW w:w="6980" w:type="dxa"/>
            <w:vAlign w:val="bottom"/>
            <w:gridSpan w:val="2"/>
          </w:tcPr>
          <w:p>
            <w:pPr>
              <w:spacing w:after="0"/>
              <w:rPr>
                <w:sz w:val="20"/>
                <w:szCs w:val="20"/>
                <w:color w:val="auto"/>
              </w:rPr>
            </w:pPr>
            <w:r>
              <w:rPr>
                <w:rFonts w:ascii="Arial" w:cs="Arial" w:eastAsia="Arial" w:hAnsi="Arial"/>
                <w:sz w:val="18"/>
                <w:szCs w:val="18"/>
                <w:color w:val="auto"/>
              </w:rPr>
              <w:t>Merger of target into a subsidiary of the company</w:t>
            </w:r>
          </w:p>
        </w:tc>
        <w:tc>
          <w:tcPr>
            <w:tcW w:w="112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83"/>
        </w:trPr>
        <w:tc>
          <w:tcPr>
            <w:tcW w:w="6980" w:type="dxa"/>
            <w:vAlign w:val="bottom"/>
            <w:gridSpan w:val="2"/>
          </w:tcPr>
          <w:p>
            <w:pPr>
              <w:spacing w:after="0"/>
              <w:rPr>
                <w:sz w:val="20"/>
                <w:szCs w:val="20"/>
                <w:color w:val="auto"/>
              </w:rPr>
            </w:pPr>
            <w:r>
              <w:rPr>
                <w:rFonts w:ascii="Arial" w:cs="Arial" w:eastAsia="Arial" w:hAnsi="Arial"/>
                <w:sz w:val="18"/>
                <w:szCs w:val="18"/>
                <w:color w:val="auto"/>
              </w:rPr>
              <w:t>Merger of the company with a target</w:t>
            </w:r>
          </w:p>
        </w:tc>
        <w:tc>
          <w:tcPr>
            <w:tcW w:w="1120" w:type="dxa"/>
            <w:vAlign w:val="bottom"/>
          </w:tcPr>
          <w:p>
            <w:pPr>
              <w:jc w:val="center"/>
              <w:spacing w:after="0"/>
              <w:rPr>
                <w:sz w:val="20"/>
                <w:szCs w:val="20"/>
                <w:color w:val="auto"/>
              </w:rPr>
            </w:pPr>
            <w:r>
              <w:rPr>
                <w:rFonts w:ascii="Arial" w:cs="Arial" w:eastAsia="Arial" w:hAnsi="Arial"/>
                <w:sz w:val="18"/>
                <w:szCs w:val="18"/>
                <w:color w:val="auto"/>
                <w:w w:val="96"/>
              </w:rPr>
              <w:t>Yes</w:t>
            </w:r>
          </w:p>
        </w:tc>
      </w:tr>
    </w:tbl>
    <w:p>
      <w:pPr>
        <w:spacing w:after="0" w:line="202" w:lineRule="exact"/>
        <w:rPr>
          <w:sz w:val="20"/>
          <w:szCs w:val="20"/>
          <w:color w:val="auto"/>
        </w:rPr>
      </w:pPr>
    </w:p>
    <w:p>
      <w:pPr>
        <w:ind w:left="460" w:right="1299"/>
        <w:spacing w:after="0" w:line="246" w:lineRule="auto"/>
        <w:rPr>
          <w:sz w:val="20"/>
          <w:szCs w:val="20"/>
          <w:color w:val="auto"/>
        </w:rPr>
      </w:pPr>
      <w:r>
        <w:rPr>
          <w:rFonts w:ascii="Arial" w:cs="Arial" w:eastAsia="Arial" w:hAnsi="Arial"/>
          <w:sz w:val="18"/>
          <w:szCs w:val="18"/>
          <w:color w:val="auto"/>
        </w:rPr>
        <w:t>Under Nasdaq’s listing rules, stockholder approval would be required for our initial business combination if, for example:</w:t>
      </w:r>
    </w:p>
    <w:p>
      <w:pPr>
        <w:spacing w:after="0" w:line="21" w:lineRule="exact"/>
        <w:rPr>
          <w:sz w:val="20"/>
          <w:szCs w:val="20"/>
          <w:color w:val="auto"/>
        </w:rPr>
      </w:pPr>
    </w:p>
    <w:p>
      <w:pPr>
        <w:ind w:left="1100" w:right="599" w:hanging="322"/>
        <w:spacing w:after="0" w:line="238" w:lineRule="auto"/>
        <w:tabs>
          <w:tab w:leader="none" w:pos="1089"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issue (other than in a public offering for cash) shares of common stock that will either (a) be equal to or in excess of 20% of the number of our shares of common stock then outstanding or (b) have voting power equal to or in excess of 20% of the voting power then outstanding;</w:t>
      </w:r>
    </w:p>
    <w:p>
      <w:pPr>
        <w:spacing w:after="0" w:line="15" w:lineRule="exact"/>
        <w:rPr>
          <w:rFonts w:ascii="Arial" w:cs="Arial" w:eastAsia="Arial" w:hAnsi="Arial"/>
          <w:sz w:val="18"/>
          <w:szCs w:val="18"/>
          <w:color w:val="auto"/>
        </w:rPr>
      </w:pPr>
    </w:p>
    <w:p>
      <w:pPr>
        <w:ind w:left="1100" w:right="659" w:hanging="322"/>
        <w:spacing w:after="0" w:line="236" w:lineRule="auto"/>
        <w:tabs>
          <w:tab w:leader="none" w:pos="1089"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of our directors, officers or substantial stockholders (as defined by Nasdaq rules) has a 5% or greater interest, directly or indirectly, in the target business or assets to be acquired and if the number of shares of common stock to be issued, or if the number of shares of common stock in which the securities may be convertible or exercisable, exceeds either (a) 1% of the number of shares of common stock or 1% of the voting power outstanding before the issuance in the case of any of our directors and officers and (b) 5% of the number of shares of common stock or 5% of the voting power outstanding before the issuance in the case of any substantial security holder; or</w:t>
      </w:r>
    </w:p>
    <w:p>
      <w:pPr>
        <w:spacing w:after="0" w:line="32" w:lineRule="exact"/>
        <w:rPr>
          <w:rFonts w:ascii="Arial" w:cs="Arial" w:eastAsia="Arial" w:hAnsi="Arial"/>
          <w:sz w:val="18"/>
          <w:szCs w:val="18"/>
          <w:color w:val="auto"/>
        </w:rPr>
      </w:pPr>
    </w:p>
    <w:p>
      <w:pPr>
        <w:ind w:left="1100" w:right="519" w:hanging="322"/>
        <w:spacing w:after="0" w:line="246" w:lineRule="auto"/>
        <w:tabs>
          <w:tab w:leader="none" w:pos="1089"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issuance or potential issuance of common stock will result in our undergoing a change of control</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88" w:name="page89"/>
    <w:bookmarkEnd w:id="88"/>
    <w:p>
      <w:pPr>
        <w:ind w:left="460"/>
        <w:spacing w:after="0"/>
        <w:rPr>
          <w:sz w:val="20"/>
          <w:szCs w:val="20"/>
          <w:color w:val="auto"/>
        </w:rPr>
      </w:pPr>
      <w:r>
        <w:rPr>
          <w:rFonts w:ascii="Arial" w:cs="Arial" w:eastAsia="Arial" w:hAnsi="Arial"/>
          <w:sz w:val="18"/>
          <w:szCs w:val="18"/>
          <w:b w:val="1"/>
          <w:bCs w:val="1"/>
          <w:i w:val="1"/>
          <w:iCs w:val="1"/>
          <w:color w:val="auto"/>
        </w:rPr>
        <w:t>Permitted Purchases of Our Securities</w:t>
      </w:r>
    </w:p>
    <w:p>
      <w:pPr>
        <w:spacing w:after="0" w:line="166"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If we seek stockholder approval of our initial business combination and we do not conduct redemptions in connection with our initial business combination pursuant to the tender offer rules, our sponsor, initial stockholders, directors, executive officers, advisors or their respective affiliates may purchase public shares or public warrants in privately negotiated transactions or in the open market either prior to or following the completion of our initial business combination. There is no limit on the number of shares our initial stockholders, directors, officers, advisors or their respective affiliates may purchase in such transactions, subject to compliance with applicable law and Nasdaq rules. However, they have no current commitments, plans or intentions to engage in such purchases or other transactions and have not formulated any terms or conditions for any such purchases or other transactions. None of the funds in the trust account will be used to purchase shares or public warrants in such transactions. If they engage in such transactions, they will be restricted from making any such purchases when they are in possession of any material non-public information not disclosed to the seller or if such purchases are prohibited by Regulation M under the Exchange Act.</w:t>
      </w:r>
    </w:p>
    <w:p>
      <w:pPr>
        <w:spacing w:after="0" w:line="122"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In the event that our sponsor, initial stockholders, directors, officers, advisors or their respective affiliates purchase shares in privately negotiated transactions from public stockholders who have already elected to exercise their redemption rights, such selling stockholders would be required to revoke their prior elections to redeem their shares.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be required to comply with such rules.</w:t>
      </w:r>
    </w:p>
    <w:p>
      <w:pPr>
        <w:spacing w:after="0" w:line="140" w:lineRule="exact"/>
        <w:rPr>
          <w:sz w:val="20"/>
          <w:szCs w:val="20"/>
          <w:color w:val="auto"/>
        </w:rPr>
      </w:pPr>
    </w:p>
    <w:p>
      <w:pPr>
        <w:ind w:left="460" w:right="499"/>
        <w:spacing w:after="0" w:line="251" w:lineRule="auto"/>
        <w:rPr>
          <w:sz w:val="20"/>
          <w:szCs w:val="20"/>
          <w:color w:val="auto"/>
        </w:rPr>
      </w:pPr>
      <w:r>
        <w:rPr>
          <w:rFonts w:ascii="Arial" w:cs="Arial" w:eastAsia="Arial" w:hAnsi="Arial"/>
          <w:sz w:val="17"/>
          <w:szCs w:val="17"/>
          <w:color w:val="auto"/>
        </w:rPr>
        <w:t>The purpose of any such purchases of shares could be to (i) vote such shares in favor of the business combination and thereby increase the likelihood of obtaining the requisite stockholder approval of the business combination or (ii)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w:t>
      </w:r>
    </w:p>
    <w:p>
      <w:pPr>
        <w:spacing w:after="0" w:line="131" w:lineRule="exact"/>
        <w:rPr>
          <w:sz w:val="20"/>
          <w:szCs w:val="20"/>
          <w:color w:val="auto"/>
        </w:rPr>
      </w:pPr>
    </w:p>
    <w:p>
      <w:pPr>
        <w:ind w:left="460" w:right="619"/>
        <w:spacing w:after="0" w:line="238" w:lineRule="auto"/>
        <w:rPr>
          <w:sz w:val="20"/>
          <w:szCs w:val="20"/>
          <w:color w:val="auto"/>
        </w:rPr>
      </w:pPr>
      <w:r>
        <w:rPr>
          <w:rFonts w:ascii="Arial" w:cs="Arial" w:eastAsia="Arial" w:hAnsi="Arial"/>
          <w:sz w:val="18"/>
          <w:szCs w:val="18"/>
          <w:color w:val="auto"/>
        </w:rPr>
        <w:t>In addition, if such purchases are made, the public “float” of our Class A common stock or public warrants may be reduced and the number of beneficial holders of our securities may be reduced, which may make it difficult to maintain or obtain the quotation, listing or trading of our securities on a national securities exchange.</w:t>
      </w:r>
    </w:p>
    <w:p>
      <w:pPr>
        <w:spacing w:after="0" w:line="124" w:lineRule="exact"/>
        <w:rPr>
          <w:sz w:val="20"/>
          <w:szCs w:val="20"/>
          <w:color w:val="auto"/>
        </w:rPr>
      </w:pPr>
    </w:p>
    <w:p>
      <w:pPr>
        <w:ind w:left="460" w:right="539"/>
        <w:spacing w:after="0" w:line="235" w:lineRule="auto"/>
        <w:rPr>
          <w:sz w:val="20"/>
          <w:szCs w:val="20"/>
          <w:color w:val="auto"/>
        </w:rPr>
      </w:pPr>
      <w:r>
        <w:rPr>
          <w:rFonts w:ascii="Arial" w:cs="Arial" w:eastAsia="Arial" w:hAnsi="Arial"/>
          <w:sz w:val="18"/>
          <w:szCs w:val="18"/>
          <w:color w:val="auto"/>
        </w:rPr>
        <w:t>Our sponsor, initial stockholders, officers, directors and/or their respective affiliates anticipate that they may identify the stockholders with whom our initial stockholders, officers, directors or their respective affiliates may pursue privately negotiated purchases by either the stockholders contacting us directly or by our receipt of redemption requests submitted by stockholders (in the case of Class A common stock) following our mailing of proxy materials in connection with our initial business combination. To the extent that our sponsor, officers, directors, advisors or their respective affiliates enter into a private purchase, they would identify and contact only potential selling stockholders who have expressed their election to redeem their shares for a pro rata share of the trust account or vote against our initial business combination, whether or not such stockholder has already submitted a proxy with respect to our initial business combination but only if such shares have not already been voted at the stockholder meeting related to our initial business combination. Our sponsor, executive officers, directors, advisors or any of their affiliates will select which stockholders to purchase shares from based on a negotiated price and number of shares and any other factors that they may deem relevant, and will only purchase shares if such purchases comply with Regulation M under the Exchange Act and the other federal securities laws. Our sponsor, officers, directors and/or their respective affiliates will be restricted from making purchases of shares if the purchases would violate Section 9(a)(2) or Rule 10b-5 of the Exchange Act. We expect any such purchases will be reported pursuant to Section 13 and Section 16 of the Exchange Act to the extent such purchases are subject to such reporting requirements.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89" w:name="page90"/>
    <w:bookmarkEnd w:id="89"/>
    <w:p>
      <w:pPr>
        <w:ind w:left="460" w:right="1359"/>
        <w:spacing w:after="0" w:line="271" w:lineRule="auto"/>
        <w:rPr>
          <w:sz w:val="20"/>
          <w:szCs w:val="20"/>
          <w:color w:val="auto"/>
        </w:rPr>
      </w:pPr>
      <w:r>
        <w:rPr>
          <w:rFonts w:ascii="Arial" w:cs="Arial" w:eastAsia="Arial" w:hAnsi="Arial"/>
          <w:sz w:val="18"/>
          <w:szCs w:val="18"/>
          <w:b w:val="1"/>
          <w:bCs w:val="1"/>
          <w:i w:val="1"/>
          <w:iCs w:val="1"/>
          <w:color w:val="auto"/>
        </w:rPr>
        <w:t>Redemption Rights for Public Stockholders upon Completion of Our Initial Business Combination</w:t>
      </w:r>
    </w:p>
    <w:p>
      <w:pPr>
        <w:spacing w:after="0" w:line="108" w:lineRule="exact"/>
        <w:rPr>
          <w:sz w:val="20"/>
          <w:szCs w:val="20"/>
          <w:color w:val="auto"/>
        </w:rPr>
      </w:pPr>
    </w:p>
    <w:p>
      <w:pPr>
        <w:ind w:left="460" w:right="559"/>
        <w:spacing w:after="0" w:line="236" w:lineRule="auto"/>
        <w:rPr>
          <w:sz w:val="20"/>
          <w:szCs w:val="20"/>
          <w:color w:val="auto"/>
        </w:rPr>
      </w:pPr>
      <w:r>
        <w:rPr>
          <w:rFonts w:ascii="Arial" w:cs="Arial" w:eastAsia="Arial" w:hAnsi="Arial"/>
          <w:sz w:val="18"/>
          <w:szCs w:val="18"/>
          <w:color w:val="auto"/>
        </w:rPr>
        <w:t>We will provide our public stockholders with the opportunity to redeem all or a portion of their shares of Class A common stock upon the completion of our initial business combination at a per-share price, payable in cash, equal to the aggregate amount then on deposit in the trust account calculated as of two business days prior to the consummation of the initial business combination, including interest earned on the funds held in the trust account and not previously released to us to pay our taxes, divided by the number of then outstanding public shares, subject to the limitations and on the conditions described herein. The amount in the trust account is initially anticipated to be $10.00 per public share. The per share amount we will distribute to investors who properly redeem their shares will not be reduced by the deferred underwriting commissions we will pay to the underwriters. Our initial stockholders, sponsor, officers and directors have entered into a letter agreement with us, pursuant to which they have agreed to waive their redemption rights with respect to any founder shares and public shares they may hold in connection with the completion of our initial business combination.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Limitations on Redemptions</w:t>
      </w:r>
    </w:p>
    <w:p>
      <w:pPr>
        <w:spacing w:after="0" w:line="153"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Our amended and restated certificate of incorporation will provide that in no event will we redeem our public shares in an amount that would cause our net tangible assets to be less than $5,000,001. In addition, our proposed initial business combination may impose a minimum cash requirement for: (i) cash consideration to be paid to the target or its owners, (ii) cash for working capital or other general corporate purposes or (iii) the retention of cash to satisfy other conditions. In the event the aggregate cash consideration we would be required to pay for all shares of Class A common stock that are validly submitted for redemption plus any amount required to satisfy cash conditions pursuant to the terms of the proposed initial business combination exceed the aggregate amount of cash available to us, we will not complete the initial business combination or redeem any shares in connection with such initial business combination, and all shares of Class A common stock submitted for redemption will be returned to the holders thereof. We may, however, raise funds through the issuance of equity-linked securities or through loans, advances or other indebtedness in connection with our initial business combination, including pursuant to forward purchase agreements or backstop arrangements we may enter into following consummation of this offering, in order to, among other reasons, satisfy such net tangible assets or minimum cash requirements.</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Manner of Conducting Redemptions</w:t>
      </w:r>
    </w:p>
    <w:p>
      <w:pPr>
        <w:spacing w:after="0" w:line="166"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We will provide our public stockholders with the opportunity to redeem all or a portion of their public shares upon the completion of our initial business combination either (i) in connection with a stockholder meeting called to approve the initial business combination or (ii) without a stockholder vote by means of a tender offer. The decision as to whether we will seek stockholder approval of a proposed initial business combination or conduct a tender offer will be made by us, solely in our discretion, and will be based on a variety of factors such as the timing of the transaction and whether the terms of the transaction would require us to seek stockholder approval under applicable law or stock exchange listing requirements. Asset acquisitions and stock purchases would not typically require stockholder approval while direct mergers with our company where we do not survive and any transactions where we issue more than 20% of our outstanding common stock or seek to amend our amended and restated certificate of incorporation would require stockholder approval. So long as we obtain and maintain a listing for our securities on Nasdaq, we will be required to comply with Nasdaq’s stockholder approval rules.</w:t>
      </w:r>
    </w:p>
    <w:p>
      <w:pPr>
        <w:spacing w:after="0" w:line="135" w:lineRule="exact"/>
        <w:rPr>
          <w:sz w:val="20"/>
          <w:szCs w:val="20"/>
          <w:color w:val="auto"/>
        </w:rPr>
      </w:pPr>
    </w:p>
    <w:p>
      <w:pPr>
        <w:ind w:left="460" w:right="519"/>
        <w:spacing w:after="0" w:line="237" w:lineRule="auto"/>
        <w:rPr>
          <w:sz w:val="20"/>
          <w:szCs w:val="20"/>
          <w:color w:val="auto"/>
        </w:rPr>
      </w:pPr>
      <w:r>
        <w:rPr>
          <w:rFonts w:ascii="Arial" w:cs="Arial" w:eastAsia="Arial" w:hAnsi="Arial"/>
          <w:sz w:val="18"/>
          <w:szCs w:val="18"/>
          <w:color w:val="auto"/>
        </w:rPr>
        <w:t>The requirement that we provide our public stockholders with the opportunity to redeem their public shares by one of the two methods listed above will be contained in provisions of our amended and restated certificate of incorporation and will apply whether or not we maintain our registration under the Exchange Act or our listing on Nasdaq. Such provisions of our amended and restated certificate of incorporation may be amended if approved by holders of 65% of our common stock entitled to vote thereon.</w:t>
      </w:r>
    </w:p>
    <w:p>
      <w:pPr>
        <w:spacing w:after="0" w:line="124" w:lineRule="exact"/>
        <w:rPr>
          <w:sz w:val="20"/>
          <w:szCs w:val="20"/>
          <w:color w:val="auto"/>
        </w:rPr>
      </w:pPr>
    </w:p>
    <w:p>
      <w:pPr>
        <w:ind w:left="460" w:right="559"/>
        <w:spacing w:after="0" w:line="246" w:lineRule="auto"/>
        <w:rPr>
          <w:sz w:val="20"/>
          <w:szCs w:val="20"/>
          <w:color w:val="auto"/>
        </w:rPr>
      </w:pPr>
      <w:r>
        <w:rPr>
          <w:rFonts w:ascii="Arial" w:cs="Arial" w:eastAsia="Arial" w:hAnsi="Arial"/>
          <w:sz w:val="18"/>
          <w:szCs w:val="18"/>
          <w:color w:val="auto"/>
        </w:rPr>
        <w:t>If we provide our public stockholders with the opportunity to redeem their public shares in connection with a stockholder meeting, we will:</w:t>
      </w:r>
    </w:p>
    <w:p>
      <w:pPr>
        <w:spacing w:after="0" w:line="21" w:lineRule="exact"/>
        <w:rPr>
          <w:sz w:val="20"/>
          <w:szCs w:val="20"/>
          <w:color w:val="auto"/>
        </w:rPr>
      </w:pPr>
    </w:p>
    <w:p>
      <w:pPr>
        <w:ind w:left="1100" w:right="479" w:hanging="322"/>
        <w:spacing w:after="0"/>
        <w:tabs>
          <w:tab w:leader="none" w:pos="1089"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conduct the redemptions in conjunction with a proxy solicitation pursuant to Regulation 14A of the Exchange Act, which regulates the solicitation of proxies, and not pursuant to the tender offer rules, and</w:t>
      </w:r>
    </w:p>
    <w:p>
      <w:pPr>
        <w:spacing w:after="0" w:line="27" w:lineRule="exact"/>
        <w:rPr>
          <w:rFonts w:ascii="Arial" w:cs="Arial" w:eastAsia="Arial" w:hAnsi="Arial"/>
          <w:sz w:val="18"/>
          <w:szCs w:val="18"/>
          <w:color w:val="auto"/>
        </w:rPr>
      </w:pPr>
    </w:p>
    <w:p>
      <w:pPr>
        <w:ind w:left="1100" w:hanging="322"/>
        <w:spacing w:after="0"/>
        <w:tabs>
          <w:tab w:leader="none" w:pos="11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file proxy materials with the SEC.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90" w:name="page91"/>
    <w:bookmarkEnd w:id="90"/>
    <w:p>
      <w:pPr>
        <w:ind w:left="460" w:right="459"/>
        <w:spacing w:after="0" w:line="235" w:lineRule="auto"/>
        <w:rPr>
          <w:sz w:val="20"/>
          <w:szCs w:val="20"/>
          <w:color w:val="auto"/>
        </w:rPr>
      </w:pPr>
      <w:r>
        <w:rPr>
          <w:rFonts w:ascii="Arial" w:cs="Arial" w:eastAsia="Arial" w:hAnsi="Arial"/>
          <w:sz w:val="18"/>
          <w:szCs w:val="18"/>
          <w:color w:val="auto"/>
        </w:rPr>
        <w:t>If we seek stockholder approval, we will complete our initial business combination only if a majority of the outstanding shares of common stock voted are voted in favor of the initial business combination. A quorum for such meeting will consist of the holders present in person or by proxy of shares of outstanding capital stock of the Company representing a majority of the voting power of all outstanding shares of capital stock of the Company entitled to vote at such meeting. Our initial stockholders will count towards this quorum and, pursuant to the letter agreement, our sponsor, officers and directors have agreed to vote any founder shares they hold and any public shares purchased during or after this offering (including in open market and privately-negotiated transactions) in favor of our initial business combination. For purposes of seeking approval of the majority of our outstanding shares of common stock voted, non-votes will have no effect on the approval of our initial business combination once a quorum is obtained. As a result, in addition to our initial stockholders’ founder shares, we would need only 13,125,001, or 37.5%, of the 35,000,000 public shares sold in this offering to be voted in favor of an initial business combination in order to have our initial business combination approved (assuming all outstanding shares are voted and the over-allotment option is not exercised). These quorum and voting thresholds, and the voting agreements of our initial stockholders, may make it more likely that we will consummate our initial business combination. Each public stockholder may elect to redeem its public shares irrespective of whether they vote for or against the proposed transaction or whether they were a stockholder on the record date for the stockholder meeting held to approve the proposed transaction.</w:t>
      </w:r>
    </w:p>
    <w:p>
      <w:pPr>
        <w:spacing w:after="0" w:line="132" w:lineRule="exact"/>
        <w:rPr>
          <w:sz w:val="20"/>
          <w:szCs w:val="20"/>
          <w:color w:val="auto"/>
        </w:rPr>
      </w:pPr>
    </w:p>
    <w:p>
      <w:pPr>
        <w:ind w:left="460" w:right="679"/>
        <w:spacing w:after="0" w:line="246" w:lineRule="auto"/>
        <w:rPr>
          <w:sz w:val="20"/>
          <w:szCs w:val="20"/>
          <w:color w:val="auto"/>
        </w:rPr>
      </w:pPr>
      <w:r>
        <w:rPr>
          <w:rFonts w:ascii="Arial" w:cs="Arial" w:eastAsia="Arial" w:hAnsi="Arial"/>
          <w:sz w:val="18"/>
          <w:szCs w:val="18"/>
          <w:color w:val="auto"/>
        </w:rPr>
        <w:t>If a stockholder vote is not required and we do not decide to hold a stockholder vote for business or other legal reasons, we will:</w:t>
      </w:r>
    </w:p>
    <w:p>
      <w:pPr>
        <w:spacing w:after="0" w:line="21" w:lineRule="exact"/>
        <w:rPr>
          <w:sz w:val="20"/>
          <w:szCs w:val="20"/>
          <w:color w:val="auto"/>
        </w:rPr>
      </w:pPr>
    </w:p>
    <w:p>
      <w:pPr>
        <w:ind w:left="1100" w:right="739" w:hanging="322"/>
        <w:spacing w:after="0" w:line="246" w:lineRule="auto"/>
        <w:tabs>
          <w:tab w:leader="none" w:pos="1089"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conduct the redemptions pursuant to Rule 13e-4 and Regulation 14E of the Exchange Act, which regulate issuer tender offers, and</w:t>
      </w:r>
    </w:p>
    <w:p>
      <w:pPr>
        <w:spacing w:after="0" w:line="21" w:lineRule="exact"/>
        <w:rPr>
          <w:rFonts w:ascii="Arial" w:cs="Arial" w:eastAsia="Arial" w:hAnsi="Arial"/>
          <w:sz w:val="18"/>
          <w:szCs w:val="18"/>
          <w:color w:val="auto"/>
        </w:rPr>
      </w:pPr>
    </w:p>
    <w:p>
      <w:pPr>
        <w:ind w:left="1100" w:right="519" w:hanging="322"/>
        <w:spacing w:after="0" w:line="238" w:lineRule="auto"/>
        <w:tabs>
          <w:tab w:leader="none" w:pos="1089"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w:t>
      </w:r>
    </w:p>
    <w:p>
      <w:pPr>
        <w:spacing w:after="0" w:line="124"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In the event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stockholders not tendering more than a specified number of public shares, which number will be based on the requirement that we may not redeem public shares in an amount that would cause our net tangible assets to be less than $5,000,001. If public stockholders tender more shares than we have offered to purchase, we will withdraw the tender offer and not complete the initial business combination.</w:t>
      </w:r>
    </w:p>
    <w:p>
      <w:pPr>
        <w:spacing w:after="0" w:line="140"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Upon the public announcement of our initial business combination, if we elect to conduct redemptions pursuant to the tender offer rules, we and our sponsor will terminate any plan established in accordance with Rule 10b5-1 to purchase shares of our Class A common stock in the open market, in order to comply with Rule 14e-5 under the Exchange Act.</w:t>
      </w:r>
    </w:p>
    <w:p>
      <w:pPr>
        <w:spacing w:after="0" w:line="137"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We intend to require our public stockholders seeking to exercise their redemption rights, whether they are record holders or hold their shares in “street name,” to, at the holder’s option, either deliver their stock certificates to our transfer agent or deliver their shares to our transfer agent electronically using The Depository Trust Company’s DWAC (Deposit/Withdrawal At Custodian) system, prior to the date set forth in the proxy materials or tender offer documents, as applicable. In the case of proxy materials, this date may be up to two business days prior to the date on which the vote on the proposal to approve the initial business combination is to be held. In addition, if we conduct redemptions in connection with a stockholder vote, we intend to require a public stockholder seeking redemption of its public shares to also submit a written request for redemption to our transfer agent two business days prior to the vote in which the name of the beneficial owner of such shares is included. The proxy materials or tender offer documents, as applicable, that we will furnish to holders of our public shares in connection with our initial business combination will indicate whether we are requiring public stockholders to satisfy such delivery requirements. We believe that this will allow our transfer agent to efficiently process any redemptions without the need for further communication or action from the redeeming public stockholders, which could delay redemptions and result in additional administrative cost. If the proposed initial business combination is not approved and we continue to search for a target company, we will promptly return any certificates or shares delivered by public stockholders who elected to redeem their shares.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91" w:name="page92"/>
    <w:bookmarkEnd w:id="91"/>
    <w:p>
      <w:pPr>
        <w:ind w:left="460" w:right="499"/>
        <w:spacing w:after="0" w:line="235" w:lineRule="auto"/>
        <w:rPr>
          <w:sz w:val="20"/>
          <w:szCs w:val="20"/>
          <w:color w:val="auto"/>
        </w:rPr>
      </w:pPr>
      <w:r>
        <w:rPr>
          <w:rFonts w:ascii="Arial" w:cs="Arial" w:eastAsia="Arial" w:hAnsi="Arial"/>
          <w:sz w:val="18"/>
          <w:szCs w:val="18"/>
          <w:color w:val="auto"/>
        </w:rPr>
        <w:t>Our amended and restated certificate of incorporation will provide that in no event will we redeem our public shares in an amount that would cause our net tangible assets to be less than $5,000,001. In addition, our proposed initial business combination may impose a minimum cash requirement for: (i) cash consideration to be paid to the target or its owners, (ii) cash for working capital or other general corporate purposes or (iii) the retention of cash to satisfy other conditions. In the event the aggregate cash consideration we would be required to pay for all shares of Class A common stock that are validly submitted for redemption plus any amount required to satisfy cash conditions pursuant to the terms of the proposed initial business combination exceed the aggregate amount of cash available to us, we will not complete the initial business combination or redeem any shares in connection with such initial business combination, and all shares of Class A common stock submitted for redemption will be returned to the holders thereof. We may, however, raise funds through the issuance of equity-linked securities or through loans, advances or other indebtedness in connection with our initial business combination, including pursuant to forward purchase agreements or backstop arrangements we may enter into following consummation of this offering, in order to, among other reasons, satisfy such net tangible assets or minimum cash requirements.</w:t>
      </w:r>
    </w:p>
    <w:p>
      <w:pPr>
        <w:spacing w:after="0" w:line="191" w:lineRule="exact"/>
        <w:rPr>
          <w:sz w:val="20"/>
          <w:szCs w:val="20"/>
          <w:color w:val="auto"/>
        </w:rPr>
      </w:pPr>
    </w:p>
    <w:p>
      <w:pPr>
        <w:ind w:left="460" w:right="739"/>
        <w:spacing w:after="0" w:line="271" w:lineRule="auto"/>
        <w:rPr>
          <w:sz w:val="20"/>
          <w:szCs w:val="20"/>
          <w:color w:val="auto"/>
        </w:rPr>
      </w:pPr>
      <w:r>
        <w:rPr>
          <w:rFonts w:ascii="Arial" w:cs="Arial" w:eastAsia="Arial" w:hAnsi="Arial"/>
          <w:sz w:val="18"/>
          <w:szCs w:val="18"/>
          <w:b w:val="1"/>
          <w:bCs w:val="1"/>
          <w:i w:val="1"/>
          <w:iCs w:val="1"/>
          <w:color w:val="auto"/>
        </w:rPr>
        <w:t>Limitation on Redemption Upon Completion of Our Initial Business Combination If We Seek Stockholder Approval</w:t>
      </w:r>
    </w:p>
    <w:p>
      <w:pPr>
        <w:spacing w:after="0" w:line="95"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If we seek stockholder approval of our initial business combination and we do not conduct redemptions in connection with our initial business combination pursuant to the tender offer rules, our amended and restated certificate of incorporation provides that a public stockholder, together with any affiliate of such stockholder or any other person with whom such stockholder is acting in concert or as a “group” (as defined under Section 13 of the Exchange Act), will be restricted from seeking redemption rights with respect to Excess Shares, without our prior consent. We believe this restriction will discourage stockholders from accumulating large blocks of shares, and subsequent attempts by such holders to use their ability to exercise their redemption rights against a proposed business combination as a means to force us or our management to purchase their shares at a significant premium to the then-current market price or on other undesirable terms. Absent this provision, a public stockholder holding more than an aggregate of 20% of the shares sold in this offering could threaten to exercise its redemption rights if such holder’s shares are not purchased by us, our sponsor or our management at a premium to the then-current market price or on other undesirable terms. By limiting our stockholders’ ability to redeem no more than 20% of the shares sold in this offering without our prior consent, we believe we will limit the ability of a small group of stockholders to unreasonably attempt to block our ability to complete our initial business combination, particularly in connection with a business combination with a target that requires as a closing condition that we have a minimum net worth or a certain amount of cash.</w:t>
      </w:r>
    </w:p>
    <w:p>
      <w:pPr>
        <w:spacing w:after="0" w:line="145" w:lineRule="exact"/>
        <w:rPr>
          <w:sz w:val="20"/>
          <w:szCs w:val="20"/>
          <w:color w:val="auto"/>
        </w:rPr>
      </w:pPr>
    </w:p>
    <w:p>
      <w:pPr>
        <w:ind w:left="460" w:right="879"/>
        <w:spacing w:after="0" w:line="246" w:lineRule="auto"/>
        <w:rPr>
          <w:sz w:val="20"/>
          <w:szCs w:val="20"/>
          <w:color w:val="auto"/>
        </w:rPr>
      </w:pPr>
      <w:r>
        <w:rPr>
          <w:rFonts w:ascii="Arial" w:cs="Arial" w:eastAsia="Arial" w:hAnsi="Arial"/>
          <w:sz w:val="18"/>
          <w:szCs w:val="18"/>
          <w:color w:val="auto"/>
        </w:rPr>
        <w:t>However, we would not be restricting our stockholders’ ability to vote all of their shares (including Excess Shares) for or against our initial business combination.</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Delivering Stock Certificates in Connection with the Exercise of Redemption Rights</w:t>
      </w:r>
    </w:p>
    <w:p>
      <w:pPr>
        <w:spacing w:after="0" w:line="166"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As described above, we intend to require our public stockholders seeking to exercise their redemption rights, whether they are record holders or hold their shares in “street name,” to, at the holder’s option, either deliver their stock certificates to our transfer agent or deliver their shares to our transfer agent electronically using The Depository Trust Company’s DWAC (Deposit/Withdrawal At Custodian) system, prior to the date set forth in the proxy materials or tender offer documents, as applicable. In the case of proxy materials, this date may be up to two business days prior to the date on which the vote on the proposal to approve the initial business combination is to be held. In addition, if we conduct redemptions in connection with a stockholder vote, we intend to require a public stockholder seeking redemption of its public shares to also submit a written request for redemption to our transfer agent two business days prior to the vote in which the name of the beneficial owner of such shares is included. The proxy materials or tender offer documents, as applicable, that we will furnish to holders of our public shares in connection with our initial business combination will indicate whether we are requiring public stockholders to satisfy such delivery requirements. Accordingly, a public stockholder would have up to two business days prior to the vote on the initial business combination if we distribute proxy materials, or from the time we send out our tender offer materials until the close of the tender offer period, as applicable, to submit or tender its shares if it wishes to seek to exercise its redemption rights. In the event that a stockholder fails to comply with these or any other procedures disclosed in the proxy or tender offer materials, as applicable, its shares may not be redeemed. Given the relatively short exercise period, it is advisable for stockholders to use electronic delivery of their public shares.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92" w:name="page93"/>
    <w:bookmarkEnd w:id="92"/>
    <w:p>
      <w:pPr>
        <w:ind w:left="460" w:right="579"/>
        <w:spacing w:after="0" w:line="237" w:lineRule="auto"/>
        <w:rPr>
          <w:sz w:val="20"/>
          <w:szCs w:val="20"/>
          <w:color w:val="auto"/>
        </w:rPr>
      </w:pPr>
      <w:r>
        <w:rPr>
          <w:rFonts w:ascii="Arial" w:cs="Arial" w:eastAsia="Arial" w:hAnsi="Arial"/>
          <w:sz w:val="18"/>
          <w:szCs w:val="18"/>
          <w:color w:val="auto"/>
        </w:rPr>
        <w:t>There is a nominal cost associated with the above-referenced process and the act of certificating the shares or delivering them through the DWAC system. The transfer agent will typically charge the broker submitting or tendering shares a fee of approximately $80.00 and it would be up to the broker whether or not to pass this cost on to the redeeming holder. However, this fee would be incurred regardless of whether or not we require holders seeking to exercise redemption rights to submit or tender their shares. The need to deliver shares is a requirement of exercising redemption rights regardless of the timing of when such delivery must be effectuated.</w:t>
      </w:r>
    </w:p>
    <w:p>
      <w:pPr>
        <w:spacing w:after="0" w:line="122"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Any request to redeem such shares, once made, may be withdrawn at any time up to the date set forth in the proxy materials or tender offer documents, as applicable. Furthermore, if a holder of a public share delivered its certificate in connection with an election of redemption rights and subsequently decides prior to the applicable date not to elect to exercise such rights, such holder may simply request that the transfer agent return the certificate (physically or electronically). It is anticipated that the funds to be distributed to holders of our public shares electing to redeem their shares will be distributed promptly after the completion of our initial business combination.</w:t>
      </w:r>
    </w:p>
    <w:p>
      <w:pPr>
        <w:spacing w:after="0" w:line="135" w:lineRule="exact"/>
        <w:rPr>
          <w:sz w:val="20"/>
          <w:szCs w:val="20"/>
          <w:color w:val="auto"/>
        </w:rPr>
      </w:pPr>
    </w:p>
    <w:p>
      <w:pPr>
        <w:ind w:left="460" w:right="519"/>
        <w:spacing w:after="0" w:line="238" w:lineRule="auto"/>
        <w:rPr>
          <w:sz w:val="20"/>
          <w:szCs w:val="20"/>
          <w:color w:val="auto"/>
        </w:rPr>
      </w:pPr>
      <w:r>
        <w:rPr>
          <w:rFonts w:ascii="Arial" w:cs="Arial" w:eastAsia="Arial" w:hAnsi="Arial"/>
          <w:sz w:val="18"/>
          <w:szCs w:val="18"/>
          <w:color w:val="auto"/>
        </w:rPr>
        <w:t>If our initial business combination is not approved or completed for any reason, then our public stockholders who elected to exercise their redemption rights would not be entitled to redeem their shares for the applicable pro rata share of the trust account. In such case, we will promptly return any certificates delivered by public holders who elected to redeem their shares.</w:t>
      </w:r>
    </w:p>
    <w:p>
      <w:pPr>
        <w:spacing w:after="0" w:line="137" w:lineRule="exact"/>
        <w:rPr>
          <w:sz w:val="20"/>
          <w:szCs w:val="20"/>
          <w:color w:val="auto"/>
        </w:rPr>
      </w:pPr>
    </w:p>
    <w:p>
      <w:pPr>
        <w:ind w:left="460" w:right="499"/>
        <w:spacing w:after="0"/>
        <w:rPr>
          <w:sz w:val="20"/>
          <w:szCs w:val="20"/>
          <w:color w:val="auto"/>
        </w:rPr>
      </w:pPr>
      <w:r>
        <w:rPr>
          <w:rFonts w:ascii="Arial" w:cs="Arial" w:eastAsia="Arial" w:hAnsi="Arial"/>
          <w:sz w:val="18"/>
          <w:szCs w:val="18"/>
          <w:color w:val="auto"/>
        </w:rPr>
        <w:t>If our initial proposed initial business combination is not completed, we may continue to try to complete an initial business combination with a different target until 24 months from the closing of this offering.</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Redemption of Public Shares and Liquidation if No Initial Business Combination</w:t>
      </w:r>
    </w:p>
    <w:p>
      <w:pPr>
        <w:spacing w:after="0" w:line="153" w:lineRule="exact"/>
        <w:rPr>
          <w:sz w:val="20"/>
          <w:szCs w:val="20"/>
          <w:color w:val="auto"/>
        </w:rPr>
      </w:pPr>
    </w:p>
    <w:p>
      <w:pPr>
        <w:ind w:left="460" w:right="499"/>
        <w:spacing w:after="0" w:line="250" w:lineRule="auto"/>
        <w:rPr>
          <w:sz w:val="20"/>
          <w:szCs w:val="20"/>
          <w:color w:val="auto"/>
        </w:rPr>
      </w:pPr>
      <w:r>
        <w:rPr>
          <w:rFonts w:ascii="Arial" w:cs="Arial" w:eastAsia="Arial" w:hAnsi="Arial"/>
          <w:sz w:val="17"/>
          <w:szCs w:val="17"/>
          <w:color w:val="auto"/>
        </w:rPr>
        <w:t>Our amended and restated certificate of incorporation provides that we will have only 24 months from the closing of this offering to complete our initial business combination. If we are unable to complete our initial business combination within such 24-month period from the closing of this offering or during any Extension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our remaining stockholders and our board of directors, liquidate and dissolve, subject in each case to our obligations under Delaware law to provide for claims of creditors and the requirements of other applicable law. There will be no redemption rights or liquidating distributions with respect to our warrants, which will expire worthless if we fail to complete our initial business combination within the 24-month time period or during any Extension Period.</w:t>
      </w:r>
    </w:p>
    <w:p>
      <w:pPr>
        <w:spacing w:after="0" w:line="334"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Our initial stockholders, sponsor, officers and directors have entered into a letter agreement with us, pursuant to which they have waived their rights to liquidating distributions from the trust account with respect to any founder shares they hold if we fail to complete our initial business combination within 24 months from the closing of this offering or during any Extension Period. However, if our initial stockholders, sponsor or management team acquire public shares in or after this offering, they will be entitled to liquidating distributions from the trust account with respect to such public shares if we fail to complete our initial business combination within the allotted 24-month time period.</w:t>
      </w:r>
    </w:p>
    <w:p>
      <w:pPr>
        <w:spacing w:after="0" w:line="135"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Our initial stockholders, sponsor, officers and directors have agreed, pursuant to a letter agreement with us, that they will not propose any amendment to our amended and restated certificate of incorporation to modify the substance or timing of our obligation to redeem 100% of our public shares if we do not complete our initial business combination within 24 months from the closing of this offering or with respect to any other material provisions relating to stockholders’ rights or pre-initial business combination activity, unless we provide our public stockholders with the opportunity to redeem their public shares upon approval of any such amendment at a per-share price, payable in cash, equal to the aggregate amount then on deposit in the trust account, including interest earned on the funds held in the trust account and not previously released to us to pay our taxes, divided by the number of then outstanding public shares. However, we may not redeem our public shares in an amount that would cause our</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93" w:name="page94"/>
    <w:bookmarkEnd w:id="93"/>
    <w:p>
      <w:pPr>
        <w:ind w:left="460" w:right="739"/>
        <w:spacing w:after="0" w:line="238" w:lineRule="auto"/>
        <w:rPr>
          <w:sz w:val="20"/>
          <w:szCs w:val="20"/>
          <w:color w:val="auto"/>
        </w:rPr>
      </w:pPr>
      <w:r>
        <w:rPr>
          <w:rFonts w:ascii="Arial" w:cs="Arial" w:eastAsia="Arial" w:hAnsi="Arial"/>
          <w:sz w:val="18"/>
          <w:szCs w:val="18"/>
          <w:color w:val="auto"/>
        </w:rPr>
        <w:t>net tangible assets to be less than $5,000,001. If this optional redemption right is exercised with respect to an excessive number of public shares such that we cannot satisfy the net tangible asset requirement, we would not proceed with the amendment or the related redemption of our public shares at such time.</w:t>
      </w:r>
    </w:p>
    <w:p>
      <w:pPr>
        <w:spacing w:after="0" w:line="124" w:lineRule="exact"/>
        <w:rPr>
          <w:sz w:val="20"/>
          <w:szCs w:val="20"/>
          <w:color w:val="auto"/>
        </w:rPr>
      </w:pPr>
    </w:p>
    <w:p>
      <w:pPr>
        <w:ind w:left="460" w:right="519"/>
        <w:spacing w:after="0" w:line="237" w:lineRule="auto"/>
        <w:rPr>
          <w:sz w:val="20"/>
          <w:szCs w:val="20"/>
          <w:color w:val="auto"/>
        </w:rPr>
      </w:pPr>
      <w:r>
        <w:rPr>
          <w:rFonts w:ascii="Arial" w:cs="Arial" w:eastAsia="Arial" w:hAnsi="Arial"/>
          <w:sz w:val="18"/>
          <w:szCs w:val="18"/>
          <w:color w:val="auto"/>
        </w:rPr>
        <w:t>We expect that all costs and expenses associated with implementing our plan of dissolution, as well as payments to any creditors, will be funded from amounts remaining out of the approximately $1,000,000 of proceeds held outside the trust account, although we cannot assure you that there will be sufficient funds for such purpose. However, if those funds are not sufficient to cover the costs and expenses associated with implementing our plan of dissolution, to the extent that there is any interest accrued in the trust account not required to pay taxes, we may request the trustee to release to us an additional amount of up to $100,000 of such accrued interest to pay those costs and expenses.</w:t>
      </w:r>
    </w:p>
    <w:p>
      <w:pPr>
        <w:spacing w:after="0" w:line="135"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If we were to expend all of the net proceeds of this offering and the sale of the private placement warrants, other than the proceeds deposited in the trust account, and without taking into account interest, if any, earned on the trust account and any tax payments or expenses for the dissolution of the trust, the per-share redemption amount received by stockholders upon our dissolution would be approximately $10.00. The proceeds deposited in the trust account could, however, become subject to the claims of our creditors which would have higher priority than the claims of our public stockholders. We cannot assure you that the actual per-share redemption amount received by stockholders will not be substantially less than $10.00. Under Section 281(b) of the DGCL, our plan of dissolution must provide for all claims against us to be paid in full or make provision for payments to be made in full, as applicable, if there are sufficient assets. These claims must be paid or provided for before we make any distribution of our remaining assets to our stockholders. While we intend to pay such amounts, if any, we cannot assure you that we will have funds sufficient to pay or provide for all creditors’ claims.</w:t>
      </w:r>
    </w:p>
    <w:p>
      <w:pPr>
        <w:spacing w:after="0" w:line="135" w:lineRule="exact"/>
        <w:rPr>
          <w:sz w:val="20"/>
          <w:szCs w:val="20"/>
          <w:color w:val="auto"/>
        </w:rPr>
      </w:pPr>
    </w:p>
    <w:p>
      <w:pPr>
        <w:ind w:left="460" w:right="459"/>
        <w:spacing w:after="0" w:line="249" w:lineRule="auto"/>
        <w:rPr>
          <w:sz w:val="20"/>
          <w:szCs w:val="20"/>
          <w:color w:val="auto"/>
        </w:rPr>
      </w:pPr>
      <w:r>
        <w:rPr>
          <w:rFonts w:ascii="Arial" w:cs="Arial" w:eastAsia="Arial" w:hAnsi="Arial"/>
          <w:sz w:val="17"/>
          <w:szCs w:val="17"/>
          <w:color w:val="auto"/>
        </w:rPr>
        <w:t>Although we will seek to have all vendors, service providers (other than our independent registered public accounting firm), prospective target businesses and other entities with which we do business execute agreements with us waiving any right, title, interest or claim of any kind in or to any monies held in the trust account for the benefit of our public stockholders, there is no guarantee that they will execute such agreements or even if they execute such agreements that they would be prevented from bringing claims against the trust account including but not limited to fraudulent inducement, breach of fiduciary responsibility or other similar claims, as well as claims challenging the enforceability of the waiver, in each case in order to gain an advantage with respect to a claim against our assets, including the funds held in the trust account. If any third party refuses to execute an agreement waiving such claims to the monies held in the trust account, our management will consider whether competitive alternatives are reasonably available to us and will only enter into an agreement with such third party if management believes that such third party’s engagement would be in the best interests of the company under the circumstances. 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management is unable to find a service provider willing to execute a waiver. The underwriters of this offering and our independent registered public accounting firm will not execute agreements with us waiving such claims to the monies held in the trust account. In addition, there is no guarantee that such entities will agree to waive any claims they may have in the future as a result of, or arising out of, any negotiations, contracts or agreements with us and will not seek recourse against the trust account for any reason. In order to protect the amounts held in the trust account, our sponsor has agreed that it will be liable to us if and to the extent any claims by a third party for services rendered or products sold to us, or a prospective target business with which we have entered into a written letter of intent, confidentiality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our indemnity of the underwriters of this offering against certain liabilities, including liabilities under the Securities Act. However, we have not asked our sponsor to reserve for such indemnification obligations, nor have we independently verified whether our sponsor has sufficient funds to satisfy its indemnity obligations and we believe that our sponsor’s only assets are securities of our company. Therefore, we cannot assure you that our sponsor would be able to satisfy those obligations. As a result, if any such claims were successfully made against the trust account, the funds available for our initial business combination</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94" w:name="page95"/>
    <w:bookmarkEnd w:id="94"/>
    <w:p>
      <w:pPr>
        <w:ind w:left="460" w:right="639"/>
        <w:spacing w:after="0" w:line="238" w:lineRule="auto"/>
        <w:rPr>
          <w:sz w:val="20"/>
          <w:szCs w:val="20"/>
          <w:color w:val="auto"/>
        </w:rPr>
      </w:pPr>
      <w:r>
        <w:rPr>
          <w:rFonts w:ascii="Arial" w:cs="Arial" w:eastAsia="Arial" w:hAnsi="Arial"/>
          <w:sz w:val="18"/>
          <w:szCs w:val="18"/>
          <w:color w:val="auto"/>
        </w:rPr>
        <w:t>and redemptions could be reduced to less than $10.00 per public share. In such event, we may not be able to complete our initial business combination, and you would receive such lesser amount per share in connection with any redemption of your public shares. None of our officers or directors will indemnify us for claims by third parties including, without limitation, claims by vendors and prospective target businesses.</w:t>
      </w:r>
    </w:p>
    <w:p>
      <w:pPr>
        <w:spacing w:after="0" w:line="121" w:lineRule="exact"/>
        <w:rPr>
          <w:sz w:val="20"/>
          <w:szCs w:val="20"/>
          <w:color w:val="auto"/>
        </w:rPr>
      </w:pPr>
    </w:p>
    <w:p>
      <w:pPr>
        <w:ind w:left="460" w:right="539"/>
        <w:spacing w:after="0" w:line="236" w:lineRule="auto"/>
        <w:rPr>
          <w:sz w:val="20"/>
          <w:szCs w:val="20"/>
          <w:color w:val="auto"/>
        </w:rPr>
      </w:pPr>
      <w:r>
        <w:rPr>
          <w:rFonts w:ascii="Arial" w:cs="Arial" w:eastAsia="Arial" w:hAnsi="Arial"/>
          <w:sz w:val="18"/>
          <w:szCs w:val="18"/>
          <w:color w:val="auto"/>
        </w:rPr>
        <w:t>In the event that the proceeds in the trust account are reduced below the lesser of (i) $10.00 per public share and (ii) the actual amount per public share held in the trust account as of the date of the liquidation of the trust account if less than $10.00 per share due to reductions in the value of the trust assets, in each case less taxes payable, and our sponsor asserts that it is unable to satisfy its indemnification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may choose not to do so in any particular instance. Accordingly, we cannot assure you that due to claims of creditors the actual value of the per-share redemption price will not be less than $10.00 per share.</w:t>
      </w:r>
    </w:p>
    <w:p>
      <w:pPr>
        <w:spacing w:after="0" w:line="137"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We will seek to reduce the possibility that our sponsor will have to indemnify the trust account due to claims of creditors by endeavoring to have all vendors, service providers, prospective target businesses or other entities with which we do business execute agreements with us waiving any right, title, interest or claim of any kind in or to monies held in the trust account. Our sponsor will also not be liable as to any claims under our indemnity of the underwriters of this offering against certain liabilities, including liabilities under the Securities Act. We will have access to up to approximately $1,000,000 from the proceeds of this offering with which to pay any such potential claims (including costs and expenses incurred in connection with our liquidation, currently estimated to be no more than approximately $100,000). In the event that we liquidate and it is subsequently determined that the reserve for claims and liabilities is insufficient, stockholders who received funds from our trust account could be liable for claims made by creditors. In the event that our offering expenses exceed our estimate of $1,000,000, we may fund such excess with funds from the funds not to be held in the trust account. In such case, the amount of funds we intend to be held outside the trust account would decrease by a corresponding amount. Conversely, in the event that the offering expenses are less than our estimate of $1,000,000, the amount of funds we intend to be held outside the trust account would increase by a corresponding amount.</w:t>
      </w:r>
    </w:p>
    <w:p>
      <w:pPr>
        <w:spacing w:after="0" w:line="146" w:lineRule="exact"/>
        <w:rPr>
          <w:sz w:val="20"/>
          <w:szCs w:val="20"/>
          <w:color w:val="auto"/>
        </w:rPr>
      </w:pPr>
    </w:p>
    <w:p>
      <w:pPr>
        <w:ind w:left="460" w:right="479"/>
        <w:spacing w:after="0" w:line="251" w:lineRule="auto"/>
        <w:rPr>
          <w:sz w:val="20"/>
          <w:szCs w:val="20"/>
          <w:color w:val="auto"/>
        </w:rPr>
      </w:pPr>
      <w:r>
        <w:rPr>
          <w:rFonts w:ascii="Arial" w:cs="Arial" w:eastAsia="Arial" w:hAnsi="Arial"/>
          <w:sz w:val="17"/>
          <w:szCs w:val="17"/>
          <w:color w:val="auto"/>
        </w:rPr>
        <w:t>Under the DGCL, stockholders may be held liable for claims by third parties against a corporation to the extent of distributions received by them in a dissolution. The pro rata portion of our trust account distributed to our public stockholders upon the redemption of our public shares in the event we do not complete our initial business combination within 24 months from the closing of this offering may be considered a liquidating distribution under Delaware law. If the corporation complies with certain procedures set forth in Section 280 of the DGCL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liquidating distributions are made to stockholders, any liability of stockholders with respect to a liquidating distribution is limited to the lesser of such stockholder’s pro rata share of the claim or the amount distributed to the stockholder, and any liability of the stockholder would be barred after the third anniversary of the dissolution.</w:t>
      </w:r>
    </w:p>
    <w:p>
      <w:pPr>
        <w:spacing w:after="0" w:line="112" w:lineRule="exact"/>
        <w:rPr>
          <w:sz w:val="20"/>
          <w:szCs w:val="20"/>
          <w:color w:val="auto"/>
        </w:rPr>
      </w:pPr>
    </w:p>
    <w:p>
      <w:pPr>
        <w:ind w:left="460" w:right="479"/>
        <w:spacing w:after="0" w:line="250" w:lineRule="auto"/>
        <w:rPr>
          <w:sz w:val="20"/>
          <w:szCs w:val="20"/>
          <w:color w:val="auto"/>
        </w:rPr>
      </w:pPr>
      <w:r>
        <w:rPr>
          <w:rFonts w:ascii="Arial" w:cs="Arial" w:eastAsia="Arial" w:hAnsi="Arial"/>
          <w:sz w:val="17"/>
          <w:szCs w:val="17"/>
          <w:color w:val="auto"/>
        </w:rPr>
        <w:t>Furthermore, if the pro rata portion of our trust account distributed to our public stockholders upon the redemption of our public shares in the event we do not complete our initial business combination within 24 months from the closing of this offering, is not considered a liquidating distribution under Delaware law and such redemption distribution is deemed to be unlawful (potentially due to the imposition of legal proceedings that a party may bring or due to other circumstances that are currently unknown), then pursuant to Section 174 of the DGCL, the statute of limitations for claims of creditors could then be six years after the unlawful redemption distribution, instead of three years, as in the case of a liquidating distribution. If we are unable to complete our initial business combination within 24 months from the closing of this offering,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95" w:name="page96"/>
    <w:bookmarkEnd w:id="95"/>
    <w:p>
      <w:pPr>
        <w:ind w:left="460" w:right="499"/>
        <w:spacing w:after="0" w:line="233" w:lineRule="auto"/>
        <w:rPr>
          <w:sz w:val="20"/>
          <w:szCs w:val="20"/>
          <w:color w:val="auto"/>
        </w:rPr>
      </w:pPr>
      <w:r>
        <w:rPr>
          <w:rFonts w:ascii="Arial" w:cs="Arial" w:eastAsia="Arial" w:hAnsi="Arial"/>
          <w:sz w:val="18"/>
          <w:szCs w:val="18"/>
          <w:color w:val="auto"/>
        </w:rPr>
        <w:t>subject to the approval of our remaining stockholders and our board of directors, dissolve and liquidate, subject in each case to our obligations under Delaware law to provide for claims of creditors and the requirements of other applicable law. Accordingly, it is our intention to redeem our public shares as soon as reasonably possible following our 24</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month and, therefore, we do not intend to comply with those procedures. As such, our stockholders could potentially be liable for any claims to the extent of distributions received by them (but no more) and any liability of our stockholders may extend well beyond the third anniversary of such date.</w:t>
      </w:r>
    </w:p>
    <w:p>
      <w:pPr>
        <w:spacing w:after="0" w:line="124" w:lineRule="exact"/>
        <w:rPr>
          <w:sz w:val="20"/>
          <w:szCs w:val="20"/>
          <w:color w:val="auto"/>
        </w:rPr>
      </w:pPr>
    </w:p>
    <w:p>
      <w:pPr>
        <w:ind w:left="460" w:right="479"/>
        <w:spacing w:after="0" w:line="250" w:lineRule="auto"/>
        <w:rPr>
          <w:sz w:val="20"/>
          <w:szCs w:val="20"/>
          <w:color w:val="auto"/>
        </w:rPr>
      </w:pPr>
      <w:r>
        <w:rPr>
          <w:rFonts w:ascii="Arial" w:cs="Arial" w:eastAsia="Arial" w:hAnsi="Arial"/>
          <w:sz w:val="17"/>
          <w:szCs w:val="17"/>
          <w:color w:val="auto"/>
        </w:rPr>
        <w:t>Because we will not be complying with Section 280, Section 281(b) of the DGCL requires us to adopt a plan, based on facts known to us at such time that will provide for our payment of all existing and pending claims or claims that may be potentially brought against us within the subsequent 10 years. However, because we are a blank check company, rather than an operating company, and our operations will be limited to searching for prospective target businesses to acquire, the only likely claims to arise would be from our vendors (such as lawyers, investment bankers, etc.) or prospective target businesses. As described above, pursuant to the obligation contained in our underwriting agreement, we will seek to have all vendors, service providers, prospective target businesses or other entities with which we do business execute agreements with us waiving any right, title, interest or claim of any kind in or to any monies held in the trust account. As a result of this obligation, the claims that could be made against us are significantly limited and the likelihood that any claim that would result in any liability extending to the trust account is remote. Further, our sponsor may be liable only to the extent necessary to ensure that the amounts in the trust account are not reduced below (i) $10.00 per public share or (ii) such lesser amount per public share held in the trust account as of the date of the liquidation of the trust account, due to reductions in value of the trust assets, in each case net of the amount of interest withdrawn to pay taxes and will not be liable as to any claims under our indemnity of the underwriters of this offering against certain liabilities, including liabilities under the Securities Act. In the event that an executed waiver is deemed to be unenforceable against a third party, our sponsor will not be responsible to the extent of any liability for such third-party claims.</w:t>
      </w:r>
    </w:p>
    <w:p>
      <w:pPr>
        <w:spacing w:after="0" w:line="127"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If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we cannot assure you we will be able to return $10.00 per share to our public stockholders. Additionally, if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some or all amounts received by our stockholders. Furthermore, our board of directors may be viewed as having breached its fiduciary duty to our creditors and/or may have acted in bad faith, and thereby exposing itself and our company to claims of punitive damages, by paying public stockholders from the trust account prior to addressing the claims of creditors. We cannot assure you that claims will not be brought against us for these reasons.</w:t>
      </w:r>
    </w:p>
    <w:p>
      <w:pPr>
        <w:spacing w:after="0" w:line="146"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Our public stockholders will be entitled to receive funds from the trust account only (i) in the event of the redemption of our public shares if we do not complete our initial business combination within 24 months from the closing of this offering, (ii) in connection with a stockholder vote to amend our amended and restated certificate of incorporation to modify the substance or timing of our obligation to redeem 100% of our public shares if we do not complete our initial business combination within 24 months from the closing of this offering or with respect to any other material provisions relating to stockholders’ rights or pre-initial business combination activity or (iii) if they redeem their respective shares for cash upon the completion of our initial business combination. In no other circumstances will a stockholder have any right or interest of any kind to or in the trust account. In the event we seek stockholder approval in connection with our initial business combination, a stockholder’s voting in connection with the business combination alone will not result in a stockholder’s redeeming its shares to us for an applicable pro rata share of the trust account. Such stockholder must have also exercised its redemption rights described above. These provisions of our amended and restated certificate of incorporation, like all provisions of our amended and restated certificate of incorporation, may be amended with a stockholder vote.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96" w:name="page97"/>
    <w:bookmarkEnd w:id="96"/>
    <w:p>
      <w:pPr>
        <w:ind w:left="460" w:right="1119"/>
        <w:spacing w:after="0" w:line="271" w:lineRule="auto"/>
        <w:rPr>
          <w:sz w:val="20"/>
          <w:szCs w:val="20"/>
          <w:color w:val="auto"/>
        </w:rPr>
      </w:pPr>
      <w:r>
        <w:rPr>
          <w:rFonts w:ascii="Arial" w:cs="Arial" w:eastAsia="Arial" w:hAnsi="Arial"/>
          <w:sz w:val="18"/>
          <w:szCs w:val="18"/>
          <w:b w:val="1"/>
          <w:bCs w:val="1"/>
          <w:color w:val="auto"/>
        </w:rPr>
        <w:t>Comparison of Redemption or Purchase Prices in Connection with Our Initial Business Combination and if We Fail to Complete Our Initial Business Combination.</w:t>
      </w:r>
    </w:p>
    <w:p>
      <w:pPr>
        <w:spacing w:after="0" w:line="108" w:lineRule="exact"/>
        <w:rPr>
          <w:sz w:val="20"/>
          <w:szCs w:val="20"/>
          <w:color w:val="auto"/>
        </w:rPr>
      </w:pPr>
    </w:p>
    <w:p>
      <w:pPr>
        <w:ind w:left="460" w:right="539"/>
        <w:spacing w:after="0" w:line="261" w:lineRule="auto"/>
        <w:rPr>
          <w:sz w:val="20"/>
          <w:szCs w:val="20"/>
          <w:color w:val="auto"/>
        </w:rPr>
      </w:pPr>
      <w:r>
        <w:rPr>
          <w:rFonts w:ascii="Arial" w:cs="Arial" w:eastAsia="Arial" w:hAnsi="Arial"/>
          <w:sz w:val="17"/>
          <w:szCs w:val="17"/>
          <w:color w:val="auto"/>
        </w:rPr>
        <w:t>The following table compares the redemptions and other permitted purchases of public shares that may take place in connection with the completion of our initial business combination and if we are unable to complete our initial business combination within 24 months from the closing of this offering.</w:t>
      </w:r>
    </w:p>
    <w:p>
      <w:pPr>
        <w:sectPr>
          <w:pgSz w:w="11900" w:h="16838" w:orient="portrait"/>
          <w:cols w:equalWidth="0" w:num="1">
            <w:col w:w="9019"/>
          </w:cols>
          <w:pgMar w:left="1440" w:top="33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640" w:hanging="179"/>
        <w:spacing w:after="0" w:line="275" w:lineRule="auto"/>
        <w:rPr>
          <w:sz w:val="20"/>
          <w:szCs w:val="20"/>
          <w:color w:val="auto"/>
        </w:rPr>
      </w:pPr>
      <w:r>
        <w:rPr>
          <w:rFonts w:ascii="Arial" w:cs="Arial" w:eastAsia="Arial" w:hAnsi="Arial"/>
          <w:sz w:val="17"/>
          <w:szCs w:val="17"/>
          <w:b w:val="1"/>
          <w:bCs w:val="1"/>
          <w:color w:val="auto"/>
        </w:rPr>
        <w:t>Calculation of redemption price</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jc w:val="center"/>
        <w:ind w:left="60" w:right="20"/>
        <w:spacing w:after="0" w:line="263" w:lineRule="auto"/>
        <w:rPr>
          <w:sz w:val="20"/>
          <w:szCs w:val="20"/>
          <w:color w:val="auto"/>
        </w:rPr>
      </w:pPr>
      <w:r>
        <w:rPr>
          <w:rFonts w:ascii="Arial" w:cs="Arial" w:eastAsia="Arial" w:hAnsi="Arial"/>
          <w:sz w:val="14"/>
          <w:szCs w:val="14"/>
          <w:b w:val="1"/>
          <w:bCs w:val="1"/>
          <w:color w:val="auto"/>
        </w:rPr>
        <w:t>Redemptions in Connection with our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131127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3"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Redemptions at the time of our initial business combination may be made pursuant to a tender offer or in connection with a stockholder vote. The redemption price will be the same whether we conduct redemptions pursuant to a tender offer or in connection with a stockholder vote. In either case, our public stockholders may redeem their public shares for cash equal to the aggregate amount then on deposit in the trust account calculated as of two business days prior to the consummation of the initial business combination (which is initially anticipated to be $10.00 per share), including interest earned on the funds held in the trust account and not previously released to us to pay our taxes, divided by the number of then outstanding public shares, subject to the limitation that no redemptions will take place if all of the redemptions would cause our net tangible assets to be less than $5,000,001.</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ind w:left="20" w:right="20" w:firstLine="1"/>
        <w:spacing w:after="0" w:line="285" w:lineRule="auto"/>
        <w:rPr>
          <w:sz w:val="20"/>
          <w:szCs w:val="20"/>
          <w:color w:val="auto"/>
        </w:rPr>
      </w:pPr>
      <w:r>
        <w:rPr>
          <w:rFonts w:ascii="Arial" w:cs="Arial" w:eastAsia="Arial" w:hAnsi="Arial"/>
          <w:sz w:val="14"/>
          <w:szCs w:val="14"/>
          <w:b w:val="1"/>
          <w:bCs w:val="1"/>
          <w:color w:val="auto"/>
        </w:rPr>
        <w:t>Other Permitted Purchases of Public Shares by our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wp:posOffset>
            </wp:positionV>
            <wp:extent cx="13284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235" w:lineRule="auto"/>
        <w:rPr>
          <w:sz w:val="20"/>
          <w:szCs w:val="20"/>
          <w:color w:val="auto"/>
        </w:rPr>
      </w:pPr>
      <w:r>
        <w:rPr>
          <w:rFonts w:ascii="Arial" w:cs="Arial" w:eastAsia="Arial" w:hAnsi="Arial"/>
          <w:sz w:val="18"/>
          <w:szCs w:val="18"/>
          <w:color w:val="auto"/>
        </w:rPr>
        <w:t>If we seek stockholder approval of our initial business combination, our initial stockholders, directors, officers, advisors or their respective affiliates may purchase public shares in privately negotiated transactions or in the open market either prior to or following completion of our initial business combination. There is no limit to the prices that our initial stockholders, directors, officers, advisors or their respective affiliates may pay in these transactions. If they engage in such transactions, they will be restricted from making any such purchases when they are in possession of any material nonpublic information not disclosed to the seller or if such purchases are prohibited by Regulation M under the Exchange Act.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be required to comply with such rules.</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jc w:val="center"/>
        <w:ind w:left="100" w:right="499"/>
        <w:spacing w:after="0" w:line="263" w:lineRule="auto"/>
        <w:rPr>
          <w:sz w:val="20"/>
          <w:szCs w:val="20"/>
          <w:color w:val="auto"/>
        </w:rPr>
      </w:pPr>
      <w:r>
        <w:rPr>
          <w:rFonts w:ascii="Arial" w:cs="Arial" w:eastAsia="Arial" w:hAnsi="Arial"/>
          <w:sz w:val="14"/>
          <w:szCs w:val="14"/>
          <w:b w:val="1"/>
          <w:bCs w:val="1"/>
          <w:color w:val="auto"/>
        </w:rPr>
        <w:t>Redemptions if we fail to Complete an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139700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pacing w:after="0" w:line="3" w:lineRule="exact"/>
        <w:rPr>
          <w:sz w:val="20"/>
          <w:szCs w:val="20"/>
          <w:color w:val="auto"/>
        </w:rPr>
      </w:pPr>
    </w:p>
    <w:p>
      <w:pPr>
        <w:ind w:right="459"/>
        <w:spacing w:after="0" w:line="235" w:lineRule="auto"/>
        <w:rPr>
          <w:sz w:val="20"/>
          <w:szCs w:val="20"/>
          <w:color w:val="auto"/>
        </w:rPr>
      </w:pPr>
      <w:r>
        <w:rPr>
          <w:rFonts w:ascii="Arial" w:cs="Arial" w:eastAsia="Arial" w:hAnsi="Arial"/>
          <w:sz w:val="18"/>
          <w:szCs w:val="18"/>
          <w:color w:val="auto"/>
        </w:rPr>
        <w:t>If we are unable to complete our initial business combination within 24 months from the closing of this offering, we will redeem all public shares at a per-share price, payable in cash, equal to the aggregate amount, then on deposit in the trust account (which is initially anticipated to be $10.00 per share), including interest earned on the funds held in the trust account and not previously released to us to pay our taxes (less up to $100,000 of interest to pay dissolution expenses) divided by the number of then outstanding public shares.</w:t>
      </w:r>
    </w:p>
    <w:p>
      <w:pPr>
        <w:spacing w:after="0" w:line="5469" w:lineRule="exact"/>
        <w:rPr>
          <w:sz w:val="20"/>
          <w:szCs w:val="20"/>
          <w:color w:val="auto"/>
        </w:rPr>
      </w:pPr>
    </w:p>
    <w:p>
      <w:pPr>
        <w:sectPr>
          <w:pgSz w:w="11900" w:h="16838" w:orient="portrait"/>
          <w:cols w:equalWidth="0" w:num="4">
            <w:col w:w="1640" w:space="360"/>
            <w:col w:w="2060" w:space="100"/>
            <w:col w:w="2100" w:space="100"/>
            <w:col w:w="2659"/>
          </w:cols>
          <w:pgMar w:left="1440" w:top="333" w:right="1440" w:bottom="1440" w:gutter="0" w:footer="0" w:header="0"/>
          <w:type w:val="continuous"/>
        </w:sectPr>
      </w:pP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97" w:name="page98"/>
    <w:bookmarkEnd w:id="97"/>
    <w:p>
      <w:pPr>
        <w:spacing w:after="0" w:line="200" w:lineRule="exact"/>
        <w:rPr>
          <w:sz w:val="20"/>
          <w:szCs w:val="20"/>
          <w:color w:val="auto"/>
        </w:rPr>
      </w:pPr>
    </w:p>
    <w:p>
      <w:pPr>
        <w:spacing w:after="0" w:line="317" w:lineRule="exact"/>
        <w:rPr>
          <w:sz w:val="20"/>
          <w:szCs w:val="20"/>
          <w:color w:val="auto"/>
        </w:rPr>
      </w:pPr>
    </w:p>
    <w:p>
      <w:pPr>
        <w:ind w:left="640" w:hanging="179"/>
        <w:spacing w:after="0" w:line="275" w:lineRule="auto"/>
        <w:rPr>
          <w:sz w:val="20"/>
          <w:szCs w:val="20"/>
          <w:color w:val="auto"/>
        </w:rPr>
      </w:pPr>
      <w:r>
        <w:rPr>
          <w:rFonts w:ascii="Arial" w:cs="Arial" w:eastAsia="Arial" w:hAnsi="Arial"/>
          <w:sz w:val="17"/>
          <w:szCs w:val="17"/>
          <w:b w:val="1"/>
          <w:bCs w:val="1"/>
          <w:color w:val="auto"/>
        </w:rPr>
        <w:t>Impact to remaining stockholders</w:t>
      </w:r>
    </w:p>
    <w:p>
      <w:pPr>
        <w:spacing w:after="0" w:line="20" w:lineRule="exact"/>
        <w:rPr>
          <w:sz w:val="20"/>
          <w:szCs w:val="20"/>
          <w:color w:val="auto"/>
        </w:rPr>
      </w:pPr>
      <w:r>
        <w:rPr>
          <w:sz w:val="20"/>
          <w:szCs w:val="20"/>
          <w:color w:val="auto"/>
        </w:rPr>
        <w:br w:type="column"/>
      </w:r>
    </w:p>
    <w:p>
      <w:pPr>
        <w:jc w:val="center"/>
        <w:ind w:left="60"/>
        <w:spacing w:after="0" w:line="263" w:lineRule="auto"/>
        <w:rPr>
          <w:sz w:val="20"/>
          <w:szCs w:val="20"/>
          <w:color w:val="auto"/>
        </w:rPr>
      </w:pPr>
      <w:r>
        <w:rPr>
          <w:rFonts w:ascii="Arial" w:cs="Arial" w:eastAsia="Arial" w:hAnsi="Arial"/>
          <w:sz w:val="14"/>
          <w:szCs w:val="14"/>
          <w:b w:val="1"/>
          <w:bCs w:val="1"/>
          <w:color w:val="auto"/>
        </w:rPr>
        <w:t>Redemptions in Connection with our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131127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redemptions in</w:t>
      </w:r>
    </w:p>
    <w:p>
      <w:pPr>
        <w:spacing w:after="0" w:line="234" w:lineRule="auto"/>
        <w:rPr>
          <w:sz w:val="20"/>
          <w:szCs w:val="20"/>
          <w:color w:val="auto"/>
        </w:rPr>
      </w:pPr>
      <w:r>
        <w:rPr>
          <w:rFonts w:ascii="Arial" w:cs="Arial" w:eastAsia="Arial" w:hAnsi="Arial"/>
          <w:sz w:val="18"/>
          <w:szCs w:val="18"/>
          <w:color w:val="auto"/>
        </w:rPr>
        <w:t>connection with our initial</w:t>
      </w:r>
    </w:p>
    <w:p>
      <w:pPr>
        <w:spacing w:after="0" w:line="235" w:lineRule="auto"/>
        <w:rPr>
          <w:sz w:val="20"/>
          <w:szCs w:val="20"/>
          <w:color w:val="auto"/>
        </w:rPr>
      </w:pPr>
      <w:r>
        <w:rPr>
          <w:rFonts w:ascii="Arial" w:cs="Arial" w:eastAsia="Arial" w:hAnsi="Arial"/>
          <w:sz w:val="18"/>
          <w:szCs w:val="18"/>
          <w:color w:val="auto"/>
        </w:rPr>
        <w:t>business combination will</w:t>
      </w:r>
    </w:p>
    <w:p>
      <w:pPr>
        <w:spacing w:after="0" w:line="235" w:lineRule="auto"/>
        <w:rPr>
          <w:sz w:val="20"/>
          <w:szCs w:val="20"/>
          <w:color w:val="auto"/>
        </w:rPr>
      </w:pPr>
      <w:r>
        <w:rPr>
          <w:rFonts w:ascii="Arial" w:cs="Arial" w:eastAsia="Arial" w:hAnsi="Arial"/>
          <w:sz w:val="18"/>
          <w:szCs w:val="18"/>
          <w:color w:val="auto"/>
        </w:rPr>
        <w:t>reduce the book value</w:t>
      </w:r>
    </w:p>
    <w:p>
      <w:pPr>
        <w:spacing w:after="0" w:line="235" w:lineRule="auto"/>
        <w:rPr>
          <w:sz w:val="20"/>
          <w:szCs w:val="20"/>
          <w:color w:val="auto"/>
        </w:rPr>
      </w:pPr>
      <w:r>
        <w:rPr>
          <w:rFonts w:ascii="Arial" w:cs="Arial" w:eastAsia="Arial" w:hAnsi="Arial"/>
          <w:sz w:val="18"/>
          <w:szCs w:val="18"/>
          <w:color w:val="auto"/>
        </w:rPr>
        <w:t>per share for our</w:t>
      </w:r>
    </w:p>
    <w:p>
      <w:pPr>
        <w:spacing w:after="0" w:line="235" w:lineRule="auto"/>
        <w:rPr>
          <w:sz w:val="20"/>
          <w:szCs w:val="20"/>
          <w:color w:val="auto"/>
        </w:rPr>
      </w:pPr>
      <w:r>
        <w:rPr>
          <w:rFonts w:ascii="Arial" w:cs="Arial" w:eastAsia="Arial" w:hAnsi="Arial"/>
          <w:sz w:val="18"/>
          <w:szCs w:val="18"/>
          <w:color w:val="auto"/>
        </w:rPr>
        <w:t>remaining stockholders,</w:t>
      </w:r>
    </w:p>
    <w:p>
      <w:pPr>
        <w:spacing w:after="0" w:line="234" w:lineRule="auto"/>
        <w:rPr>
          <w:sz w:val="20"/>
          <w:szCs w:val="20"/>
          <w:color w:val="auto"/>
        </w:rPr>
      </w:pPr>
      <w:r>
        <w:rPr>
          <w:rFonts w:ascii="Arial" w:cs="Arial" w:eastAsia="Arial" w:hAnsi="Arial"/>
          <w:sz w:val="18"/>
          <w:szCs w:val="18"/>
          <w:color w:val="auto"/>
        </w:rPr>
        <w:t>who will bear the burden</w:t>
      </w:r>
    </w:p>
    <w:p>
      <w:pPr>
        <w:spacing w:after="0" w:line="235" w:lineRule="auto"/>
        <w:rPr>
          <w:sz w:val="20"/>
          <w:szCs w:val="20"/>
          <w:color w:val="auto"/>
        </w:rPr>
      </w:pPr>
      <w:r>
        <w:rPr>
          <w:rFonts w:ascii="Arial" w:cs="Arial" w:eastAsia="Arial" w:hAnsi="Arial"/>
          <w:sz w:val="18"/>
          <w:szCs w:val="18"/>
          <w:color w:val="auto"/>
        </w:rPr>
        <w:t>of the deferred</w:t>
      </w:r>
    </w:p>
    <w:p>
      <w:pPr>
        <w:spacing w:after="0" w:line="235" w:lineRule="auto"/>
        <w:rPr>
          <w:sz w:val="20"/>
          <w:szCs w:val="20"/>
          <w:color w:val="auto"/>
        </w:rPr>
      </w:pPr>
      <w:r>
        <w:rPr>
          <w:rFonts w:ascii="Arial" w:cs="Arial" w:eastAsia="Arial" w:hAnsi="Arial"/>
          <w:sz w:val="18"/>
          <w:szCs w:val="18"/>
          <w:color w:val="auto"/>
        </w:rPr>
        <w:t>underwriting</w:t>
      </w:r>
    </w:p>
    <w:p>
      <w:pPr>
        <w:spacing w:after="0" w:line="235" w:lineRule="auto"/>
        <w:rPr>
          <w:sz w:val="20"/>
          <w:szCs w:val="20"/>
          <w:color w:val="auto"/>
        </w:rPr>
      </w:pPr>
      <w:r>
        <w:rPr>
          <w:rFonts w:ascii="Arial" w:cs="Arial" w:eastAsia="Arial" w:hAnsi="Arial"/>
          <w:sz w:val="18"/>
          <w:szCs w:val="18"/>
          <w:color w:val="auto"/>
        </w:rPr>
        <w:t>commissions and interest</w:t>
      </w:r>
    </w:p>
    <w:p>
      <w:pPr>
        <w:spacing w:after="0" w:line="235" w:lineRule="auto"/>
        <w:rPr>
          <w:sz w:val="20"/>
          <w:szCs w:val="20"/>
          <w:color w:val="auto"/>
        </w:rPr>
      </w:pPr>
      <w:r>
        <w:rPr>
          <w:rFonts w:ascii="Arial" w:cs="Arial" w:eastAsia="Arial" w:hAnsi="Arial"/>
          <w:sz w:val="18"/>
          <w:szCs w:val="18"/>
          <w:color w:val="auto"/>
        </w:rPr>
        <w:t>withdrawn in order to pay</w:t>
      </w:r>
    </w:p>
    <w:p>
      <w:pPr>
        <w:spacing w:after="0" w:line="234" w:lineRule="auto"/>
        <w:rPr>
          <w:sz w:val="20"/>
          <w:szCs w:val="20"/>
          <w:color w:val="auto"/>
        </w:rPr>
      </w:pPr>
      <w:r>
        <w:rPr>
          <w:rFonts w:ascii="Arial" w:cs="Arial" w:eastAsia="Arial" w:hAnsi="Arial"/>
          <w:sz w:val="18"/>
          <w:szCs w:val="18"/>
          <w:color w:val="auto"/>
        </w:rPr>
        <w:t>our taxes (to the extent</w:t>
      </w:r>
    </w:p>
    <w:p>
      <w:pPr>
        <w:spacing w:after="0" w:line="235" w:lineRule="auto"/>
        <w:rPr>
          <w:sz w:val="20"/>
          <w:szCs w:val="20"/>
          <w:color w:val="auto"/>
        </w:rPr>
      </w:pPr>
      <w:r>
        <w:rPr>
          <w:rFonts w:ascii="Arial" w:cs="Arial" w:eastAsia="Arial" w:hAnsi="Arial"/>
          <w:sz w:val="18"/>
          <w:szCs w:val="18"/>
          <w:color w:val="auto"/>
        </w:rPr>
        <w:t>not paid from amounts</w:t>
      </w:r>
    </w:p>
    <w:p>
      <w:pPr>
        <w:spacing w:after="0" w:line="235" w:lineRule="auto"/>
        <w:rPr>
          <w:sz w:val="20"/>
          <w:szCs w:val="20"/>
          <w:color w:val="auto"/>
        </w:rPr>
      </w:pPr>
      <w:r>
        <w:rPr>
          <w:rFonts w:ascii="Arial" w:cs="Arial" w:eastAsia="Arial" w:hAnsi="Arial"/>
          <w:sz w:val="18"/>
          <w:szCs w:val="18"/>
          <w:color w:val="auto"/>
        </w:rPr>
        <w:t>accrued as interest on</w:t>
      </w:r>
    </w:p>
    <w:p>
      <w:pPr>
        <w:spacing w:after="0" w:line="235" w:lineRule="auto"/>
        <w:rPr>
          <w:sz w:val="20"/>
          <w:szCs w:val="20"/>
          <w:color w:val="auto"/>
        </w:rPr>
      </w:pPr>
      <w:r>
        <w:rPr>
          <w:rFonts w:ascii="Arial" w:cs="Arial" w:eastAsia="Arial" w:hAnsi="Arial"/>
          <w:sz w:val="18"/>
          <w:szCs w:val="18"/>
          <w:color w:val="auto"/>
        </w:rPr>
        <w:t>the funds held in the trust</w:t>
      </w:r>
    </w:p>
    <w:p>
      <w:pPr>
        <w:spacing w:after="0"/>
        <w:rPr>
          <w:sz w:val="20"/>
          <w:szCs w:val="20"/>
          <w:color w:val="auto"/>
        </w:rPr>
      </w:pPr>
      <w:r>
        <w:rPr>
          <w:rFonts w:ascii="Arial" w:cs="Arial" w:eastAsia="Arial" w:hAnsi="Arial"/>
          <w:sz w:val="18"/>
          <w:szCs w:val="18"/>
          <w:color w:val="auto"/>
        </w:rPr>
        <w:t>account).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20" w:firstLine="1"/>
        <w:spacing w:after="0" w:line="285" w:lineRule="auto"/>
        <w:rPr>
          <w:sz w:val="20"/>
          <w:szCs w:val="20"/>
          <w:color w:val="auto"/>
        </w:rPr>
      </w:pPr>
      <w:r>
        <w:rPr>
          <w:rFonts w:ascii="Arial" w:cs="Arial" w:eastAsia="Arial" w:hAnsi="Arial"/>
          <w:sz w:val="14"/>
          <w:szCs w:val="14"/>
          <w:b w:val="1"/>
          <w:bCs w:val="1"/>
          <w:color w:val="auto"/>
        </w:rPr>
        <w:t>Other Permitted Purchases of Public Shares by our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wp:posOffset>
            </wp:positionV>
            <wp:extent cx="13284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328420" cy="8890"/>
                    </a:xfrm>
                    <a:prstGeom prst="rect">
                      <a:avLst/>
                    </a:prstGeom>
                    <a:noFill/>
                  </pic:spPr>
                </pic:pic>
              </a:graphicData>
            </a:graphic>
          </wp:anchor>
        </w:drawing>
      </w:r>
    </w:p>
    <w:p>
      <w:pPr>
        <w:spacing w:after="0" w:line="253" w:lineRule="auto"/>
        <w:rPr>
          <w:sz w:val="20"/>
          <w:szCs w:val="20"/>
          <w:color w:val="auto"/>
        </w:rPr>
      </w:pPr>
      <w:r>
        <w:rPr>
          <w:rFonts w:ascii="Arial" w:cs="Arial" w:eastAsia="Arial" w:hAnsi="Arial"/>
          <w:sz w:val="17"/>
          <w:szCs w:val="17"/>
          <w:color w:val="auto"/>
        </w:rPr>
        <w:t>If the permitted purchases described above are made, there would be no impact to our remaining stockholders because the purchase price would not be paid by us.</w:t>
      </w:r>
    </w:p>
    <w:p>
      <w:pPr>
        <w:spacing w:after="0" w:line="20" w:lineRule="exact"/>
        <w:rPr>
          <w:sz w:val="20"/>
          <w:szCs w:val="20"/>
          <w:color w:val="auto"/>
        </w:rPr>
      </w:pPr>
      <w:r>
        <w:rPr>
          <w:sz w:val="20"/>
          <w:szCs w:val="20"/>
          <w:color w:val="auto"/>
        </w:rPr>
        <w:br w:type="column"/>
      </w:r>
    </w:p>
    <w:p>
      <w:pPr>
        <w:jc w:val="center"/>
        <w:ind w:left="-79" w:right="20"/>
        <w:spacing w:after="0" w:line="263" w:lineRule="auto"/>
        <w:rPr>
          <w:sz w:val="20"/>
          <w:szCs w:val="20"/>
          <w:color w:val="auto"/>
        </w:rPr>
      </w:pPr>
      <w:r>
        <w:rPr>
          <w:rFonts w:ascii="Arial" w:cs="Arial" w:eastAsia="Arial" w:hAnsi="Arial"/>
          <w:sz w:val="14"/>
          <w:szCs w:val="14"/>
          <w:b w:val="1"/>
          <w:bCs w:val="1"/>
          <w:color w:val="auto"/>
        </w:rPr>
        <w:t>Redemptions if we fail to Complete an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13970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397000" cy="8890"/>
                    </a:xfrm>
                    <a:prstGeom prst="rect">
                      <a:avLst/>
                    </a:prstGeom>
                    <a:noFill/>
                  </pic:spPr>
                </pic:pic>
              </a:graphicData>
            </a:graphic>
          </wp:anchor>
        </w:drawing>
      </w:r>
    </w:p>
    <w:p>
      <w:pPr>
        <w:spacing w:after="0" w:line="3" w:lineRule="exact"/>
        <w:rPr>
          <w:sz w:val="20"/>
          <w:szCs w:val="20"/>
          <w:color w:val="auto"/>
        </w:rPr>
      </w:pPr>
    </w:p>
    <w:p>
      <w:pPr>
        <w:ind w:right="579"/>
        <w:spacing w:after="0" w:line="251" w:lineRule="auto"/>
        <w:rPr>
          <w:sz w:val="20"/>
          <w:szCs w:val="20"/>
          <w:color w:val="auto"/>
        </w:rPr>
      </w:pPr>
      <w:r>
        <w:rPr>
          <w:rFonts w:ascii="Arial" w:cs="Arial" w:eastAsia="Arial" w:hAnsi="Arial"/>
          <w:sz w:val="17"/>
          <w:szCs w:val="17"/>
          <w:color w:val="auto"/>
        </w:rPr>
        <w:t>The redemption of our public shares if we fail to complete our initial business combination will reduce the book value per share for the shares held by our initial stockholders, who will be our only remaining stockholders after such redemptions.</w:t>
      </w:r>
    </w:p>
    <w:p>
      <w:pPr>
        <w:spacing w:after="0" w:line="1400" w:lineRule="exact"/>
        <w:rPr>
          <w:sz w:val="20"/>
          <w:szCs w:val="20"/>
          <w:color w:val="auto"/>
        </w:rPr>
      </w:pPr>
    </w:p>
    <w:p>
      <w:pPr>
        <w:sectPr>
          <w:pgSz w:w="11900" w:h="16838" w:orient="portrait"/>
          <w:cols w:equalWidth="0" w:num="4">
            <w:col w:w="1760" w:space="240"/>
            <w:col w:w="2040" w:space="120"/>
            <w:col w:w="2080" w:space="120"/>
            <w:col w:w="2659"/>
          </w:cols>
          <w:pgMar w:left="1440" w:top="302" w:right="1440" w:bottom="1440" w:gutter="0" w:footer="0" w:header="0"/>
        </w:sectPr>
      </w:pPr>
    </w:p>
    <w:p>
      <w:pPr>
        <w:spacing w:after="0" w:line="3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Comparison of This Offering to Those of Blank Check Companies Subject to Rule 419</w:t>
      </w:r>
    </w:p>
    <w:p>
      <w:pPr>
        <w:spacing w:after="0" w:line="166" w:lineRule="exact"/>
        <w:rPr>
          <w:sz w:val="20"/>
          <w:szCs w:val="20"/>
          <w:color w:val="auto"/>
        </w:rPr>
      </w:pPr>
    </w:p>
    <w:p>
      <w:pPr>
        <w:ind w:left="460" w:right="519"/>
        <w:spacing w:after="0" w:line="238" w:lineRule="auto"/>
        <w:rPr>
          <w:sz w:val="20"/>
          <w:szCs w:val="20"/>
          <w:color w:val="auto"/>
        </w:rPr>
      </w:pPr>
      <w:r>
        <w:rPr>
          <w:rFonts w:ascii="Arial" w:cs="Arial" w:eastAsia="Arial" w:hAnsi="Arial"/>
          <w:sz w:val="18"/>
          <w:szCs w:val="18"/>
          <w:color w:val="auto"/>
        </w:rPr>
        <w:t>The following table compares the terms of this offering to the terms of an offering by a blank check company subject to the provisions of Rule 419. This comparison assumes that the gross proceeds, underwriting commissions and underwriting expenses of our offering would be identical to those of an offering undertaken by a company subject to Rule 419, and that the underwriters will not exercise their over-allotment option. None of the provisions of Rule 419 apply to our offering.</w:t>
      </w:r>
    </w:p>
    <w:p>
      <w:pPr>
        <w:sectPr>
          <w:pgSz w:w="11900" w:h="16838" w:orient="portrait"/>
          <w:cols w:equalWidth="0" w:num="1">
            <w:col w:w="9019"/>
          </w:cols>
          <w:pgMar w:left="1440" w:top="302" w:right="1440"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ind w:left="640" w:hanging="179"/>
        <w:spacing w:after="0" w:line="301" w:lineRule="auto"/>
        <w:rPr>
          <w:sz w:val="20"/>
          <w:szCs w:val="20"/>
          <w:color w:val="auto"/>
        </w:rPr>
      </w:pPr>
      <w:r>
        <w:rPr>
          <w:rFonts w:ascii="Arial" w:cs="Arial" w:eastAsia="Arial" w:hAnsi="Arial"/>
          <w:sz w:val="17"/>
          <w:szCs w:val="17"/>
          <w:b w:val="1"/>
          <w:bCs w:val="1"/>
          <w:color w:val="auto"/>
        </w:rPr>
        <w:t>Escrow of offering proceeds</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jc w:val="center"/>
        <w:ind w:left="-59"/>
        <w:spacing w:after="0"/>
        <w:rPr>
          <w:sz w:val="20"/>
          <w:szCs w:val="20"/>
          <w:color w:val="auto"/>
        </w:rPr>
      </w:pPr>
      <w:r>
        <w:rPr>
          <w:rFonts w:ascii="Arial" w:cs="Arial" w:eastAsia="Arial" w:hAnsi="Arial"/>
          <w:sz w:val="14"/>
          <w:szCs w:val="14"/>
          <w:b w:val="1"/>
          <w:bCs w:val="1"/>
          <w:color w:val="auto"/>
        </w:rPr>
        <w:t>Terms of Our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34925</wp:posOffset>
            </wp:positionV>
            <wp:extent cx="18770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4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$350,000,000 of the net proceeds of this offering and the sale of the private placement warrants will be deposited into a trust account located in the United States with Continental Stock Transfer &amp; Trust Company acting as trustee.</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420"/>
        <w:spacing w:after="0"/>
        <w:rPr>
          <w:sz w:val="20"/>
          <w:szCs w:val="20"/>
          <w:color w:val="auto"/>
        </w:rPr>
      </w:pP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wp:posOffset>
            </wp:positionV>
            <wp:extent cx="194564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47" w:lineRule="exact"/>
        <w:rPr>
          <w:sz w:val="20"/>
          <w:szCs w:val="20"/>
          <w:color w:val="auto"/>
        </w:rPr>
      </w:pPr>
    </w:p>
    <w:p>
      <w:pPr>
        <w:ind w:right="479"/>
        <w:spacing w:after="0" w:line="236" w:lineRule="auto"/>
        <w:rPr>
          <w:sz w:val="20"/>
          <w:szCs w:val="20"/>
          <w:color w:val="auto"/>
        </w:rPr>
      </w:pPr>
      <w:r>
        <w:rPr>
          <w:rFonts w:ascii="Arial" w:cs="Arial" w:eastAsia="Arial" w:hAnsi="Arial"/>
          <w:sz w:val="18"/>
          <w:szCs w:val="18"/>
          <w:color w:val="auto"/>
        </w:rPr>
        <w:t>Approximately $297,675,000 of the offering proceeds, representing the gross proceeds of this offering, would be required to be deposited into either an escrow account with an insured depositary institution or in a separate bank account established by a broker-dealer in which the broker-dealer acts as trustee for persons having the beneficial interests in the account.</w:t>
      </w:r>
    </w:p>
    <w:p>
      <w:pPr>
        <w:spacing w:after="0" w:line="170" w:lineRule="exact"/>
        <w:rPr>
          <w:sz w:val="20"/>
          <w:szCs w:val="20"/>
          <w:color w:val="auto"/>
        </w:rPr>
      </w:pPr>
    </w:p>
    <w:p>
      <w:pPr>
        <w:sectPr>
          <w:pgSz w:w="11900" w:h="16838" w:orient="portrait"/>
          <w:cols w:equalWidth="0" w:num="3">
            <w:col w:w="2040" w:space="400"/>
            <w:col w:w="2880" w:space="160"/>
            <w:col w:w="3539"/>
          </w:cols>
          <w:pgMar w:left="1440" w:top="302" w:right="1440" w:bottom="1440" w:gutter="0" w:footer="0" w:header="0"/>
          <w:type w:val="continuous"/>
        </w:sectPr>
      </w:pPr>
    </w:p>
    <w:p>
      <w:pPr>
        <w:ind w:left="460"/>
        <w:spacing w:after="0"/>
        <w:tabs>
          <w:tab w:leader="none" w:pos="2420" w:val="left"/>
        </w:tabs>
        <w:rPr>
          <w:sz w:val="20"/>
          <w:szCs w:val="20"/>
          <w:color w:val="auto"/>
        </w:rPr>
      </w:pPr>
      <w:r>
        <w:rPr>
          <w:rFonts w:ascii="Arial" w:cs="Arial" w:eastAsia="Arial" w:hAnsi="Arial"/>
          <w:sz w:val="18"/>
          <w:szCs w:val="18"/>
          <w:b w:val="1"/>
          <w:bCs w:val="1"/>
          <w:color w:val="auto"/>
        </w:rPr>
        <w:t>Investment of net</w:t>
      </w:r>
      <w:r>
        <w:rPr>
          <w:sz w:val="20"/>
          <w:szCs w:val="20"/>
          <w:color w:val="auto"/>
        </w:rPr>
        <w:tab/>
      </w:r>
      <w:r>
        <w:rPr>
          <w:rFonts w:ascii="Arial" w:cs="Arial" w:eastAsia="Arial" w:hAnsi="Arial"/>
          <w:sz w:val="17"/>
          <w:szCs w:val="17"/>
          <w:color w:val="auto"/>
        </w:rPr>
        <w:t>$350,000,000 of the net proceeds of</w:t>
      </w:r>
    </w:p>
    <w:p>
      <w:pPr>
        <w:spacing w:after="0" w:line="18" w:lineRule="exact"/>
        <w:rPr>
          <w:sz w:val="20"/>
          <w:szCs w:val="20"/>
          <w:color w:val="auto"/>
        </w:rPr>
      </w:pPr>
    </w:p>
    <w:p>
      <w:pPr>
        <w:ind w:left="2440" w:hanging="1799"/>
        <w:spacing w:after="0" w:line="236" w:lineRule="auto"/>
        <w:tabs>
          <w:tab w:leader="none" w:pos="2420" w:val="left"/>
        </w:tabs>
        <w:rPr>
          <w:sz w:val="20"/>
          <w:szCs w:val="20"/>
          <w:color w:val="auto"/>
        </w:rPr>
      </w:pPr>
      <w:r>
        <w:rPr>
          <w:rFonts w:ascii="Arial" w:cs="Arial" w:eastAsia="Arial" w:hAnsi="Arial"/>
          <w:sz w:val="18"/>
          <w:szCs w:val="18"/>
          <w:b w:val="1"/>
          <w:bCs w:val="1"/>
          <w:color w:val="auto"/>
        </w:rPr>
        <w:t>proceeds</w:t>
      </w:r>
      <w:r>
        <w:rPr>
          <w:sz w:val="20"/>
          <w:szCs w:val="20"/>
          <w:color w:val="auto"/>
        </w:rPr>
        <w:tab/>
      </w:r>
      <w:r>
        <w:rPr>
          <w:rFonts w:ascii="Arial" w:cs="Arial" w:eastAsia="Arial" w:hAnsi="Arial"/>
          <w:sz w:val="18"/>
          <w:szCs w:val="18"/>
          <w:color w:val="auto"/>
        </w:rPr>
        <w:t>this offering and the sale of the private placement warrants held in trust will be invested only in U.S. government treasury obligations with a maturity of 185 days or less or in money market funds meeting certain conditions under Rule 2a-7 under the Investment Company Act which invest only in direct U.S. government treasury obligations.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519"/>
        <w:spacing w:after="0" w:line="236" w:lineRule="auto"/>
        <w:rPr>
          <w:sz w:val="20"/>
          <w:szCs w:val="20"/>
          <w:color w:val="auto"/>
        </w:rPr>
      </w:pPr>
      <w:r>
        <w:rPr>
          <w:rFonts w:ascii="Arial" w:cs="Arial" w:eastAsia="Arial" w:hAnsi="Arial"/>
          <w:sz w:val="18"/>
          <w:szCs w:val="18"/>
          <w:color w:val="auto"/>
        </w:rPr>
        <w:t>Proceeds could be invested only in specified securities such as a money market fund meeting conditions of the Investment Company Act or in securities that are direct obligations of, or obligations guaranteed as to principal or interest by, the United States.</w:t>
      </w:r>
    </w:p>
    <w:p>
      <w:pPr>
        <w:spacing w:after="0" w:line="779" w:lineRule="exact"/>
        <w:rPr>
          <w:sz w:val="20"/>
          <w:szCs w:val="20"/>
          <w:color w:val="auto"/>
        </w:rPr>
      </w:pPr>
    </w:p>
    <w:p>
      <w:pPr>
        <w:sectPr>
          <w:pgSz w:w="11900" w:h="16838" w:orient="portrait"/>
          <w:cols w:equalWidth="0" w:num="2">
            <w:col w:w="5360" w:space="120"/>
            <w:col w:w="3539"/>
          </w:cols>
          <w:pgMar w:left="1440" w:top="302" w:right="1440" w:bottom="1440" w:gutter="0" w:footer="0" w:header="0"/>
          <w:type w:val="continuous"/>
        </w:sectPr>
      </w:pPr>
    </w:p>
    <w:p>
      <w:pPr>
        <w:ind w:left="460"/>
        <w:spacing w:after="0"/>
        <w:rPr>
          <w:sz w:val="20"/>
          <w:szCs w:val="20"/>
          <w:color w:val="auto"/>
        </w:rPr>
      </w:pPr>
      <w:r>
        <w:rPr>
          <w:rFonts w:ascii="Arial" w:cs="Arial" w:eastAsia="Arial" w:hAnsi="Arial"/>
          <w:sz w:val="18"/>
          <w:szCs w:val="18"/>
          <w:b w:val="1"/>
          <w:bCs w:val="1"/>
          <w:color w:val="auto"/>
        </w:rPr>
        <w:t xml:space="preserve">Receipt of interest on  </w:t>
      </w:r>
      <w:r>
        <w:rPr>
          <w:rFonts w:ascii="Arial" w:cs="Arial" w:eastAsia="Arial" w:hAnsi="Arial"/>
          <w:sz w:val="18"/>
          <w:szCs w:val="18"/>
          <w:color w:val="auto"/>
        </w:rPr>
        <w:t>Interest on proceeds from the trust</w:t>
      </w:r>
    </w:p>
    <w:p>
      <w:pPr>
        <w:spacing w:after="0" w:line="18" w:lineRule="exact"/>
        <w:rPr>
          <w:sz w:val="20"/>
          <w:szCs w:val="20"/>
          <w:color w:val="auto"/>
        </w:rPr>
      </w:pPr>
    </w:p>
    <w:p>
      <w:pPr>
        <w:ind w:left="2440" w:hanging="1803"/>
        <w:spacing w:after="0" w:line="236" w:lineRule="auto"/>
        <w:tabs>
          <w:tab w:leader="none" w:pos="2420" w:val="left"/>
        </w:tabs>
        <w:rPr>
          <w:sz w:val="20"/>
          <w:szCs w:val="20"/>
          <w:color w:val="auto"/>
        </w:rPr>
      </w:pPr>
      <w:r>
        <w:rPr>
          <w:rFonts w:ascii="Arial" w:cs="Arial" w:eastAsia="Arial" w:hAnsi="Arial"/>
          <w:sz w:val="18"/>
          <w:szCs w:val="18"/>
          <w:b w:val="1"/>
          <w:bCs w:val="1"/>
          <w:color w:val="auto"/>
        </w:rPr>
        <w:t>escrowed funds</w:t>
      </w:r>
      <w:r>
        <w:rPr>
          <w:sz w:val="20"/>
          <w:szCs w:val="20"/>
          <w:color w:val="auto"/>
        </w:rPr>
        <w:tab/>
      </w:r>
      <w:r>
        <w:rPr>
          <w:rFonts w:ascii="Arial" w:cs="Arial" w:eastAsia="Arial" w:hAnsi="Arial"/>
          <w:sz w:val="18"/>
          <w:szCs w:val="18"/>
          <w:color w:val="auto"/>
        </w:rPr>
        <w:t>account to be paid to stockholders is reduced by (i) any taxes paid or payable and (ii) in the event of our liquidation for failure to complete our initial business combination within the allotted time, up to $ 350,000 of net interest that may be released to us should we have no or insufficient working capital to fund the costs and expenses of our dissolution and liquidation.</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499"/>
        <w:spacing w:after="0" w:line="237" w:lineRule="auto"/>
        <w:rPr>
          <w:sz w:val="20"/>
          <w:szCs w:val="20"/>
          <w:color w:val="auto"/>
        </w:rPr>
      </w:pPr>
      <w:r>
        <w:rPr>
          <w:rFonts w:ascii="Arial" w:cs="Arial" w:eastAsia="Arial" w:hAnsi="Arial"/>
          <w:sz w:val="18"/>
          <w:szCs w:val="18"/>
          <w:color w:val="auto"/>
        </w:rPr>
        <w:t>Interest on funds in escrow account would be held for the sole benefit of investors, unless and only after the funds held in escrow were released to us in connection with our completion of a business combination.</w:t>
      </w:r>
    </w:p>
    <w:p>
      <w:pPr>
        <w:spacing w:after="0" w:line="1414" w:lineRule="exact"/>
        <w:rPr>
          <w:sz w:val="20"/>
          <w:szCs w:val="20"/>
          <w:color w:val="auto"/>
        </w:rPr>
      </w:pPr>
    </w:p>
    <w:p>
      <w:pPr>
        <w:sectPr>
          <w:pgSz w:w="11900" w:h="16838" w:orient="portrait"/>
          <w:cols w:equalWidth="0" w:num="2">
            <w:col w:w="5340" w:space="140"/>
            <w:col w:w="3539"/>
          </w:cols>
          <w:pgMar w:left="1440" w:top="302" w:right="1440" w:bottom="1440" w:gutter="0" w:footer="0" w:header="0"/>
          <w:type w:val="continuous"/>
        </w:sectPr>
      </w:pP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02" w:right="1440" w:bottom="1440" w:gutter="0" w:footer="0" w:header="0"/>
          <w:type w:val="continuous"/>
        </w:sectPr>
      </w:pPr>
    </w:p>
    <w:bookmarkStart w:id="98" w:name="page99"/>
    <w:bookmarkEnd w:id="98"/>
    <w:p>
      <w:pPr>
        <w:spacing w:after="0" w:line="193" w:lineRule="exact"/>
        <w:rPr>
          <w:sz w:val="20"/>
          <w:szCs w:val="20"/>
          <w:color w:val="auto"/>
        </w:rPr>
      </w:pPr>
    </w:p>
    <w:p>
      <w:pPr>
        <w:ind w:left="640" w:right="20" w:hanging="179"/>
        <w:spacing w:after="0" w:line="275" w:lineRule="auto"/>
        <w:rPr>
          <w:sz w:val="20"/>
          <w:szCs w:val="20"/>
          <w:color w:val="auto"/>
        </w:rPr>
      </w:pPr>
      <w:r>
        <w:rPr>
          <w:rFonts w:ascii="Arial" w:cs="Arial" w:eastAsia="Arial" w:hAnsi="Arial"/>
          <w:sz w:val="17"/>
          <w:szCs w:val="17"/>
          <w:b w:val="1"/>
          <w:bCs w:val="1"/>
          <w:color w:val="auto"/>
        </w:rPr>
        <w:t>Limitation on fair value or net assets of target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640" w:right="60" w:hanging="179"/>
        <w:spacing w:after="0" w:line="271" w:lineRule="auto"/>
        <w:rPr>
          <w:sz w:val="20"/>
          <w:szCs w:val="20"/>
          <w:color w:val="auto"/>
        </w:rPr>
      </w:pPr>
      <w:r>
        <w:rPr>
          <w:rFonts w:ascii="Arial" w:cs="Arial" w:eastAsia="Arial" w:hAnsi="Arial"/>
          <w:sz w:val="18"/>
          <w:szCs w:val="18"/>
          <w:b w:val="1"/>
          <w:bCs w:val="1"/>
          <w:color w:val="auto"/>
        </w:rPr>
        <w:t>Trading of securities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40" w:right="540" w:hanging="179"/>
        <w:spacing w:after="0" w:line="271" w:lineRule="auto"/>
        <w:rPr>
          <w:sz w:val="20"/>
          <w:szCs w:val="20"/>
          <w:color w:val="auto"/>
        </w:rPr>
      </w:pPr>
      <w:r>
        <w:rPr>
          <w:rFonts w:ascii="Arial" w:cs="Arial" w:eastAsia="Arial" w:hAnsi="Arial"/>
          <w:sz w:val="18"/>
          <w:szCs w:val="18"/>
          <w:b w:val="1"/>
          <w:bCs w:val="1"/>
          <w:color w:val="auto"/>
        </w:rPr>
        <w:t>Exercise of the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40" w:hanging="179"/>
        <w:spacing w:after="0" w:line="271" w:lineRule="auto"/>
        <w:rPr>
          <w:sz w:val="20"/>
          <w:szCs w:val="20"/>
          <w:color w:val="auto"/>
        </w:rPr>
      </w:pPr>
      <w:r>
        <w:rPr>
          <w:rFonts w:ascii="Arial" w:cs="Arial" w:eastAsia="Arial" w:hAnsi="Arial"/>
          <w:sz w:val="18"/>
          <w:szCs w:val="18"/>
          <w:b w:val="1"/>
          <w:bCs w:val="1"/>
          <w:color w:val="auto"/>
        </w:rPr>
        <w:t>Election to remain an investor</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auto"/>
        </w:rPr>
        <w:t>Terms of Our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34925</wp:posOffset>
            </wp:positionV>
            <wp:extent cx="187706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4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must complete one or more business combinations having an aggregate fair market value of at least 80% of our assets held in the trust account (excluding the deferred underwriting commissions and taxes payable on the income earned on the trust account) at the time of the agreement to enter into the initial business combination.</w:t>
      </w:r>
    </w:p>
    <w:p>
      <w:pPr>
        <w:spacing w:after="0" w:line="192"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The units are expected to begin trading on or promptly after the date of this prospectus. The Class A common stock and warrants comprising the units will begin separate trading on the 52</w:t>
      </w:r>
      <w:r>
        <w:rPr>
          <w:rFonts w:ascii="Arial" w:cs="Arial" w:eastAsia="Arial" w:hAnsi="Arial"/>
          <w:sz w:val="20"/>
          <w:szCs w:val="20"/>
          <w:color w:val="auto"/>
          <w:vertAlign w:val="superscript"/>
        </w:rPr>
        <w:t>nd</w:t>
      </w:r>
      <w:r>
        <w:rPr>
          <w:rFonts w:ascii="Arial" w:cs="Arial" w:eastAsia="Arial" w:hAnsi="Arial"/>
          <w:sz w:val="18"/>
          <w:szCs w:val="18"/>
          <w:color w:val="auto"/>
        </w:rPr>
        <w:t xml:space="preserve"> day following the date of this prospectus unless Jefferies LLC informs us of its decision to allow earlier separate trading, subject to our having filed the Current Report on Form 8-K described below and having issued a press release announcing when such separate trading will begin.</w:t>
      </w:r>
    </w:p>
    <w:p>
      <w:pPr>
        <w:spacing w:after="0" w:line="14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will file the Current Report on Form 8-K promptly after the closing of this offering, which closing is anticipated to take place three business days from the date of this prospectus. If the over-allotment option is exercised following the initial filing of such Current Report on Form 8-K, a second or amended Current Report on Form 8-K will be filed to provide updated financial information to reflect the exercise of the over-allotment option.</w:t>
      </w:r>
    </w:p>
    <w:p>
      <w:pPr>
        <w:spacing w:after="0" w:line="18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warrants cannot be exercised until the later of 30 days after the completion of our initial business combination and 12 months from the closing of this offering.</w:t>
      </w:r>
    </w:p>
    <w:p>
      <w:pPr>
        <w:spacing w:after="0" w:line="391"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We will provide our public stockholders with the opportunity to redeem their public shares for cash at a per share price equal to the aggregate amount then on deposit in the trust account calculated as of two business days prior to the consummation of our initial business combination, including interest earned on the funds held in the trust account and not previously released to us to pay our taxes, divided by the number of then outstanding public shares, upon the completion of our initial business combination, subject to the limitations described herein. We may not be required by law to hold a stockholder vote. If we</w:t>
      </w:r>
    </w:p>
    <w:p>
      <w:pPr>
        <w:spacing w:after="0" w:line="20" w:lineRule="exact"/>
        <w:rPr>
          <w:sz w:val="20"/>
          <w:szCs w:val="20"/>
          <w:color w:val="auto"/>
        </w:rPr>
      </w:pPr>
      <w:r>
        <w:rPr>
          <w:sz w:val="20"/>
          <w:szCs w:val="20"/>
          <w:color w:val="auto"/>
        </w:rPr>
        <w:br w:type="column"/>
      </w:r>
    </w:p>
    <w:p>
      <w:pPr>
        <w:jc w:val="center"/>
        <w:ind w:right="459"/>
        <w:spacing w:after="0"/>
        <w:rPr>
          <w:sz w:val="20"/>
          <w:szCs w:val="20"/>
          <w:color w:val="auto"/>
        </w:rPr>
      </w:pP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wp:posOffset>
            </wp:positionV>
            <wp:extent cx="194564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47" w:lineRule="exact"/>
        <w:rPr>
          <w:sz w:val="20"/>
          <w:szCs w:val="20"/>
          <w:color w:val="auto"/>
        </w:rPr>
      </w:pPr>
    </w:p>
    <w:p>
      <w:pPr>
        <w:jc w:val="both"/>
        <w:ind w:right="499"/>
        <w:spacing w:after="0"/>
        <w:rPr>
          <w:sz w:val="20"/>
          <w:szCs w:val="20"/>
          <w:color w:val="auto"/>
        </w:rPr>
      </w:pPr>
      <w:r>
        <w:rPr>
          <w:rFonts w:ascii="Arial" w:cs="Arial" w:eastAsia="Arial" w:hAnsi="Arial"/>
          <w:sz w:val="18"/>
          <w:szCs w:val="18"/>
          <w:color w:val="auto"/>
        </w:rPr>
        <w:t>The fair value or net assets of a target business must represent at least 80% of the maximum offering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479"/>
        <w:spacing w:after="0" w:line="237" w:lineRule="auto"/>
        <w:rPr>
          <w:sz w:val="20"/>
          <w:szCs w:val="20"/>
          <w:color w:val="auto"/>
        </w:rPr>
      </w:pPr>
      <w:r>
        <w:rPr>
          <w:rFonts w:ascii="Arial" w:cs="Arial" w:eastAsia="Arial" w:hAnsi="Arial"/>
          <w:sz w:val="18"/>
          <w:szCs w:val="18"/>
          <w:color w:val="auto"/>
        </w:rPr>
        <w:t>No trading of the units or the underlying Class A common stock and warrants would be permitted until the completion of a business combination. During this period, the securities would be held in the escrow or trust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519"/>
        <w:spacing w:after="0" w:line="237" w:lineRule="auto"/>
        <w:rPr>
          <w:sz w:val="20"/>
          <w:szCs w:val="20"/>
          <w:color w:val="auto"/>
        </w:rPr>
      </w:pPr>
      <w:r>
        <w:rPr>
          <w:rFonts w:ascii="Arial" w:cs="Arial" w:eastAsia="Arial" w:hAnsi="Arial"/>
          <w:sz w:val="18"/>
          <w:szCs w:val="18"/>
          <w:color w:val="auto"/>
        </w:rPr>
        <w:t>The warrants could be exercised prior to the completion of a business combination, but securities received and cash paid in connection with the exercise would be deposited in the escrow or trust account.</w:t>
      </w:r>
    </w:p>
    <w:p>
      <w:pPr>
        <w:spacing w:after="0" w:line="191" w:lineRule="exact"/>
        <w:rPr>
          <w:sz w:val="20"/>
          <w:szCs w:val="20"/>
          <w:color w:val="auto"/>
        </w:rPr>
      </w:pPr>
    </w:p>
    <w:p>
      <w:pPr>
        <w:ind w:right="519"/>
        <w:spacing w:after="0" w:line="248" w:lineRule="auto"/>
        <w:rPr>
          <w:sz w:val="20"/>
          <w:szCs w:val="20"/>
          <w:color w:val="auto"/>
        </w:rPr>
      </w:pPr>
      <w:r>
        <w:rPr>
          <w:rFonts w:ascii="Arial" w:cs="Arial" w:eastAsia="Arial" w:hAnsi="Arial"/>
          <w:sz w:val="17"/>
          <w:szCs w:val="17"/>
          <w:color w:val="auto"/>
        </w:rPr>
        <w:t>A prospectus containing information pertaining to the business combination required by the SEC would be sent to each investor. Each investor would be given the opportunity to notify the company in writing, within a period of no less than 20 business days and no more than 45 business days from the effective date of a post-effective amendment to the company’s registration statement, to decide if he, she or it elects to remain a stockholder of the company or require the return of his, her or its investment. If the company has not received the notification by the end of the 45</w:t>
      </w:r>
      <w:r>
        <w:rPr>
          <w:rFonts w:ascii="Arial" w:cs="Arial" w:eastAsia="Arial" w:hAnsi="Arial"/>
          <w:sz w:val="19"/>
          <w:szCs w:val="19"/>
          <w:color w:val="auto"/>
          <w:vertAlign w:val="superscript"/>
        </w:rPr>
        <w:t>th</w:t>
      </w:r>
      <w:r>
        <w:rPr>
          <w:rFonts w:ascii="Arial" w:cs="Arial" w:eastAsia="Arial" w:hAnsi="Arial"/>
          <w:sz w:val="17"/>
          <w:szCs w:val="17"/>
          <w:color w:val="auto"/>
        </w:rPr>
        <w:t xml:space="preserve"> business day, funds and interest or dividends, if any, held in</w:t>
      </w:r>
    </w:p>
    <w:p>
      <w:pPr>
        <w:spacing w:after="0" w:line="200" w:lineRule="exact"/>
        <w:rPr>
          <w:sz w:val="20"/>
          <w:szCs w:val="20"/>
          <w:color w:val="auto"/>
        </w:rPr>
      </w:pPr>
    </w:p>
    <w:p>
      <w:pPr>
        <w:sectPr>
          <w:pgSz w:w="11900" w:h="16838" w:orient="portrait"/>
          <w:cols w:equalWidth="0" w:num="3">
            <w:col w:w="2280" w:space="160"/>
            <w:col w:w="2940" w:space="100"/>
            <w:col w:w="3539"/>
          </w:cols>
          <w:pgMar w:left="1440" w:top="383" w:right="1440" w:bottom="1440" w:gutter="0" w:footer="0" w:header="0"/>
        </w:sectPr>
      </w:pP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83" w:right="1440" w:bottom="1440" w:gutter="0" w:footer="0" w:header="0"/>
          <w:type w:val="continuous"/>
        </w:sectPr>
      </w:pPr>
    </w:p>
    <w:bookmarkStart w:id="99" w:name="page100"/>
    <w:bookmarkEnd w:id="99"/>
    <w:tbl>
      <w:tblPr>
        <w:tblLayout w:type="fixed"/>
        <w:tblInd w:w="460" w:type="dxa"/>
        <w:tblCellMar>
          <w:top w:w="0" w:type="dxa"/>
          <w:left w:w="0" w:type="dxa"/>
          <w:bottom w:w="0" w:type="dxa"/>
          <w:right w:w="0" w:type="dxa"/>
        </w:tblCellMar>
      </w:tblPr>
      <w:tr>
        <w:trPr>
          <w:trHeight w:val="190"/>
        </w:trPr>
        <w:tc>
          <w:tcPr>
            <w:tcW w:w="1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60" w:type="dxa"/>
            <w:vAlign w:val="bottom"/>
          </w:tcPr>
          <w:p>
            <w:pPr>
              <w:ind w:left="740"/>
              <w:spacing w:after="0"/>
              <w:rPr>
                <w:sz w:val="20"/>
                <w:szCs w:val="20"/>
                <w:color w:val="auto"/>
              </w:rPr>
            </w:pPr>
            <w:r>
              <w:rPr>
                <w:rFonts w:ascii="Arial" w:cs="Arial" w:eastAsia="Arial" w:hAnsi="Arial"/>
                <w:sz w:val="14"/>
                <w:szCs w:val="14"/>
                <w:b w:val="1"/>
                <w:bCs w:val="1"/>
                <w:color w:val="auto"/>
              </w:rPr>
              <w:t>Terms of Our Offering</w:t>
            </w:r>
          </w:p>
        </w:tc>
      </w:tr>
      <w:tr>
        <w:trPr>
          <w:trHeight w:val="26"/>
        </w:trPr>
        <w:tc>
          <w:tcPr>
            <w:tcW w:w="1620" w:type="dxa"/>
            <w:vAlign w:val="bottom"/>
          </w:tcPr>
          <w:p>
            <w:pPr>
              <w:spacing w:after="0"/>
              <w:rPr>
                <w:sz w:val="2"/>
                <w:szCs w:val="2"/>
                <w:color w:val="auto"/>
              </w:rPr>
            </w:pPr>
          </w:p>
        </w:tc>
        <w:tc>
          <w:tcPr>
            <w:tcW w:w="3320" w:type="dxa"/>
            <w:vAlign w:val="bottom"/>
            <w:gridSpan w:val="2"/>
          </w:tcPr>
          <w:p>
            <w:pPr>
              <w:spacing w:after="0"/>
              <w:rPr>
                <w:sz w:val="2"/>
                <w:szCs w:val="2"/>
                <w:color w:val="auto"/>
              </w:rPr>
            </w:pPr>
          </w:p>
        </w:tc>
      </w:tr>
      <w:tr>
        <w:trPr>
          <w:trHeight w:val="195"/>
        </w:trPr>
        <w:tc>
          <w:tcPr>
            <w:tcW w:w="1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are not required by law and do not</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otherwise decide to hold a</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w w:val="99"/>
              </w:rPr>
              <w:t>stockholder vote, we will, pursuant to</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our amended and restated certificate</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of incorporation, conduct the</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redemptions pursuant to the tender</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offer rules of the SEC and file tender</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offer documents with the SEC which</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will contain substantially the same</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financial and other information about</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the initial business combination and</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the redemption rights as is required</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under the SEC’s proxy rules. If,</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w w:val="99"/>
              </w:rPr>
              <w:t>however, we hold a stockholder vote,</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we will, like many blank check</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companies, offer to redeem shares</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in conjunction with a proxy</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solicitation pursuant to the proxy</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rules and not pursuant to the tender</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offer rules. If we seek stockholder</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approval, we will complete our initial</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business combination only if a</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majority of the shares of common</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stock voted are voted in favor of the</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business combination. Additionally,</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each public stockholder may elect to</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redeem their public shares</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irrespective of whether they vote for</w:t>
            </w:r>
          </w:p>
        </w:tc>
      </w:tr>
      <w:tr>
        <w:trPr>
          <w:trHeight w:val="217"/>
        </w:trPr>
        <w:tc>
          <w:tcPr>
            <w:tcW w:w="1620" w:type="dxa"/>
            <w:vAlign w:val="bottom"/>
          </w:tcPr>
          <w:p>
            <w:pPr>
              <w:spacing w:after="0"/>
              <w:rPr>
                <w:sz w:val="18"/>
                <w:szCs w:val="18"/>
                <w:color w:val="auto"/>
              </w:rPr>
            </w:pPr>
          </w:p>
        </w:tc>
        <w:tc>
          <w:tcPr>
            <w:tcW w:w="3320" w:type="dxa"/>
            <w:vAlign w:val="bottom"/>
            <w:gridSpan w:val="2"/>
          </w:tcPr>
          <w:p>
            <w:pPr>
              <w:ind w:left="360"/>
              <w:spacing w:after="0"/>
              <w:rPr>
                <w:sz w:val="20"/>
                <w:szCs w:val="20"/>
                <w:color w:val="auto"/>
              </w:rPr>
            </w:pPr>
            <w:r>
              <w:rPr>
                <w:rFonts w:ascii="Arial" w:cs="Arial" w:eastAsia="Arial" w:hAnsi="Arial"/>
                <w:sz w:val="18"/>
                <w:szCs w:val="18"/>
                <w:color w:val="auto"/>
              </w:rPr>
              <w:t>or against the proposed transaction.</w:t>
            </w:r>
          </w:p>
        </w:tc>
      </w:tr>
      <w:tr>
        <w:trPr>
          <w:trHeight w:val="369"/>
        </w:trPr>
        <w:tc>
          <w:tcPr>
            <w:tcW w:w="1620" w:type="dxa"/>
            <w:vAlign w:val="bottom"/>
          </w:tcPr>
          <w:p>
            <w:pPr>
              <w:spacing w:after="0"/>
              <w:rPr>
                <w:sz w:val="20"/>
                <w:szCs w:val="20"/>
                <w:color w:val="auto"/>
              </w:rPr>
            </w:pPr>
            <w:r>
              <w:rPr>
                <w:rFonts w:ascii="Arial" w:cs="Arial" w:eastAsia="Arial" w:hAnsi="Arial"/>
                <w:sz w:val="18"/>
                <w:szCs w:val="18"/>
                <w:b w:val="1"/>
                <w:bCs w:val="1"/>
                <w:color w:val="auto"/>
              </w:rPr>
              <w:t>Business</w:t>
            </w:r>
          </w:p>
        </w:tc>
        <w:tc>
          <w:tcPr>
            <w:tcW w:w="3320" w:type="dxa"/>
            <w:vAlign w:val="bottom"/>
            <w:gridSpan w:val="2"/>
          </w:tcPr>
          <w:p>
            <w:pPr>
              <w:ind w:left="360"/>
              <w:spacing w:after="0"/>
              <w:rPr>
                <w:sz w:val="20"/>
                <w:szCs w:val="20"/>
                <w:color w:val="auto"/>
              </w:rPr>
            </w:pPr>
            <w:r>
              <w:rPr>
                <w:rFonts w:ascii="Arial" w:cs="Arial" w:eastAsia="Arial" w:hAnsi="Arial"/>
                <w:sz w:val="18"/>
                <w:szCs w:val="18"/>
                <w:color w:val="auto"/>
              </w:rPr>
              <w:t>If we are unable to complete an</w:t>
            </w:r>
          </w:p>
        </w:tc>
      </w:tr>
      <w:tr>
        <w:trPr>
          <w:trHeight w:val="203"/>
        </w:trPr>
        <w:tc>
          <w:tcPr>
            <w:tcW w:w="162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combination</w:t>
            </w: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w w:val="99"/>
              </w:rPr>
              <w:t>initial business combination within 24</w:t>
            </w:r>
          </w:p>
        </w:tc>
      </w:tr>
      <w:tr>
        <w:trPr>
          <w:trHeight w:val="225"/>
        </w:trPr>
        <w:tc>
          <w:tcPr>
            <w:tcW w:w="1620" w:type="dxa"/>
            <w:vAlign w:val="bottom"/>
          </w:tcPr>
          <w:p>
            <w:pPr>
              <w:ind w:left="180"/>
              <w:spacing w:after="0"/>
              <w:rPr>
                <w:sz w:val="20"/>
                <w:szCs w:val="20"/>
                <w:color w:val="auto"/>
              </w:rPr>
            </w:pPr>
            <w:r>
              <w:rPr>
                <w:rFonts w:ascii="Arial" w:cs="Arial" w:eastAsia="Arial" w:hAnsi="Arial"/>
                <w:sz w:val="18"/>
                <w:szCs w:val="18"/>
                <w:b w:val="1"/>
                <w:bCs w:val="1"/>
                <w:color w:val="auto"/>
              </w:rPr>
              <w:t>deadline</w:t>
            </w:r>
          </w:p>
        </w:tc>
        <w:tc>
          <w:tcPr>
            <w:tcW w:w="3320" w:type="dxa"/>
            <w:vAlign w:val="bottom"/>
            <w:gridSpan w:val="2"/>
          </w:tcPr>
          <w:p>
            <w:pPr>
              <w:ind w:left="360"/>
              <w:spacing w:after="0"/>
              <w:rPr>
                <w:sz w:val="20"/>
                <w:szCs w:val="20"/>
                <w:color w:val="auto"/>
              </w:rPr>
            </w:pPr>
            <w:r>
              <w:rPr>
                <w:rFonts w:ascii="Arial" w:cs="Arial" w:eastAsia="Arial" w:hAnsi="Arial"/>
                <w:sz w:val="18"/>
                <w:szCs w:val="18"/>
                <w:color w:val="auto"/>
              </w:rPr>
              <w:t>months from the closing of this</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offering, we will (i) cease all</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operations except for the purpose of</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winding up, (ii) as promptly as</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reasonably possible but not more</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than ten business days thereafter,</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redeem 100% of the public shares,</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at a per-share price, payable in</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cash, equal to the aggregate amount</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then on deposit in the trust account,</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including interest earned on the</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funds held in the trust account and</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not previously released to us to pay</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our taxes (less up to $100,000 of</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interest to pay dissolution</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expenses), divided by the number of</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then outstanding public shares,</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which redemption will completely</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extinguish public stockholders’ rights</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as stockholders (including the right</w:t>
            </w:r>
          </w:p>
        </w:tc>
      </w:tr>
      <w:tr>
        <w:trPr>
          <w:trHeight w:val="202"/>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to receive further liquidating</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distributions, if any), and (iii) as</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promptly as reasonably possible</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w w:val="99"/>
              </w:rPr>
              <w:t>following such redemption, subject to</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the approval of our remaining</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stockholders and our board of</w:t>
            </w:r>
          </w:p>
        </w:tc>
      </w:tr>
      <w:tr>
        <w:trPr>
          <w:trHeight w:val="202"/>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directors, liquidate and dissolve,</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subject in each case to our</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obligations under Delaware law to</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provide for claims of creditors and in</w:t>
            </w:r>
          </w:p>
        </w:tc>
      </w:tr>
      <w:tr>
        <w:trPr>
          <w:trHeight w:val="203"/>
        </w:trPr>
        <w:tc>
          <w:tcPr>
            <w:tcW w:w="1620" w:type="dxa"/>
            <w:vAlign w:val="bottom"/>
          </w:tcPr>
          <w:p>
            <w:pPr>
              <w:spacing w:after="0"/>
              <w:rPr>
                <w:sz w:val="17"/>
                <w:szCs w:val="17"/>
                <w:color w:val="auto"/>
              </w:rPr>
            </w:pPr>
          </w:p>
        </w:tc>
        <w:tc>
          <w:tcPr>
            <w:tcW w:w="33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all cases subject to the requirements</w:t>
            </w:r>
          </w:p>
        </w:tc>
      </w:tr>
      <w:tr>
        <w:trPr>
          <w:trHeight w:val="217"/>
        </w:trPr>
        <w:tc>
          <w:tcPr>
            <w:tcW w:w="1620" w:type="dxa"/>
            <w:vAlign w:val="bottom"/>
          </w:tcPr>
          <w:p>
            <w:pPr>
              <w:spacing w:after="0"/>
              <w:rPr>
                <w:sz w:val="18"/>
                <w:szCs w:val="18"/>
                <w:color w:val="auto"/>
              </w:rPr>
            </w:pPr>
          </w:p>
        </w:tc>
        <w:tc>
          <w:tcPr>
            <w:tcW w:w="3320" w:type="dxa"/>
            <w:vAlign w:val="bottom"/>
            <w:gridSpan w:val="2"/>
          </w:tcPr>
          <w:p>
            <w:pPr>
              <w:ind w:left="360"/>
              <w:spacing w:after="0"/>
              <w:rPr>
                <w:sz w:val="20"/>
                <w:szCs w:val="20"/>
                <w:color w:val="auto"/>
              </w:rPr>
            </w:pPr>
            <w:r>
              <w:rPr>
                <w:rFonts w:ascii="Arial" w:cs="Arial" w:eastAsia="Arial" w:hAnsi="Arial"/>
                <w:sz w:val="18"/>
                <w:szCs w:val="18"/>
                <w:color w:val="auto"/>
              </w:rPr>
              <w:t>of other applicable law.</w:t>
            </w:r>
          </w:p>
        </w:tc>
      </w:tr>
      <w:tr>
        <w:trPr>
          <w:trHeight w:val="432"/>
        </w:trPr>
        <w:tc>
          <w:tcPr>
            <w:tcW w:w="1620" w:type="dxa"/>
            <w:vAlign w:val="bottom"/>
          </w:tcPr>
          <w:p>
            <w:pPr>
              <w:spacing w:after="0"/>
              <w:rPr>
                <w:sz w:val="24"/>
                <w:szCs w:val="24"/>
                <w:color w:val="auto"/>
              </w:rPr>
            </w:pPr>
          </w:p>
        </w:tc>
        <w:tc>
          <w:tcPr>
            <w:tcW w:w="3320" w:type="dxa"/>
            <w:vAlign w:val="bottom"/>
            <w:gridSpan w:val="2"/>
          </w:tcPr>
          <w:p>
            <w:pPr>
              <w:ind w:left="2320"/>
              <w:spacing w:after="0"/>
              <w:rPr>
                <w:sz w:val="20"/>
                <w:szCs w:val="20"/>
                <w:color w:val="auto"/>
              </w:rPr>
            </w:pPr>
            <w:r>
              <w:rPr>
                <w:rFonts w:ascii="Arial" w:cs="Arial" w:eastAsia="Arial" w:hAnsi="Arial"/>
                <w:sz w:val="18"/>
                <w:szCs w:val="18"/>
                <w:color w:val="auto"/>
              </w:rPr>
              <w:t>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-8255</wp:posOffset>
            </wp:positionV>
            <wp:extent cx="51435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420"/>
        <w:spacing w:after="0"/>
        <w:rPr>
          <w:sz w:val="20"/>
          <w:szCs w:val="20"/>
          <w:color w:val="auto"/>
        </w:rPr>
      </w:pP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wp:posOffset>
            </wp:positionV>
            <wp:extent cx="194564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47" w:lineRule="exact"/>
        <w:rPr>
          <w:sz w:val="20"/>
          <w:szCs w:val="20"/>
          <w:color w:val="auto"/>
        </w:rPr>
      </w:pPr>
    </w:p>
    <w:p>
      <w:pPr>
        <w:ind w:right="659"/>
        <w:spacing w:after="0" w:line="236" w:lineRule="auto"/>
        <w:rPr>
          <w:sz w:val="20"/>
          <w:szCs w:val="20"/>
          <w:color w:val="auto"/>
        </w:rPr>
      </w:pPr>
      <w:r>
        <w:rPr>
          <w:rFonts w:ascii="Arial" w:cs="Arial" w:eastAsia="Arial" w:hAnsi="Arial"/>
          <w:sz w:val="18"/>
          <w:szCs w:val="18"/>
          <w:color w:val="auto"/>
        </w:rPr>
        <w:t>the trust or escrow account are automatically returned to the stockholder. Unless a sufficient number of investors elect to remain investors, all funds on deposit in the escrow account must be returned to all of the investors and none of the securities are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599"/>
        <w:spacing w:after="0" w:line="237" w:lineRule="auto"/>
        <w:rPr>
          <w:sz w:val="20"/>
          <w:szCs w:val="20"/>
          <w:color w:val="auto"/>
        </w:rPr>
      </w:pPr>
      <w:r>
        <w:rPr>
          <w:rFonts w:ascii="Arial" w:cs="Arial" w:eastAsia="Arial" w:hAnsi="Arial"/>
          <w:sz w:val="18"/>
          <w:szCs w:val="18"/>
          <w:color w:val="auto"/>
        </w:rPr>
        <w:t>If an acquisition has not been completed within 18 months after the effective date of the company’s registration statement, funds held in the trust or escrow account are returned to investors.</w:t>
      </w:r>
    </w:p>
    <w:p>
      <w:pPr>
        <w:sectPr>
          <w:pgSz w:w="11900" w:h="16838" w:orient="portrait"/>
          <w:cols w:equalWidth="0" w:num="2">
            <w:col w:w="5400" w:space="80"/>
            <w:col w:w="3539"/>
          </w:cols>
          <w:pgMar w:left="1440" w:top="383" w:right="1440" w:bottom="1440" w:gutter="0" w:footer="0" w:header="0"/>
        </w:sectPr>
      </w:pPr>
    </w:p>
    <w:bookmarkStart w:id="100" w:name="page101"/>
    <w:bookmarkEnd w:id="100"/>
    <w:tbl>
      <w:tblPr>
        <w:tblLayout w:type="fixed"/>
        <w:tblInd w:w="460" w:type="dxa"/>
        <w:tblCellMar>
          <w:top w:w="0" w:type="dxa"/>
          <w:left w:w="0" w:type="dxa"/>
          <w:bottom w:w="0" w:type="dxa"/>
          <w:right w:w="0" w:type="dxa"/>
        </w:tblCellMar>
      </w:tblPr>
      <w:tr>
        <w:trPr>
          <w:trHeight w:val="190"/>
        </w:trPr>
        <w:tc>
          <w:tcPr>
            <w:tcW w:w="1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960" w:type="dxa"/>
            <w:vAlign w:val="bottom"/>
          </w:tcPr>
          <w:p>
            <w:pPr>
              <w:ind w:left="740"/>
              <w:spacing w:after="0"/>
              <w:rPr>
                <w:sz w:val="20"/>
                <w:szCs w:val="20"/>
                <w:color w:val="auto"/>
              </w:rPr>
            </w:pPr>
            <w:r>
              <w:rPr>
                <w:rFonts w:ascii="Arial" w:cs="Arial" w:eastAsia="Arial" w:hAnsi="Arial"/>
                <w:sz w:val="14"/>
                <w:szCs w:val="14"/>
                <w:b w:val="1"/>
                <w:bCs w:val="1"/>
                <w:color w:val="auto"/>
              </w:rPr>
              <w:t>Terms of Our Offering</w:t>
            </w:r>
          </w:p>
        </w:tc>
        <w:tc>
          <w:tcPr>
            <w:tcW w:w="0" w:type="dxa"/>
            <w:vAlign w:val="bottom"/>
          </w:tcPr>
          <w:p>
            <w:pPr>
              <w:spacing w:after="0"/>
              <w:rPr>
                <w:sz w:val="1"/>
                <w:szCs w:val="1"/>
                <w:color w:val="auto"/>
              </w:rPr>
            </w:pPr>
          </w:p>
        </w:tc>
      </w:tr>
      <w:tr>
        <w:trPr>
          <w:trHeight w:val="26"/>
        </w:trPr>
        <w:tc>
          <w:tcPr>
            <w:tcW w:w="1920" w:type="dxa"/>
            <w:vAlign w:val="bottom"/>
            <w:vMerge w:val="restart"/>
          </w:tcPr>
          <w:p>
            <w:pPr>
              <w:spacing w:after="0"/>
              <w:rPr>
                <w:sz w:val="20"/>
                <w:szCs w:val="20"/>
                <w:color w:val="auto"/>
              </w:rPr>
            </w:pPr>
            <w:r>
              <w:rPr>
                <w:rFonts w:ascii="Arial" w:cs="Arial" w:eastAsia="Arial" w:hAnsi="Arial"/>
                <w:sz w:val="18"/>
                <w:szCs w:val="18"/>
                <w:b w:val="1"/>
                <w:bCs w:val="1"/>
                <w:color w:val="auto"/>
              </w:rPr>
              <w:t>Release of funds</w:t>
            </w:r>
          </w:p>
        </w:tc>
        <w:tc>
          <w:tcPr>
            <w:tcW w:w="30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9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9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Except for the withdrawal of interest</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to pay our taxes, none of the funds</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held in trust will be released from the</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trust account until the earliest of (i)</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the completion of our initial business</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combination, (ii) the redemption of</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our public shares if we are unable to</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complete our initial business</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combination within 24 months from</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the closing of this offering, subject to</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applicable law, and (iii) the</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redemption of our public shares</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properly submitted in connection</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with a stockholder vote to approve</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an amendment to our amended and</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restated certificate of incorporation</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to modify the substance or timing of</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our obligation to redeem 100% of</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our public shares if we have not</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consummated an initial business</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combination within 24 months from</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the closing of this offering or with</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respect to any other material</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provisions relating to stockholders’</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rights or pre-initial business</w:t>
            </w:r>
          </w:p>
        </w:tc>
        <w:tc>
          <w:tcPr>
            <w:tcW w:w="0" w:type="dxa"/>
            <w:vAlign w:val="bottom"/>
          </w:tcPr>
          <w:p>
            <w:pPr>
              <w:spacing w:after="0"/>
              <w:rPr>
                <w:sz w:val="1"/>
                <w:szCs w:val="1"/>
                <w:color w:val="auto"/>
              </w:rPr>
            </w:pPr>
          </w:p>
        </w:tc>
      </w:tr>
      <w:tr>
        <w:trPr>
          <w:trHeight w:val="217"/>
        </w:trPr>
        <w:tc>
          <w:tcPr>
            <w:tcW w:w="1920" w:type="dxa"/>
            <w:vAlign w:val="bottom"/>
          </w:tcPr>
          <w:p>
            <w:pPr>
              <w:spacing w:after="0"/>
              <w:rPr>
                <w:sz w:val="18"/>
                <w:szCs w:val="18"/>
                <w:color w:val="auto"/>
              </w:rPr>
            </w:pPr>
          </w:p>
        </w:tc>
        <w:tc>
          <w:tcPr>
            <w:tcW w:w="3020" w:type="dxa"/>
            <w:vAlign w:val="bottom"/>
            <w:gridSpan w:val="2"/>
          </w:tcPr>
          <w:p>
            <w:pPr>
              <w:ind w:left="60"/>
              <w:spacing w:after="0"/>
              <w:rPr>
                <w:sz w:val="20"/>
                <w:szCs w:val="20"/>
                <w:color w:val="auto"/>
              </w:rPr>
            </w:pPr>
            <w:r>
              <w:rPr>
                <w:rFonts w:ascii="Arial" w:cs="Arial" w:eastAsia="Arial" w:hAnsi="Arial"/>
                <w:sz w:val="18"/>
                <w:szCs w:val="18"/>
                <w:color w:val="auto"/>
              </w:rPr>
              <w:t>combination activity.</w:t>
            </w:r>
          </w:p>
        </w:tc>
        <w:tc>
          <w:tcPr>
            <w:tcW w:w="0" w:type="dxa"/>
            <w:vAlign w:val="bottom"/>
          </w:tcPr>
          <w:p>
            <w:pPr>
              <w:spacing w:after="0"/>
              <w:rPr>
                <w:sz w:val="1"/>
                <w:szCs w:val="1"/>
                <w:color w:val="auto"/>
              </w:rPr>
            </w:pPr>
          </w:p>
        </w:tc>
      </w:tr>
      <w:tr>
        <w:trPr>
          <w:trHeight w:val="369"/>
        </w:trPr>
        <w:tc>
          <w:tcPr>
            <w:tcW w:w="1920" w:type="dxa"/>
            <w:vAlign w:val="bottom"/>
          </w:tcPr>
          <w:p>
            <w:pPr>
              <w:spacing w:after="0"/>
              <w:rPr>
                <w:sz w:val="20"/>
                <w:szCs w:val="20"/>
                <w:color w:val="auto"/>
              </w:rPr>
            </w:pPr>
            <w:r>
              <w:rPr>
                <w:rFonts w:ascii="Arial" w:cs="Arial" w:eastAsia="Arial" w:hAnsi="Arial"/>
                <w:sz w:val="18"/>
                <w:szCs w:val="18"/>
                <w:b w:val="1"/>
                <w:bCs w:val="1"/>
                <w:color w:val="auto"/>
              </w:rPr>
              <w:t>Delivering stock</w:t>
            </w:r>
          </w:p>
        </w:tc>
        <w:tc>
          <w:tcPr>
            <w:tcW w:w="3020" w:type="dxa"/>
            <w:vAlign w:val="bottom"/>
            <w:gridSpan w:val="2"/>
          </w:tcPr>
          <w:p>
            <w:pPr>
              <w:ind w:left="60"/>
              <w:spacing w:after="0"/>
              <w:rPr>
                <w:sz w:val="20"/>
                <w:szCs w:val="20"/>
                <w:color w:val="auto"/>
              </w:rPr>
            </w:pPr>
            <w:r>
              <w:rPr>
                <w:rFonts w:ascii="Arial" w:cs="Arial" w:eastAsia="Arial" w:hAnsi="Arial"/>
                <w:sz w:val="18"/>
                <w:szCs w:val="18"/>
                <w:color w:val="auto"/>
              </w:rPr>
              <w:t>We intend to require our public</w:t>
            </w:r>
          </w:p>
        </w:tc>
        <w:tc>
          <w:tcPr>
            <w:tcW w:w="0" w:type="dxa"/>
            <w:vAlign w:val="bottom"/>
          </w:tcPr>
          <w:p>
            <w:pPr>
              <w:spacing w:after="0"/>
              <w:rPr>
                <w:sz w:val="1"/>
                <w:szCs w:val="1"/>
                <w:color w:val="auto"/>
              </w:rPr>
            </w:pPr>
          </w:p>
        </w:tc>
      </w:tr>
      <w:tr>
        <w:trPr>
          <w:trHeight w:val="203"/>
        </w:trPr>
        <w:tc>
          <w:tcPr>
            <w:tcW w:w="192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certificates in</w:t>
            </w: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stockholders seeking to exercise</w:t>
            </w:r>
          </w:p>
        </w:tc>
        <w:tc>
          <w:tcPr>
            <w:tcW w:w="0" w:type="dxa"/>
            <w:vAlign w:val="bottom"/>
          </w:tcPr>
          <w:p>
            <w:pPr>
              <w:spacing w:after="0"/>
              <w:rPr>
                <w:sz w:val="1"/>
                <w:szCs w:val="1"/>
                <w:color w:val="auto"/>
              </w:rPr>
            </w:pPr>
          </w:p>
        </w:tc>
      </w:tr>
      <w:tr>
        <w:trPr>
          <w:trHeight w:val="202"/>
        </w:trPr>
        <w:tc>
          <w:tcPr>
            <w:tcW w:w="192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connection with the</w:t>
            </w: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their redemption rights, whether they</w:t>
            </w:r>
          </w:p>
        </w:tc>
        <w:tc>
          <w:tcPr>
            <w:tcW w:w="0" w:type="dxa"/>
            <w:vAlign w:val="bottom"/>
          </w:tcPr>
          <w:p>
            <w:pPr>
              <w:spacing w:after="0"/>
              <w:rPr>
                <w:sz w:val="1"/>
                <w:szCs w:val="1"/>
                <w:color w:val="auto"/>
              </w:rPr>
            </w:pPr>
          </w:p>
        </w:tc>
      </w:tr>
      <w:tr>
        <w:trPr>
          <w:trHeight w:val="203"/>
        </w:trPr>
        <w:tc>
          <w:tcPr>
            <w:tcW w:w="192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exercise of</w:t>
            </w: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are record holders or hold their</w:t>
            </w:r>
          </w:p>
        </w:tc>
        <w:tc>
          <w:tcPr>
            <w:tcW w:w="0" w:type="dxa"/>
            <w:vAlign w:val="bottom"/>
          </w:tcPr>
          <w:p>
            <w:pPr>
              <w:spacing w:after="0"/>
              <w:rPr>
                <w:sz w:val="1"/>
                <w:szCs w:val="1"/>
                <w:color w:val="auto"/>
              </w:rPr>
            </w:pPr>
          </w:p>
        </w:tc>
      </w:tr>
      <w:tr>
        <w:trPr>
          <w:trHeight w:val="225"/>
        </w:trPr>
        <w:tc>
          <w:tcPr>
            <w:tcW w:w="1920" w:type="dxa"/>
            <w:vAlign w:val="bottom"/>
          </w:tcPr>
          <w:p>
            <w:pPr>
              <w:ind w:left="180"/>
              <w:spacing w:after="0"/>
              <w:rPr>
                <w:sz w:val="20"/>
                <w:szCs w:val="20"/>
                <w:color w:val="auto"/>
              </w:rPr>
            </w:pPr>
            <w:r>
              <w:rPr>
                <w:rFonts w:ascii="Arial" w:cs="Arial" w:eastAsia="Arial" w:hAnsi="Arial"/>
                <w:sz w:val="18"/>
                <w:szCs w:val="18"/>
                <w:b w:val="1"/>
                <w:bCs w:val="1"/>
                <w:color w:val="auto"/>
              </w:rPr>
              <w:t>redemption rights</w:t>
            </w:r>
          </w:p>
        </w:tc>
        <w:tc>
          <w:tcPr>
            <w:tcW w:w="3020" w:type="dxa"/>
            <w:vAlign w:val="bottom"/>
            <w:gridSpan w:val="2"/>
          </w:tcPr>
          <w:p>
            <w:pPr>
              <w:ind w:left="60"/>
              <w:spacing w:after="0"/>
              <w:rPr>
                <w:sz w:val="20"/>
                <w:szCs w:val="20"/>
                <w:color w:val="auto"/>
              </w:rPr>
            </w:pPr>
            <w:r>
              <w:rPr>
                <w:rFonts w:ascii="Arial" w:cs="Arial" w:eastAsia="Arial" w:hAnsi="Arial"/>
                <w:sz w:val="18"/>
                <w:szCs w:val="18"/>
                <w:color w:val="auto"/>
              </w:rPr>
              <w:t>shares in “street name,” to, at the</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holder’s option, either deliver their</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stock certificates to our transfer</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agent or deliver their shares to our</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transfer agent electronically using</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The Depository Trust Company’s</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DWAC (Deposit/Withdrawal At</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Custodian) system, prior to the date</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set forth in the proxy materials or</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tender offer documents, as</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applicable In the case of proxy</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materials, this date may be up to two</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business days prior to the date on</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which the vote on the proposal to</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approve the initial business</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combination is to be held. In</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addition, if we conduct redemptions</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in connection with a stockholder</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vote, we intend to require a public</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stockholder seeking redemption of</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its public shares to also submit a</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written request for redemption to our</w:t>
            </w:r>
          </w:p>
        </w:tc>
        <w:tc>
          <w:tcPr>
            <w:tcW w:w="0" w:type="dxa"/>
            <w:vAlign w:val="bottom"/>
          </w:tcPr>
          <w:p>
            <w:pPr>
              <w:spacing w:after="0"/>
              <w:rPr>
                <w:sz w:val="1"/>
                <w:szCs w:val="1"/>
                <w:color w:val="auto"/>
              </w:rPr>
            </w:pPr>
          </w:p>
        </w:tc>
      </w:tr>
      <w:tr>
        <w:trPr>
          <w:trHeight w:val="202"/>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transfer agent two business days</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w w:val="99"/>
              </w:rPr>
              <w:t>prior to the vote in which the name of</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the beneficial owner of such shares</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is included. The proxy materials or</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tender offer documents, as</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applicable, that we will furnish to</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holders of our public shares in</w:t>
            </w:r>
          </w:p>
        </w:tc>
        <w:tc>
          <w:tcPr>
            <w:tcW w:w="0" w:type="dxa"/>
            <w:vAlign w:val="bottom"/>
          </w:tcPr>
          <w:p>
            <w:pPr>
              <w:spacing w:after="0"/>
              <w:rPr>
                <w:sz w:val="1"/>
                <w:szCs w:val="1"/>
                <w:color w:val="auto"/>
              </w:rPr>
            </w:pPr>
          </w:p>
        </w:tc>
      </w:tr>
      <w:tr>
        <w:trPr>
          <w:trHeight w:val="202"/>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connection with our initial business</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combination will indicate whether we</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are requiring public stockholders to</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satisfy such delivery requirements.</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Accordingly, a public stockholder</w:t>
            </w:r>
          </w:p>
        </w:tc>
        <w:tc>
          <w:tcPr>
            <w:tcW w:w="0" w:type="dxa"/>
            <w:vAlign w:val="bottom"/>
          </w:tcPr>
          <w:p>
            <w:pPr>
              <w:spacing w:after="0"/>
              <w:rPr>
                <w:sz w:val="1"/>
                <w:szCs w:val="1"/>
                <w:color w:val="auto"/>
              </w:rPr>
            </w:pP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would have up to two business days</w:t>
            </w:r>
          </w:p>
        </w:tc>
        <w:tc>
          <w:tcPr>
            <w:tcW w:w="0" w:type="dxa"/>
            <w:vAlign w:val="bottom"/>
          </w:tcPr>
          <w:p>
            <w:pPr>
              <w:spacing w:after="0"/>
              <w:rPr>
                <w:sz w:val="1"/>
                <w:szCs w:val="1"/>
                <w:color w:val="auto"/>
              </w:rPr>
            </w:pPr>
          </w:p>
        </w:tc>
      </w:tr>
      <w:tr>
        <w:trPr>
          <w:trHeight w:val="217"/>
        </w:trPr>
        <w:tc>
          <w:tcPr>
            <w:tcW w:w="1920" w:type="dxa"/>
            <w:vAlign w:val="bottom"/>
          </w:tcPr>
          <w:p>
            <w:pPr>
              <w:spacing w:after="0"/>
              <w:rPr>
                <w:sz w:val="18"/>
                <w:szCs w:val="18"/>
                <w:color w:val="auto"/>
              </w:rPr>
            </w:pPr>
          </w:p>
        </w:tc>
        <w:tc>
          <w:tcPr>
            <w:tcW w:w="3020" w:type="dxa"/>
            <w:vAlign w:val="bottom"/>
            <w:gridSpan w:val="2"/>
          </w:tcPr>
          <w:p>
            <w:pPr>
              <w:ind w:left="60"/>
              <w:spacing w:after="0"/>
              <w:rPr>
                <w:sz w:val="20"/>
                <w:szCs w:val="20"/>
                <w:color w:val="auto"/>
              </w:rPr>
            </w:pPr>
            <w:r>
              <w:rPr>
                <w:rFonts w:ascii="Arial" w:cs="Arial" w:eastAsia="Arial" w:hAnsi="Arial"/>
                <w:sz w:val="18"/>
                <w:szCs w:val="18"/>
                <w:color w:val="auto"/>
              </w:rPr>
              <w:t>prior to the vote on the</w:t>
            </w:r>
          </w:p>
        </w:tc>
        <w:tc>
          <w:tcPr>
            <w:tcW w:w="0" w:type="dxa"/>
            <w:vAlign w:val="bottom"/>
          </w:tcPr>
          <w:p>
            <w:pPr>
              <w:spacing w:after="0"/>
              <w:rPr>
                <w:sz w:val="1"/>
                <w:szCs w:val="1"/>
                <w:color w:val="auto"/>
              </w:rPr>
            </w:pPr>
          </w:p>
        </w:tc>
      </w:tr>
      <w:tr>
        <w:trPr>
          <w:trHeight w:val="432"/>
        </w:trPr>
        <w:tc>
          <w:tcPr>
            <w:tcW w:w="1920" w:type="dxa"/>
            <w:vAlign w:val="bottom"/>
          </w:tcPr>
          <w:p>
            <w:pPr>
              <w:spacing w:after="0"/>
              <w:rPr>
                <w:sz w:val="24"/>
                <w:szCs w:val="24"/>
                <w:color w:val="auto"/>
              </w:rPr>
            </w:pPr>
          </w:p>
        </w:tc>
        <w:tc>
          <w:tcPr>
            <w:tcW w:w="3020" w:type="dxa"/>
            <w:vAlign w:val="bottom"/>
            <w:gridSpan w:val="2"/>
          </w:tcPr>
          <w:p>
            <w:pPr>
              <w:ind w:left="202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-7620</wp:posOffset>
            </wp:positionV>
            <wp:extent cx="51435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420"/>
        <w:spacing w:after="0"/>
        <w:rPr>
          <w:sz w:val="20"/>
          <w:szCs w:val="20"/>
          <w:color w:val="auto"/>
        </w:rPr>
      </w:pP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wp:posOffset>
            </wp:positionV>
            <wp:extent cx="194564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47" w:lineRule="exact"/>
        <w:rPr>
          <w:sz w:val="20"/>
          <w:szCs w:val="20"/>
          <w:color w:val="auto"/>
        </w:rPr>
      </w:pPr>
    </w:p>
    <w:p>
      <w:pPr>
        <w:ind w:right="499"/>
        <w:spacing w:after="0" w:line="237" w:lineRule="auto"/>
        <w:rPr>
          <w:sz w:val="20"/>
          <w:szCs w:val="20"/>
          <w:color w:val="auto"/>
        </w:rPr>
      </w:pPr>
      <w:r>
        <w:rPr>
          <w:rFonts w:ascii="Arial" w:cs="Arial" w:eastAsia="Arial" w:hAnsi="Arial"/>
          <w:sz w:val="18"/>
          <w:szCs w:val="18"/>
          <w:color w:val="auto"/>
        </w:rPr>
        <w:t>The proceeds held in the escrow account are not released until the earlier of the completion of a business combination or the failure to effect a business combination within the allotted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539"/>
        <w:spacing w:after="0" w:line="251" w:lineRule="auto"/>
        <w:rPr>
          <w:sz w:val="20"/>
          <w:szCs w:val="20"/>
          <w:color w:val="auto"/>
        </w:rPr>
      </w:pPr>
      <w:r>
        <w:rPr>
          <w:rFonts w:ascii="Arial" w:cs="Arial" w:eastAsia="Arial" w:hAnsi="Arial"/>
          <w:sz w:val="17"/>
          <w:szCs w:val="17"/>
          <w:color w:val="auto"/>
        </w:rPr>
        <w:t>Many blank check companies provide that a stockholder can vote against a proposed business combination and check a box on the proxy card indicating that such stockholder is seeking to exercise its redemption rights. After the business combination is approved, the company would contact such stockholder to arrange for delivery of its share certificates to verify ownership.</w:t>
      </w:r>
    </w:p>
    <w:p>
      <w:pPr>
        <w:sectPr>
          <w:pgSz w:w="11900" w:h="16838" w:orient="portrait"/>
          <w:cols w:equalWidth="0" w:num="2">
            <w:col w:w="5400" w:space="80"/>
            <w:col w:w="3539"/>
          </w:cols>
          <w:pgMar w:left="1440" w:top="383" w:right="1440" w:bottom="1440" w:gutter="0" w:footer="0" w:header="0"/>
        </w:sectPr>
      </w:pPr>
    </w:p>
    <w:bookmarkStart w:id="101" w:name="page102"/>
    <w:bookmarkEnd w:id="101"/>
    <w:tbl>
      <w:tblPr>
        <w:tblLayout w:type="fixed"/>
        <w:tblInd w:w="460" w:type="dxa"/>
        <w:tblCellMar>
          <w:top w:w="0" w:type="dxa"/>
          <w:left w:w="0" w:type="dxa"/>
          <w:bottom w:w="0" w:type="dxa"/>
          <w:right w:w="0" w:type="dxa"/>
        </w:tblCellMar>
      </w:tblPr>
      <w:tr>
        <w:trPr>
          <w:trHeight w:val="190"/>
        </w:trPr>
        <w:tc>
          <w:tcPr>
            <w:tcW w:w="1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960" w:type="dxa"/>
            <w:vAlign w:val="bottom"/>
          </w:tcPr>
          <w:p>
            <w:pPr>
              <w:ind w:left="740"/>
              <w:spacing w:after="0"/>
              <w:rPr>
                <w:sz w:val="20"/>
                <w:szCs w:val="20"/>
                <w:color w:val="auto"/>
              </w:rPr>
            </w:pPr>
            <w:r>
              <w:rPr>
                <w:rFonts w:ascii="Arial" w:cs="Arial" w:eastAsia="Arial" w:hAnsi="Arial"/>
                <w:sz w:val="14"/>
                <w:szCs w:val="14"/>
                <w:b w:val="1"/>
                <w:bCs w:val="1"/>
                <w:color w:val="auto"/>
              </w:rPr>
              <w:t>Terms of Our Offering</w:t>
            </w:r>
          </w:p>
        </w:tc>
      </w:tr>
      <w:tr>
        <w:trPr>
          <w:trHeight w:val="26"/>
        </w:trPr>
        <w:tc>
          <w:tcPr>
            <w:tcW w:w="1920" w:type="dxa"/>
            <w:vAlign w:val="bottom"/>
          </w:tcPr>
          <w:p>
            <w:pPr>
              <w:spacing w:after="0"/>
              <w:rPr>
                <w:sz w:val="2"/>
                <w:szCs w:val="2"/>
                <w:color w:val="auto"/>
              </w:rPr>
            </w:pPr>
          </w:p>
        </w:tc>
        <w:tc>
          <w:tcPr>
            <w:tcW w:w="3020" w:type="dxa"/>
            <w:vAlign w:val="bottom"/>
            <w:gridSpan w:val="2"/>
          </w:tcPr>
          <w:p>
            <w:pPr>
              <w:spacing w:after="0"/>
              <w:rPr>
                <w:sz w:val="2"/>
                <w:szCs w:val="2"/>
                <w:color w:val="auto"/>
              </w:rPr>
            </w:pPr>
          </w:p>
        </w:tc>
      </w:tr>
      <w:tr>
        <w:trPr>
          <w:trHeight w:val="195"/>
        </w:trPr>
        <w:tc>
          <w:tcPr>
            <w:tcW w:w="1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9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initial business combination if we</w:t>
            </w: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distribute proxy materials, or from</w:t>
            </w: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w w:val="99"/>
              </w:rPr>
              <w:t>the time we send out our tender offer</w:t>
            </w: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w w:val="99"/>
              </w:rPr>
              <w:t>materials until the close of the tender</w:t>
            </w: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offer period, as applicable, to submit</w:t>
            </w: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or tender its shares if it wishes to</w:t>
            </w: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seek to exercise its redemption</w:t>
            </w:r>
          </w:p>
        </w:tc>
      </w:tr>
      <w:tr>
        <w:trPr>
          <w:trHeight w:val="217"/>
        </w:trPr>
        <w:tc>
          <w:tcPr>
            <w:tcW w:w="1920" w:type="dxa"/>
            <w:vAlign w:val="bottom"/>
          </w:tcPr>
          <w:p>
            <w:pPr>
              <w:spacing w:after="0"/>
              <w:rPr>
                <w:sz w:val="18"/>
                <w:szCs w:val="18"/>
                <w:color w:val="auto"/>
              </w:rPr>
            </w:pPr>
          </w:p>
        </w:tc>
        <w:tc>
          <w:tcPr>
            <w:tcW w:w="3020" w:type="dxa"/>
            <w:vAlign w:val="bottom"/>
            <w:gridSpan w:val="2"/>
          </w:tcPr>
          <w:p>
            <w:pPr>
              <w:ind w:left="60"/>
              <w:spacing w:after="0"/>
              <w:rPr>
                <w:sz w:val="20"/>
                <w:szCs w:val="20"/>
                <w:color w:val="auto"/>
              </w:rPr>
            </w:pPr>
            <w:r>
              <w:rPr>
                <w:rFonts w:ascii="Arial" w:cs="Arial" w:eastAsia="Arial" w:hAnsi="Arial"/>
                <w:sz w:val="18"/>
                <w:szCs w:val="18"/>
                <w:color w:val="auto"/>
              </w:rPr>
              <w:t>rights.</w:t>
            </w:r>
          </w:p>
        </w:tc>
      </w:tr>
      <w:tr>
        <w:trPr>
          <w:trHeight w:val="369"/>
        </w:trPr>
        <w:tc>
          <w:tcPr>
            <w:tcW w:w="1920" w:type="dxa"/>
            <w:vAlign w:val="bottom"/>
          </w:tcPr>
          <w:p>
            <w:pPr>
              <w:spacing w:after="0"/>
              <w:rPr>
                <w:sz w:val="20"/>
                <w:szCs w:val="20"/>
                <w:color w:val="auto"/>
              </w:rPr>
            </w:pPr>
            <w:r>
              <w:rPr>
                <w:rFonts w:ascii="Arial" w:cs="Arial" w:eastAsia="Arial" w:hAnsi="Arial"/>
                <w:sz w:val="18"/>
                <w:szCs w:val="18"/>
                <w:b w:val="1"/>
                <w:bCs w:val="1"/>
                <w:color w:val="auto"/>
              </w:rPr>
              <w:t>Limitation on</w:t>
            </w:r>
          </w:p>
        </w:tc>
        <w:tc>
          <w:tcPr>
            <w:tcW w:w="3020" w:type="dxa"/>
            <w:vAlign w:val="bottom"/>
            <w:gridSpan w:val="2"/>
          </w:tcPr>
          <w:p>
            <w:pPr>
              <w:ind w:left="60"/>
              <w:spacing w:after="0"/>
              <w:rPr>
                <w:sz w:val="20"/>
                <w:szCs w:val="20"/>
                <w:color w:val="auto"/>
              </w:rPr>
            </w:pPr>
            <w:r>
              <w:rPr>
                <w:rFonts w:ascii="Arial" w:cs="Arial" w:eastAsia="Arial" w:hAnsi="Arial"/>
                <w:sz w:val="18"/>
                <w:szCs w:val="18"/>
                <w:color w:val="auto"/>
              </w:rPr>
              <w:t>If we seek stockholder approval of</w:t>
            </w:r>
          </w:p>
        </w:tc>
      </w:tr>
      <w:tr>
        <w:trPr>
          <w:trHeight w:val="203"/>
        </w:trPr>
        <w:tc>
          <w:tcPr>
            <w:tcW w:w="192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redemption rights</w:t>
            </w: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our initial business combination and</w:t>
            </w:r>
          </w:p>
        </w:tc>
      </w:tr>
      <w:tr>
        <w:trPr>
          <w:trHeight w:val="203"/>
        </w:trPr>
        <w:tc>
          <w:tcPr>
            <w:tcW w:w="192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of stockholders</w:t>
            </w: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we do not conduct redemptions in</w:t>
            </w:r>
          </w:p>
        </w:tc>
      </w:tr>
      <w:tr>
        <w:trPr>
          <w:trHeight w:val="203"/>
        </w:trPr>
        <w:tc>
          <w:tcPr>
            <w:tcW w:w="192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holding more than</w:t>
            </w: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connection with our initial business</w:t>
            </w:r>
          </w:p>
        </w:tc>
      </w:tr>
      <w:tr>
        <w:trPr>
          <w:trHeight w:val="203"/>
        </w:trPr>
        <w:tc>
          <w:tcPr>
            <w:tcW w:w="192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20% of the shares</w:t>
            </w: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combination pursuant to the tender</w:t>
            </w:r>
          </w:p>
        </w:tc>
      </w:tr>
      <w:tr>
        <w:trPr>
          <w:trHeight w:val="203"/>
        </w:trPr>
        <w:tc>
          <w:tcPr>
            <w:tcW w:w="192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sold in this offering</w:t>
            </w: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offer rules, our amended and</w:t>
            </w:r>
          </w:p>
        </w:tc>
      </w:tr>
      <w:tr>
        <w:trPr>
          <w:trHeight w:val="203"/>
        </w:trPr>
        <w:tc>
          <w:tcPr>
            <w:tcW w:w="1920" w:type="dxa"/>
            <w:vAlign w:val="bottom"/>
          </w:tcPr>
          <w:p>
            <w:pPr>
              <w:ind w:left="180"/>
              <w:spacing w:after="0" w:line="202" w:lineRule="exact"/>
              <w:rPr>
                <w:sz w:val="20"/>
                <w:szCs w:val="20"/>
                <w:color w:val="auto"/>
              </w:rPr>
            </w:pPr>
            <w:r>
              <w:rPr>
                <w:rFonts w:ascii="Arial" w:cs="Arial" w:eastAsia="Arial" w:hAnsi="Arial"/>
                <w:sz w:val="18"/>
                <w:szCs w:val="18"/>
                <w:b w:val="1"/>
                <w:bCs w:val="1"/>
                <w:color w:val="auto"/>
              </w:rPr>
              <w:t>if we hold a</w:t>
            </w: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restated certificate of incorporation</w:t>
            </w:r>
          </w:p>
        </w:tc>
      </w:tr>
      <w:tr>
        <w:trPr>
          <w:trHeight w:val="224"/>
        </w:trPr>
        <w:tc>
          <w:tcPr>
            <w:tcW w:w="1920" w:type="dxa"/>
            <w:vAlign w:val="bottom"/>
          </w:tcPr>
          <w:p>
            <w:pPr>
              <w:ind w:left="180"/>
              <w:spacing w:after="0"/>
              <w:rPr>
                <w:sz w:val="20"/>
                <w:szCs w:val="20"/>
                <w:color w:val="auto"/>
              </w:rPr>
            </w:pPr>
            <w:r>
              <w:rPr>
                <w:rFonts w:ascii="Arial" w:cs="Arial" w:eastAsia="Arial" w:hAnsi="Arial"/>
                <w:sz w:val="18"/>
                <w:szCs w:val="18"/>
                <w:b w:val="1"/>
                <w:bCs w:val="1"/>
                <w:color w:val="auto"/>
              </w:rPr>
              <w:t>stockholder vote</w:t>
            </w:r>
          </w:p>
        </w:tc>
        <w:tc>
          <w:tcPr>
            <w:tcW w:w="3020" w:type="dxa"/>
            <w:vAlign w:val="bottom"/>
            <w:gridSpan w:val="2"/>
          </w:tcPr>
          <w:p>
            <w:pPr>
              <w:ind w:left="60"/>
              <w:spacing w:after="0"/>
              <w:rPr>
                <w:sz w:val="20"/>
                <w:szCs w:val="20"/>
                <w:color w:val="auto"/>
              </w:rPr>
            </w:pPr>
            <w:r>
              <w:rPr>
                <w:rFonts w:ascii="Arial" w:cs="Arial" w:eastAsia="Arial" w:hAnsi="Arial"/>
                <w:sz w:val="18"/>
                <w:szCs w:val="18"/>
                <w:color w:val="auto"/>
              </w:rPr>
              <w:t>provides that a public stockholder,</w:t>
            </w: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together with any affiliate of such</w:t>
            </w: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stockholder or any other person with</w:t>
            </w: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whom such stockholder is acting in</w:t>
            </w: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concert or as a “group” (as defined</w:t>
            </w: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under Section 13 of the Exchange</w:t>
            </w: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Act), will be restricted from seeking</w:t>
            </w: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redemption rights with respect to</w:t>
            </w: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Excess Shares, without our prior</w:t>
            </w: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consent. However, we would not</w:t>
            </w: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restrict our stockholders’ ability to</w:t>
            </w: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vote all of their shares (including</w:t>
            </w:r>
          </w:p>
        </w:tc>
      </w:tr>
      <w:tr>
        <w:trPr>
          <w:trHeight w:val="203"/>
        </w:trPr>
        <w:tc>
          <w:tcPr>
            <w:tcW w:w="1920" w:type="dxa"/>
            <w:vAlign w:val="bottom"/>
          </w:tcPr>
          <w:p>
            <w:pPr>
              <w:spacing w:after="0"/>
              <w:rPr>
                <w:sz w:val="17"/>
                <w:szCs w:val="17"/>
                <w:color w:val="auto"/>
              </w:rPr>
            </w:pPr>
          </w:p>
        </w:tc>
        <w:tc>
          <w:tcPr>
            <w:tcW w:w="30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Excess Shares) for or against our</w:t>
            </w:r>
          </w:p>
        </w:tc>
      </w:tr>
      <w:tr>
        <w:trPr>
          <w:trHeight w:val="217"/>
        </w:trPr>
        <w:tc>
          <w:tcPr>
            <w:tcW w:w="1920" w:type="dxa"/>
            <w:vAlign w:val="bottom"/>
          </w:tcPr>
          <w:p>
            <w:pPr>
              <w:spacing w:after="0"/>
              <w:rPr>
                <w:sz w:val="18"/>
                <w:szCs w:val="18"/>
                <w:color w:val="auto"/>
              </w:rPr>
            </w:pPr>
          </w:p>
        </w:tc>
        <w:tc>
          <w:tcPr>
            <w:tcW w:w="3020" w:type="dxa"/>
            <w:vAlign w:val="bottom"/>
            <w:gridSpan w:val="2"/>
          </w:tcPr>
          <w:p>
            <w:pPr>
              <w:ind w:left="60"/>
              <w:spacing w:after="0"/>
              <w:rPr>
                <w:sz w:val="20"/>
                <w:szCs w:val="20"/>
                <w:color w:val="auto"/>
              </w:rPr>
            </w:pPr>
            <w:r>
              <w:rPr>
                <w:rFonts w:ascii="Arial" w:cs="Arial" w:eastAsia="Arial" w:hAnsi="Arial"/>
                <w:sz w:val="18"/>
                <w:szCs w:val="18"/>
                <w:color w:val="auto"/>
              </w:rPr>
              <w:t>initial business combination.</w:t>
            </w:r>
          </w:p>
        </w:tc>
      </w:tr>
      <w:tr>
        <w:trPr>
          <w:trHeight w:val="459"/>
        </w:trPr>
        <w:tc>
          <w:tcPr>
            <w:tcW w:w="1920" w:type="dxa"/>
            <w:vAlign w:val="bottom"/>
          </w:tcPr>
          <w:p>
            <w:pPr>
              <w:spacing w:after="0"/>
              <w:rPr>
                <w:sz w:val="20"/>
                <w:szCs w:val="20"/>
                <w:color w:val="auto"/>
              </w:rPr>
            </w:pPr>
            <w:r>
              <w:rPr>
                <w:rFonts w:ascii="Arial" w:cs="Arial" w:eastAsia="Arial" w:hAnsi="Arial"/>
                <w:sz w:val="18"/>
                <w:szCs w:val="18"/>
                <w:b w:val="1"/>
                <w:bCs w:val="1"/>
                <w:color w:val="auto"/>
              </w:rPr>
              <w:t>Competition</w:t>
            </w:r>
          </w:p>
        </w:tc>
        <w:tc>
          <w:tcPr>
            <w:tcW w:w="60" w:type="dxa"/>
            <w:vAlign w:val="bottom"/>
          </w:tcPr>
          <w:p>
            <w:pPr>
              <w:spacing w:after="0"/>
              <w:rPr>
                <w:sz w:val="24"/>
                <w:szCs w:val="24"/>
                <w:color w:val="auto"/>
              </w:rPr>
            </w:pPr>
          </w:p>
        </w:tc>
        <w:tc>
          <w:tcPr>
            <w:tcW w:w="29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ind w:left="420"/>
        <w:spacing w:after="0"/>
        <w:rPr>
          <w:sz w:val="20"/>
          <w:szCs w:val="20"/>
          <w:color w:val="auto"/>
        </w:rPr>
      </w:pP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34925</wp:posOffset>
            </wp:positionV>
            <wp:extent cx="194564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519"/>
        <w:spacing w:after="0" w:line="237" w:lineRule="auto"/>
        <w:rPr>
          <w:sz w:val="20"/>
          <w:szCs w:val="20"/>
          <w:color w:val="auto"/>
        </w:rPr>
      </w:pPr>
      <w:r>
        <w:rPr>
          <w:rFonts w:ascii="Arial" w:cs="Arial" w:eastAsia="Arial" w:hAnsi="Arial"/>
          <w:sz w:val="18"/>
          <w:szCs w:val="18"/>
          <w:color w:val="auto"/>
        </w:rPr>
        <w:t>Many blank check companies provide no restrictions on the ability of stockholders to redeem shares based on the number of shares held by such stockholders in connection with an initial business combination.</w:t>
      </w:r>
    </w:p>
    <w:p>
      <w:pPr>
        <w:spacing w:after="0" w:line="3633" w:lineRule="exact"/>
        <w:rPr>
          <w:sz w:val="20"/>
          <w:szCs w:val="20"/>
          <w:color w:val="auto"/>
        </w:rPr>
      </w:pPr>
    </w:p>
    <w:p>
      <w:pPr>
        <w:sectPr>
          <w:pgSz w:w="11900" w:h="16838" w:orient="portrait"/>
          <w:cols w:equalWidth="0" w:num="2">
            <w:col w:w="5400" w:space="80"/>
            <w:col w:w="3539"/>
          </w:cols>
          <w:pgMar w:left="1440" w:top="383" w:right="1440" w:bottom="1440" w:gutter="0" w:footer="0" w:header="0"/>
        </w:sectPr>
      </w:pPr>
    </w:p>
    <w:p>
      <w:pPr>
        <w:ind w:left="460" w:right="479"/>
        <w:spacing w:after="0" w:line="235" w:lineRule="auto"/>
        <w:rPr>
          <w:sz w:val="20"/>
          <w:szCs w:val="20"/>
          <w:color w:val="auto"/>
        </w:rPr>
      </w:pPr>
      <w:r>
        <w:rPr>
          <w:rFonts w:ascii="Arial" w:cs="Arial" w:eastAsia="Arial" w:hAnsi="Arial"/>
          <w:sz w:val="18"/>
          <w:szCs w:val="18"/>
          <w:color w:val="auto"/>
        </w:rPr>
        <w:t>In identifying, evaluating and selecting a target business for our initial business combination, we may encounter competition from other entities having a business objective similar to ours, including other special purpose acquisition companies, private equity groups and leveraged buyout funds, public companies and operating businesses seeking strategic acquisitions. Many of these entities are well established and have extensive experience identifying and effecting business combinations directly or through affiliates. Moreover, many of these competitors possess greater financial, technical, human and other resources than us. Our ability to acquire larger target businesses will be limited by our available financial resources. This inherent limitation gives others an advantage in pursuing the acquisition of a target business. Furthermore, our obligation to pay cash in connection with our public stockholders who properly exercise their redemption rights may reduce the resources available to us for our initial business combination and our outstanding warrants, and the future dilution they potentially represent, may not be viewed favorably by certain target businesses. Either of these factors may place us at a competitive disadvantage in successfully negotiating an initial business combination.</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Facilities</w:t>
      </w:r>
    </w:p>
    <w:p>
      <w:pPr>
        <w:spacing w:after="0" w:line="166" w:lineRule="exact"/>
        <w:rPr>
          <w:sz w:val="20"/>
          <w:szCs w:val="20"/>
          <w:color w:val="auto"/>
        </w:rPr>
      </w:pPr>
    </w:p>
    <w:p>
      <w:pPr>
        <w:jc w:val="both"/>
        <w:ind w:left="460" w:right="559"/>
        <w:spacing w:after="0"/>
        <w:rPr>
          <w:sz w:val="20"/>
          <w:szCs w:val="20"/>
          <w:color w:val="auto"/>
        </w:rPr>
      </w:pPr>
      <w:r>
        <w:rPr>
          <w:rFonts w:ascii="Arial" w:cs="Arial" w:eastAsia="Arial" w:hAnsi="Arial"/>
          <w:sz w:val="18"/>
          <w:szCs w:val="18"/>
          <w:color w:val="auto"/>
        </w:rPr>
        <w:t>We currently utilize office space at 667 Madison Avenue, New York, NY 10065 from an affiliate of our sponsor and the members of our management team. We consider our current office space adequate for our current operations.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Employees</w:t>
      </w:r>
    </w:p>
    <w:p>
      <w:pPr>
        <w:spacing w:after="0" w:line="153"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We currently have three executive officers: Eli Casdin, Brian Emes and Shaun Rodriguez. These individuals are not obligated to devote any specific number of hours to our matters but they intend to devote as much of their time as they deem necessary to our affairs until we have completed our initial business combination. The amount of time they will devote in any time period will vary based on whether a target business has been selected for our initial business combination and the stage of the business combination process we are in. We do not intend to have any full time employees prior to the completion of our initial business combination.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83" w:right="1440" w:bottom="1440" w:gutter="0" w:footer="0" w:header="0"/>
          <w:type w:val="continuous"/>
        </w:sectPr>
      </w:pPr>
    </w:p>
    <w:bookmarkStart w:id="102" w:name="page103"/>
    <w:bookmarkEnd w:id="102"/>
    <w:p>
      <w:pPr>
        <w:ind w:left="460"/>
        <w:spacing w:after="0"/>
        <w:rPr>
          <w:sz w:val="20"/>
          <w:szCs w:val="20"/>
          <w:color w:val="auto"/>
        </w:rPr>
      </w:pPr>
      <w:r>
        <w:rPr>
          <w:rFonts w:ascii="Arial" w:cs="Arial" w:eastAsia="Arial" w:hAnsi="Arial"/>
          <w:sz w:val="18"/>
          <w:szCs w:val="18"/>
          <w:b w:val="1"/>
          <w:bCs w:val="1"/>
          <w:color w:val="auto"/>
        </w:rPr>
        <w:t>Periodic Reporting and Financial Information</w:t>
      </w:r>
    </w:p>
    <w:p>
      <w:pPr>
        <w:spacing w:after="0" w:line="166" w:lineRule="exact"/>
        <w:rPr>
          <w:sz w:val="20"/>
          <w:szCs w:val="20"/>
          <w:color w:val="auto"/>
        </w:rPr>
      </w:pPr>
    </w:p>
    <w:p>
      <w:pPr>
        <w:ind w:left="460" w:right="579"/>
        <w:spacing w:after="0" w:line="257" w:lineRule="auto"/>
        <w:rPr>
          <w:sz w:val="20"/>
          <w:szCs w:val="20"/>
          <w:color w:val="auto"/>
        </w:rPr>
      </w:pPr>
      <w:r>
        <w:rPr>
          <w:rFonts w:ascii="Arial" w:cs="Arial" w:eastAsia="Arial" w:hAnsi="Arial"/>
          <w:sz w:val="17"/>
          <w:szCs w:val="17"/>
          <w:color w:val="auto"/>
        </w:rPr>
        <w:t>We will register our units, Class A common stock and warrants under the Exchange Act and have reporting obligations, including the requirement that we file annual, quarterly and current reports with the SEC. In accordance with the requirements of the Exchange Act, our annual reports will contain financial statements audited and reported on by our independent registered public accountants.</w:t>
      </w:r>
    </w:p>
    <w:p>
      <w:pPr>
        <w:spacing w:after="0" w:line="108"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We will provide stockholders with audited financial statements of the prospective target business as part of the proxy solicitation materials or tender offer documents sent to stockholders to assist them in assessing the target business. In all likelihood, these financial statements will need to be prepared in accordance with, or reconciled to, GAAP, or IFRS, depending on the circumstances, and the historical financial statements may be required to be audited in accordance with the standards of the PCAOB. These financial statement requirements may limit the pool of potential target businesses we may conduct an initial business combination with because some targets may be unable to provide such statements in time for us to disclose such statements in accordance with federal proxy rules and complete our initial business combination within the prescribed time frame. We cannot assure you that any particular target business identified by us as a potential business combination candidate will have financial statements prepared in accordance with the requirements outlined above, or that the potential target business will be able to prepare its financial statements in accordance with the requirements outlined above. To the extent that these requirements cannot be met, we may not be able to acquire the proposed target business. While this may limit the pool of potential business combination candidates, we do not believe that this limitation will be material.</w:t>
      </w:r>
    </w:p>
    <w:p>
      <w:pPr>
        <w:spacing w:after="0" w:line="146"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We will be required to evaluate our internal control procedures for the fiscal year ending December 31, 2021 as required by the Sarbanes-Oxley Act. Only in the event we are deemed to be a large accelerated filer or an accelerated filer, and no longer qualify as an emerging growth company, will we be required to have our internal control procedures audited. A target business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business combination.</w:t>
      </w:r>
    </w:p>
    <w:p>
      <w:pPr>
        <w:spacing w:after="0" w:line="140" w:lineRule="exact"/>
        <w:rPr>
          <w:sz w:val="20"/>
          <w:szCs w:val="20"/>
          <w:color w:val="auto"/>
        </w:rPr>
      </w:pPr>
    </w:p>
    <w:p>
      <w:pPr>
        <w:ind w:left="460" w:right="539"/>
        <w:spacing w:after="0" w:line="238" w:lineRule="auto"/>
        <w:rPr>
          <w:sz w:val="20"/>
          <w:szCs w:val="20"/>
          <w:color w:val="auto"/>
        </w:rPr>
      </w:pPr>
      <w:r>
        <w:rPr>
          <w:rFonts w:ascii="Arial" w:cs="Arial" w:eastAsia="Arial" w:hAnsi="Arial"/>
          <w:sz w:val="18"/>
          <w:szCs w:val="18"/>
          <w:color w:val="auto"/>
        </w:rPr>
        <w:t>Prior to the date of this prospectus, we will file a Registration Statement on Form 8-A with the SEC to voluntarily register our securities under Section 12 of the Exchange Act. As a result, we will be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121" w:lineRule="exact"/>
        <w:rPr>
          <w:sz w:val="20"/>
          <w:szCs w:val="20"/>
          <w:color w:val="auto"/>
        </w:rPr>
      </w:pPr>
    </w:p>
    <w:p>
      <w:pPr>
        <w:ind w:left="460" w:right="659"/>
        <w:spacing w:after="0" w:line="236" w:lineRule="auto"/>
        <w:rPr>
          <w:sz w:val="20"/>
          <w:szCs w:val="20"/>
          <w:color w:val="auto"/>
        </w:rPr>
      </w:pPr>
      <w:r>
        <w:rPr>
          <w:rFonts w:ascii="Arial" w:cs="Arial" w:eastAsia="Arial" w:hAnsi="Arial"/>
          <w:sz w:val="18"/>
          <w:szCs w:val="18"/>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38"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35" w:lineRule="exact"/>
        <w:rPr>
          <w:sz w:val="20"/>
          <w:szCs w:val="20"/>
          <w:color w:val="auto"/>
        </w:rPr>
      </w:pPr>
    </w:p>
    <w:p>
      <w:pPr>
        <w:ind w:left="460" w:right="599"/>
        <w:spacing w:after="0" w:line="233" w:lineRule="auto"/>
        <w:rPr>
          <w:sz w:val="20"/>
          <w:szCs w:val="20"/>
          <w:color w:val="auto"/>
        </w:rPr>
      </w:pPr>
      <w:r>
        <w:rPr>
          <w:rFonts w:ascii="Arial" w:cs="Arial" w:eastAsia="Arial" w:hAnsi="Arial"/>
          <w:sz w:val="18"/>
          <w:szCs w:val="18"/>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shares of Class A common stock that are held by non-affiliates exceeds $700 million as of the prior June 30</w:t>
      </w:r>
      <w:r>
        <w:rPr>
          <w:rFonts w:ascii="Arial" w:cs="Arial" w:eastAsia="Arial" w:hAnsi="Arial"/>
          <w:sz w:val="20"/>
          <w:szCs w:val="20"/>
          <w:color w:val="auto"/>
          <w:vertAlign w:val="superscript"/>
        </w:rPr>
        <w:t>th</w:t>
      </w:r>
      <w:r>
        <w:rPr>
          <w:rFonts w:ascii="Arial" w:cs="Arial" w:eastAsia="Arial" w:hAnsi="Arial"/>
          <w:sz w:val="18"/>
          <w:szCs w:val="18"/>
          <w:color w:val="auto"/>
        </w:rPr>
        <w:t>, and (2) the date on which we have issued more than $1.0 billion in non-convertible debt securities during the prior three-year period.</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03" w:name="page104"/>
    <w:bookmarkEnd w:id="103"/>
    <w:p>
      <w:pPr>
        <w:ind w:left="460" w:right="459"/>
        <w:spacing w:after="0" w:line="233" w:lineRule="auto"/>
        <w:rPr>
          <w:sz w:val="20"/>
          <w:szCs w:val="20"/>
          <w:color w:val="auto"/>
        </w:rPr>
      </w:pPr>
      <w:r>
        <w:rPr>
          <w:rFonts w:ascii="Arial" w:cs="Arial" w:eastAsia="Arial" w:hAnsi="Arial"/>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exceeds $250 million as of the prior June 30</w:t>
      </w:r>
      <w:r>
        <w:rPr>
          <w:rFonts w:ascii="Arial" w:cs="Arial" w:eastAsia="Arial" w:hAnsi="Arial"/>
          <w:sz w:val="20"/>
          <w:szCs w:val="20"/>
          <w:color w:val="auto"/>
          <w:vertAlign w:val="superscript"/>
        </w:rPr>
        <w:t>th</w:t>
      </w:r>
      <w:r>
        <w:rPr>
          <w:rFonts w:ascii="Arial" w:cs="Arial" w:eastAsia="Arial" w:hAnsi="Arial"/>
          <w:sz w:val="18"/>
          <w:szCs w:val="18"/>
          <w:color w:val="auto"/>
        </w:rPr>
        <w:t>, or (2) our annual revenues exceeded $100 million during such completed fiscal year and the market value of our common stock held by non-affiliates exceeds $700 million as of the prior June 30.</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Legal Proceedings</w:t>
      </w:r>
    </w:p>
    <w:p>
      <w:pPr>
        <w:spacing w:after="0" w:line="153" w:lineRule="exact"/>
        <w:rPr>
          <w:sz w:val="20"/>
          <w:szCs w:val="20"/>
          <w:color w:val="auto"/>
        </w:rPr>
      </w:pPr>
    </w:p>
    <w:p>
      <w:pPr>
        <w:ind w:left="460" w:right="559"/>
        <w:spacing w:after="0" w:line="246" w:lineRule="auto"/>
        <w:rPr>
          <w:sz w:val="20"/>
          <w:szCs w:val="20"/>
          <w:color w:val="auto"/>
        </w:rPr>
      </w:pPr>
      <w:r>
        <w:rPr>
          <w:rFonts w:ascii="Arial" w:cs="Arial" w:eastAsia="Arial" w:hAnsi="Arial"/>
          <w:sz w:val="18"/>
          <w:szCs w:val="18"/>
          <w:color w:val="auto"/>
        </w:rPr>
        <w:t>There is no material litigation, arbitration or governmental proceeding currently pending against us or any members of our management team in their capacity as such.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04" w:name="page105"/>
    <w:bookmarkEnd w:id="104"/>
    <w:p>
      <w:pPr>
        <w:ind w:left="3840"/>
        <w:spacing w:after="0"/>
        <w:rPr>
          <w:sz w:val="20"/>
          <w:szCs w:val="20"/>
          <w:color w:val="auto"/>
        </w:rPr>
      </w:pPr>
      <w:r>
        <w:rPr>
          <w:rFonts w:ascii="Arial" w:cs="Arial" w:eastAsia="Arial" w:hAnsi="Arial"/>
          <w:sz w:val="18"/>
          <w:szCs w:val="18"/>
          <w:b w:val="1"/>
          <w:bCs w:val="1"/>
          <w:color w:val="auto"/>
        </w:rPr>
        <w:t>MANAGEMENT</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Officers, Directors and Director Nominees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officers, directors and director nominees are as follows:</w:t>
      </w:r>
    </w:p>
    <w:p>
      <w:pPr>
        <w:spacing w:after="0" w:line="240"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28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Age</w:t>
            </w:r>
          </w:p>
        </w:tc>
        <w:tc>
          <w:tcPr>
            <w:tcW w:w="4300" w:type="dxa"/>
            <w:vAlign w:val="bottom"/>
          </w:tcPr>
          <w:p>
            <w:pPr>
              <w:ind w:left="1860"/>
              <w:spacing w:after="0"/>
              <w:rPr>
                <w:sz w:val="20"/>
                <w:szCs w:val="20"/>
                <w:color w:val="auto"/>
              </w:rPr>
            </w:pPr>
            <w:r>
              <w:rPr>
                <w:rFonts w:ascii="Arial" w:cs="Arial" w:eastAsia="Arial" w:hAnsi="Arial"/>
                <w:sz w:val="14"/>
                <w:szCs w:val="14"/>
                <w:b w:val="1"/>
                <w:bCs w:val="1"/>
                <w:color w:val="auto"/>
              </w:rPr>
              <w:t>Position</w:t>
            </w:r>
          </w:p>
        </w:tc>
      </w:tr>
      <w:tr>
        <w:trPr>
          <w:trHeight w:val="26"/>
        </w:trPr>
        <w:tc>
          <w:tcPr>
            <w:tcW w:w="2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43"/>
        </w:trPr>
        <w:tc>
          <w:tcPr>
            <w:tcW w:w="2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Eli D. Casdin</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47</w:t>
            </w:r>
          </w:p>
        </w:tc>
        <w:tc>
          <w:tcPr>
            <w:tcW w:w="100" w:type="dxa"/>
            <w:vAlign w:val="bottom"/>
            <w:tcBorders>
              <w:bottom w:val="single" w:sz="8" w:color="CCEEFF"/>
            </w:tcBorders>
            <w:shd w:val="clear" w:color="auto" w:fill="CCEEFF"/>
          </w:tcPr>
          <w:p>
            <w:pPr>
              <w:spacing w:after="0"/>
              <w:rPr>
                <w:sz w:val="21"/>
                <w:szCs w:val="21"/>
                <w:color w:val="auto"/>
              </w:rPr>
            </w:pPr>
          </w:p>
        </w:tc>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Chief Executive Officer and Director</w:t>
            </w:r>
          </w:p>
        </w:tc>
      </w:tr>
      <w:tr>
        <w:trPr>
          <w:trHeight w:val="257"/>
        </w:trPr>
        <w:tc>
          <w:tcPr>
            <w:tcW w:w="2860" w:type="dxa"/>
            <w:vAlign w:val="bottom"/>
            <w:gridSpan w:val="2"/>
          </w:tcPr>
          <w:p>
            <w:pPr>
              <w:spacing w:after="0"/>
              <w:rPr>
                <w:sz w:val="20"/>
                <w:szCs w:val="20"/>
                <w:color w:val="auto"/>
              </w:rPr>
            </w:pPr>
            <w:r>
              <w:rPr>
                <w:rFonts w:ascii="Arial" w:cs="Arial" w:eastAsia="Arial" w:hAnsi="Arial"/>
                <w:sz w:val="18"/>
                <w:szCs w:val="18"/>
                <w:color w:val="auto"/>
              </w:rPr>
              <w:t>Keith A. Meister</w:t>
            </w: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47</w:t>
            </w:r>
          </w:p>
        </w:tc>
        <w:tc>
          <w:tcPr>
            <w:tcW w:w="100" w:type="dxa"/>
            <w:vAlign w:val="bottom"/>
          </w:tcPr>
          <w:p>
            <w:pPr>
              <w:spacing w:after="0"/>
              <w:rPr>
                <w:sz w:val="22"/>
                <w:szCs w:val="22"/>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Chairman</w:t>
            </w:r>
          </w:p>
        </w:tc>
      </w:tr>
      <w:tr>
        <w:trPr>
          <w:trHeight w:val="27"/>
        </w:trPr>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300" w:type="dxa"/>
            <w:vAlign w:val="bottom"/>
          </w:tcPr>
          <w:p>
            <w:pPr>
              <w:spacing w:after="0"/>
              <w:rPr>
                <w:sz w:val="2"/>
                <w:szCs w:val="2"/>
                <w:color w:val="auto"/>
              </w:rPr>
            </w:pPr>
          </w:p>
        </w:tc>
      </w:tr>
      <w:tr>
        <w:trPr>
          <w:trHeight w:val="263"/>
        </w:trPr>
        <w:tc>
          <w:tcPr>
            <w:tcW w:w="2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Brian Emes</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37</w:t>
            </w:r>
          </w:p>
        </w:tc>
        <w:tc>
          <w:tcPr>
            <w:tcW w:w="100" w:type="dxa"/>
            <w:vAlign w:val="bottom"/>
            <w:tcBorders>
              <w:bottom w:val="single" w:sz="8" w:color="CCEEFF"/>
            </w:tcBorders>
            <w:shd w:val="clear" w:color="auto" w:fill="CCEEFF"/>
          </w:tcPr>
          <w:p>
            <w:pPr>
              <w:spacing w:after="0"/>
              <w:rPr>
                <w:sz w:val="22"/>
                <w:szCs w:val="22"/>
                <w:color w:val="auto"/>
              </w:rPr>
            </w:pPr>
          </w:p>
        </w:tc>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Chief Financial Officer and Secretary</w:t>
            </w:r>
          </w:p>
        </w:tc>
      </w:tr>
      <w:tr>
        <w:trPr>
          <w:trHeight w:val="257"/>
        </w:trPr>
        <w:tc>
          <w:tcPr>
            <w:tcW w:w="2860" w:type="dxa"/>
            <w:vAlign w:val="bottom"/>
            <w:gridSpan w:val="2"/>
          </w:tcPr>
          <w:p>
            <w:pPr>
              <w:spacing w:after="0"/>
              <w:rPr>
                <w:sz w:val="20"/>
                <w:szCs w:val="20"/>
                <w:color w:val="auto"/>
              </w:rPr>
            </w:pPr>
            <w:r>
              <w:rPr>
                <w:rFonts w:ascii="Arial" w:cs="Arial" w:eastAsia="Arial" w:hAnsi="Arial"/>
                <w:sz w:val="18"/>
                <w:szCs w:val="18"/>
                <w:color w:val="auto"/>
              </w:rPr>
              <w:t>Shaun Rodriguez</w:t>
            </w: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42</w:t>
            </w:r>
          </w:p>
        </w:tc>
        <w:tc>
          <w:tcPr>
            <w:tcW w:w="100" w:type="dxa"/>
            <w:vAlign w:val="bottom"/>
          </w:tcPr>
          <w:p>
            <w:pPr>
              <w:spacing w:after="0"/>
              <w:rPr>
                <w:sz w:val="22"/>
                <w:szCs w:val="22"/>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Chief Strategy Officer</w:t>
            </w:r>
          </w:p>
        </w:tc>
      </w:tr>
      <w:tr>
        <w:trPr>
          <w:trHeight w:val="27"/>
        </w:trPr>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300" w:type="dxa"/>
            <w:vAlign w:val="bottom"/>
          </w:tcPr>
          <w:p>
            <w:pPr>
              <w:spacing w:after="0"/>
              <w:rPr>
                <w:sz w:val="2"/>
                <w:szCs w:val="2"/>
                <w:color w:val="auto"/>
              </w:rPr>
            </w:pPr>
          </w:p>
        </w:tc>
      </w:tr>
      <w:tr>
        <w:trPr>
          <w:trHeight w:val="257"/>
        </w:trPr>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Munib Islam</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46</w:t>
            </w:r>
          </w:p>
        </w:tc>
        <w:tc>
          <w:tcPr>
            <w:tcW w:w="100" w:type="dxa"/>
            <w:vAlign w:val="bottom"/>
            <w:shd w:val="clear" w:color="auto" w:fill="CCEEFF"/>
          </w:tcPr>
          <w:p>
            <w:pPr>
              <w:spacing w:after="0"/>
              <w:rPr>
                <w:sz w:val="22"/>
                <w:szCs w:val="22"/>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Director Nominee</w:t>
            </w:r>
          </w:p>
        </w:tc>
      </w:tr>
      <w:tr>
        <w:trPr>
          <w:trHeight w:val="27"/>
        </w:trPr>
        <w:tc>
          <w:tcPr>
            <w:tcW w:w="2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300" w:type="dxa"/>
            <w:vAlign w:val="bottom"/>
            <w:shd w:val="clear" w:color="auto" w:fill="CCEEFF"/>
          </w:tcPr>
          <w:p>
            <w:pPr>
              <w:spacing w:after="0"/>
              <w:rPr>
                <w:sz w:val="2"/>
                <w:szCs w:val="2"/>
                <w:color w:val="auto"/>
              </w:rPr>
            </w:pPr>
          </w:p>
        </w:tc>
      </w:tr>
    </w:tbl>
    <w:p>
      <w:pPr>
        <w:spacing w:after="0" w:line="153" w:lineRule="exact"/>
        <w:rPr>
          <w:sz w:val="20"/>
          <w:szCs w:val="20"/>
          <w:color w:val="auto"/>
        </w:rPr>
      </w:pPr>
    </w:p>
    <w:p>
      <w:pPr>
        <w:ind w:left="460" w:right="659"/>
        <w:spacing w:after="0" w:line="239" w:lineRule="auto"/>
        <w:rPr>
          <w:sz w:val="20"/>
          <w:szCs w:val="20"/>
          <w:color w:val="auto"/>
        </w:rPr>
      </w:pPr>
      <w:r>
        <w:rPr>
          <w:rFonts w:ascii="Arial" w:cs="Arial" w:eastAsia="Arial" w:hAnsi="Arial"/>
          <w:sz w:val="18"/>
          <w:szCs w:val="18"/>
          <w:b w:val="1"/>
          <w:bCs w:val="1"/>
          <w:i w:val="1"/>
          <w:iCs w:val="1"/>
          <w:color w:val="auto"/>
        </w:rPr>
        <w:t xml:space="preserve">Eli Casdin </w:t>
      </w:r>
      <w:r>
        <w:rPr>
          <w:rFonts w:ascii="Arial" w:cs="Arial" w:eastAsia="Arial" w:hAnsi="Arial"/>
          <w:sz w:val="18"/>
          <w:szCs w:val="18"/>
          <w:color w:val="auto"/>
        </w:rPr>
        <w:t>has been our Chief Executive Officer since July 2020. He founded Casdin Capital, LLC,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investment firm focused on the life sciences and healthcare industry, in November 2011 and currently serves as its Chief Investment Officer. Mr. Casdin has served on the board of directors of Exact Sciences Corp. (Nasdaq: EXAS), a molecular diagnostics company focused on early cancer detection, treatment and monitoring, since October 2017. Mr. Casdin holds a B.S. degree from Columbia University School of General Studies and an MBA from Columbia Business School. His qualifications to serve on our board of directors include his extensive leadership experience as an executive officer of an investment firm, his extensive public and private company directorship experience in the life sciences and healthcare sectors, and his expertise in finance, capital markets, and the biotechnology industry.</w:t>
      </w:r>
    </w:p>
    <w:p>
      <w:pPr>
        <w:spacing w:after="0" w:line="72"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b w:val="1"/>
          <w:bCs w:val="1"/>
          <w:i w:val="1"/>
          <w:iCs w:val="1"/>
          <w:color w:val="auto"/>
        </w:rPr>
        <w:t xml:space="preserve">Keith Meister </w:t>
      </w:r>
      <w:r>
        <w:rPr>
          <w:rFonts w:ascii="Arial" w:cs="Arial" w:eastAsia="Arial" w:hAnsi="Arial"/>
          <w:sz w:val="18"/>
          <w:szCs w:val="18"/>
          <w:color w:val="auto"/>
        </w:rPr>
        <w:t>has been Chairman of our board of directors since July 2020. He founded Corvex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LP, a New York based investment manager, in December 2010 and since its inception has served as its Managing Partner and Chief Investment Officer. From 2003 to 2010, Mr. Meister served as Chief Executive Officer and then Principal Executive Officer and Vice Chairman of the Board of Icahn Enterprises L.P. (Nasdaq: IEP), the primary investment vehicle for Carl Icahn. Mr. Meister currently serves on the Board of Directors of MGM Resorts International (NYSE: MGM), a global hospitality and entertainment company, and its affiliate Roar Digital. Mr. Meister has previously served on the Board of Directors of numerous other public companies in his career, including Yum! Brands Inc. (NYSE: YUM), The Williams Companies, Inc. (NYSE: WMB), ADT, Inc. (NYSE: ADT), Ralcorp Holdings, Inc. and Motorola, Inc. (now Motorola Solutions, Inc., NYSE: MSI/Motorola Mobility, Inc.). He is Chairman of the board of the Harlem Children’s Zone and also serves on the board of trustees of the American Museum of Natural History. Mr. Meister holds a B.A. degree in government from Harvard College where he graduated cum laude. His qualifications to serve on our board of directors include his extensive leadership experience as managing partner and executive officer of an investment firm and a diversified holding company, his extensive public company directorship experience in a variety of industries, and his expertise in finance, capital markets, strategic development, and risk management.</w:t>
      </w:r>
    </w:p>
    <w:p>
      <w:pPr>
        <w:spacing w:after="0" w:line="76" w:lineRule="exact"/>
        <w:rPr>
          <w:sz w:val="20"/>
          <w:szCs w:val="20"/>
          <w:color w:val="auto"/>
        </w:rPr>
      </w:pPr>
    </w:p>
    <w:p>
      <w:pPr>
        <w:ind w:left="460" w:right="459"/>
        <w:spacing w:after="0" w:line="247" w:lineRule="auto"/>
        <w:rPr>
          <w:sz w:val="20"/>
          <w:szCs w:val="20"/>
          <w:color w:val="auto"/>
        </w:rPr>
      </w:pPr>
      <w:r>
        <w:rPr>
          <w:rFonts w:ascii="Arial" w:cs="Arial" w:eastAsia="Arial" w:hAnsi="Arial"/>
          <w:sz w:val="18"/>
          <w:szCs w:val="18"/>
          <w:b w:val="1"/>
          <w:bCs w:val="1"/>
          <w:i w:val="1"/>
          <w:iCs w:val="1"/>
          <w:color w:val="auto"/>
        </w:rPr>
        <w:t xml:space="preserve">Brian Emes </w:t>
      </w:r>
      <w:r>
        <w:rPr>
          <w:rFonts w:ascii="Arial" w:cs="Arial" w:eastAsia="Arial" w:hAnsi="Arial"/>
          <w:sz w:val="18"/>
          <w:szCs w:val="18"/>
          <w:color w:val="auto"/>
        </w:rPr>
        <w:t>has been our Chief Financial Officer and Secretary since July 2020. Mr. Emes is also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Chief Financial Officer of Corvex Management LP, a New York based investment manager, which he joined in January 2013. Mr. Emes holds a B.S. degree in finance and marketing from Elon University’s Martha &amp; Spencer Love School of Business, and is a licensed certified public accountant.</w:t>
      </w:r>
    </w:p>
    <w:p>
      <w:pPr>
        <w:spacing w:after="0" w:line="66" w:lineRule="exact"/>
        <w:rPr>
          <w:sz w:val="20"/>
          <w:szCs w:val="20"/>
          <w:color w:val="auto"/>
        </w:rPr>
      </w:pPr>
    </w:p>
    <w:p>
      <w:pPr>
        <w:ind w:left="460" w:right="499"/>
        <w:spacing w:after="0"/>
        <w:rPr>
          <w:sz w:val="20"/>
          <w:szCs w:val="20"/>
          <w:color w:val="auto"/>
        </w:rPr>
      </w:pPr>
      <w:r>
        <w:rPr>
          <w:rFonts w:ascii="Arial" w:cs="Arial" w:eastAsia="Arial" w:hAnsi="Arial"/>
          <w:sz w:val="18"/>
          <w:szCs w:val="18"/>
          <w:b w:val="1"/>
          <w:bCs w:val="1"/>
          <w:i w:val="1"/>
          <w:iCs w:val="1"/>
          <w:color w:val="auto"/>
        </w:rPr>
        <w:t xml:space="preserve">Shaun Rodriguez </w:t>
      </w:r>
      <w:r>
        <w:rPr>
          <w:rFonts w:ascii="Arial" w:cs="Arial" w:eastAsia="Arial" w:hAnsi="Arial"/>
          <w:sz w:val="18"/>
          <w:szCs w:val="18"/>
          <w:color w:val="auto"/>
        </w:rPr>
        <w:t>has been our Chief Strategy Officer since July 2020. Mr. Rodriguez joined Casdin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LLC, an investment firm focused on the life sciences and healthcare industry, in July 2015 as a Senior Research Analyst and currently serves as its Director of Life Science Research. His coverage universe at Casdin Capital, LLC focuses on life science tools, diagnostics, health technology and services, and industrial applications of biotechnology. From February 2011 to July 2015, Mr. Rodriguez served as Director and Senior Research Analyst in the healthcare equity research group of Cowen Inc. (Nasdaq: COWN), an investment bank and financial services company. Mr. Rodriguez holds a Ph.D. in biological sciences from Harvard University.</w:t>
      </w:r>
    </w:p>
    <w:p>
      <w:pPr>
        <w:spacing w:after="0" w:line="72" w:lineRule="exact"/>
        <w:rPr>
          <w:sz w:val="20"/>
          <w:szCs w:val="20"/>
          <w:color w:val="auto"/>
        </w:rPr>
      </w:pPr>
    </w:p>
    <w:p>
      <w:pPr>
        <w:ind w:left="460" w:right="539"/>
        <w:spacing w:after="0" w:line="256" w:lineRule="auto"/>
        <w:rPr>
          <w:sz w:val="20"/>
          <w:szCs w:val="20"/>
          <w:color w:val="auto"/>
        </w:rPr>
      </w:pPr>
      <w:r>
        <w:rPr>
          <w:rFonts w:ascii="Arial" w:cs="Arial" w:eastAsia="Arial" w:hAnsi="Arial"/>
          <w:sz w:val="17"/>
          <w:szCs w:val="17"/>
          <w:b w:val="1"/>
          <w:bCs w:val="1"/>
          <w:i w:val="1"/>
          <w:iCs w:val="1"/>
          <w:color w:val="auto"/>
        </w:rPr>
        <w:t xml:space="preserve">Munib Islam </w:t>
      </w:r>
      <w:r>
        <w:rPr>
          <w:rFonts w:ascii="Arial" w:cs="Arial" w:eastAsia="Arial" w:hAnsi="Arial"/>
          <w:sz w:val="17"/>
          <w:szCs w:val="17"/>
          <w:color w:val="auto"/>
        </w:rPr>
        <w:t>will serve on our board of directors following completion of this offering. Mr. Islam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served as Co-Chief Investment Officer and a Partner at Third Point LLC, an investment management firm, from July 2019 through 2020. Prior to becoming co-Chief Investment Officer, he served as Head of Equities at Third Point from 2011 to July 2019, where he spearheaded research on Third Point’s strategic block investments globally. From 2008 to 2011, Mr. Islam worked at Highbridge Capital, an investment management firm, where he was a Managing Director and Portfolio Manager of Highbridge’s European Value Equities fund. Mr. Islam previously served on the Board and Executive Selection and Audit Committees of Baxter International, Inc. (NYSE: BAX) from 2015 to 2019,</w:t>
      </w:r>
    </w:p>
    <w:p>
      <w:pPr>
        <w:sectPr>
          <w:pgSz w:w="11900" w:h="16838" w:orient="portrait"/>
          <w:cols w:equalWidth="0" w:num="1">
            <w:col w:w="9019"/>
          </w:cols>
          <w:pgMar w:left="1440" w:top="333" w:right="1440" w:bottom="1440" w:gutter="0" w:footer="0" w:header="0"/>
        </w:sectPr>
      </w:pP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105" w:name="page106"/>
    <w:bookmarkEnd w:id="105"/>
    <w:p>
      <w:pPr>
        <w:ind w:left="460" w:right="559"/>
        <w:spacing w:after="0" w:line="237" w:lineRule="auto"/>
        <w:rPr>
          <w:sz w:val="20"/>
          <w:szCs w:val="20"/>
          <w:color w:val="auto"/>
        </w:rPr>
      </w:pPr>
      <w:r>
        <w:rPr>
          <w:rFonts w:ascii="Arial" w:cs="Arial" w:eastAsia="Arial" w:hAnsi="Arial"/>
          <w:sz w:val="18"/>
          <w:szCs w:val="18"/>
          <w:color w:val="auto"/>
        </w:rPr>
        <w:t>and he currently sits on the Boards of the Stanford Business School Trust and the Brearley School in New York City. Mr. Munib holds a B.A. in Economics from Dartmouth College, where he graduated magna cum laude, and an MBA from the Graduate School of Business at Stanford University. His qualifications to serve on our board of directors include his significant experience in governance, evaluation of investment opportunities, capital allocation, investment management and financial research.</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Number and Terms of Office of Officers and Directors</w:t>
      </w:r>
    </w:p>
    <w:p>
      <w:pPr>
        <w:spacing w:after="0" w:line="166" w:lineRule="exact"/>
        <w:rPr>
          <w:sz w:val="20"/>
          <w:szCs w:val="20"/>
          <w:color w:val="auto"/>
        </w:rPr>
      </w:pPr>
    </w:p>
    <w:p>
      <w:pPr>
        <w:ind w:left="460" w:right="479"/>
        <w:spacing w:after="0" w:line="234" w:lineRule="auto"/>
        <w:rPr>
          <w:sz w:val="20"/>
          <w:szCs w:val="20"/>
          <w:color w:val="auto"/>
        </w:rPr>
      </w:pPr>
      <w:r>
        <w:rPr>
          <w:rFonts w:ascii="Arial" w:cs="Arial" w:eastAsia="Arial" w:hAnsi="Arial"/>
          <w:sz w:val="18"/>
          <w:szCs w:val="18"/>
          <w:color w:val="auto"/>
        </w:rPr>
        <w:t>Our board of directors consists of [ ] members is divided into three classes with only one class of directors being elected in each year, and with each class (except for those directors appointed prior to our first annual meeting of stockholders) serving a three-year term. In accordance with Nasdaq corporate governance requirements, we are not required to hold an annual meeting until one year after our first fiscal year end following our listing on Nasdaq. The term of office of the first class of</w:t>
      </w:r>
    </w:p>
    <w:p>
      <w:pPr>
        <w:spacing w:after="0" w:line="3" w:lineRule="exact"/>
        <w:rPr>
          <w:sz w:val="20"/>
          <w:szCs w:val="20"/>
          <w:color w:val="auto"/>
        </w:rPr>
      </w:pPr>
    </w:p>
    <w:p>
      <w:pPr>
        <w:ind w:left="460" w:right="639"/>
        <w:spacing w:after="0" w:line="234" w:lineRule="auto"/>
        <w:rPr>
          <w:sz w:val="20"/>
          <w:szCs w:val="20"/>
          <w:color w:val="auto"/>
        </w:rPr>
      </w:pPr>
      <w:r>
        <w:rPr>
          <w:rFonts w:ascii="Arial" w:cs="Arial" w:eastAsia="Arial" w:hAnsi="Arial"/>
          <w:sz w:val="18"/>
          <w:szCs w:val="18"/>
          <w:color w:val="auto"/>
        </w:rPr>
        <w:t>directors, consisting of [ ] and [ ], will expire at our first annual meeting of stockholders. The term of office of the second class of directors, consisting of [ ] and [ ], will expire at the</w:t>
      </w:r>
    </w:p>
    <w:p>
      <w:pPr>
        <w:ind w:left="460"/>
        <w:spacing w:after="0" w:line="236" w:lineRule="auto"/>
        <w:rPr>
          <w:sz w:val="20"/>
          <w:szCs w:val="20"/>
          <w:color w:val="auto"/>
        </w:rPr>
      </w:pPr>
      <w:r>
        <w:rPr>
          <w:rFonts w:ascii="Arial" w:cs="Arial" w:eastAsia="Arial" w:hAnsi="Arial"/>
          <w:sz w:val="18"/>
          <w:szCs w:val="18"/>
          <w:color w:val="auto"/>
        </w:rPr>
        <w:t>second annual meeting of stockholders. The term of office of the third class of directors, consisting of</w:t>
      </w: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and [], will expire at the third annual meeting of stockholders.</w:t>
      </w:r>
    </w:p>
    <w:p>
      <w:pPr>
        <w:spacing w:after="0" w:line="131" w:lineRule="exact"/>
        <w:rPr>
          <w:sz w:val="20"/>
          <w:szCs w:val="20"/>
          <w:color w:val="auto"/>
        </w:rPr>
      </w:pPr>
    </w:p>
    <w:p>
      <w:pPr>
        <w:ind w:left="460" w:right="779"/>
        <w:spacing w:after="0" w:line="261" w:lineRule="auto"/>
        <w:rPr>
          <w:sz w:val="20"/>
          <w:szCs w:val="20"/>
          <w:color w:val="auto"/>
        </w:rPr>
      </w:pPr>
      <w:r>
        <w:rPr>
          <w:rFonts w:ascii="Arial" w:cs="Arial" w:eastAsia="Arial" w:hAnsi="Arial"/>
          <w:sz w:val="17"/>
          <w:szCs w:val="17"/>
          <w:color w:val="auto"/>
        </w:rPr>
        <w:t>Our officers are appointed by the board of directors and serve at the discretion of the board of directors, rather than for specific terms of office. Our board of directors is authorized to appoint officers as it deems appropriate pursuant to our amended and restated certificate of incorporation.</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Director Independence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Nasdaq listing standards require that a majority of our board of directors be independent within one</w:t>
      </w:r>
    </w:p>
    <w:p>
      <w:pPr>
        <w:ind w:left="460" w:right="519"/>
        <w:spacing w:after="0" w:line="238" w:lineRule="auto"/>
        <w:rPr>
          <w:sz w:val="20"/>
          <w:szCs w:val="20"/>
          <w:color w:val="auto"/>
        </w:rPr>
      </w:pPr>
      <w:r>
        <w:rPr>
          <w:rFonts w:ascii="Arial" w:cs="Arial" w:eastAsia="Arial" w:hAnsi="Arial"/>
          <w:sz w:val="18"/>
          <w:szCs w:val="18"/>
          <w:color w:val="auto"/>
        </w:rPr>
        <w:t>year of our initial public offering. Our board of directors has determined that [ ], [ ] and [ ] are “independent directors” as defined in Nasdaq listing standards and applicable SEC rules. Our independent directors will have regularly scheduled meetings at which only independent directors are present.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Executive Officer and Director Compensation</w:t>
      </w:r>
    </w:p>
    <w:p>
      <w:pPr>
        <w:spacing w:after="0" w:line="166"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None of our executive officers or directors have received any cash compensation for services rendered to us. Our sponsor, executive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executive officers or directors, or our or their affiliates. Any such payments prior to an initial business combination will be made from funds held outside the trust account. Other than quarterly audit committee review of such reimbursements, we do not expect to have any additional controls in place governing our reimbursement payments to our directors and executive officers for their out-of-pocket expenses incurred in connection with our activities on our behalf in connection with identifying and consummating an initial business combination. Other than these reimbursements, no compensation of any kind, including finder’s and consulting fees, will be paid by the company to our sponsor, executive officers and directors, or any of their respective affiliates, prior to completion of our initial business combination.</w:t>
      </w:r>
    </w:p>
    <w:p>
      <w:pPr>
        <w:spacing w:after="0" w:line="133"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After the completion of our initial business combination, directors or members of our management team who remain with us may be paid consulting or management fees from the combined company. All of these fees will be fully disclosed to stockholders, to the extent then known, in the proxy solicitation materials or tender offer materials furnished to our stockholders in connection with a proposed business combination. We have not established any limit on the amount of such fees that may be paid by the combined company to our directors or members of management. It is unlikely the amount of such compensation will be known at the time of the proposed business combination, because the directors of the post-combination business will be responsible for determining executive officer and director compensation. Any compensation to be paid to our executive officers will be determined, or recommended to the board of directors for determination, either by a compensation committee constituted solely by independent directors or by a majority of the independent directors on our board of directors.</w:t>
      </w:r>
    </w:p>
    <w:p>
      <w:pPr>
        <w:spacing w:after="0" w:line="136" w:lineRule="exact"/>
        <w:rPr>
          <w:sz w:val="20"/>
          <w:szCs w:val="20"/>
          <w:color w:val="auto"/>
        </w:rPr>
      </w:pPr>
    </w:p>
    <w:p>
      <w:pPr>
        <w:ind w:left="460" w:right="599"/>
        <w:spacing w:after="0" w:line="238" w:lineRule="auto"/>
        <w:rPr>
          <w:sz w:val="20"/>
          <w:szCs w:val="20"/>
          <w:color w:val="auto"/>
        </w:rPr>
      </w:pPr>
      <w:r>
        <w:rPr>
          <w:rFonts w:ascii="Arial" w:cs="Arial" w:eastAsia="Arial" w:hAnsi="Arial"/>
          <w:sz w:val="18"/>
          <w:szCs w:val="18"/>
          <w:color w:val="auto"/>
        </w:rPr>
        <w:t>We do not intend to take any action to ensure that members of our management team maintain their positions with us after the consummation of our initial business combination, although it is possible that some or all of our executive officers and directors may negotiate employment or consulting arrangements to remain with us after</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47" w:right="1440" w:bottom="1440" w:gutter="0" w:footer="0" w:header="0"/>
        </w:sectPr>
      </w:pPr>
    </w:p>
    <w:bookmarkStart w:id="106" w:name="page107"/>
    <w:bookmarkEnd w:id="106"/>
    <w:p>
      <w:pPr>
        <w:ind w:left="460" w:right="539"/>
        <w:spacing w:after="0" w:line="237" w:lineRule="auto"/>
        <w:rPr>
          <w:sz w:val="20"/>
          <w:szCs w:val="20"/>
          <w:color w:val="auto"/>
        </w:rPr>
      </w:pPr>
      <w:r>
        <w:rPr>
          <w:rFonts w:ascii="Arial" w:cs="Arial" w:eastAsia="Arial" w:hAnsi="Arial"/>
          <w:sz w:val="18"/>
          <w:szCs w:val="18"/>
          <w:color w:val="auto"/>
        </w:rPr>
        <w:t>our initial business combination. The existence or terms of any such employment or consulting arrangements to retain their positions with us may influence our management’s motivation in identifying or selecting a target business but we do not believe that the ability of our management to remain with us after the consummation of our initial business combination will be a determining factor in our decision to proceed with any potential business combination. We are not party to any agreements with our executive officers and directors that provide for benefits upon termination of employment.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53" w:lineRule="exact"/>
        <w:rPr>
          <w:sz w:val="20"/>
          <w:szCs w:val="20"/>
          <w:color w:val="auto"/>
        </w:rPr>
      </w:pPr>
    </w:p>
    <w:p>
      <w:pPr>
        <w:ind w:left="460" w:right="599"/>
        <w:spacing w:after="0" w:line="253" w:lineRule="auto"/>
        <w:rPr>
          <w:sz w:val="20"/>
          <w:szCs w:val="20"/>
          <w:color w:val="auto"/>
        </w:rPr>
      </w:pPr>
      <w:r>
        <w:rPr>
          <w:rFonts w:ascii="Arial" w:cs="Arial" w:eastAsia="Arial" w:hAnsi="Arial"/>
          <w:sz w:val="17"/>
          <w:szCs w:val="17"/>
          <w:color w:val="auto"/>
        </w:rPr>
        <w:t>Upon the effectiveness of the registration statement of which this prospectus forms a part, our board of directors will have two standing committees: an audit committee and a compensation committee. Subject to phase-in rules and a limited exception, the rules of Nasdaq and Rule 10A-3 of the Exchange Act require that the audit committee of a listed company be comprised solely of independent directors. Subject to phase-in rules and a limited exception, the rules of Nasdaq require that the compensation committee of a listed company be comprised solely of independent directors.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Upon the effectiveness of the registration statement of which this prospectus forms a part, we will</w:t>
      </w:r>
    </w:p>
    <w:p>
      <w:pPr>
        <w:ind w:left="460"/>
        <w:spacing w:after="0"/>
        <w:tabs>
          <w:tab w:leader="none" w:pos="5220" w:val="left"/>
          <w:tab w:leader="none" w:pos="5820" w:val="left"/>
          <w:tab w:leader="none" w:pos="6720" w:val="left"/>
        </w:tabs>
        <w:rPr>
          <w:sz w:val="20"/>
          <w:szCs w:val="20"/>
          <w:color w:val="auto"/>
        </w:rPr>
      </w:pPr>
      <w:r>
        <w:rPr>
          <w:rFonts w:ascii="Arial" w:cs="Arial" w:eastAsia="Arial" w:hAnsi="Arial"/>
          <w:sz w:val="18"/>
          <w:szCs w:val="18"/>
          <w:color w:val="auto"/>
        </w:rPr>
        <w:t>establish an audit committee of the board of directors. [</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 and [</w:t>
      </w:r>
      <w:r>
        <w:rPr>
          <w:sz w:val="20"/>
          <w:szCs w:val="20"/>
          <w:color w:val="auto"/>
        </w:rPr>
        <w:tab/>
      </w:r>
      <w:r>
        <w:rPr>
          <w:rFonts w:ascii="Arial" w:cs="Arial" w:eastAsia="Arial" w:hAnsi="Arial"/>
          <w:sz w:val="17"/>
          <w:szCs w:val="17"/>
          <w:color w:val="auto"/>
        </w:rPr>
        <w:t>] will serve as</w:t>
      </w:r>
    </w:p>
    <w:p>
      <w:pPr>
        <w:spacing w:after="0" w:line="1" w:lineRule="exact"/>
        <w:rPr>
          <w:sz w:val="20"/>
          <w:szCs w:val="20"/>
          <w:color w:val="auto"/>
        </w:rPr>
      </w:pPr>
    </w:p>
    <w:p>
      <w:pPr>
        <w:ind w:left="460" w:right="619"/>
        <w:spacing w:after="0" w:line="246" w:lineRule="auto"/>
        <w:rPr>
          <w:sz w:val="20"/>
          <w:szCs w:val="20"/>
          <w:color w:val="auto"/>
        </w:rPr>
      </w:pPr>
      <w:r>
        <w:rPr>
          <w:rFonts w:ascii="Arial" w:cs="Arial" w:eastAsia="Arial" w:hAnsi="Arial"/>
          <w:sz w:val="18"/>
          <w:szCs w:val="18"/>
          <w:color w:val="auto"/>
        </w:rPr>
        <w:t>members of our audit committee, and [ ] will chair the audit committee. All members of our audit committee are independent of and unaffiliated with our sponsor and our underwriters.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member of the audit committee is financially literate and our board of directors has determined</w:t>
      </w:r>
    </w:p>
    <w:p>
      <w:pPr>
        <w:ind w:left="460" w:right="679"/>
        <w:spacing w:after="0" w:line="246" w:lineRule="auto"/>
        <w:rPr>
          <w:sz w:val="20"/>
          <w:szCs w:val="20"/>
          <w:color w:val="auto"/>
        </w:rPr>
      </w:pPr>
      <w:r>
        <w:rPr>
          <w:rFonts w:ascii="Arial" w:cs="Arial" w:eastAsia="Arial" w:hAnsi="Arial"/>
          <w:sz w:val="18"/>
          <w:szCs w:val="18"/>
          <w:color w:val="auto"/>
        </w:rPr>
        <w:t>that [ ] qualifies as an “audit committee financial expert” as defined in applicable SEC rules and has accounting or related financial management expertise.</w:t>
      </w:r>
    </w:p>
    <w:p>
      <w:pPr>
        <w:spacing w:after="0" w:line="116" w:lineRule="exact"/>
        <w:rPr>
          <w:sz w:val="20"/>
          <w:szCs w:val="20"/>
          <w:color w:val="auto"/>
        </w:rPr>
      </w:pPr>
    </w:p>
    <w:p>
      <w:pPr>
        <w:ind w:left="460" w:right="1259"/>
        <w:spacing w:after="0" w:line="246" w:lineRule="auto"/>
        <w:rPr>
          <w:sz w:val="20"/>
          <w:szCs w:val="20"/>
          <w:color w:val="auto"/>
        </w:rPr>
      </w:pPr>
      <w:r>
        <w:rPr>
          <w:rFonts w:ascii="Arial" w:cs="Arial" w:eastAsia="Arial" w:hAnsi="Arial"/>
          <w:sz w:val="18"/>
          <w:szCs w:val="18"/>
          <w:color w:val="auto"/>
        </w:rPr>
        <w:t>We will adopt an audit committee charter, which will detail the principal functions of the audit committee, including:</w:t>
      </w:r>
    </w:p>
    <w:p>
      <w:pPr>
        <w:spacing w:after="0" w:line="21" w:lineRule="exact"/>
        <w:rPr>
          <w:sz w:val="20"/>
          <w:szCs w:val="20"/>
          <w:color w:val="auto"/>
        </w:rPr>
      </w:pPr>
    </w:p>
    <w:p>
      <w:pPr>
        <w:ind w:left="1100" w:right="479" w:hanging="322"/>
        <w:spacing w:after="0" w:line="237" w:lineRule="auto"/>
        <w:tabs>
          <w:tab w:leader="none" w:pos="1089" w:val="left"/>
        </w:tabs>
        <w:numPr>
          <w:ilvl w:val="0"/>
          <w:numId w:val="48"/>
        </w:numPr>
        <w:rPr>
          <w:rFonts w:ascii="Arial" w:cs="Arial" w:eastAsia="Arial" w:hAnsi="Arial"/>
          <w:sz w:val="18"/>
          <w:szCs w:val="18"/>
          <w:color w:val="auto"/>
        </w:rPr>
      </w:pPr>
      <w:r>
        <w:rPr>
          <w:rFonts w:ascii="Arial" w:cs="Arial" w:eastAsia="Arial" w:hAnsi="Arial"/>
          <w:sz w:val="18"/>
          <w:szCs w:val="18"/>
          <w:color w:val="auto"/>
        </w:rPr>
        <w:t>assisting board oversight of (1) the integrity of our financial statements, (2) our compliance with legal and regulatory requirements, (3) our independent registered public accounting firm’s qualifications and independence, and (4) the performance of our internal audit function and independent registered public accounting firm; the appointment, compensation, retention, replacement, and oversight of the work of the independent registered public accounting firm and any other independent registered public accounting firm engaged by us;</w:t>
      </w:r>
    </w:p>
    <w:p>
      <w:pPr>
        <w:spacing w:after="0" w:line="29" w:lineRule="exact"/>
        <w:rPr>
          <w:rFonts w:ascii="Arial" w:cs="Arial" w:eastAsia="Arial" w:hAnsi="Arial"/>
          <w:sz w:val="18"/>
          <w:szCs w:val="18"/>
          <w:color w:val="auto"/>
        </w:rPr>
      </w:pPr>
    </w:p>
    <w:p>
      <w:pPr>
        <w:ind w:left="1100" w:right="659" w:hanging="322"/>
        <w:spacing w:after="0" w:line="238" w:lineRule="auto"/>
        <w:tabs>
          <w:tab w:leader="none" w:pos="1089"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pre-approving all audit and non-audit services to be provided by the independent registered public accounting firm or any other registered public accounting firm engaged by us, and establishing pre-approval policies and procedures; reviewing and discussing with the independent registered public accounting firm all relationships the independent registered public accounting firm have with us in order to evaluate their continued independence;</w:t>
      </w:r>
    </w:p>
    <w:p>
      <w:pPr>
        <w:spacing w:after="0" w:line="13" w:lineRule="exact"/>
        <w:rPr>
          <w:rFonts w:ascii="Arial" w:cs="Arial" w:eastAsia="Arial" w:hAnsi="Arial"/>
          <w:sz w:val="18"/>
          <w:szCs w:val="18"/>
          <w:color w:val="auto"/>
        </w:rPr>
      </w:pPr>
    </w:p>
    <w:p>
      <w:pPr>
        <w:ind w:left="1100" w:right="559" w:hanging="322"/>
        <w:spacing w:after="0" w:line="236" w:lineRule="auto"/>
        <w:tabs>
          <w:tab w:leader="none" w:pos="1089"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setting clear policies for audit partner rotation in compliance with applicable laws and regulations; obtaining and reviewing a report, at least annually, from the independent registered public accounting firm describing (1) the independent registered public accounting firm’s internal quality-control procedures and (2) any material issues raised by the most recent internal quality-control review, or peer review, of the audit firm, or by any inquiry or investigation by governmental or professional authorities, within the preceding five years respecting one or more independent audits carried out by the firm and any steps taken to deal with such issues;</w:t>
      </w:r>
    </w:p>
    <w:p>
      <w:pPr>
        <w:spacing w:after="0" w:line="32" w:lineRule="exact"/>
        <w:rPr>
          <w:rFonts w:ascii="Arial" w:cs="Arial" w:eastAsia="Arial" w:hAnsi="Arial"/>
          <w:sz w:val="18"/>
          <w:szCs w:val="18"/>
          <w:color w:val="auto"/>
        </w:rPr>
      </w:pPr>
    </w:p>
    <w:p>
      <w:pPr>
        <w:ind w:left="1100" w:right="499" w:hanging="322"/>
        <w:spacing w:after="0" w:line="237" w:lineRule="auto"/>
        <w:tabs>
          <w:tab w:leader="none" w:pos="1089" w:val="left"/>
        </w:tabs>
        <w:numPr>
          <w:ilvl w:val="0"/>
          <w:numId w:val="48"/>
        </w:numPr>
        <w:rPr>
          <w:rFonts w:ascii="Arial" w:cs="Arial" w:eastAsia="Arial" w:hAnsi="Arial"/>
          <w:sz w:val="18"/>
          <w:szCs w:val="18"/>
          <w:color w:val="auto"/>
        </w:rPr>
      </w:pPr>
      <w:r>
        <w:rPr>
          <w:rFonts w:ascii="Arial" w:cs="Arial" w:eastAsia="Arial" w:hAnsi="Arial"/>
          <w:sz w:val="18"/>
          <w:szCs w:val="18"/>
          <w:color w:val="auto"/>
        </w:rPr>
        <w:t>meeting to review and discuss our annual audited financial statements and quarterly financial statements with management and the independent registered public accounting firm, including reviewing our specific disclosures under “Management’s Discussion and Analysis of Financial Condition and Results of Operations”; reviewing and approving any related party transaction required to be disclosed pursuant to Item 404 of Regulation S-K promulgated by the SEC prior to us entering into such transaction; and</w:t>
      </w:r>
    </w:p>
    <w:p>
      <w:pPr>
        <w:spacing w:after="0" w:line="29" w:lineRule="exact"/>
        <w:rPr>
          <w:rFonts w:ascii="Arial" w:cs="Arial" w:eastAsia="Arial" w:hAnsi="Arial"/>
          <w:sz w:val="18"/>
          <w:szCs w:val="18"/>
          <w:color w:val="auto"/>
        </w:rPr>
      </w:pPr>
    </w:p>
    <w:p>
      <w:pPr>
        <w:ind w:left="1100" w:right="599" w:hanging="322"/>
        <w:spacing w:after="0" w:line="237" w:lineRule="auto"/>
        <w:tabs>
          <w:tab w:leader="none" w:pos="1089"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reviewing with management, the independent, and our legal advisors, as appropriate, any legal, regulatory or compliance matters, including any correspondence with regulators or government agencies and any employee complaints or published reports that raise material issues regarding our financial statements or accounting policies and any significant changes in accounting standards or rules promulgated by the Financial Accounting Standards Board, the SEC or other regulatory authorities.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07" w:name="page108"/>
    <w:bookmarkEnd w:id="107"/>
    <w:p>
      <w:pPr>
        <w:ind w:left="4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Upon the effectiveness of the registration statement of which this prospectus forms a part, we will</w:t>
      </w:r>
    </w:p>
    <w:p>
      <w:pPr>
        <w:ind w:left="460" w:right="579"/>
        <w:spacing w:after="0" w:line="246" w:lineRule="auto"/>
        <w:rPr>
          <w:sz w:val="20"/>
          <w:szCs w:val="20"/>
          <w:color w:val="auto"/>
        </w:rPr>
      </w:pPr>
      <w:r>
        <w:rPr>
          <w:rFonts w:ascii="Arial" w:cs="Arial" w:eastAsia="Arial" w:hAnsi="Arial"/>
          <w:sz w:val="18"/>
          <w:szCs w:val="18"/>
          <w:color w:val="auto"/>
        </w:rPr>
        <w:t>establish a compensation committee of the board of directors. [ ], [ ] and [ ] will serve as members of our compensation committee. [ ] will chair the compensation committee.</w:t>
      </w:r>
    </w:p>
    <w:p>
      <w:pPr>
        <w:spacing w:after="0" w:line="116" w:lineRule="exact"/>
        <w:rPr>
          <w:sz w:val="20"/>
          <w:szCs w:val="20"/>
          <w:color w:val="auto"/>
        </w:rPr>
      </w:pPr>
    </w:p>
    <w:p>
      <w:pPr>
        <w:ind w:left="460" w:right="1059"/>
        <w:spacing w:after="0" w:line="246" w:lineRule="auto"/>
        <w:rPr>
          <w:sz w:val="20"/>
          <w:szCs w:val="20"/>
          <w:color w:val="auto"/>
        </w:rPr>
      </w:pPr>
      <w:r>
        <w:rPr>
          <w:rFonts w:ascii="Arial" w:cs="Arial" w:eastAsia="Arial" w:hAnsi="Arial"/>
          <w:sz w:val="18"/>
          <w:szCs w:val="18"/>
          <w:color w:val="auto"/>
        </w:rPr>
        <w:t>We will adopt a compensation committee charter, which will detail the principal functions of the compensation committee, including:</w:t>
      </w:r>
    </w:p>
    <w:p>
      <w:pPr>
        <w:spacing w:after="0" w:line="21" w:lineRule="exact"/>
        <w:rPr>
          <w:sz w:val="20"/>
          <w:szCs w:val="20"/>
          <w:color w:val="auto"/>
        </w:rPr>
      </w:pPr>
    </w:p>
    <w:p>
      <w:pPr>
        <w:ind w:left="1100" w:right="679" w:hanging="322"/>
        <w:spacing w:after="0" w:line="238" w:lineRule="auto"/>
        <w:tabs>
          <w:tab w:leader="none" w:pos="1089"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Chief Executive Officer’s compensation (if any) evaluating our Chief Executive Officer’s performance in light of such goals and objectives and determining and approving the remuneration (if any) of our Chief Executive Officer based on such evaluation;</w:t>
      </w:r>
    </w:p>
    <w:p>
      <w:pPr>
        <w:spacing w:after="0" w:line="29" w:lineRule="exact"/>
        <w:rPr>
          <w:rFonts w:ascii="Arial" w:cs="Arial" w:eastAsia="Arial" w:hAnsi="Arial"/>
          <w:sz w:val="18"/>
          <w:szCs w:val="18"/>
          <w:color w:val="auto"/>
        </w:rPr>
      </w:pPr>
    </w:p>
    <w:p>
      <w:pPr>
        <w:ind w:left="1100" w:right="739" w:hanging="322"/>
        <w:spacing w:after="0"/>
        <w:tabs>
          <w:tab w:leader="none" w:pos="1089"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with respect to the compensation, and any incentive compensation and equity based plans that are subject to board approval of all of our other officers;</w:t>
      </w:r>
    </w:p>
    <w:p>
      <w:pPr>
        <w:spacing w:after="0" w:line="13" w:lineRule="exact"/>
        <w:rPr>
          <w:rFonts w:ascii="Arial" w:cs="Arial" w:eastAsia="Arial" w:hAnsi="Arial"/>
          <w:sz w:val="18"/>
          <w:szCs w:val="18"/>
          <w:color w:val="auto"/>
        </w:rPr>
      </w:pPr>
    </w:p>
    <w:p>
      <w:pPr>
        <w:ind w:left="1100" w:hanging="322"/>
        <w:spacing w:after="0"/>
        <w:tabs>
          <w:tab w:leader="none" w:pos="11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reviewing our executive compensation policies and plans;</w:t>
      </w:r>
    </w:p>
    <w:p>
      <w:pPr>
        <w:spacing w:after="0" w:line="36" w:lineRule="exact"/>
        <w:rPr>
          <w:rFonts w:ascii="Arial" w:cs="Arial" w:eastAsia="Arial" w:hAnsi="Arial"/>
          <w:sz w:val="18"/>
          <w:szCs w:val="18"/>
          <w:color w:val="auto"/>
        </w:rPr>
      </w:pPr>
    </w:p>
    <w:p>
      <w:pPr>
        <w:ind w:left="1100" w:right="959" w:hanging="322"/>
        <w:spacing w:after="0" w:line="246" w:lineRule="auto"/>
        <w:tabs>
          <w:tab w:leader="none" w:pos="1089" w:val="left"/>
        </w:tabs>
        <w:numPr>
          <w:ilvl w:val="0"/>
          <w:numId w:val="49"/>
        </w:numPr>
        <w:rPr>
          <w:rFonts w:ascii="Arial" w:cs="Arial" w:eastAsia="Arial" w:hAnsi="Arial"/>
          <w:sz w:val="18"/>
          <w:szCs w:val="18"/>
          <w:color w:val="auto"/>
        </w:rPr>
      </w:pPr>
      <w:r>
        <w:rPr>
          <w:rFonts w:ascii="Arial" w:cs="Arial" w:eastAsia="Arial" w:hAnsi="Arial"/>
          <w:sz w:val="18"/>
          <w:szCs w:val="18"/>
          <w:color w:val="auto"/>
        </w:rPr>
        <w:t>implementing and administering our incentive compensation equity-based remuneration plans;</w:t>
      </w:r>
    </w:p>
    <w:p>
      <w:pPr>
        <w:spacing w:after="0" w:line="21" w:lineRule="exact"/>
        <w:rPr>
          <w:rFonts w:ascii="Arial" w:cs="Arial" w:eastAsia="Arial" w:hAnsi="Arial"/>
          <w:sz w:val="18"/>
          <w:szCs w:val="18"/>
          <w:color w:val="auto"/>
        </w:rPr>
      </w:pPr>
    </w:p>
    <w:p>
      <w:pPr>
        <w:ind w:left="1100" w:right="739" w:hanging="322"/>
        <w:spacing w:after="0" w:line="246" w:lineRule="auto"/>
        <w:tabs>
          <w:tab w:leader="none" w:pos="1089" w:val="left"/>
        </w:tabs>
        <w:numPr>
          <w:ilvl w:val="0"/>
          <w:numId w:val="49"/>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7" w:lineRule="exact"/>
        <w:rPr>
          <w:rFonts w:ascii="Arial" w:cs="Arial" w:eastAsia="Arial" w:hAnsi="Arial"/>
          <w:sz w:val="18"/>
          <w:szCs w:val="18"/>
          <w:color w:val="auto"/>
        </w:rPr>
      </w:pPr>
    </w:p>
    <w:p>
      <w:pPr>
        <w:ind w:left="1100" w:right="519" w:hanging="322"/>
        <w:spacing w:after="0" w:line="246" w:lineRule="auto"/>
        <w:tabs>
          <w:tab w:leader="none" w:pos="1089" w:val="left"/>
        </w:tabs>
        <w:numPr>
          <w:ilvl w:val="0"/>
          <w:numId w:val="49"/>
        </w:numPr>
        <w:rPr>
          <w:rFonts w:ascii="Arial" w:cs="Arial" w:eastAsia="Arial" w:hAnsi="Arial"/>
          <w:sz w:val="18"/>
          <w:szCs w:val="18"/>
          <w:color w:val="auto"/>
        </w:rPr>
      </w:pPr>
      <w:r>
        <w:rPr>
          <w:rFonts w:ascii="Arial" w:cs="Arial" w:eastAsia="Arial" w:hAnsi="Arial"/>
          <w:sz w:val="18"/>
          <w:szCs w:val="18"/>
          <w:color w:val="auto"/>
        </w:rPr>
        <w:t>approving all special perquisites, special cash payments and other special compensation and benefit arrangements for our officers and employees;</w:t>
      </w:r>
    </w:p>
    <w:p>
      <w:pPr>
        <w:spacing w:after="0" w:line="21" w:lineRule="exact"/>
        <w:rPr>
          <w:rFonts w:ascii="Arial" w:cs="Arial" w:eastAsia="Arial" w:hAnsi="Arial"/>
          <w:sz w:val="18"/>
          <w:szCs w:val="18"/>
          <w:color w:val="auto"/>
        </w:rPr>
      </w:pPr>
    </w:p>
    <w:p>
      <w:pPr>
        <w:ind w:left="1100" w:right="599" w:hanging="322"/>
        <w:spacing w:after="0" w:line="246" w:lineRule="auto"/>
        <w:tabs>
          <w:tab w:leader="none" w:pos="1089"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producing a report on executive compensation to be included in our annual proxy statement; and</w:t>
      </w:r>
    </w:p>
    <w:p>
      <w:pPr>
        <w:spacing w:after="0" w:line="21" w:lineRule="exact"/>
        <w:rPr>
          <w:rFonts w:ascii="Arial" w:cs="Arial" w:eastAsia="Arial" w:hAnsi="Arial"/>
          <w:sz w:val="18"/>
          <w:szCs w:val="18"/>
          <w:color w:val="auto"/>
        </w:rPr>
      </w:pPr>
    </w:p>
    <w:p>
      <w:pPr>
        <w:ind w:left="1100" w:right="859" w:hanging="322"/>
        <w:spacing w:after="0" w:line="246" w:lineRule="auto"/>
        <w:tabs>
          <w:tab w:leader="none" w:pos="1089"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reviewing, evaluating and recommending changes, if appropriate, to the remuneration for directors.</w:t>
      </w:r>
    </w:p>
    <w:p>
      <w:pPr>
        <w:spacing w:after="0" w:line="116" w:lineRule="exact"/>
        <w:rPr>
          <w:sz w:val="20"/>
          <w:szCs w:val="20"/>
          <w:color w:val="auto"/>
        </w:rPr>
      </w:pPr>
    </w:p>
    <w:p>
      <w:pPr>
        <w:ind w:left="460" w:right="679"/>
        <w:spacing w:after="0" w:line="237" w:lineRule="auto"/>
        <w:rPr>
          <w:sz w:val="20"/>
          <w:szCs w:val="20"/>
          <w:color w:val="auto"/>
        </w:rPr>
      </w:pPr>
      <w:r>
        <w:rPr>
          <w:rFonts w:ascii="Arial" w:cs="Arial" w:eastAsia="Arial" w:hAnsi="Arial"/>
          <w:sz w:val="18"/>
          <w:szCs w:val="18"/>
          <w:color w:val="auto"/>
        </w:rPr>
        <w:t>Notwithstanding the foregoing, as indicated above, no compensation of any kind, including finders, consulting or other similar fees, will be paid to any of our existing stockholders, officers, directors or any of their respective affiliates, prior to, or for any services they render in order to effectuate the consummation of an initial business combination. Accordingly, it is likely that prior to the consummation of an initial business combination, the compensation committee will only be responsible for the review and recommendation of any compensation arrangements to be entered into in connection with such initial business combination.</w:t>
      </w:r>
    </w:p>
    <w:p>
      <w:pPr>
        <w:spacing w:after="0" w:line="135"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The charter will also provide that the compensation committee may, in its sole discretion, retain or obtain the advice of a compensation consultant, independent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66" w:lineRule="exact"/>
        <w:rPr>
          <w:sz w:val="20"/>
          <w:szCs w:val="20"/>
          <w:color w:val="auto"/>
        </w:rPr>
      </w:pPr>
    </w:p>
    <w:p>
      <w:pPr>
        <w:ind w:left="460" w:right="839"/>
        <w:spacing w:after="0" w:line="248" w:lineRule="auto"/>
        <w:rPr>
          <w:sz w:val="20"/>
          <w:szCs w:val="20"/>
          <w:color w:val="auto"/>
        </w:rPr>
      </w:pPr>
      <w:r>
        <w:rPr>
          <w:rFonts w:ascii="Arial" w:cs="Arial" w:eastAsia="Arial" w:hAnsi="Arial"/>
          <w:sz w:val="17"/>
          <w:szCs w:val="17"/>
          <w:color w:val="auto"/>
        </w:rPr>
        <w:t>Upon the effectiveness of the registration statement of which this prospectus forms a part, we will establish a nominating and corporate governance committee of the board of directors. The initial</w:t>
      </w:r>
    </w:p>
    <w:p>
      <w:pPr>
        <w:spacing w:after="0" w:line="1" w:lineRule="exact"/>
        <w:rPr>
          <w:sz w:val="20"/>
          <w:szCs w:val="20"/>
          <w:color w:val="auto"/>
        </w:rPr>
      </w:pPr>
    </w:p>
    <w:p>
      <w:pPr>
        <w:ind w:left="460" w:right="719"/>
        <w:spacing w:after="0" w:line="246" w:lineRule="auto"/>
        <w:rPr>
          <w:sz w:val="20"/>
          <w:szCs w:val="20"/>
          <w:color w:val="auto"/>
        </w:rPr>
      </w:pPr>
      <w:r>
        <w:rPr>
          <w:rFonts w:ascii="Arial" w:cs="Arial" w:eastAsia="Arial" w:hAnsi="Arial"/>
          <w:sz w:val="18"/>
          <w:szCs w:val="18"/>
          <w:color w:val="auto"/>
        </w:rPr>
        <w:t>members of our nominating and corporate governance will be [ ], [ ] and [ ]. [ ] will serve as chair of the nominating and corporate governance committee.</w:t>
      </w:r>
    </w:p>
    <w:p>
      <w:pPr>
        <w:spacing w:after="0" w:line="116" w:lineRule="exact"/>
        <w:rPr>
          <w:sz w:val="20"/>
          <w:szCs w:val="20"/>
          <w:color w:val="auto"/>
        </w:rPr>
      </w:pPr>
    </w:p>
    <w:p>
      <w:pPr>
        <w:ind w:left="460" w:right="1019"/>
        <w:spacing w:after="0" w:line="273" w:lineRule="auto"/>
        <w:rPr>
          <w:sz w:val="20"/>
          <w:szCs w:val="20"/>
          <w:color w:val="auto"/>
        </w:rPr>
      </w:pPr>
      <w:r>
        <w:rPr>
          <w:rFonts w:ascii="Arial" w:cs="Arial" w:eastAsia="Arial" w:hAnsi="Arial"/>
          <w:sz w:val="17"/>
          <w:szCs w:val="17"/>
          <w:color w:val="auto"/>
        </w:rPr>
        <w:t>We will adopt a nominating and corporate governance committee charter, which will detail the purpose and responsibilities of the nominating and corporate governance committee, including:</w:t>
      </w:r>
    </w:p>
    <w:p>
      <w:pPr>
        <w:spacing w:after="0" w:line="1" w:lineRule="exact"/>
        <w:rPr>
          <w:sz w:val="20"/>
          <w:szCs w:val="20"/>
          <w:color w:val="auto"/>
        </w:rPr>
      </w:pPr>
    </w:p>
    <w:p>
      <w:pPr>
        <w:ind w:left="1100" w:right="519" w:hanging="322"/>
        <w:spacing w:after="0" w:line="238" w:lineRule="auto"/>
        <w:tabs>
          <w:tab w:leader="none" w:pos="1089" w:val="left"/>
        </w:tabs>
        <w:numPr>
          <w:ilvl w:val="0"/>
          <w:numId w:val="50"/>
        </w:numPr>
        <w:rPr>
          <w:rFonts w:ascii="Arial" w:cs="Arial" w:eastAsia="Arial" w:hAnsi="Arial"/>
          <w:sz w:val="18"/>
          <w:szCs w:val="18"/>
          <w:color w:val="auto"/>
        </w:rPr>
      </w:pPr>
      <w:r>
        <w:rPr>
          <w:rFonts w:ascii="Arial" w:cs="Arial" w:eastAsia="Arial" w:hAnsi="Arial"/>
          <w:sz w:val="18"/>
          <w:szCs w:val="18"/>
          <w:color w:val="auto"/>
        </w:rPr>
        <w:t>screening and reviewing individuals qualified to serve as directors, consistent with criteria approved by the board, and recommending to the board of directors candidates for nomination for election at the annual meeting of stockholders or to fill vacancies on the board of directors;</w:t>
      </w:r>
    </w:p>
    <w:p>
      <w:pPr>
        <w:spacing w:after="0" w:line="29" w:lineRule="exact"/>
        <w:rPr>
          <w:rFonts w:ascii="Arial" w:cs="Arial" w:eastAsia="Arial" w:hAnsi="Arial"/>
          <w:sz w:val="18"/>
          <w:szCs w:val="18"/>
          <w:color w:val="auto"/>
        </w:rPr>
      </w:pPr>
    </w:p>
    <w:p>
      <w:pPr>
        <w:ind w:left="1100" w:right="759" w:hanging="322"/>
        <w:spacing w:after="0" w:line="246" w:lineRule="auto"/>
        <w:tabs>
          <w:tab w:leader="none" w:pos="1089"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developing and recommending to the board of directors and overseeing implementation of our corporate governance guidelines;</w:t>
      </w:r>
    </w:p>
    <w:p>
      <w:pPr>
        <w:spacing w:after="0" w:line="7" w:lineRule="exact"/>
        <w:rPr>
          <w:rFonts w:ascii="Arial" w:cs="Arial" w:eastAsia="Arial" w:hAnsi="Arial"/>
          <w:sz w:val="18"/>
          <w:szCs w:val="18"/>
          <w:color w:val="auto"/>
        </w:rPr>
      </w:pPr>
    </w:p>
    <w:p>
      <w:pPr>
        <w:ind w:left="1100" w:right="799" w:hanging="322"/>
        <w:spacing w:after="0" w:line="273" w:lineRule="auto"/>
        <w:tabs>
          <w:tab w:leader="none" w:pos="1089" w:val="left"/>
        </w:tabs>
        <w:numPr>
          <w:ilvl w:val="0"/>
          <w:numId w:val="50"/>
        </w:numPr>
        <w:rPr>
          <w:rFonts w:ascii="Arial" w:cs="Arial" w:eastAsia="Arial" w:hAnsi="Arial"/>
          <w:sz w:val="17"/>
          <w:szCs w:val="17"/>
          <w:color w:val="auto"/>
        </w:rPr>
      </w:pPr>
      <w:r>
        <w:rPr>
          <w:rFonts w:ascii="Arial" w:cs="Arial" w:eastAsia="Arial" w:hAnsi="Arial"/>
          <w:sz w:val="17"/>
          <w:szCs w:val="17"/>
          <w:color w:val="auto"/>
        </w:rPr>
        <w:t>coordinating and overseeing the annual self-evaluation of the board of directors, its committees, individual directors and management in the governance of the company; and</w:t>
      </w:r>
    </w:p>
    <w:p>
      <w:pPr>
        <w:ind w:left="1100" w:right="1399" w:hanging="322"/>
        <w:spacing w:after="0" w:line="246" w:lineRule="auto"/>
        <w:tabs>
          <w:tab w:leader="none" w:pos="1089"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reviewing on a regular basis our overall corporate governance and recommending improvements as and when necessary.</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08" w:name="page109"/>
    <w:bookmarkEnd w:id="108"/>
    <w:p>
      <w:pPr>
        <w:ind w:left="460" w:right="479"/>
        <w:spacing w:after="0" w:line="238" w:lineRule="auto"/>
        <w:rPr>
          <w:sz w:val="20"/>
          <w:szCs w:val="20"/>
          <w:color w:val="auto"/>
        </w:rPr>
      </w:pPr>
      <w:r>
        <w:rPr>
          <w:rFonts w:ascii="Arial" w:cs="Arial" w:eastAsia="Arial" w:hAnsi="Arial"/>
          <w:sz w:val="18"/>
          <w:szCs w:val="18"/>
          <w:color w:val="auto"/>
        </w:rPr>
        <w:t>The charter will also provide that the nominating and corporate governance committee may, in its sole discretion, retain or obtain the advice of, and terminate, any search firm to be used to identify director candidates, and will be directly responsible for approving the search firm’s fees and other retention terms.</w:t>
      </w:r>
    </w:p>
    <w:p>
      <w:pPr>
        <w:spacing w:after="0" w:line="124"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We have not formally established any specific, minimum qualifications that must be met or skills that are necessary for directors to possess. In general, in identifying and evaluating nominees for director, the board of directors considers educational background, diversity of professional experience, knowledge of our business, integrity, professional reputation, independence, wisdom, and the ability to represent the best interests of our stockholders. Prior to our initial business combination, holders of our public shares will not have the right to recommend director candidates for nomination to our board of directors.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Committee Interlocks and Insider Participation</w:t>
      </w:r>
    </w:p>
    <w:p>
      <w:pPr>
        <w:spacing w:after="0" w:line="166" w:lineRule="exact"/>
        <w:rPr>
          <w:sz w:val="20"/>
          <w:szCs w:val="20"/>
          <w:color w:val="auto"/>
        </w:rPr>
      </w:pPr>
    </w:p>
    <w:p>
      <w:pPr>
        <w:ind w:left="460" w:right="599"/>
        <w:spacing w:after="0"/>
        <w:rPr>
          <w:sz w:val="20"/>
          <w:szCs w:val="20"/>
          <w:color w:val="auto"/>
        </w:rPr>
      </w:pPr>
      <w:r>
        <w:rPr>
          <w:rFonts w:ascii="Arial" w:cs="Arial" w:eastAsia="Arial" w:hAnsi="Arial"/>
          <w:sz w:val="18"/>
          <w:szCs w:val="18"/>
          <w:color w:val="auto"/>
        </w:rPr>
        <w:t>None of our executive officers currently serves, and in the past year has not served, as a member of the compensation committee of any entity that has one or more executive officers serving on our board of directors.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Code of Ethics</w:t>
      </w:r>
    </w:p>
    <w:p>
      <w:pPr>
        <w:spacing w:after="0" w:line="166" w:lineRule="exact"/>
        <w:rPr>
          <w:sz w:val="20"/>
          <w:szCs w:val="20"/>
          <w:color w:val="auto"/>
        </w:rPr>
      </w:pPr>
    </w:p>
    <w:p>
      <w:pPr>
        <w:ind w:left="460" w:right="519"/>
        <w:spacing w:after="0" w:line="250" w:lineRule="auto"/>
        <w:rPr>
          <w:sz w:val="20"/>
          <w:szCs w:val="20"/>
          <w:color w:val="auto"/>
        </w:rPr>
      </w:pPr>
      <w:r>
        <w:rPr>
          <w:rFonts w:ascii="Arial" w:cs="Arial" w:eastAsia="Arial" w:hAnsi="Arial"/>
          <w:sz w:val="17"/>
          <w:szCs w:val="17"/>
          <w:color w:val="auto"/>
        </w:rPr>
        <w:t xml:space="preserve">Prior to the consummation of this offering, we will adopt a Code of Business Conduct and Ethics applicable to our directors, officers and employees. We have filed a copy of our form of the Code of Business Conduct and Ethics and our audit committee and compensation committee charters as exhibits to the registration statement of which this prospectus is a part. You will be able to review this document by accessing our public filings at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 In addition, a copy of the Code of Business Conduct and Ethics and the charters of the committees will be provided without charge upon request from us. See the section of this prospectus entitled “Where You Can Find Additional Information.” If we make any amendments to our Code of Business Conduct and Ethics other than technical, administrative or other non-substantive amendments, or grant any waiver, including any implicit waiver, from a provision of the Code of Business Conduct and Ethics applicable to our principal executive officer, principal financial officer principal accounting officer or controller or persons performing similar functions requiring disclosure under applicable SEC or Nasdaq rules, we will disclose the nature of such amendment or waiver in a Current Report on Form 8-K.</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Conflicts of Interest</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general, officers and directors of a corporation incorporated under the laws of the State of</w:t>
      </w:r>
    </w:p>
    <w:p>
      <w:pPr>
        <w:ind w:left="460"/>
        <w:spacing w:after="0"/>
        <w:rPr>
          <w:sz w:val="20"/>
          <w:szCs w:val="20"/>
          <w:color w:val="auto"/>
        </w:rPr>
      </w:pPr>
      <w:r>
        <w:rPr>
          <w:rFonts w:ascii="Arial" w:cs="Arial" w:eastAsia="Arial" w:hAnsi="Arial"/>
          <w:sz w:val="18"/>
          <w:szCs w:val="18"/>
          <w:color w:val="auto"/>
        </w:rPr>
        <w:t>Delaware are required to present business opportunities to a corporation if:</w:t>
      </w:r>
    </w:p>
    <w:p>
      <w:pPr>
        <w:spacing w:after="0" w:line="36" w:lineRule="exact"/>
        <w:rPr>
          <w:sz w:val="20"/>
          <w:szCs w:val="20"/>
          <w:color w:val="auto"/>
        </w:rPr>
      </w:pPr>
    </w:p>
    <w:p>
      <w:pPr>
        <w:ind w:left="1100" w:hanging="322"/>
        <w:spacing w:after="0"/>
        <w:tabs>
          <w:tab w:leader="none" w:pos="11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corporation could financially undertake the opportunity;</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opportunity is within the corporation’s line of business; and</w:t>
      </w:r>
    </w:p>
    <w:p>
      <w:pPr>
        <w:spacing w:after="0" w:line="22" w:lineRule="exact"/>
        <w:rPr>
          <w:rFonts w:ascii="Arial" w:cs="Arial" w:eastAsia="Arial" w:hAnsi="Arial"/>
          <w:sz w:val="18"/>
          <w:szCs w:val="18"/>
          <w:color w:val="auto"/>
        </w:rPr>
      </w:pPr>
    </w:p>
    <w:p>
      <w:pPr>
        <w:ind w:left="1100" w:right="619" w:hanging="322"/>
        <w:spacing w:after="0" w:line="246" w:lineRule="auto"/>
        <w:tabs>
          <w:tab w:leader="none" w:pos="1089" w:val="left"/>
        </w:tabs>
        <w:numPr>
          <w:ilvl w:val="0"/>
          <w:numId w:val="51"/>
        </w:numPr>
        <w:rPr>
          <w:rFonts w:ascii="Arial" w:cs="Arial" w:eastAsia="Arial" w:hAnsi="Arial"/>
          <w:sz w:val="18"/>
          <w:szCs w:val="18"/>
          <w:color w:val="auto"/>
        </w:rPr>
      </w:pPr>
      <w:r>
        <w:rPr>
          <w:rFonts w:ascii="Arial" w:cs="Arial" w:eastAsia="Arial" w:hAnsi="Arial"/>
          <w:sz w:val="18"/>
          <w:szCs w:val="18"/>
          <w:color w:val="auto"/>
        </w:rPr>
        <w:t>it would not be fair to our company and its stockholders for the opportunity not to be brought to the attention of the corporation.</w:t>
      </w:r>
    </w:p>
    <w:p>
      <w:pPr>
        <w:spacing w:after="0" w:line="129" w:lineRule="exact"/>
        <w:rPr>
          <w:sz w:val="20"/>
          <w:szCs w:val="20"/>
          <w:color w:val="auto"/>
        </w:rPr>
      </w:pPr>
    </w:p>
    <w:p>
      <w:pPr>
        <w:ind w:left="460" w:right="459"/>
        <w:spacing w:after="0" w:line="235" w:lineRule="auto"/>
        <w:rPr>
          <w:sz w:val="20"/>
          <w:szCs w:val="20"/>
          <w:color w:val="auto"/>
        </w:rPr>
      </w:pPr>
      <w:r>
        <w:rPr>
          <w:rFonts w:ascii="Arial" w:cs="Arial" w:eastAsia="Arial" w:hAnsi="Arial"/>
          <w:sz w:val="18"/>
          <w:szCs w:val="18"/>
          <w:color w:val="auto"/>
        </w:rPr>
        <w:t>Each of our officers and directors presently has, and any of them in the future may have additional, fiduciary or contractual obligations to another entity pursuant to which such officer or director is or will be required to present a business combination opportunity to such entity. Accordingly, if any of our officers or directors becomes aware of a business combination opportunity which is suitable for an entity to which he or she has then-current fiduciary or contractual obligations, he or she will honor his or her fiduciary or contractual obligations to present such business combination opportunity to such entity. Our amended and restated certificate of incorporation will provide that we renounce our interest in any corporate opportunity offered to any director or officer unless such opportunity is expressly offered to such person solely in his or her capacity as a director or officer of the company and such opportunity is one we are legally and contractually permitted to undertake and would otherwise be reasonable for us to pursue, and to the extent the director or officer is permitted to refer that opportunity to us without violating another legal obligation. We do not believe, however, that the fiduciary duties or contractual obligations of our officers or directors will materially affect our ability to complete our initial business combination.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09" w:name="page110"/>
    <w:bookmarkEnd w:id="109"/>
    <w:p>
      <w:pPr>
        <w:ind w:left="460" w:right="579"/>
        <w:spacing w:after="0"/>
        <w:rPr>
          <w:sz w:val="20"/>
          <w:szCs w:val="20"/>
          <w:color w:val="auto"/>
        </w:rPr>
      </w:pPr>
      <w:r>
        <w:rPr>
          <w:rFonts w:ascii="Arial" w:cs="Arial" w:eastAsia="Arial" w:hAnsi="Arial"/>
          <w:sz w:val="18"/>
          <w:szCs w:val="18"/>
          <w:color w:val="auto"/>
        </w:rPr>
        <w:t>Below is a table summarizing the entities to which our executive officers and directors currently have fiduciary duties or contractual obligations to another entity (excluding non-profit and educational organizations with no connection to the life sciences sector):</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1800" w:type="dxa"/>
            <w:vAlign w:val="bottom"/>
            <w:gridSpan w:val="2"/>
          </w:tcPr>
          <w:p>
            <w:pPr>
              <w:spacing w:after="0"/>
              <w:rPr>
                <w:sz w:val="20"/>
                <w:szCs w:val="20"/>
                <w:color w:val="auto"/>
              </w:rPr>
            </w:pPr>
            <w:r>
              <w:rPr>
                <w:rFonts w:ascii="Arial" w:cs="Arial" w:eastAsia="Arial" w:hAnsi="Arial"/>
                <w:sz w:val="14"/>
                <w:szCs w:val="14"/>
                <w:b w:val="1"/>
                <w:bCs w:val="1"/>
                <w:color w:val="auto"/>
              </w:rPr>
              <w:t>Individual</w:t>
            </w:r>
          </w:p>
        </w:tc>
        <w:tc>
          <w:tcPr>
            <w:tcW w:w="2140" w:type="dxa"/>
            <w:vAlign w:val="bottom"/>
          </w:tcPr>
          <w:p>
            <w:pPr>
              <w:ind w:left="860"/>
              <w:spacing w:after="0"/>
              <w:rPr>
                <w:sz w:val="20"/>
                <w:szCs w:val="20"/>
                <w:color w:val="auto"/>
              </w:rPr>
            </w:pPr>
            <w:r>
              <w:rPr>
                <w:rFonts w:ascii="Arial" w:cs="Arial" w:eastAsia="Arial" w:hAnsi="Arial"/>
                <w:sz w:val="14"/>
                <w:szCs w:val="14"/>
                <w:b w:val="1"/>
                <w:bCs w:val="1"/>
                <w:color w:val="auto"/>
              </w:rPr>
              <w:t>Entity</w:t>
            </w:r>
          </w:p>
        </w:tc>
        <w:tc>
          <w:tcPr>
            <w:tcW w:w="100" w:type="dxa"/>
            <w:vAlign w:val="bottom"/>
          </w:tcPr>
          <w:p>
            <w:pPr>
              <w:spacing w:after="0"/>
              <w:rPr>
                <w:sz w:val="16"/>
                <w:szCs w:val="16"/>
                <w:color w:val="auto"/>
              </w:rPr>
            </w:pPr>
          </w:p>
        </w:tc>
        <w:tc>
          <w:tcPr>
            <w:tcW w:w="2000" w:type="dxa"/>
            <w:vAlign w:val="bottom"/>
            <w:gridSpan w:val="2"/>
          </w:tcPr>
          <w:p>
            <w:pPr>
              <w:ind w:left="360"/>
              <w:spacing w:after="0"/>
              <w:rPr>
                <w:sz w:val="20"/>
                <w:szCs w:val="20"/>
                <w:color w:val="auto"/>
              </w:rPr>
            </w:pPr>
            <w:r>
              <w:rPr>
                <w:rFonts w:ascii="Arial" w:cs="Arial" w:eastAsia="Arial" w:hAnsi="Arial"/>
                <w:sz w:val="14"/>
                <w:szCs w:val="14"/>
                <w:b w:val="1"/>
                <w:bCs w:val="1"/>
                <w:color w:val="auto"/>
              </w:rPr>
              <w:t>Entity’s Business</w:t>
            </w:r>
          </w:p>
        </w:tc>
        <w:tc>
          <w:tcPr>
            <w:tcW w:w="2060" w:type="dxa"/>
            <w:vAlign w:val="bottom"/>
          </w:tcPr>
          <w:p>
            <w:pPr>
              <w:ind w:left="700"/>
              <w:spacing w:after="0"/>
              <w:rPr>
                <w:sz w:val="20"/>
                <w:szCs w:val="20"/>
                <w:color w:val="auto"/>
              </w:rPr>
            </w:pPr>
            <w:r>
              <w:rPr>
                <w:rFonts w:ascii="Arial" w:cs="Arial" w:eastAsia="Arial" w:hAnsi="Arial"/>
                <w:sz w:val="14"/>
                <w:szCs w:val="14"/>
                <w:b w:val="1"/>
                <w:bCs w:val="1"/>
                <w:color w:val="auto"/>
              </w:rPr>
              <w:t>Affiliation</w:t>
            </w:r>
          </w:p>
        </w:tc>
        <w:tc>
          <w:tcPr>
            <w:tcW w:w="0" w:type="dxa"/>
            <w:vAlign w:val="bottom"/>
          </w:tcPr>
          <w:p>
            <w:pPr>
              <w:spacing w:after="0"/>
              <w:rPr>
                <w:sz w:val="1"/>
                <w:szCs w:val="1"/>
                <w:color w:val="auto"/>
              </w:rPr>
            </w:pPr>
          </w:p>
        </w:tc>
      </w:tr>
      <w:tr>
        <w:trPr>
          <w:trHeight w:val="26"/>
        </w:trPr>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1700" w:type="dxa"/>
            <w:vAlign w:val="bottom"/>
          </w:tcPr>
          <w:p>
            <w:pPr>
              <w:spacing w:after="0"/>
              <w:rPr>
                <w:sz w:val="20"/>
                <w:szCs w:val="20"/>
                <w:color w:val="auto"/>
              </w:rPr>
            </w:pPr>
            <w:r>
              <w:rPr>
                <w:rFonts w:ascii="Arial" w:cs="Arial" w:eastAsia="Arial" w:hAnsi="Arial"/>
                <w:sz w:val="18"/>
                <w:szCs w:val="18"/>
                <w:color w:val="auto"/>
              </w:rPr>
              <w:t>Eli Casdin</w:t>
            </w:r>
          </w:p>
        </w:tc>
        <w:tc>
          <w:tcPr>
            <w:tcW w:w="100" w:type="dxa"/>
            <w:vAlign w:val="bottom"/>
          </w:tcPr>
          <w:p>
            <w:pPr>
              <w:spacing w:after="0"/>
              <w:rPr>
                <w:sz w:val="22"/>
                <w:szCs w:val="22"/>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Casdin Capital, LLC</w:t>
            </w:r>
            <w:r>
              <w:rPr>
                <w:rFonts w:ascii="Arial" w:cs="Arial" w:eastAsia="Arial" w:hAnsi="Arial"/>
                <w:sz w:val="20"/>
                <w:szCs w:val="20"/>
                <w:color w:val="auto"/>
                <w:vertAlign w:val="superscript"/>
              </w:rPr>
              <w:t>(1)</w:t>
            </w:r>
          </w:p>
        </w:tc>
        <w:tc>
          <w:tcPr>
            <w:tcW w:w="100" w:type="dxa"/>
            <w:vAlign w:val="bottom"/>
          </w:tcPr>
          <w:p>
            <w:pPr>
              <w:spacing w:after="0"/>
              <w:rPr>
                <w:sz w:val="22"/>
                <w:szCs w:val="22"/>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Investment manager</w:t>
            </w:r>
          </w:p>
        </w:tc>
        <w:tc>
          <w:tcPr>
            <w:tcW w:w="100" w:type="dxa"/>
            <w:vAlign w:val="bottom"/>
          </w:tcPr>
          <w:p>
            <w:pPr>
              <w:spacing w:after="0"/>
              <w:rPr>
                <w:sz w:val="22"/>
                <w:szCs w:val="22"/>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Chief Investment Officer</w:t>
            </w:r>
          </w:p>
        </w:tc>
        <w:tc>
          <w:tcPr>
            <w:tcW w:w="0" w:type="dxa"/>
            <w:vAlign w:val="bottom"/>
          </w:tcPr>
          <w:p>
            <w:pPr>
              <w:spacing w:after="0"/>
              <w:rPr>
                <w:sz w:val="1"/>
                <w:szCs w:val="1"/>
                <w:color w:val="auto"/>
              </w:rPr>
            </w:pPr>
          </w:p>
        </w:tc>
      </w:tr>
      <w:tr>
        <w:trPr>
          <w:trHeight w:val="220"/>
        </w:trPr>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Exact Sciences Corp.</w:t>
            </w:r>
          </w:p>
        </w:tc>
        <w:tc>
          <w:tcPr>
            <w:tcW w:w="2100" w:type="dxa"/>
            <w:vAlign w:val="bottom"/>
            <w:gridSpan w:val="3"/>
          </w:tcPr>
          <w:p>
            <w:pPr>
              <w:ind w:left="100"/>
              <w:spacing w:after="0"/>
              <w:rPr>
                <w:sz w:val="20"/>
                <w:szCs w:val="20"/>
                <w:color w:val="auto"/>
              </w:rPr>
            </w:pPr>
            <w:r>
              <w:rPr>
                <w:rFonts w:ascii="Arial" w:cs="Arial" w:eastAsia="Arial" w:hAnsi="Arial"/>
                <w:sz w:val="18"/>
                <w:szCs w:val="18"/>
                <w:color w:val="auto"/>
              </w:rPr>
              <w:t>Biotechnology</w:t>
            </w:r>
          </w:p>
        </w:tc>
        <w:tc>
          <w:tcPr>
            <w:tcW w:w="206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3"/>
        </w:trPr>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C2i Genomics</w:t>
            </w:r>
          </w:p>
        </w:tc>
        <w:tc>
          <w:tcPr>
            <w:tcW w:w="2100" w:type="dxa"/>
            <w:vAlign w:val="bottom"/>
            <w:gridSpan w:val="3"/>
          </w:tcPr>
          <w:p>
            <w:pPr>
              <w:ind w:left="100"/>
              <w:spacing w:after="0"/>
              <w:rPr>
                <w:sz w:val="20"/>
                <w:szCs w:val="20"/>
                <w:color w:val="auto"/>
              </w:rPr>
            </w:pPr>
            <w:r>
              <w:rPr>
                <w:rFonts w:ascii="Arial" w:cs="Arial" w:eastAsia="Arial" w:hAnsi="Arial"/>
                <w:sz w:val="18"/>
                <w:szCs w:val="18"/>
                <w:color w:val="auto"/>
              </w:rPr>
              <w:t>Biotechnology</w:t>
            </w:r>
          </w:p>
        </w:tc>
        <w:tc>
          <w:tcPr>
            <w:tcW w:w="206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3"/>
        </w:trPr>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DNA Script</w:t>
            </w:r>
          </w:p>
        </w:tc>
        <w:tc>
          <w:tcPr>
            <w:tcW w:w="2100" w:type="dxa"/>
            <w:vAlign w:val="bottom"/>
            <w:gridSpan w:val="3"/>
          </w:tcPr>
          <w:p>
            <w:pPr>
              <w:ind w:left="100"/>
              <w:spacing w:after="0"/>
              <w:rPr>
                <w:sz w:val="20"/>
                <w:szCs w:val="20"/>
                <w:color w:val="auto"/>
              </w:rPr>
            </w:pPr>
            <w:r>
              <w:rPr>
                <w:rFonts w:ascii="Arial" w:cs="Arial" w:eastAsia="Arial" w:hAnsi="Arial"/>
                <w:sz w:val="18"/>
                <w:szCs w:val="18"/>
                <w:color w:val="auto"/>
              </w:rPr>
              <w:t>Biotechnology</w:t>
            </w:r>
          </w:p>
        </w:tc>
        <w:tc>
          <w:tcPr>
            <w:tcW w:w="206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3"/>
        </w:trPr>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EQRx, Inc.</w:t>
            </w:r>
          </w:p>
        </w:tc>
        <w:tc>
          <w:tcPr>
            <w:tcW w:w="2100" w:type="dxa"/>
            <w:vAlign w:val="bottom"/>
            <w:gridSpan w:val="3"/>
          </w:tcPr>
          <w:p>
            <w:pPr>
              <w:ind w:left="100"/>
              <w:spacing w:after="0"/>
              <w:rPr>
                <w:sz w:val="20"/>
                <w:szCs w:val="20"/>
                <w:color w:val="auto"/>
              </w:rPr>
            </w:pPr>
            <w:r>
              <w:rPr>
                <w:rFonts w:ascii="Arial" w:cs="Arial" w:eastAsia="Arial" w:hAnsi="Arial"/>
                <w:sz w:val="18"/>
                <w:szCs w:val="18"/>
                <w:color w:val="auto"/>
              </w:rPr>
              <w:t>Biotechnology</w:t>
            </w:r>
          </w:p>
        </w:tc>
        <w:tc>
          <w:tcPr>
            <w:tcW w:w="206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4"/>
        </w:trPr>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GeneMatters, LLC</w:t>
            </w:r>
          </w:p>
        </w:tc>
        <w:tc>
          <w:tcPr>
            <w:tcW w:w="2100" w:type="dxa"/>
            <w:vAlign w:val="bottom"/>
            <w:gridSpan w:val="3"/>
          </w:tcPr>
          <w:p>
            <w:pPr>
              <w:ind w:left="100"/>
              <w:spacing w:after="0"/>
              <w:rPr>
                <w:sz w:val="20"/>
                <w:szCs w:val="20"/>
                <w:color w:val="auto"/>
              </w:rPr>
            </w:pPr>
            <w:r>
              <w:rPr>
                <w:rFonts w:ascii="Arial" w:cs="Arial" w:eastAsia="Arial" w:hAnsi="Arial"/>
                <w:sz w:val="18"/>
                <w:szCs w:val="18"/>
                <w:color w:val="auto"/>
              </w:rPr>
              <w:t>Biotechnology</w:t>
            </w:r>
          </w:p>
        </w:tc>
        <w:tc>
          <w:tcPr>
            <w:tcW w:w="206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3"/>
        </w:trPr>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Genomatica, Inc.</w:t>
            </w:r>
          </w:p>
        </w:tc>
        <w:tc>
          <w:tcPr>
            <w:tcW w:w="2100" w:type="dxa"/>
            <w:vAlign w:val="bottom"/>
            <w:gridSpan w:val="3"/>
          </w:tcPr>
          <w:p>
            <w:pPr>
              <w:ind w:left="100"/>
              <w:spacing w:after="0"/>
              <w:rPr>
                <w:sz w:val="20"/>
                <w:szCs w:val="20"/>
                <w:color w:val="auto"/>
              </w:rPr>
            </w:pPr>
            <w:r>
              <w:rPr>
                <w:rFonts w:ascii="Arial" w:cs="Arial" w:eastAsia="Arial" w:hAnsi="Arial"/>
                <w:sz w:val="18"/>
                <w:szCs w:val="18"/>
                <w:color w:val="auto"/>
              </w:rPr>
              <w:t>Biotechnology</w:t>
            </w:r>
          </w:p>
        </w:tc>
        <w:tc>
          <w:tcPr>
            <w:tcW w:w="206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3"/>
        </w:trPr>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New York Genome Center</w:t>
            </w:r>
          </w:p>
        </w:tc>
        <w:tc>
          <w:tcPr>
            <w:tcW w:w="2100" w:type="dxa"/>
            <w:vAlign w:val="bottom"/>
            <w:gridSpan w:val="3"/>
          </w:tcPr>
          <w:p>
            <w:pPr>
              <w:ind w:left="100"/>
              <w:spacing w:after="0"/>
              <w:rPr>
                <w:sz w:val="20"/>
                <w:szCs w:val="20"/>
                <w:color w:val="auto"/>
              </w:rPr>
            </w:pPr>
            <w:r>
              <w:rPr>
                <w:rFonts w:ascii="Arial" w:cs="Arial" w:eastAsia="Arial" w:hAnsi="Arial"/>
                <w:sz w:val="18"/>
                <w:szCs w:val="18"/>
                <w:color w:val="auto"/>
              </w:rPr>
              <w:t>Biotechnology</w:t>
            </w:r>
          </w:p>
        </w:tc>
        <w:tc>
          <w:tcPr>
            <w:tcW w:w="206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3"/>
        </w:trPr>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Sexton Biotechnologies</w:t>
            </w:r>
          </w:p>
        </w:tc>
        <w:tc>
          <w:tcPr>
            <w:tcW w:w="2100" w:type="dxa"/>
            <w:vAlign w:val="bottom"/>
            <w:gridSpan w:val="3"/>
          </w:tcPr>
          <w:p>
            <w:pPr>
              <w:ind w:left="100"/>
              <w:spacing w:after="0"/>
              <w:rPr>
                <w:sz w:val="20"/>
                <w:szCs w:val="20"/>
                <w:color w:val="auto"/>
              </w:rPr>
            </w:pPr>
            <w:r>
              <w:rPr>
                <w:rFonts w:ascii="Arial" w:cs="Arial" w:eastAsia="Arial" w:hAnsi="Arial"/>
                <w:sz w:val="18"/>
                <w:szCs w:val="18"/>
                <w:color w:val="auto"/>
              </w:rPr>
              <w:t>Biotechnology</w:t>
            </w:r>
          </w:p>
        </w:tc>
        <w:tc>
          <w:tcPr>
            <w:tcW w:w="206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3"/>
        </w:trPr>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Tenaya Therapeutics, Inc.</w:t>
            </w:r>
          </w:p>
        </w:tc>
        <w:tc>
          <w:tcPr>
            <w:tcW w:w="2100" w:type="dxa"/>
            <w:vAlign w:val="bottom"/>
            <w:gridSpan w:val="3"/>
          </w:tcPr>
          <w:p>
            <w:pPr>
              <w:ind w:left="100"/>
              <w:spacing w:after="0"/>
              <w:rPr>
                <w:sz w:val="20"/>
                <w:szCs w:val="20"/>
                <w:color w:val="auto"/>
              </w:rPr>
            </w:pPr>
            <w:r>
              <w:rPr>
                <w:rFonts w:ascii="Arial" w:cs="Arial" w:eastAsia="Arial" w:hAnsi="Arial"/>
                <w:sz w:val="18"/>
                <w:szCs w:val="18"/>
                <w:color w:val="auto"/>
              </w:rPr>
              <w:t>Biotechnology</w:t>
            </w:r>
          </w:p>
        </w:tc>
        <w:tc>
          <w:tcPr>
            <w:tcW w:w="206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4"/>
        </w:trPr>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Prominex Inc.</w:t>
            </w:r>
          </w:p>
        </w:tc>
        <w:tc>
          <w:tcPr>
            <w:tcW w:w="2100" w:type="dxa"/>
            <w:vAlign w:val="bottom"/>
            <w:gridSpan w:val="3"/>
          </w:tcPr>
          <w:p>
            <w:pPr>
              <w:ind w:left="100"/>
              <w:spacing w:after="0"/>
              <w:rPr>
                <w:sz w:val="20"/>
                <w:szCs w:val="20"/>
                <w:color w:val="auto"/>
              </w:rPr>
            </w:pPr>
            <w:r>
              <w:rPr>
                <w:rFonts w:ascii="Arial" w:cs="Arial" w:eastAsia="Arial" w:hAnsi="Arial"/>
                <w:sz w:val="18"/>
                <w:szCs w:val="18"/>
                <w:color w:val="auto"/>
              </w:rPr>
              <w:t>Biotechnology</w:t>
            </w:r>
          </w:p>
        </w:tc>
        <w:tc>
          <w:tcPr>
            <w:tcW w:w="206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18"/>
        </w:trPr>
        <w:tc>
          <w:tcPr>
            <w:tcW w:w="1800" w:type="dxa"/>
            <w:vAlign w:val="bottom"/>
            <w:gridSpan w:val="2"/>
          </w:tcPr>
          <w:p>
            <w:pPr>
              <w:spacing w:after="0"/>
              <w:rPr>
                <w:sz w:val="20"/>
                <w:szCs w:val="20"/>
                <w:color w:val="auto"/>
              </w:rPr>
            </w:pPr>
            <w:r>
              <w:rPr>
                <w:rFonts w:ascii="Arial" w:cs="Arial" w:eastAsia="Arial" w:hAnsi="Arial"/>
                <w:sz w:val="18"/>
                <w:szCs w:val="18"/>
                <w:color w:val="auto"/>
              </w:rPr>
              <w:t>Keith Meister</w:t>
            </w:r>
          </w:p>
        </w:tc>
        <w:tc>
          <w:tcPr>
            <w:tcW w:w="2140" w:type="dxa"/>
            <w:vAlign w:val="bottom"/>
          </w:tcPr>
          <w:p>
            <w:pPr>
              <w:spacing w:after="0"/>
              <w:rPr>
                <w:sz w:val="20"/>
                <w:szCs w:val="20"/>
                <w:color w:val="auto"/>
              </w:rPr>
            </w:pPr>
            <w:r>
              <w:rPr>
                <w:rFonts w:ascii="Arial" w:cs="Arial" w:eastAsia="Arial" w:hAnsi="Arial"/>
                <w:sz w:val="18"/>
                <w:szCs w:val="18"/>
                <w:color w:val="auto"/>
              </w:rPr>
              <w:t>Corvex Management LP</w:t>
            </w:r>
            <w:r>
              <w:rPr>
                <w:rFonts w:ascii="Arial" w:cs="Arial" w:eastAsia="Arial" w:hAnsi="Arial"/>
                <w:sz w:val="20"/>
                <w:szCs w:val="20"/>
                <w:color w:val="auto"/>
                <w:vertAlign w:val="superscript"/>
              </w:rPr>
              <w:t>(1)</w:t>
            </w:r>
          </w:p>
        </w:tc>
        <w:tc>
          <w:tcPr>
            <w:tcW w:w="2100" w:type="dxa"/>
            <w:vAlign w:val="bottom"/>
            <w:gridSpan w:val="3"/>
          </w:tcPr>
          <w:p>
            <w:pPr>
              <w:ind w:left="100"/>
              <w:spacing w:after="0"/>
              <w:rPr>
                <w:sz w:val="20"/>
                <w:szCs w:val="20"/>
                <w:color w:val="auto"/>
              </w:rPr>
            </w:pPr>
            <w:r>
              <w:rPr>
                <w:rFonts w:ascii="Arial" w:cs="Arial" w:eastAsia="Arial" w:hAnsi="Arial"/>
                <w:sz w:val="18"/>
                <w:szCs w:val="18"/>
                <w:color w:val="auto"/>
              </w:rPr>
              <w:t>Investment manager</w:t>
            </w:r>
          </w:p>
        </w:tc>
        <w:tc>
          <w:tcPr>
            <w:tcW w:w="2060" w:type="dxa"/>
            <w:vAlign w:val="bottom"/>
          </w:tcPr>
          <w:p>
            <w:pPr>
              <w:spacing w:after="0"/>
              <w:rPr>
                <w:sz w:val="20"/>
                <w:szCs w:val="20"/>
                <w:color w:val="auto"/>
              </w:rPr>
            </w:pPr>
            <w:r>
              <w:rPr>
                <w:rFonts w:ascii="Arial" w:cs="Arial" w:eastAsia="Arial" w:hAnsi="Arial"/>
                <w:sz w:val="18"/>
                <w:szCs w:val="18"/>
                <w:color w:val="auto"/>
              </w:rPr>
              <w:t>Managing Partner and</w:t>
            </w: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vMerge w:val="restart"/>
          </w:tcPr>
          <w:p>
            <w:pPr>
              <w:spacing w:after="0"/>
              <w:rPr>
                <w:sz w:val="20"/>
                <w:szCs w:val="20"/>
                <w:color w:val="auto"/>
              </w:rPr>
            </w:pPr>
            <w:r>
              <w:rPr>
                <w:rFonts w:ascii="Arial" w:cs="Arial" w:eastAsia="Arial" w:hAnsi="Arial"/>
                <w:sz w:val="18"/>
                <w:szCs w:val="18"/>
                <w:color w:val="auto"/>
              </w:rPr>
              <w:t>MGM Resorts</w:t>
            </w:r>
          </w:p>
        </w:tc>
        <w:tc>
          <w:tcPr>
            <w:tcW w:w="2100" w:type="dxa"/>
            <w:vAlign w:val="bottom"/>
            <w:gridSpan w:val="3"/>
            <w:vMerge w:val="restart"/>
          </w:tcPr>
          <w:p>
            <w:pPr>
              <w:ind w:left="100"/>
              <w:spacing w:after="0"/>
              <w:rPr>
                <w:sz w:val="20"/>
                <w:szCs w:val="20"/>
                <w:color w:val="auto"/>
              </w:rPr>
            </w:pPr>
            <w:r>
              <w:rPr>
                <w:rFonts w:ascii="Arial" w:cs="Arial" w:eastAsia="Arial" w:hAnsi="Arial"/>
                <w:sz w:val="18"/>
                <w:szCs w:val="18"/>
                <w:color w:val="auto"/>
              </w:rPr>
              <w:t>Hospitality and</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Chief Investment Officer</w:t>
            </w:r>
          </w:p>
        </w:tc>
        <w:tc>
          <w:tcPr>
            <w:tcW w:w="0" w:type="dxa"/>
            <w:vAlign w:val="bottom"/>
          </w:tcPr>
          <w:p>
            <w:pPr>
              <w:spacing w:after="0"/>
              <w:rPr>
                <w:sz w:val="1"/>
                <w:szCs w:val="1"/>
                <w:color w:val="auto"/>
              </w:rPr>
            </w:pPr>
          </w:p>
        </w:tc>
      </w:tr>
      <w:tr>
        <w:trPr>
          <w:trHeight w:val="135"/>
        </w:trPr>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40" w:type="dxa"/>
            <w:vAlign w:val="bottom"/>
            <w:vMerge w:val="continue"/>
          </w:tcPr>
          <w:p>
            <w:pPr>
              <w:spacing w:after="0"/>
              <w:rPr>
                <w:sz w:val="11"/>
                <w:szCs w:val="11"/>
                <w:color w:val="auto"/>
              </w:rPr>
            </w:pPr>
          </w:p>
        </w:tc>
        <w:tc>
          <w:tcPr>
            <w:tcW w:w="2100" w:type="dxa"/>
            <w:vAlign w:val="bottom"/>
            <w:gridSpan w:val="3"/>
            <w:vMerge w:val="continue"/>
          </w:tcPr>
          <w:p>
            <w:pPr>
              <w:spacing w:after="0"/>
              <w:rPr>
                <w:sz w:val="11"/>
                <w:szCs w:val="11"/>
                <w:color w:val="auto"/>
              </w:rPr>
            </w:pPr>
          </w:p>
        </w:tc>
        <w:tc>
          <w:tcPr>
            <w:tcW w:w="2060" w:type="dxa"/>
            <w:vAlign w:val="bottom"/>
            <w:vMerge w:val="restart"/>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82"/>
        </w:trPr>
        <w:tc>
          <w:tcPr>
            <w:tcW w:w="1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140" w:type="dxa"/>
            <w:vAlign w:val="bottom"/>
            <w:vMerge w:val="restart"/>
          </w:tcPr>
          <w:p>
            <w:pPr>
              <w:spacing w:after="0" w:line="202" w:lineRule="exact"/>
              <w:rPr>
                <w:sz w:val="20"/>
                <w:szCs w:val="20"/>
                <w:color w:val="auto"/>
              </w:rPr>
            </w:pPr>
            <w:r>
              <w:rPr>
                <w:rFonts w:ascii="Arial" w:cs="Arial" w:eastAsia="Arial" w:hAnsi="Arial"/>
                <w:sz w:val="18"/>
                <w:szCs w:val="18"/>
                <w:color w:val="auto"/>
              </w:rPr>
              <w:t>International</w:t>
            </w:r>
          </w:p>
        </w:tc>
        <w:tc>
          <w:tcPr>
            <w:tcW w:w="2100" w:type="dxa"/>
            <w:vAlign w:val="bottom"/>
            <w:gridSpan w:val="3"/>
            <w:vMerge w:val="restart"/>
          </w:tcPr>
          <w:p>
            <w:pPr>
              <w:ind w:left="100"/>
              <w:spacing w:after="0" w:line="202" w:lineRule="exact"/>
              <w:rPr>
                <w:sz w:val="20"/>
                <w:szCs w:val="20"/>
                <w:color w:val="auto"/>
              </w:rPr>
            </w:pPr>
            <w:r>
              <w:rPr>
                <w:rFonts w:ascii="Arial" w:cs="Arial" w:eastAsia="Arial" w:hAnsi="Arial"/>
                <w:sz w:val="18"/>
                <w:szCs w:val="18"/>
                <w:color w:val="auto"/>
              </w:rPr>
              <w:t>entertainment</w:t>
            </w:r>
          </w:p>
        </w:tc>
        <w:tc>
          <w:tcPr>
            <w:tcW w:w="2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1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40" w:type="dxa"/>
            <w:vAlign w:val="bottom"/>
            <w:vMerge w:val="continue"/>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2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vMerge w:val="restart"/>
          </w:tcPr>
          <w:p>
            <w:pPr>
              <w:spacing w:after="0"/>
              <w:rPr>
                <w:sz w:val="20"/>
                <w:szCs w:val="20"/>
                <w:color w:val="auto"/>
              </w:rPr>
            </w:pPr>
            <w:r>
              <w:rPr>
                <w:rFonts w:ascii="Arial" w:cs="Arial" w:eastAsia="Arial" w:hAnsi="Arial"/>
                <w:sz w:val="18"/>
                <w:szCs w:val="18"/>
                <w:color w:val="auto"/>
              </w:rPr>
              <w:t>Roar Digital, LLC</w:t>
            </w:r>
          </w:p>
        </w:tc>
        <w:tc>
          <w:tcPr>
            <w:tcW w:w="210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Sports betting and</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vMerge w:val="continue"/>
          </w:tcPr>
          <w:p>
            <w:pPr>
              <w:spacing w:after="0"/>
              <w:rPr>
                <w:sz w:val="18"/>
                <w:szCs w:val="18"/>
                <w:color w:val="auto"/>
              </w:rPr>
            </w:pPr>
          </w:p>
        </w:tc>
        <w:tc>
          <w:tcPr>
            <w:tcW w:w="2100" w:type="dxa"/>
            <w:vAlign w:val="bottom"/>
            <w:gridSpan w:val="3"/>
          </w:tcPr>
          <w:p>
            <w:pPr>
              <w:ind w:left="100"/>
              <w:spacing w:after="0"/>
              <w:rPr>
                <w:sz w:val="20"/>
                <w:szCs w:val="20"/>
                <w:color w:val="auto"/>
              </w:rPr>
            </w:pPr>
            <w:r>
              <w:rPr>
                <w:rFonts w:ascii="Arial" w:cs="Arial" w:eastAsia="Arial" w:hAnsi="Arial"/>
                <w:sz w:val="18"/>
                <w:szCs w:val="18"/>
                <w:color w:val="auto"/>
              </w:rPr>
              <w:t>online gaming</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2"/>
        </w:trPr>
        <w:tc>
          <w:tcPr>
            <w:tcW w:w="1800" w:type="dxa"/>
            <w:vAlign w:val="bottom"/>
            <w:gridSpan w:val="2"/>
          </w:tcPr>
          <w:p>
            <w:pPr>
              <w:spacing w:after="0"/>
              <w:rPr>
                <w:sz w:val="20"/>
                <w:szCs w:val="20"/>
                <w:color w:val="auto"/>
              </w:rPr>
            </w:pPr>
            <w:r>
              <w:rPr>
                <w:rFonts w:ascii="Arial" w:cs="Arial" w:eastAsia="Arial" w:hAnsi="Arial"/>
                <w:sz w:val="18"/>
                <w:szCs w:val="18"/>
                <w:color w:val="auto"/>
              </w:rPr>
              <w:t>Brian Emes</w:t>
            </w:r>
          </w:p>
        </w:tc>
        <w:tc>
          <w:tcPr>
            <w:tcW w:w="2140" w:type="dxa"/>
            <w:vAlign w:val="bottom"/>
          </w:tcPr>
          <w:p>
            <w:pPr>
              <w:spacing w:after="0"/>
              <w:rPr>
                <w:sz w:val="20"/>
                <w:szCs w:val="20"/>
                <w:color w:val="auto"/>
              </w:rPr>
            </w:pPr>
            <w:r>
              <w:rPr>
                <w:rFonts w:ascii="Arial" w:cs="Arial" w:eastAsia="Arial" w:hAnsi="Arial"/>
                <w:sz w:val="18"/>
                <w:szCs w:val="18"/>
                <w:color w:val="auto"/>
              </w:rPr>
              <w:t>Corvex Management LP</w:t>
            </w:r>
            <w:r>
              <w:rPr>
                <w:rFonts w:ascii="Arial" w:cs="Arial" w:eastAsia="Arial" w:hAnsi="Arial"/>
                <w:sz w:val="20"/>
                <w:szCs w:val="20"/>
                <w:color w:val="auto"/>
                <w:vertAlign w:val="superscript"/>
              </w:rPr>
              <w:t>(1)</w:t>
            </w:r>
          </w:p>
        </w:tc>
        <w:tc>
          <w:tcPr>
            <w:tcW w:w="2100" w:type="dxa"/>
            <w:vAlign w:val="bottom"/>
            <w:gridSpan w:val="3"/>
          </w:tcPr>
          <w:p>
            <w:pPr>
              <w:ind w:left="100"/>
              <w:spacing w:after="0"/>
              <w:rPr>
                <w:sz w:val="20"/>
                <w:szCs w:val="20"/>
                <w:color w:val="auto"/>
              </w:rPr>
            </w:pPr>
            <w:r>
              <w:rPr>
                <w:rFonts w:ascii="Arial" w:cs="Arial" w:eastAsia="Arial" w:hAnsi="Arial"/>
                <w:sz w:val="18"/>
                <w:szCs w:val="18"/>
                <w:color w:val="auto"/>
              </w:rPr>
              <w:t>Investment manager</w:t>
            </w:r>
          </w:p>
        </w:tc>
        <w:tc>
          <w:tcPr>
            <w:tcW w:w="20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327"/>
        </w:trPr>
        <w:tc>
          <w:tcPr>
            <w:tcW w:w="1800" w:type="dxa"/>
            <w:vAlign w:val="bottom"/>
            <w:gridSpan w:val="2"/>
          </w:tcPr>
          <w:p>
            <w:pPr>
              <w:spacing w:after="0"/>
              <w:rPr>
                <w:sz w:val="20"/>
                <w:szCs w:val="20"/>
                <w:color w:val="auto"/>
              </w:rPr>
            </w:pPr>
            <w:r>
              <w:rPr>
                <w:rFonts w:ascii="Arial" w:cs="Arial" w:eastAsia="Arial" w:hAnsi="Arial"/>
                <w:sz w:val="18"/>
                <w:szCs w:val="18"/>
                <w:color w:val="auto"/>
              </w:rPr>
              <w:t>Shaun Rodriguez</w:t>
            </w:r>
          </w:p>
        </w:tc>
        <w:tc>
          <w:tcPr>
            <w:tcW w:w="2140" w:type="dxa"/>
            <w:vAlign w:val="bottom"/>
          </w:tcPr>
          <w:p>
            <w:pPr>
              <w:spacing w:after="0"/>
              <w:rPr>
                <w:sz w:val="20"/>
                <w:szCs w:val="20"/>
                <w:color w:val="auto"/>
              </w:rPr>
            </w:pPr>
            <w:r>
              <w:rPr>
                <w:rFonts w:ascii="Arial" w:cs="Arial" w:eastAsia="Arial" w:hAnsi="Arial"/>
                <w:sz w:val="18"/>
                <w:szCs w:val="18"/>
                <w:color w:val="auto"/>
              </w:rPr>
              <w:t>Casdin Capital, LLC</w:t>
            </w:r>
            <w:r>
              <w:rPr>
                <w:rFonts w:ascii="Arial" w:cs="Arial" w:eastAsia="Arial" w:hAnsi="Arial"/>
                <w:sz w:val="20"/>
                <w:szCs w:val="20"/>
                <w:color w:val="auto"/>
                <w:vertAlign w:val="superscript"/>
              </w:rPr>
              <w:t>(1)</w:t>
            </w:r>
          </w:p>
        </w:tc>
        <w:tc>
          <w:tcPr>
            <w:tcW w:w="2100" w:type="dxa"/>
            <w:vAlign w:val="bottom"/>
            <w:gridSpan w:val="3"/>
          </w:tcPr>
          <w:p>
            <w:pPr>
              <w:ind w:left="100"/>
              <w:spacing w:after="0"/>
              <w:rPr>
                <w:sz w:val="20"/>
                <w:szCs w:val="20"/>
                <w:color w:val="auto"/>
              </w:rPr>
            </w:pPr>
            <w:r>
              <w:rPr>
                <w:rFonts w:ascii="Arial" w:cs="Arial" w:eastAsia="Arial" w:hAnsi="Arial"/>
                <w:sz w:val="18"/>
                <w:szCs w:val="18"/>
                <w:color w:val="auto"/>
              </w:rPr>
              <w:t>Investment manager</w:t>
            </w:r>
          </w:p>
        </w:tc>
        <w:tc>
          <w:tcPr>
            <w:tcW w:w="2060" w:type="dxa"/>
            <w:vAlign w:val="bottom"/>
          </w:tcPr>
          <w:p>
            <w:pPr>
              <w:spacing w:after="0"/>
              <w:rPr>
                <w:sz w:val="20"/>
                <w:szCs w:val="20"/>
                <w:color w:val="auto"/>
              </w:rPr>
            </w:pPr>
            <w:r>
              <w:rPr>
                <w:rFonts w:ascii="Arial" w:cs="Arial" w:eastAsia="Arial" w:hAnsi="Arial"/>
                <w:sz w:val="18"/>
                <w:szCs w:val="18"/>
                <w:color w:val="auto"/>
              </w:rPr>
              <w:t>Director of Life Science</w:t>
            </w:r>
          </w:p>
        </w:tc>
        <w:tc>
          <w:tcPr>
            <w:tcW w:w="0" w:type="dxa"/>
            <w:vAlign w:val="bottom"/>
          </w:tcPr>
          <w:p>
            <w:pPr>
              <w:spacing w:after="0"/>
              <w:rPr>
                <w:sz w:val="1"/>
                <w:szCs w:val="1"/>
                <w:color w:val="auto"/>
              </w:rPr>
            </w:pPr>
          </w:p>
        </w:tc>
      </w:tr>
      <w:tr>
        <w:trPr>
          <w:trHeight w:val="217"/>
        </w:trPr>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Research</w:t>
            </w: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GeneMatters, LLC</w:t>
            </w:r>
          </w:p>
        </w:tc>
        <w:tc>
          <w:tcPr>
            <w:tcW w:w="2100" w:type="dxa"/>
            <w:vAlign w:val="bottom"/>
            <w:gridSpan w:val="3"/>
          </w:tcPr>
          <w:p>
            <w:pPr>
              <w:ind w:left="100"/>
              <w:spacing w:after="0"/>
              <w:rPr>
                <w:sz w:val="20"/>
                <w:szCs w:val="20"/>
                <w:color w:val="auto"/>
              </w:rPr>
            </w:pPr>
            <w:r>
              <w:rPr>
                <w:rFonts w:ascii="Arial" w:cs="Arial" w:eastAsia="Arial" w:hAnsi="Arial"/>
                <w:sz w:val="18"/>
                <w:szCs w:val="18"/>
                <w:color w:val="auto"/>
              </w:rPr>
              <w:t>Biotechnology</w:t>
            </w:r>
          </w:p>
        </w:tc>
        <w:tc>
          <w:tcPr>
            <w:tcW w:w="206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3"/>
        </w:trPr>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Prominex Inc.</w:t>
            </w:r>
          </w:p>
        </w:tc>
        <w:tc>
          <w:tcPr>
            <w:tcW w:w="2100" w:type="dxa"/>
            <w:vAlign w:val="bottom"/>
            <w:gridSpan w:val="3"/>
          </w:tcPr>
          <w:p>
            <w:pPr>
              <w:ind w:left="100"/>
              <w:spacing w:after="0"/>
              <w:rPr>
                <w:sz w:val="20"/>
                <w:szCs w:val="20"/>
                <w:color w:val="auto"/>
              </w:rPr>
            </w:pPr>
            <w:r>
              <w:rPr>
                <w:rFonts w:ascii="Arial" w:cs="Arial" w:eastAsia="Arial" w:hAnsi="Arial"/>
                <w:sz w:val="18"/>
                <w:szCs w:val="18"/>
                <w:color w:val="auto"/>
              </w:rPr>
              <w:t>Biotechnology</w:t>
            </w:r>
          </w:p>
        </w:tc>
        <w:tc>
          <w:tcPr>
            <w:tcW w:w="206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318"/>
        </w:trPr>
        <w:tc>
          <w:tcPr>
            <w:tcW w:w="1700" w:type="dxa"/>
            <w:vAlign w:val="bottom"/>
          </w:tcPr>
          <w:p>
            <w:pPr>
              <w:spacing w:after="0"/>
              <w:rPr>
                <w:sz w:val="20"/>
                <w:szCs w:val="20"/>
                <w:color w:val="auto"/>
              </w:rPr>
            </w:pPr>
            <w:r>
              <w:rPr>
                <w:rFonts w:ascii="Arial" w:cs="Arial" w:eastAsia="Arial" w:hAnsi="Arial"/>
                <w:sz w:val="16"/>
                <w:szCs w:val="16"/>
                <w:color w:val="auto"/>
              </w:rPr>
              <w:t>____________</w:t>
            </w: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880" w:hanging="426"/>
        <w:spacing w:after="0"/>
        <w:tabs>
          <w:tab w:leader="none" w:pos="880" w:val="left"/>
        </w:tabs>
        <w:numPr>
          <w:ilvl w:val="0"/>
          <w:numId w:val="52"/>
        </w:numPr>
        <w:rPr>
          <w:rFonts w:ascii="Arial" w:cs="Arial" w:eastAsia="Arial" w:hAnsi="Arial"/>
          <w:sz w:val="13"/>
          <w:szCs w:val="13"/>
          <w:color w:val="auto"/>
        </w:rPr>
      </w:pPr>
      <w:r>
        <w:rPr>
          <w:rFonts w:ascii="Arial" w:cs="Arial" w:eastAsia="Arial" w:hAnsi="Arial"/>
          <w:sz w:val="13"/>
          <w:szCs w:val="13"/>
          <w:color w:val="auto"/>
        </w:rPr>
        <w:t>Including with respect to one or more investment funds, clients or accounts for which such entity acts as investment advisor.</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Potential investors should also be aware of the following other potential conflicts of interest:</w:t>
      </w:r>
    </w:p>
    <w:p>
      <w:pPr>
        <w:spacing w:after="0" w:line="36" w:lineRule="exact"/>
        <w:rPr>
          <w:sz w:val="20"/>
          <w:szCs w:val="20"/>
          <w:color w:val="auto"/>
        </w:rPr>
      </w:pPr>
    </w:p>
    <w:p>
      <w:pPr>
        <w:ind w:left="1100" w:right="559" w:hanging="322"/>
        <w:spacing w:after="0" w:line="237" w:lineRule="auto"/>
        <w:tabs>
          <w:tab w:leader="none" w:pos="1089"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executive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executive officers is engaged in several other business endeavors for which he may be entitled to substantial compensation, and our executive officers are not obligated to contribute any specific number of hours per week to our affairs.</w:t>
      </w:r>
    </w:p>
    <w:p>
      <w:pPr>
        <w:spacing w:after="0" w:line="13" w:lineRule="exact"/>
        <w:rPr>
          <w:rFonts w:ascii="Arial" w:cs="Arial" w:eastAsia="Arial" w:hAnsi="Arial"/>
          <w:sz w:val="18"/>
          <w:szCs w:val="18"/>
          <w:color w:val="auto"/>
        </w:rPr>
      </w:pPr>
    </w:p>
    <w:p>
      <w:pPr>
        <w:ind w:left="1100" w:right="459" w:hanging="322"/>
        <w:spacing w:after="0" w:line="235" w:lineRule="auto"/>
        <w:tabs>
          <w:tab w:leader="none" w:pos="1089"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initial stockholders purchased founder shares prior to the date of this prospectus and will purchase private placement warrants in a transaction that will close simultaneously with the closing of this offering. Our initial stockholders have entered into agreements with us, pursuant to which they have agreed to waive their redemption rights with respect to their founder shares and any public shares they hold in connection with the completion of our initial business combination. The other members of our management team have entered into agreements similar to the one entered into by our initial stockholders with respect to any public shares acquired by them in or after this offering. Additionally, our initial stockholders have agreed to waive their rights to liquidating distributions from the trust account with respect to their founder shares if we fail to complete our initial business combination within the prescribed time frame or during any Extension Period. If we do not complete our initial business combination within the prescribed time frame, the private placement warrants will expire worthless. Furthermore, our initial stockholders have agreed not to transfer, assign or sell any of their founder shares until the earlier to occur of: (i) one year after the completion of our initial business combination and (ii) the date following the completion of our initial business combination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10" w:name="page111"/>
    <w:bookmarkEnd w:id="110"/>
    <w:p>
      <w:pPr>
        <w:ind w:left="1100" w:right="519"/>
        <w:spacing w:after="0" w:line="236" w:lineRule="auto"/>
        <w:rPr>
          <w:sz w:val="20"/>
          <w:szCs w:val="20"/>
          <w:color w:val="auto"/>
        </w:rPr>
      </w:pPr>
      <w:r>
        <w:rPr>
          <w:rFonts w:ascii="Arial" w:cs="Arial" w:eastAsia="Arial" w:hAnsi="Arial"/>
          <w:sz w:val="18"/>
          <w:szCs w:val="18"/>
          <w:color w:val="auto"/>
        </w:rPr>
        <w:t>on which we complete a liquidation, merger, capital stock exchange or other similar transaction that results in all of our stockholders having the right to exchange their common stock for cash, securities or other property. Notwithstanding the foregoing, if the closing price of our Class A common stock equals or exceeds $12.00 per share (as adjusted for stock splits, stock capitalizations, reorganizations, recapitalizations and the like) for any 20 trading days within any 30-trading day period commencing at least 150 days after our initial business combination, the founder shares will be released from the lockup. Subject to certain limited exceptions, the private placement warrants will not be transferable until 30 days following the completion of our initial business combination. Because each of our executive officers and director nominees will own common stock or warrants directly or indirectly, they may have a conflict of interest in determining whether a particular target business is an appropriate business with which to effectuate our initial business combination.</w:t>
      </w:r>
    </w:p>
    <w:p>
      <w:pPr>
        <w:spacing w:after="0" w:line="15" w:lineRule="exact"/>
        <w:rPr>
          <w:sz w:val="20"/>
          <w:szCs w:val="20"/>
          <w:color w:val="auto"/>
        </w:rPr>
      </w:pPr>
    </w:p>
    <w:p>
      <w:pPr>
        <w:ind w:left="1100" w:right="659" w:hanging="322"/>
        <w:spacing w:after="0" w:line="238" w:lineRule="auto"/>
        <w:tabs>
          <w:tab w:leader="none" w:pos="1089"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97"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We are not prohibited from pursuing an initial business combination with a business combination target that is affiliated with our sponsor, officers or directors or completing the business combination through a joint venture or other form of shared ownership with our sponsor, officers or directors. In the event we seek to complete our initial business combination with an business combination target that is affiliated with our sponsor, executive officers or directors, we, or a committee of independent directors, would obtain an opinion from an independent investment banking which is a member of FINRA or a valuation or appraisal firm, that such initial business combination is fair to our company from a financial point of view. We are not required to obtain such an opinion in any other context. Furthermore, in no event will our sponsor or any of our existing officers or directors, or any of their respective affiliates, be paid by the company any finder’s fee, consulting fee or other compensation prior to, or for any services they render in order to effectuate, the completion of our initial business combination.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cannot assure you that any of the above mentioned conflicts will be resolved in our favor.</w:t>
      </w:r>
    </w:p>
    <w:p>
      <w:pPr>
        <w:spacing w:after="0" w:line="104" w:lineRule="exact"/>
        <w:rPr>
          <w:sz w:val="20"/>
          <w:szCs w:val="20"/>
          <w:color w:val="auto"/>
        </w:rPr>
      </w:pPr>
    </w:p>
    <w:p>
      <w:pPr>
        <w:ind w:left="460" w:right="599"/>
        <w:spacing w:after="0" w:line="238" w:lineRule="auto"/>
        <w:rPr>
          <w:sz w:val="20"/>
          <w:szCs w:val="20"/>
          <w:color w:val="auto"/>
        </w:rPr>
      </w:pPr>
      <w:r>
        <w:rPr>
          <w:rFonts w:ascii="Arial" w:cs="Arial" w:eastAsia="Arial" w:hAnsi="Arial"/>
          <w:sz w:val="18"/>
          <w:szCs w:val="18"/>
          <w:color w:val="auto"/>
        </w:rPr>
        <w:t>In the event that we submit our initial business combination to our public stockholders for a vote, our initial stockholders have agreed to vote their founder shares, and they and the other members of our management team have agreed to vote any founder shares they hold and any shares purchased during or after the offering in favor of our initial business combination.</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Limitation on Liability and Indemnification of Officers and Directors</w:t>
      </w:r>
    </w:p>
    <w:p>
      <w:pPr>
        <w:spacing w:after="0" w:line="126"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Our amended and restated certificate of incorporation will provide that our officers and directors will be indemnified by us to the fullest extent authorized by Delaware law, as it now exists or may in the future be amended. In addition, our amended and restated certificate of incorporation will provide that our directors will not be personally liable for monetary damages to us or our stockholders for breaches of their fiduciary duty as directors, unless they violated their duty of loyalty to us or our stockholders, acted in bad faith, knowingly or intentionally violated the law, authorized unlawful payments of dividends, unlawful stock purchases or unlawful redemptions, or derived an improper personal benefit from their actions as directors.</w:t>
      </w:r>
    </w:p>
    <w:p>
      <w:pPr>
        <w:spacing w:after="0" w:line="100" w:lineRule="exact"/>
        <w:rPr>
          <w:sz w:val="20"/>
          <w:szCs w:val="20"/>
          <w:color w:val="auto"/>
        </w:rPr>
      </w:pPr>
    </w:p>
    <w:p>
      <w:pPr>
        <w:ind w:left="460" w:right="459"/>
        <w:spacing w:after="0" w:line="236" w:lineRule="auto"/>
        <w:rPr>
          <w:sz w:val="20"/>
          <w:szCs w:val="20"/>
          <w:color w:val="auto"/>
        </w:rPr>
      </w:pPr>
      <w:r>
        <w:rPr>
          <w:rFonts w:ascii="Arial" w:cs="Arial" w:eastAsia="Arial" w:hAnsi="Arial"/>
          <w:sz w:val="18"/>
          <w:szCs w:val="18"/>
          <w:color w:val="auto"/>
        </w:rPr>
        <w:t>We will enter into agreements with our officers and directors to provide contractual indemnification in addition to the indemnification provided for in our amended and restated certificate of incorporation. Our bylaws also will permit us to secure insurance on behalf of any officer, director or employee for any liability arising out of his or her actions, regardless of whether Delaware law would permit such indemnification. We will purchase a policy of directors’ and officers’ liability insurance that insures our officers and directors against the cost of defense, settlement or payment of a judgment in some circumstances and insures us against our obligations to indemnify our officers and directors. Except with respect to any public shares they may acquire in this offering or thereafter (in the event we do not consummate an initial business combination), our officers and directors have agreed to waive (and any other persons who may become an officer or director prior to the initial business combination will also be required to waive) any right, title, interest or claim of any kind in or to any monies in the trust account, and not to seek recourse against the trust account for any reason whatsoever, including with respect to such indemnification.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79" w:right="1440" w:bottom="1440" w:gutter="0" w:footer="0" w:header="0"/>
        </w:sectPr>
      </w:pPr>
    </w:p>
    <w:bookmarkStart w:id="111" w:name="page112"/>
    <w:bookmarkEnd w:id="111"/>
    <w:p>
      <w:pPr>
        <w:ind w:left="460" w:right="479"/>
        <w:spacing w:after="0" w:line="237" w:lineRule="auto"/>
        <w:rPr>
          <w:sz w:val="20"/>
          <w:szCs w:val="20"/>
          <w:color w:val="auto"/>
        </w:rPr>
      </w:pPr>
      <w:r>
        <w:rPr>
          <w:rFonts w:ascii="Arial" w:cs="Arial" w:eastAsia="Arial" w:hAnsi="Arial"/>
          <w:sz w:val="18"/>
          <w:szCs w:val="18"/>
          <w:color w:val="auto"/>
        </w:rPr>
        <w:t>These provisions may discourage stockholders from bringing a lawsuit against our directors for breach of their fiduciary duty. These provisions also may have the effect of reducing the likelihood of derivative litigation against officers and directors, even though such an action, if successful, might otherwise benefit us and our stockholders. Furthermore, a stockholder’s investment may be adversely affected to the extent we pay the costs of settlement and damage awards against officers and directors pursuant to these indemnification provisions.</w:t>
      </w:r>
    </w:p>
    <w:p>
      <w:pPr>
        <w:spacing w:after="0" w:line="110" w:lineRule="exact"/>
        <w:rPr>
          <w:sz w:val="20"/>
          <w:szCs w:val="20"/>
          <w:color w:val="auto"/>
        </w:rPr>
      </w:pPr>
    </w:p>
    <w:p>
      <w:pPr>
        <w:jc w:val="both"/>
        <w:ind w:left="460" w:right="939"/>
        <w:spacing w:after="0" w:line="274" w:lineRule="auto"/>
        <w:rPr>
          <w:sz w:val="20"/>
          <w:szCs w:val="20"/>
          <w:color w:val="auto"/>
        </w:rPr>
      </w:pPr>
      <w:r>
        <w:rPr>
          <w:rFonts w:ascii="Arial" w:cs="Arial" w:eastAsia="Arial" w:hAnsi="Arial"/>
          <w:sz w:val="17"/>
          <w:szCs w:val="17"/>
          <w:color w:val="auto"/>
        </w:rPr>
        <w:t>We believe that these provisions, the directors’ and officers’ liability insurance and the indemnity agreements are necessary to attract and retain talented and experienced officers and directors.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47" w:right="1440"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166" w:lineRule="exact"/>
        <w:rPr>
          <w:sz w:val="20"/>
          <w:szCs w:val="20"/>
          <w:color w:val="auto"/>
        </w:rPr>
      </w:pPr>
    </w:p>
    <w:p>
      <w:pPr>
        <w:ind w:left="460" w:right="479"/>
        <w:spacing w:after="0" w:line="259" w:lineRule="auto"/>
        <w:rPr>
          <w:sz w:val="20"/>
          <w:szCs w:val="20"/>
          <w:color w:val="auto"/>
        </w:rPr>
      </w:pPr>
      <w:r>
        <w:rPr>
          <w:rFonts w:ascii="Arial" w:cs="Arial" w:eastAsia="Arial" w:hAnsi="Arial"/>
          <w:sz w:val="17"/>
          <w:szCs w:val="17"/>
          <w:color w:val="auto"/>
        </w:rPr>
        <w:t>The following table sets forth information regarding the beneficial ownership of our common stock as of the date of this prospectus, and as adjusted to reflect the sale of our Class A common stock included in the units offered by this prospectus, and assuming no purchase of units in this offering, by:</w:t>
      </w:r>
    </w:p>
    <w:p>
      <w:pPr>
        <w:spacing w:after="0" w:line="2" w:lineRule="exact"/>
        <w:rPr>
          <w:sz w:val="20"/>
          <w:szCs w:val="20"/>
          <w:color w:val="auto"/>
        </w:rPr>
      </w:pPr>
    </w:p>
    <w:p>
      <w:pPr>
        <w:ind w:left="1100" w:right="919" w:hanging="322"/>
        <w:spacing w:after="0" w:line="246" w:lineRule="auto"/>
        <w:tabs>
          <w:tab w:leader="none" w:pos="1089" w:val="left"/>
        </w:tabs>
        <w:numPr>
          <w:ilvl w:val="0"/>
          <w:numId w:val="55"/>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outstanding shares of common stock;</w:t>
      </w:r>
    </w:p>
    <w:p>
      <w:pPr>
        <w:spacing w:after="0" w:line="21" w:lineRule="exact"/>
        <w:rPr>
          <w:rFonts w:ascii="Arial" w:cs="Arial" w:eastAsia="Arial" w:hAnsi="Arial"/>
          <w:sz w:val="18"/>
          <w:szCs w:val="18"/>
          <w:color w:val="auto"/>
        </w:rPr>
      </w:pPr>
    </w:p>
    <w:p>
      <w:pPr>
        <w:ind w:left="1100" w:hanging="322"/>
        <w:spacing w:after="0"/>
        <w:tabs>
          <w:tab w:leader="none" w:pos="11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each of our executive officers, directors and director nominees; and</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all our executive officers and directors as a group.</w:t>
      </w:r>
    </w:p>
    <w:p>
      <w:pPr>
        <w:spacing w:after="0" w:line="131" w:lineRule="exact"/>
        <w:rPr>
          <w:sz w:val="20"/>
          <w:szCs w:val="20"/>
          <w:color w:val="auto"/>
        </w:rPr>
      </w:pPr>
    </w:p>
    <w:p>
      <w:pPr>
        <w:ind w:left="460" w:right="619"/>
        <w:spacing w:after="0" w:line="238" w:lineRule="auto"/>
        <w:rPr>
          <w:sz w:val="20"/>
          <w:szCs w:val="20"/>
          <w:color w:val="auto"/>
        </w:rPr>
      </w:pPr>
      <w:r>
        <w:rPr>
          <w:rFonts w:ascii="Arial" w:cs="Arial" w:eastAsia="Arial" w:hAnsi="Arial"/>
          <w:sz w:val="18"/>
          <w:szCs w:val="18"/>
          <w:color w:val="auto"/>
        </w:rPr>
        <w:t>Unless otherwise indicated, we believe that all persons named in the table have sole voting and investment power with respect to all of our common stock beneficially owned by them. The following table does not reflect record or beneficial ownership of the private placement warrants as these warrants are not exercisable within 60 days of the date of this prospectus.</w:t>
      </w:r>
    </w:p>
    <w:p>
      <w:pPr>
        <w:spacing w:after="0" w:line="137"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On July 16, 2020 our sponsor purchased an aggregate 10,062,500 founder shares for a total purchase price of $25,000, or approximately $0.002 per share. Prior to the initial investment in the company of $25,000 by the sponsor, the company had no assets, tangible or intangible. The purchase price of the founder shares was determined by dividing the amount of cash contributed to the company by the number of founder shares issued. The number of founder shares outstanding was determined based on the expectation that the total size of this offering would be a maximum of 40,250,000 units if the underwriters’ over-allotment option is exercised in full, and therefore that such founder shares would represent 20% of the outstanding shares after this offering. Up to 1,312,500 of the founder shares will be forfeited depending on the extent to which the underwriters’ over-allotment is exercised. The post-offering percentages in the following table assume that the underwriters do not exercise their over-allotment option, that our initial stockholders have forfeited 1,312,500 founder shares, and that there are 43,750,000 shares of common stock issued and outstanding after this offering.</w:t>
      </w:r>
    </w:p>
    <w:p>
      <w:pPr>
        <w:spacing w:after="0" w:line="150"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2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Number of</w:t>
            </w:r>
          </w:p>
        </w:tc>
        <w:tc>
          <w:tcPr>
            <w:tcW w:w="2740" w:type="dxa"/>
            <w:vAlign w:val="bottom"/>
            <w:gridSpan w:val="3"/>
          </w:tcPr>
          <w:p>
            <w:pPr>
              <w:jc w:val="center"/>
              <w:spacing w:after="0"/>
              <w:rPr>
                <w:sz w:val="20"/>
                <w:szCs w:val="20"/>
                <w:color w:val="auto"/>
              </w:rPr>
            </w:pPr>
            <w:r>
              <w:rPr>
                <w:rFonts w:ascii="Arial" w:cs="Arial" w:eastAsia="Arial" w:hAnsi="Arial"/>
                <w:sz w:val="14"/>
                <w:szCs w:val="14"/>
                <w:b w:val="1"/>
                <w:bCs w:val="1"/>
                <w:color w:val="auto"/>
              </w:rPr>
              <w:t>Approximate Percentage of</w:t>
            </w: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740" w:type="dxa"/>
            <w:vAlign w:val="bottom"/>
            <w:gridSpan w:val="3"/>
          </w:tcPr>
          <w:p>
            <w:pPr>
              <w:jc w:val="center"/>
              <w:spacing w:after="0" w:line="148"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62"/>
        </w:trPr>
        <w:tc>
          <w:tcPr>
            <w:tcW w:w="2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Shares</w:t>
            </w:r>
          </w:p>
        </w:tc>
        <w:tc>
          <w:tcPr>
            <w:tcW w:w="2740" w:type="dxa"/>
            <w:vAlign w:val="bottom"/>
            <w:gridSpan w:val="3"/>
          </w:tcPr>
          <w:p>
            <w:pPr>
              <w:jc w:val="center"/>
              <w:spacing w:after="0"/>
              <w:rPr>
                <w:sz w:val="20"/>
                <w:szCs w:val="20"/>
                <w:color w:val="auto"/>
              </w:rPr>
            </w:pPr>
            <w:r>
              <w:rPr>
                <w:rFonts w:ascii="Arial" w:cs="Arial" w:eastAsia="Arial" w:hAnsi="Arial"/>
                <w:sz w:val="14"/>
                <w:szCs w:val="14"/>
                <w:b w:val="1"/>
                <w:bCs w:val="1"/>
                <w:color w:val="auto"/>
              </w:rPr>
              <w:t>Common Stock</w:t>
            </w:r>
          </w:p>
        </w:tc>
        <w:tc>
          <w:tcPr>
            <w:tcW w:w="0" w:type="dxa"/>
            <w:vAlign w:val="bottom"/>
          </w:tcPr>
          <w:p>
            <w:pPr>
              <w:spacing w:after="0"/>
              <w:rPr>
                <w:sz w:val="1"/>
                <w:szCs w:val="1"/>
                <w:color w:val="auto"/>
              </w:rPr>
            </w:pPr>
          </w:p>
        </w:tc>
      </w:tr>
      <w:tr>
        <w:trPr>
          <w:trHeight w:val="67"/>
        </w:trPr>
        <w:tc>
          <w:tcPr>
            <w:tcW w:w="2220" w:type="dxa"/>
            <w:vAlign w:val="bottom"/>
          </w:tcPr>
          <w:p>
            <w:pPr>
              <w:spacing w:after="0"/>
              <w:rPr>
                <w:sz w:val="5"/>
                <w:szCs w:val="5"/>
                <w:color w:val="auto"/>
              </w:rPr>
            </w:pPr>
          </w:p>
        </w:tc>
        <w:tc>
          <w:tcPr>
            <w:tcW w:w="18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rPr>
              <w:t>Beneficially</w:t>
            </w: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220" w:type="dxa"/>
            <w:vAlign w:val="bottom"/>
          </w:tcPr>
          <w:p>
            <w:pPr>
              <w:spacing w:after="0"/>
              <w:rPr>
                <w:sz w:val="5"/>
                <w:szCs w:val="5"/>
                <w:color w:val="auto"/>
              </w:rPr>
            </w:pPr>
          </w:p>
        </w:tc>
        <w:tc>
          <w:tcPr>
            <w:tcW w:w="18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Name and Address of Beneficial Owner</w:t>
            </w:r>
            <w:r>
              <w:rPr>
                <w:rFonts w:ascii="Arial" w:cs="Arial" w:eastAsia="Arial" w:hAnsi="Arial"/>
                <w:sz w:val="16"/>
                <w:szCs w:val="16"/>
                <w:b w:val="1"/>
                <w:bCs w:val="1"/>
                <w:color w:val="auto"/>
                <w:vertAlign w:val="superscript"/>
              </w:rPr>
              <w:t>(1)</w:t>
            </w:r>
          </w:p>
        </w:tc>
        <w:tc>
          <w:tcPr>
            <w:tcW w:w="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25"/>
                <w:szCs w:val="25"/>
                <w:b w:val="1"/>
                <w:bCs w:val="1"/>
                <w:color w:val="auto"/>
                <w:w w:val="90"/>
                <w:vertAlign w:val="subscript"/>
              </w:rPr>
              <w:t>Owned</w:t>
            </w:r>
            <w:r>
              <w:rPr>
                <w:rFonts w:ascii="Arial" w:cs="Arial" w:eastAsia="Arial" w:hAnsi="Arial"/>
                <w:sz w:val="8"/>
                <w:szCs w:val="8"/>
                <w:b w:val="1"/>
                <w:bCs w:val="1"/>
                <w:color w:val="auto"/>
                <w:w w:val="90"/>
              </w:rPr>
              <w:t>(2)(4)</w:t>
            </w: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Before Offering</w:t>
            </w: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After Offering</w:t>
            </w:r>
          </w:p>
        </w:tc>
        <w:tc>
          <w:tcPr>
            <w:tcW w:w="0" w:type="dxa"/>
            <w:vAlign w:val="bottom"/>
          </w:tcPr>
          <w:p>
            <w:pPr>
              <w:spacing w:after="0"/>
              <w:rPr>
                <w:sz w:val="1"/>
                <w:szCs w:val="1"/>
                <w:color w:val="auto"/>
              </w:rPr>
            </w:pPr>
          </w:p>
        </w:tc>
      </w:tr>
      <w:tr>
        <w:trPr>
          <w:trHeight w:val="263"/>
        </w:trPr>
        <w:tc>
          <w:tcPr>
            <w:tcW w:w="4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CMLS Holdings LLC (our sponsor)</w:t>
            </w:r>
            <w:r>
              <w:rPr>
                <w:rFonts w:ascii="Arial" w:cs="Arial" w:eastAsia="Arial" w:hAnsi="Arial"/>
                <w:sz w:val="20"/>
                <w:szCs w:val="20"/>
                <w:color w:val="auto"/>
                <w:vertAlign w:val="superscript"/>
              </w:rPr>
              <w:t>(3)</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10,062,500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84"/>
        </w:trPr>
        <w:tc>
          <w:tcPr>
            <w:tcW w:w="2220" w:type="dxa"/>
            <w:vAlign w:val="bottom"/>
          </w:tcPr>
          <w:p>
            <w:pPr>
              <w:spacing w:after="0"/>
              <w:rPr>
                <w:sz w:val="20"/>
                <w:szCs w:val="20"/>
                <w:color w:val="auto"/>
              </w:rPr>
            </w:pPr>
            <w:r>
              <w:rPr>
                <w:rFonts w:ascii="Arial" w:cs="Arial" w:eastAsia="Arial" w:hAnsi="Arial"/>
                <w:sz w:val="18"/>
                <w:szCs w:val="18"/>
                <w:color w:val="auto"/>
              </w:rPr>
              <w:t>Eli Casdin</w:t>
            </w:r>
            <w:r>
              <w:rPr>
                <w:rFonts w:ascii="Arial" w:cs="Arial" w:eastAsia="Arial" w:hAnsi="Arial"/>
                <w:sz w:val="20"/>
                <w:szCs w:val="20"/>
                <w:color w:val="auto"/>
                <w:vertAlign w:val="superscript"/>
              </w:rPr>
              <w:t>(3)</w:t>
            </w: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10,062,500</w:t>
            </w:r>
          </w:p>
        </w:tc>
        <w:tc>
          <w:tcPr>
            <w:tcW w:w="126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83"/>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Keith Meister</w:t>
            </w:r>
            <w:r>
              <w:rPr>
                <w:rFonts w:ascii="Arial" w:cs="Arial" w:eastAsia="Arial" w:hAnsi="Arial"/>
                <w:sz w:val="20"/>
                <w:szCs w:val="20"/>
                <w:color w:val="auto"/>
                <w:vertAlign w:val="superscript"/>
              </w:rPr>
              <w:t>(3)</w:t>
            </w:r>
          </w:p>
        </w:tc>
        <w:tc>
          <w:tcPr>
            <w:tcW w:w="18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10,062,500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57"/>
        </w:trPr>
        <w:tc>
          <w:tcPr>
            <w:tcW w:w="2220" w:type="dxa"/>
            <w:vAlign w:val="bottom"/>
          </w:tcPr>
          <w:p>
            <w:pPr>
              <w:spacing w:after="0"/>
              <w:rPr>
                <w:sz w:val="20"/>
                <w:szCs w:val="20"/>
                <w:color w:val="auto"/>
              </w:rPr>
            </w:pPr>
            <w:r>
              <w:rPr>
                <w:rFonts w:ascii="Arial" w:cs="Arial" w:eastAsia="Arial" w:hAnsi="Arial"/>
                <w:sz w:val="18"/>
                <w:szCs w:val="18"/>
                <w:color w:val="auto"/>
              </w:rPr>
              <w:t>Brian Emes</w:t>
            </w:r>
          </w:p>
        </w:tc>
        <w:tc>
          <w:tcPr>
            <w:tcW w:w="18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Shaun Rodriguez</w:t>
            </w:r>
          </w:p>
        </w:tc>
        <w:tc>
          <w:tcPr>
            <w:tcW w:w="18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160" w:type="dxa"/>
            <w:vAlign w:val="bottom"/>
            <w:gridSpan w:val="3"/>
          </w:tcPr>
          <w:p>
            <w:pPr>
              <w:spacing w:after="0" w:line="201" w:lineRule="exact"/>
              <w:rPr>
                <w:sz w:val="20"/>
                <w:szCs w:val="20"/>
                <w:color w:val="auto"/>
              </w:rPr>
            </w:pPr>
            <w:r>
              <w:rPr>
                <w:rFonts w:ascii="Arial" w:cs="Arial" w:eastAsia="Arial" w:hAnsi="Arial"/>
                <w:sz w:val="18"/>
                <w:szCs w:val="18"/>
                <w:color w:val="auto"/>
              </w:rPr>
              <w:t>All executive officers, directors and director</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220" w:type="dxa"/>
            <w:vAlign w:val="bottom"/>
          </w:tcPr>
          <w:p>
            <w:pPr>
              <w:ind w:left="180"/>
              <w:spacing w:after="0"/>
              <w:rPr>
                <w:sz w:val="20"/>
                <w:szCs w:val="20"/>
                <w:color w:val="auto"/>
              </w:rPr>
            </w:pPr>
            <w:r>
              <w:rPr>
                <w:rFonts w:ascii="Arial" w:cs="Arial" w:eastAsia="Arial" w:hAnsi="Arial"/>
                <w:sz w:val="18"/>
                <w:szCs w:val="18"/>
                <w:color w:val="auto"/>
              </w:rPr>
              <w:t>nominees as a group ([</w:t>
            </w:r>
          </w:p>
        </w:tc>
        <w:tc>
          <w:tcPr>
            <w:tcW w:w="1940" w:type="dxa"/>
            <w:vAlign w:val="bottom"/>
            <w:gridSpan w:val="2"/>
          </w:tcPr>
          <w:p>
            <w:pPr>
              <w:ind w:left="200"/>
              <w:spacing w:after="0"/>
              <w:rPr>
                <w:sz w:val="20"/>
                <w:szCs w:val="20"/>
                <w:color w:val="auto"/>
              </w:rPr>
            </w:pPr>
            <w:r>
              <w:rPr>
                <w:rFonts w:ascii="Arial" w:cs="Arial" w:eastAsia="Arial" w:hAnsi="Arial"/>
                <w:sz w:val="18"/>
                <w:szCs w:val="18"/>
                <w:color w:val="auto"/>
              </w:rPr>
              <w:t>] individuals)</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10,062,500</w:t>
            </w:r>
          </w:p>
        </w:tc>
        <w:tc>
          <w:tcPr>
            <w:tcW w:w="126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85" w:lineRule="exact"/>
        <w:rPr>
          <w:sz w:val="20"/>
          <w:szCs w:val="20"/>
          <w:color w:val="auto"/>
        </w:rPr>
      </w:pPr>
    </w:p>
    <w:p>
      <w:pPr>
        <w:ind w:left="880" w:hanging="426"/>
        <w:spacing w:after="0"/>
        <w:tabs>
          <w:tab w:leader="none" w:pos="880" w:val="left"/>
        </w:tabs>
        <w:numPr>
          <w:ilvl w:val="0"/>
          <w:numId w:val="56"/>
        </w:numPr>
        <w:rPr>
          <w:rFonts w:ascii="Arial" w:cs="Arial" w:eastAsia="Arial" w:hAnsi="Arial"/>
          <w:sz w:val="12"/>
          <w:szCs w:val="12"/>
          <w:color w:val="auto"/>
        </w:rPr>
      </w:pPr>
      <w:r>
        <w:rPr>
          <w:rFonts w:ascii="Arial" w:cs="Arial" w:eastAsia="Arial" w:hAnsi="Arial"/>
          <w:sz w:val="12"/>
          <w:szCs w:val="12"/>
          <w:color w:val="auto"/>
        </w:rPr>
        <w:t>Unless otherwise noted, the business address of each of the following is 667 Madison Avenue, 2</w:t>
      </w:r>
      <w:r>
        <w:rPr>
          <w:rFonts w:ascii="Arial" w:cs="Arial" w:eastAsia="Arial" w:hAnsi="Arial"/>
          <w:sz w:val="13"/>
          <w:szCs w:val="13"/>
          <w:color w:val="auto"/>
          <w:vertAlign w:val="superscript"/>
        </w:rPr>
        <w:t>nd</w:t>
      </w:r>
      <w:r>
        <w:rPr>
          <w:rFonts w:ascii="Arial" w:cs="Arial" w:eastAsia="Arial" w:hAnsi="Arial"/>
          <w:sz w:val="12"/>
          <w:szCs w:val="12"/>
          <w:color w:val="auto"/>
        </w:rPr>
        <w:t xml:space="preserve"> Floor, New York, New York 10065.</w:t>
      </w:r>
    </w:p>
    <w:p>
      <w:pPr>
        <w:ind w:left="880" w:right="479" w:hanging="426"/>
        <w:spacing w:after="0" w:line="216" w:lineRule="auto"/>
        <w:tabs>
          <w:tab w:leader="none" w:pos="882" w:val="left"/>
        </w:tabs>
        <w:numPr>
          <w:ilvl w:val="0"/>
          <w:numId w:val="56"/>
        </w:numPr>
        <w:rPr>
          <w:rFonts w:ascii="Arial" w:cs="Arial" w:eastAsia="Arial" w:hAnsi="Arial"/>
          <w:sz w:val="13"/>
          <w:szCs w:val="13"/>
          <w:color w:val="auto"/>
        </w:rPr>
      </w:pPr>
      <w:r>
        <w:rPr>
          <w:rFonts w:ascii="Arial" w:cs="Arial" w:eastAsia="Arial" w:hAnsi="Arial"/>
          <w:sz w:val="13"/>
          <w:szCs w:val="13"/>
          <w:color w:val="auto"/>
        </w:rPr>
        <w:t>Interests shown consist solely of founder shares, classified as Class B common stock. Such shares will automatically convert into Class A common stock concurrently with or immediately following the consummation of our initial business combination on a one-for-one basis, subject to adjustment, as described in the section entitled “Description of Securities.” Excludes Class A common stock issuable pursuant to the forward purchase agreements, as such shares, if any, would only be issued concurrently with the closing of our initial business combination.</w:t>
      </w:r>
    </w:p>
    <w:p>
      <w:pPr>
        <w:spacing w:after="0" w:line="2" w:lineRule="exact"/>
        <w:rPr>
          <w:rFonts w:ascii="Arial" w:cs="Arial" w:eastAsia="Arial" w:hAnsi="Arial"/>
          <w:sz w:val="13"/>
          <w:szCs w:val="13"/>
          <w:color w:val="auto"/>
        </w:rPr>
      </w:pPr>
    </w:p>
    <w:p>
      <w:pPr>
        <w:ind w:left="880" w:right="579" w:hanging="426"/>
        <w:spacing w:after="0" w:line="216" w:lineRule="auto"/>
        <w:tabs>
          <w:tab w:leader="none" w:pos="882" w:val="left"/>
        </w:tabs>
        <w:numPr>
          <w:ilvl w:val="0"/>
          <w:numId w:val="56"/>
        </w:numPr>
        <w:rPr>
          <w:rFonts w:ascii="Arial" w:cs="Arial" w:eastAsia="Arial" w:hAnsi="Arial"/>
          <w:sz w:val="13"/>
          <w:szCs w:val="13"/>
          <w:color w:val="auto"/>
        </w:rPr>
      </w:pPr>
      <w:r>
        <w:rPr>
          <w:rFonts w:ascii="Arial" w:cs="Arial" w:eastAsia="Arial" w:hAnsi="Arial"/>
          <w:sz w:val="13"/>
          <w:szCs w:val="13"/>
          <w:color w:val="auto"/>
        </w:rPr>
        <w:t>CMLS Holdings LLC is the record holder of the shares reported herein. The Board of Managers of CMLS Holdings LLC is comprised of Eli Casdin and Keith Meister who share voting and investment discretion with respect to the common stock held of record by CMLS Holdings LLC. Each of Messrs. Casdin and Meister disclaims beneficial ownership of these shares except to the extent of his respective pecuniary interest therein.</w:t>
      </w:r>
    </w:p>
    <w:p>
      <w:pPr>
        <w:spacing w:after="0" w:line="1" w:lineRule="exact"/>
        <w:rPr>
          <w:rFonts w:ascii="Arial" w:cs="Arial" w:eastAsia="Arial" w:hAnsi="Arial"/>
          <w:sz w:val="13"/>
          <w:szCs w:val="13"/>
          <w:color w:val="auto"/>
        </w:rPr>
      </w:pPr>
    </w:p>
    <w:p>
      <w:pPr>
        <w:ind w:left="880" w:right="559" w:hanging="426"/>
        <w:spacing w:after="0" w:line="230" w:lineRule="auto"/>
        <w:tabs>
          <w:tab w:leader="none" w:pos="882" w:val="left"/>
        </w:tabs>
        <w:numPr>
          <w:ilvl w:val="0"/>
          <w:numId w:val="56"/>
        </w:numPr>
        <w:rPr>
          <w:rFonts w:ascii="Arial" w:cs="Arial" w:eastAsia="Arial" w:hAnsi="Arial"/>
          <w:sz w:val="13"/>
          <w:szCs w:val="13"/>
          <w:color w:val="auto"/>
        </w:rPr>
      </w:pPr>
      <w:r>
        <w:rPr>
          <w:rFonts w:ascii="Arial" w:cs="Arial" w:eastAsia="Arial" w:hAnsi="Arial"/>
          <w:sz w:val="13"/>
          <w:szCs w:val="13"/>
          <w:color w:val="auto"/>
        </w:rPr>
        <w:t>Includes up to 1,312,500 founder shares, which will be forfeited depending on the extent to which the underwriters’ over-allotment option is exercised.</w:t>
      </w:r>
    </w:p>
    <w:p>
      <w:pPr>
        <w:spacing w:after="0" w:line="124" w:lineRule="exact"/>
        <w:rPr>
          <w:sz w:val="20"/>
          <w:szCs w:val="20"/>
          <w:color w:val="auto"/>
        </w:rPr>
      </w:pPr>
    </w:p>
    <w:p>
      <w:pPr>
        <w:ind w:left="460" w:right="459"/>
        <w:spacing w:after="0" w:line="237" w:lineRule="auto"/>
        <w:rPr>
          <w:sz w:val="20"/>
          <w:szCs w:val="20"/>
          <w:color w:val="auto"/>
        </w:rPr>
      </w:pPr>
      <w:r>
        <w:rPr>
          <w:rFonts w:ascii="Arial" w:cs="Arial" w:eastAsia="Arial" w:hAnsi="Arial"/>
          <w:sz w:val="18"/>
          <w:szCs w:val="18"/>
          <w:color w:val="auto"/>
        </w:rPr>
        <w:t>Immediately after this offering, our initial stockholders will beneficially own 20.0% of the then issued and outstanding common stock (assuming they do not purchase any units in this offering). Because of this ownership block, our initial stockholders may be able to effectively influence the outcome of all other matters requiring approval by our stockholders, including amendments to our amended and restated certificate of incorporation and approval of significant corporate transactions including our initial business combination.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13" w:name="page114"/>
    <w:bookmarkEnd w:id="113"/>
    <w:p>
      <w:pPr>
        <w:ind w:left="460" w:right="479"/>
        <w:spacing w:after="0" w:line="235" w:lineRule="auto"/>
        <w:rPr>
          <w:sz w:val="20"/>
          <w:szCs w:val="20"/>
          <w:color w:val="auto"/>
        </w:rPr>
      </w:pPr>
      <w:r>
        <w:rPr>
          <w:rFonts w:ascii="Arial" w:cs="Arial" w:eastAsia="Arial" w:hAnsi="Arial"/>
          <w:sz w:val="18"/>
          <w:szCs w:val="18"/>
          <w:color w:val="auto"/>
        </w:rPr>
        <w:t>Our sponsor has committed, pursuant to a written agreement, to purchase an aggregate of 6,000,000 private placement warrants (or 6,700,000 warrants if the underwriters’ over-allotment option is exercised in full), at a price of $1.50 per warrant, or $9,000,000 in the aggregate (or $10,050,000 if the underwriters’ over-allotment option is exercised in full), in a private placement that will occur simultaneously with the closing of this offering. Each private placement warrant entitles the holder to purchase one share of Class A common stock at $11.50 per share. A portion of the purchase price of the private placement warrants will be added to the proceeds from this offering to be held in the trust account such that at the time of closing of this offering $350.0 million (or $402.5 million if the underwriters exercise their over-allotment option in full) will be held in the trust account. If we do not complete our initial business combination within 24 months from the closing of this offering, the private placement warrants will expire worthless. The private placement warrants are subject to the transfer restrictions described below. The private placement warrants will not be redeemable by us so long as they are held by the initial purchasers or their permitted transferees. The initial purchasers, or their permitted transferees, have the option to exercise the private placement warrants on a cashless basis. If the private placement warrants are held by holders other than initial purchasers or their permitted transferees, the private placement warrants will be redeemable by us and exercisable by the holders on the same basis as the warrants included in the units being sold in this offering. Otherwise, the private placement warrants have terms and provisions that are identical to those of the warrants being sold as part of the units in this offering.</w:t>
      </w:r>
    </w:p>
    <w:p>
      <w:pPr>
        <w:spacing w:after="0" w:line="132"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We have entered into separate forward purchase agreements with affiliates of our sponsor, Casdin Capital and Corvex Management, in their capacities as investment advisors on behalf of their Clients, pursuant to which, subject to the conditions described below, they will cause certain Clients to purchase from us up to an aggregate amount of 15,000,000 shares of Class A common stock, or the forward purchase shares, for $10.00 per forward purchase share, or an aggregate amount of up to $150,000,000, in a private placement that will close concurrently with the closing of our initial business combination. The amount of forward purchase shares sold pursuant to the forward purchase agreements will be determined in our discretion based on our need for additional capital to consummate the initial business combination. Under each forward purchase agreement, we are required to approach Casdin Capital and Corvex Management if we propose to raise additional capital by issuing any equity, or securities convertible into, exchangeable or exercisable for equity securities in connection with the initial business combination. The respective obligations of Casdin Capital and Corvex Management to cause Clients to purchase forward purchase shares will, among other things, be conditioned on our completing an initial business combination with a company engaged in a business that is within the investment objectives of the Clients purchasing forward purchase shares and on the business combination (including the target assets or business, and the terms of the business combination) being reasonably acceptable to such Clients as determined by Casdin Capital or Corvex Management, as relevant, as investment advisors on behalf of such Clients. In determining whether a target is reasonably acceptable to Clients, we expect that Casdin Capital or Corvex Management, as relevant, would consider many of the same criteria as we will consider, but will also consider whether the investment is an appropriate investment for such Clients. Each of Casdin Capital and Corvex Management will have the right to transfer a portion of the purchase obligation under the forward purchase agreement to third parties, or upon mutual agreement, to each other, subject to compliance with applicable securities laws. To the extent that we obtain alternative financing to fund the initial business combination and the Clients participate in such financing, the aggregate commitment under the forward purchase agreement will be reduced by the amount of such alternative financing.</w:t>
      </w:r>
    </w:p>
    <w:p>
      <w:pPr>
        <w:spacing w:after="0" w:line="144" w:lineRule="exact"/>
        <w:rPr>
          <w:sz w:val="20"/>
          <w:szCs w:val="20"/>
          <w:color w:val="auto"/>
        </w:rPr>
      </w:pPr>
    </w:p>
    <w:p>
      <w:pPr>
        <w:ind w:left="460" w:right="499"/>
        <w:spacing w:after="0" w:line="238" w:lineRule="auto"/>
        <w:rPr>
          <w:sz w:val="20"/>
          <w:szCs w:val="20"/>
          <w:color w:val="auto"/>
        </w:rPr>
      </w:pPr>
      <w:r>
        <w:rPr>
          <w:rFonts w:ascii="Arial" w:cs="Arial" w:eastAsia="Arial" w:hAnsi="Arial"/>
          <w:sz w:val="18"/>
          <w:szCs w:val="18"/>
          <w:color w:val="auto"/>
        </w:rPr>
        <w:t>The forward purchase shares will be identical to the shares of Class A common stock included in the units being sold in this offering, except that they will not be transferable, assignable or salable until 30 days after the completion of our initial business combination, except as described herein under “Principal Stockholders — Transfers of Founder Shares, Private Placement Warrants and Forward Purchase Shares,” and will be subject to registration rights.</w:t>
      </w:r>
    </w:p>
    <w:p>
      <w:pPr>
        <w:spacing w:after="0" w:line="135" w:lineRule="exact"/>
        <w:rPr>
          <w:sz w:val="20"/>
          <w:szCs w:val="20"/>
          <w:color w:val="auto"/>
        </w:rPr>
      </w:pPr>
    </w:p>
    <w:p>
      <w:pPr>
        <w:ind w:left="460" w:right="759"/>
        <w:spacing w:after="0" w:line="246" w:lineRule="auto"/>
        <w:rPr>
          <w:sz w:val="20"/>
          <w:szCs w:val="20"/>
          <w:color w:val="auto"/>
        </w:rPr>
      </w:pPr>
      <w:r>
        <w:rPr>
          <w:rFonts w:ascii="Arial" w:cs="Arial" w:eastAsia="Arial" w:hAnsi="Arial"/>
          <w:sz w:val="18"/>
          <w:szCs w:val="18"/>
          <w:color w:val="auto"/>
        </w:rPr>
        <w:t>CMLS Holdings LLC, our sponsor, and our executive officers are deemed to be our “promoters” as such term is defined under the federal securities laws.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Transfers of Founder Shares, Private Placement Warrants and Forward Purchase Shares</w:t>
      </w:r>
    </w:p>
    <w:p>
      <w:pPr>
        <w:spacing w:after="0" w:line="153" w:lineRule="exact"/>
        <w:rPr>
          <w:sz w:val="20"/>
          <w:szCs w:val="20"/>
          <w:color w:val="auto"/>
        </w:rPr>
      </w:pPr>
    </w:p>
    <w:p>
      <w:pPr>
        <w:ind w:left="460" w:right="519"/>
        <w:spacing w:after="0" w:line="237" w:lineRule="auto"/>
        <w:rPr>
          <w:sz w:val="20"/>
          <w:szCs w:val="20"/>
          <w:color w:val="auto"/>
        </w:rPr>
      </w:pPr>
      <w:r>
        <w:rPr>
          <w:rFonts w:ascii="Arial" w:cs="Arial" w:eastAsia="Arial" w:hAnsi="Arial"/>
          <w:sz w:val="18"/>
          <w:szCs w:val="18"/>
          <w:color w:val="auto"/>
        </w:rPr>
        <w:t>The founder shares, private placement warrants, forward purchase shares and any shares of Class A common stock issued upon conversion or exercise thereof are each subject to transfer restrictions pursuant to lock-up provisions in the agreements entered into by our initial stockholders and management team and the forward purchase agreements. Those lock-up provisions provide that such securities are not transferable or salable (i) in the case of the founder shares, until the earlier of (A) one year after the completion of our initial business combination or earlier</w:t>
      </w:r>
    </w:p>
    <w:p>
      <w:pPr>
        <w:sectPr>
          <w:pgSz w:w="11900" w:h="16838" w:orient="portrait"/>
          <w:cols w:equalWidth="0" w:num="1">
            <w:col w:w="9019"/>
          </w:cols>
          <w:pgMar w:left="1440" w:top="287" w:right="1440" w:bottom="1440" w:gutter="0" w:footer="0" w:header="0"/>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114" w:name="page115"/>
    <w:bookmarkEnd w:id="114"/>
    <w:p>
      <w:pPr>
        <w:ind w:left="460" w:right="499"/>
        <w:spacing w:after="0" w:line="235" w:lineRule="auto"/>
        <w:rPr>
          <w:sz w:val="20"/>
          <w:szCs w:val="20"/>
          <w:color w:val="auto"/>
        </w:rPr>
      </w:pPr>
      <w:r>
        <w:rPr>
          <w:rFonts w:ascii="Arial" w:cs="Arial" w:eastAsia="Arial" w:hAnsi="Arial"/>
          <w:sz w:val="18"/>
          <w:szCs w:val="18"/>
          <w:color w:val="auto"/>
        </w:rPr>
        <w:t>if, subsequent to our initial business combination, the closing price of the Class A common stock equals or exceeds $12.00 per share (as adjusted for stock splits, stock capitalizations, reorganizations, recapitalizations and the like) for any 20 trading days within any 30-trading day period commencing at least 150 days after our initial business combination and (B) the date following the completion of our initial business combination on which we complete a liquidation, merger, capital stock exchange or other similar transaction that results in all of our stockholders having the right to exchange their Class A common stock for cash, securities or other property and (ii) in the case of the private placement warrants and the respective shares of Class A common stock underlying such warrants and forward purchase shares, until 30 days after the completion of our initial business combination except in each case (a) to our officers or directors, any affiliate or family member of any of our officers or directors, any affiliate of our sponsor or to any member of the sponsor or any of their affiliates, (b) in the case of an individual, as a gift to such person’s immediate family or to a trust, the beneficiary of which is a member of such person’s immediate family, an affiliate of such person or to a charitable organization; (c) in the case of an individual, by virtue of laws of descent and distribution upon death of such person; (d) in the case of an individual, pursuant to a qualified domestic relations order; (e) by private sales or transfers made in connection with any forward purchase agreement or similar arrangement or in connection with the consummation of a business combination at prices no greater than the price at which the shares or warrants were originally purchased; (f) by virtue of the laws of the State of Delaware or our Sponsor’s limited liability company agreement upon dissolution of our Sponsor, (g) in the event of our liquidation prior to our consummation of our initial business combination; or (h) in the event that, subsequent to our consummation of an initial business combination, we complete a liquidation, merger, capital stock exchange or other similar transaction which results in all of our stockholders having the right to exchange their Class A common stock for cash, securities or other property; provided, however, that in the case of clauses (a) through (f) these permitted transferees must enter into a written agreement agreeing to be bound by these transfer restrictions and the other restrictions contained in the letter agreement.</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Registration Rights</w:t>
      </w:r>
    </w:p>
    <w:p>
      <w:pPr>
        <w:spacing w:after="0" w:line="153"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The holders of the (i) founder shares, which were issued in a private placement prior to the closing of this offering, (ii) private placement warrants, which will be issued in a private placement simultaneously with the closing of this offering and the shares of Class A common stock underlying such private placement warrants, (iii) private placement warrants that may be issued upon conversion of working capital loans and (iv) any forward purchase shares that are issued in a private placement simultaneously with the closing of the initial business combination, will have registration rights to require us to register a sale of any of our securities held by them pursuant to a registration rights agreement to be signed prior to or on the effective date of this offering. Pursuant to the registration rights agreement and assuming the underwriters exercise their over-allotment option in full and $1.5 million of working capital loans are converted into private placement warrants, we will be obligated to register up to 32,762,500 shares of Class A common stock and 7,700,000 warrants. The number of shares of Class A common stock includes (i) 10,062,500 shares of Class A common stock to be issued upon conversion of the founder shares, (ii) 6,700,000 shares of Class A common stock underlying the private placement warrants, (iii) 1,000,000 shares of Class A common stock underlying the private placement warrants issued upon conversion of working capital loans and (iv) up to 15,000,000 forward purchase shares. The number of warrants includes 6,700,000 private placement warrants and 1,000,000 private placement warrants issued upon conversion of working capital loans. The holders of these securities are entitled to make up to three demands, excluding short form demands, that we register such securities. In addition, the holders have certain “piggy-back” registration rights with respect to registration statements filed subsequent to our completion of our initial business combination. We will bear the expenses incurred in connection with the filing of any such registration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15" w:name="page116"/>
    <w:bookmarkEnd w:id="115"/>
    <w:p>
      <w:pPr>
        <w:jc w:val="center"/>
        <w:ind w:right="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66"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During the period ended July 16, 2020, our sponsor paid $25,000, or approximately $0.002 per share, to cover certain of our offering costs in consideration of 10,062,500 founder shares. The number of founder shares outstanding was determined based on the expectation that the total size of this offering would be a maximum of 40,250,000 units if the underwriters’ over-allotment option is exercised in full, and therefore that such founder shares would represent 20% of the outstanding shares after this offering. Up to 1,312,500 of the founder shares will be forfeited depending on the extent to which the underwriters’ over-allotment is exercised. If we increase or decrease the size of the offering, we will effect a stock dividend or share contribution back to capital or other appropriate mechanism, as applicable, with respect to our Class B common stock immediately prior to the consummation of this offering in such amount as to maintain the number of founder shares at 20.0% of our issued and outstanding common stock upon the consummation of this offering.</w:t>
      </w:r>
    </w:p>
    <w:p>
      <w:pPr>
        <w:spacing w:after="0" w:line="124"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Our sponsor has committed, pursuant to a written agreement, to purchase an aggregate of 6,000,000 private placement warrants (or 6,700,000 warrants if the underwriters’ over-allotment option is exercised in full), at a price of $1.50 per warrant, or $9,000,000 in the aggregate (or $10,050,000 if the underwriters’ over-allotment option is exercised in full), in a private placement that will close simultaneously with the closing of this offering. Each private placement warrant entitles the holder to purchase one share of Class A common stock at $11.50 per share. The private placement warrants (including the Class A common stock issuable upon exercise of the private placement warrants) may not, subject to certain limited exceptions, be transferred, assigned or sold until 30 days after the completion of our initial business combination.</w:t>
      </w:r>
    </w:p>
    <w:p>
      <w:pPr>
        <w:spacing w:after="0" w:line="139"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We have entered into separate forward purchase agreements with affiliates of our sponsor, Casdin Capital and Corvex Management, in their capacities as investment advisors on behalf of their Clients, pursuant to which, subject to the conditions described below, they will cause certain Clients to purchase from us up to an aggregate amount of 15,000,000 shares of Class A common stock, or the forward purchase shares, for $10.00 per forward purchase share, or an aggregate amount of up to $150,000,000, in a private placement that will close concurrently with the closing of our initial business combination. The amount of forward purchase shares sold pursuant to the forward purchase agreements will be determined in our discretion based on our need for additional capital to consummate the initial business combination. Under each forward purchase agreement, we are required to approach Casdin Capital and Corvex Management if we propose to raise additional capital by issuing any equity, or securities convertible into, exchangeable or exercisable for equity securities in connection with the initial business combination. The respective obligations of Casdin Capital and Corvex Management to cause Clients to purchase forward purchase shares will, among other things, be conditioned on our completing an initial business combination with a company engaged in a business that is within the investment objectives of the Clients purchasing forward purchase shares and on the business combination (including the target assets or business, and the terms of the business combination) being reasonably acceptable to such Clients as determined by Casdin Capital or Corvex Management, as relevant, as investment advisors on behalf of such Clients. In determining whether a target is reasonably acceptable to Clients, we expect that Casdin Capital or Corvex Management, as relevant, would consider many of the same criteria as we will consider, but will also consider whether the investment is an appropriate investment for such Clients. Each of Casdin Capital and Corvex Management will have the right to transfer a portion of the purchase obligation under the forward purchase agreement to third parties, or upon mutual agreement, to each other, subject to compliance with applicable securities laws. To the extent that we obtain alternative financing to fund the initial business combination and the Clients participate in such financing, the aggregate commitment under the forward purchase agreement will be reduced by the amount of such alternative financing.</w:t>
      </w:r>
    </w:p>
    <w:p>
      <w:pPr>
        <w:spacing w:after="0" w:line="144" w:lineRule="exact"/>
        <w:rPr>
          <w:sz w:val="20"/>
          <w:szCs w:val="20"/>
          <w:color w:val="auto"/>
        </w:rPr>
      </w:pPr>
    </w:p>
    <w:p>
      <w:pPr>
        <w:ind w:left="460" w:right="499"/>
        <w:spacing w:after="0" w:line="238" w:lineRule="auto"/>
        <w:rPr>
          <w:sz w:val="20"/>
          <w:szCs w:val="20"/>
          <w:color w:val="auto"/>
        </w:rPr>
      </w:pPr>
      <w:r>
        <w:rPr>
          <w:rFonts w:ascii="Arial" w:cs="Arial" w:eastAsia="Arial" w:hAnsi="Arial"/>
          <w:sz w:val="18"/>
          <w:szCs w:val="18"/>
          <w:color w:val="auto"/>
        </w:rPr>
        <w:t>The forward purchase shares will be identical to the shares of Class A common stock included in the units being sold in this offering, except that they will not be transferable, assignable or salable until 30 days after the completion of our initial business combination, except as described herein under “Principal Stockholders — Transfers of Founder Shares, Private Placement Warrants and Forward Purchase Shares,” and will be subject to registration rights.</w:t>
      </w:r>
    </w:p>
    <w:p>
      <w:pPr>
        <w:spacing w:after="0" w:line="121" w:lineRule="exact"/>
        <w:rPr>
          <w:sz w:val="20"/>
          <w:szCs w:val="20"/>
          <w:color w:val="auto"/>
        </w:rPr>
      </w:pPr>
    </w:p>
    <w:p>
      <w:pPr>
        <w:ind w:left="460" w:right="559"/>
        <w:spacing w:after="0" w:line="246" w:lineRule="auto"/>
        <w:rPr>
          <w:sz w:val="20"/>
          <w:szCs w:val="20"/>
          <w:color w:val="auto"/>
        </w:rPr>
      </w:pPr>
      <w:r>
        <w:rPr>
          <w:rFonts w:ascii="Arial" w:cs="Arial" w:eastAsia="Arial" w:hAnsi="Arial"/>
          <w:sz w:val="18"/>
          <w:szCs w:val="18"/>
          <w:color w:val="auto"/>
        </w:rPr>
        <w:t>We currently utilize office space at 667 Madison Avenue, New York, New York 10065 from an affiliate of our sponsor and the members of our management team.</w:t>
      </w:r>
    </w:p>
    <w:p>
      <w:pPr>
        <w:spacing w:after="0" w:line="129"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No compensation of any kind, including finder’s and consulting fees, will be paid by the company to our sponsor, executive officers and directors, or any of their respective affiliates, for services rendered prior to or in connection with the completion of an initial business combination. However, these individuals will be reimbursed for any</w:t>
      </w:r>
    </w:p>
    <w:p>
      <w:pPr>
        <w:sectPr>
          <w:pgSz w:w="11900" w:h="16838" w:orient="portrait"/>
          <w:cols w:equalWidth="0" w:num="1">
            <w:col w:w="9019"/>
          </w:cols>
          <w:pgMar w:left="1440" w:top="333" w:right="1440"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116" w:name="page117"/>
    <w:bookmarkEnd w:id="116"/>
    <w:p>
      <w:pPr>
        <w:ind w:left="460" w:right="539"/>
        <w:spacing w:after="0" w:line="238" w:lineRule="auto"/>
        <w:rPr>
          <w:sz w:val="20"/>
          <w:szCs w:val="20"/>
          <w:color w:val="auto"/>
        </w:rPr>
      </w:pPr>
      <w:r>
        <w:rPr>
          <w:rFonts w:ascii="Arial" w:cs="Arial" w:eastAsia="Arial" w:hAnsi="Arial"/>
          <w:sz w:val="18"/>
          <w:szCs w:val="18"/>
          <w:color w:val="auto"/>
        </w:rPr>
        <w:t>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officers, directors or our or their affiliates.</w:t>
      </w:r>
    </w:p>
    <w:p>
      <w:pPr>
        <w:spacing w:after="0" w:line="124" w:lineRule="exact"/>
        <w:rPr>
          <w:sz w:val="20"/>
          <w:szCs w:val="20"/>
          <w:color w:val="auto"/>
        </w:rPr>
      </w:pPr>
    </w:p>
    <w:p>
      <w:pPr>
        <w:ind w:left="460" w:right="659"/>
        <w:spacing w:after="0"/>
        <w:rPr>
          <w:sz w:val="20"/>
          <w:szCs w:val="20"/>
          <w:color w:val="auto"/>
        </w:rPr>
      </w:pPr>
      <w:r>
        <w:rPr>
          <w:rFonts w:ascii="Arial" w:cs="Arial" w:eastAsia="Arial" w:hAnsi="Arial"/>
          <w:sz w:val="18"/>
          <w:szCs w:val="18"/>
          <w:color w:val="auto"/>
        </w:rPr>
        <w:t>Prior to the closing of this offering, our sponsor may loan us funds to be used for a portion of the expenses of this offering. These loans would be non-interest bearing, unsecured and are due at the earlier of December 31, 2020 or the closing of this offering.</w:t>
      </w:r>
    </w:p>
    <w:p>
      <w:pPr>
        <w:spacing w:after="0" w:line="135" w:lineRule="exact"/>
        <w:rPr>
          <w:sz w:val="20"/>
          <w:szCs w:val="20"/>
          <w:color w:val="auto"/>
        </w:rPr>
      </w:pPr>
    </w:p>
    <w:p>
      <w:pPr>
        <w:ind w:left="460" w:right="519"/>
        <w:spacing w:after="0" w:line="235" w:lineRule="auto"/>
        <w:rPr>
          <w:sz w:val="20"/>
          <w:szCs w:val="20"/>
          <w:color w:val="auto"/>
        </w:rPr>
      </w:pPr>
      <w:r>
        <w:rPr>
          <w:rFonts w:ascii="Arial" w:cs="Arial" w:eastAsia="Arial" w:hAnsi="Arial"/>
          <w:sz w:val="18"/>
          <w:szCs w:val="18"/>
          <w:color w:val="auto"/>
        </w:rPr>
        <w:t>In addition, in order to finance transaction costs in connection with an intended initial business combination, our sponsor or an affiliate of our sponsor or certain of our officers and directors may, but are not obligated to, loan us funds as may be required on a non-interest basis. If we complete an initial business combination, we would repay such loaned amounts. In the event that the initial business combination does not close, we may use a portion of the working capital held outside the trust account to repay such loaned amounts but no proceeds from our trust account would be used for such repayment. Up to $ 1,500,000 of such loans may be convertible into warrants of the post business combination entity at a price of $1.50 per warrant at the option of the lender. The warrants would be identical to the private placement warrants. Except as set forth above, the terms of such loans, if any, have not been determined and no written agreements exist with respect to such loans.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146" w:lineRule="exact"/>
        <w:rPr>
          <w:sz w:val="20"/>
          <w:szCs w:val="20"/>
          <w:color w:val="auto"/>
        </w:rPr>
      </w:pPr>
    </w:p>
    <w:p>
      <w:pPr>
        <w:ind w:left="460" w:right="499"/>
        <w:spacing w:after="0"/>
        <w:rPr>
          <w:sz w:val="20"/>
          <w:szCs w:val="20"/>
          <w:color w:val="auto"/>
        </w:rPr>
      </w:pPr>
      <w:r>
        <w:rPr>
          <w:rFonts w:ascii="Arial" w:cs="Arial" w:eastAsia="Arial" w:hAnsi="Arial"/>
          <w:sz w:val="18"/>
          <w:szCs w:val="18"/>
          <w:color w:val="auto"/>
        </w:rPr>
        <w:t>Any of the foregoing payments to our sponsor, repayments of loans from our sponsor or repayments of working capital loans prior to our initial business combination will be made using funds held outside the trust account.</w:t>
      </w:r>
    </w:p>
    <w:p>
      <w:pPr>
        <w:spacing w:after="0" w:line="122"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After our initial business combination, members of our management team who remain with us may be paid consulting, management or other fees from the combined company with any and all amounts being fully disclosed to our stockholders, to the extent then known, in the proxy solicitation or tender offer materials, as applicable, furnished to our stockholders. It is unlikely the amount of such compensation will be known at the time of distribution of such tender offer materials or at the time of a stockholder meeting held to consider our initial business combination, as applicable, as it will be up to the directors of the post-combination business to determine executive and director compensation.</w:t>
      </w:r>
    </w:p>
    <w:p>
      <w:pPr>
        <w:spacing w:after="0" w:line="135" w:lineRule="exact"/>
        <w:rPr>
          <w:sz w:val="20"/>
          <w:szCs w:val="20"/>
          <w:color w:val="auto"/>
        </w:rPr>
      </w:pPr>
    </w:p>
    <w:p>
      <w:pPr>
        <w:ind w:left="460" w:right="739"/>
        <w:spacing w:after="0"/>
        <w:rPr>
          <w:sz w:val="20"/>
          <w:szCs w:val="20"/>
          <w:color w:val="auto"/>
        </w:rPr>
      </w:pPr>
      <w:r>
        <w:rPr>
          <w:rFonts w:ascii="Arial" w:cs="Arial" w:eastAsia="Arial" w:hAnsi="Arial"/>
          <w:sz w:val="18"/>
          <w:szCs w:val="18"/>
          <w:color w:val="auto"/>
        </w:rPr>
        <w:t>We have entered into a registration rights agreement with respect to the founder shares, private placement warrants and forward purchase shares, which is described under the heading “Principal Stockholders — Registration Rights.”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Policy for Approval of Related Party Transactions</w:t>
      </w:r>
    </w:p>
    <w:p>
      <w:pPr>
        <w:spacing w:after="0" w:line="166" w:lineRule="exact"/>
        <w:rPr>
          <w:sz w:val="20"/>
          <w:szCs w:val="20"/>
          <w:color w:val="auto"/>
        </w:rPr>
      </w:pPr>
    </w:p>
    <w:p>
      <w:pPr>
        <w:ind w:left="460" w:right="499"/>
        <w:spacing w:after="0" w:line="234" w:lineRule="auto"/>
        <w:rPr>
          <w:sz w:val="20"/>
          <w:szCs w:val="20"/>
          <w:color w:val="auto"/>
        </w:rPr>
      </w:pPr>
      <w:r>
        <w:rPr>
          <w:rFonts w:ascii="Arial" w:cs="Arial" w:eastAsia="Arial" w:hAnsi="Arial"/>
          <w:sz w:val="18"/>
          <w:szCs w:val="18"/>
          <w:color w:val="auto"/>
        </w:rPr>
        <w:t>The audit committee of our board of directors will adopt a policy setting forth the policies and procedures for its review and approval or ratification of “related party transactions.” A “related party transaction” is any consummated or proposed transaction or series of transactions: (i) in which the company was or is to be a participant; (ii) the amount of which exceeds (or is reasonably expected to exceed) the lesser of $120,000 or 1% of the average of the company’s total assets at year end for the prior two completed fiscal years in the aggregate over the duration of the transaction (without regard to profit or loss); and (iii) in which a “related party” had, has or will have a direct or indirect material interest. “Related parties” under this policy will include: (i) our directors, nominees for director or executive officers; (ii) any record or beneficial owner of more than 5% of any class of our voting securities; (iii) any immediate family member of any of the foregoing if the foregoing person is a natural person; and (iv) any other person who maybe a “related person” pursuant to Item 404 of Regulation S-K under the Exchange Act. Pursuant to the policy, the audit committee will consider</w:t>
      </w:r>
    </w:p>
    <w:p>
      <w:pPr>
        <w:spacing w:after="0" w:line="8" w:lineRule="exact"/>
        <w:rPr>
          <w:sz w:val="20"/>
          <w:szCs w:val="20"/>
          <w:color w:val="auto"/>
        </w:rPr>
      </w:pPr>
    </w:p>
    <w:p>
      <w:pPr>
        <w:ind w:left="460" w:right="519" w:hanging="6"/>
        <w:spacing w:after="0" w:line="251" w:lineRule="auto"/>
        <w:tabs>
          <w:tab w:leader="none" w:pos="67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relevant facts and circumstances of each related party transaction, including if the transaction is on terms comparable to those that could be obtained in arm’s-length dealings with an unrelated third party, (ii) the extent of the related party’s interest in the transaction, (iii) whether the transaction contravenes our code of ethics or other policies, (iv) whether the audit committee believes the relationship underlying the transaction to be in the best interests of the company and its stockholders and (v) the effect that the transaction may have on a director’s status as an independent member of the board and on his or her eligibility to serve on the board’s committees. Management will present to the audit committee each proposed related party transaction, including all relevant facts and circumstances relating thereto. Under the policy, we may consummate related party transactions only if our audit committee approves or ratifies the transaction in accordance with the guidelines set forth in the policy. The policy will not permit any director or executive officer to participate in the discussion of, or decision concerning, a related person transaction in which he or she is the related party.</w:t>
      </w:r>
    </w:p>
    <w:p>
      <w:pPr>
        <w:sectPr>
          <w:pgSz w:w="11900" w:h="16838" w:orient="portrait"/>
          <w:cols w:equalWidth="0" w:num="1">
            <w:col w:w="9019"/>
          </w:cols>
          <w:pgMar w:left="1440" w:top="287" w:right="1440" w:bottom="1440" w:gutter="0" w:footer="0" w:header="0"/>
        </w:sectPr>
      </w:pP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117" w:name="page118"/>
    <w:bookmarkEnd w:id="117"/>
    <w:p>
      <w:pPr>
        <w:jc w:val="center"/>
        <w:ind w:right="19"/>
        <w:spacing w:after="0"/>
        <w:rPr>
          <w:sz w:val="20"/>
          <w:szCs w:val="20"/>
          <w:color w:val="auto"/>
        </w:rPr>
      </w:pPr>
      <w:r>
        <w:rPr>
          <w:rFonts w:ascii="Arial" w:cs="Arial" w:eastAsia="Arial" w:hAnsi="Arial"/>
          <w:sz w:val="18"/>
          <w:szCs w:val="18"/>
          <w:b w:val="1"/>
          <w:bCs w:val="1"/>
          <w:color w:val="auto"/>
        </w:rPr>
        <w:t>DESCRIPTION OF SECURITIES</w:t>
      </w:r>
    </w:p>
    <w:p>
      <w:pPr>
        <w:spacing w:after="0" w:line="166" w:lineRule="exact"/>
        <w:rPr>
          <w:sz w:val="20"/>
          <w:szCs w:val="20"/>
          <w:color w:val="auto"/>
        </w:rPr>
      </w:pPr>
    </w:p>
    <w:p>
      <w:pPr>
        <w:ind w:left="460" w:right="559"/>
        <w:spacing w:after="0" w:line="236" w:lineRule="auto"/>
        <w:rPr>
          <w:sz w:val="20"/>
          <w:szCs w:val="20"/>
          <w:color w:val="auto"/>
        </w:rPr>
      </w:pPr>
      <w:r>
        <w:rPr>
          <w:rFonts w:ascii="Arial" w:cs="Arial" w:eastAsia="Arial" w:hAnsi="Arial"/>
          <w:sz w:val="18"/>
          <w:szCs w:val="18"/>
          <w:color w:val="auto"/>
        </w:rPr>
        <w:t>We are a Delaware corporation and our affairs are governed by our amended and restated certificate of incorporation and the DGCL. Pursuant to our amended and restated certificate of incorporation which will be adopted prior to the consummation of this offering, we will be authorized to issue 400,000,000 shares of common stock, $0.0001 par value each, including 380,000,000 shares of Class A common stock and 20,000,000 shares of Class B common stock, as well as 1,000,000 shares of preferred stock, $0.0001 par value each. The following description summarizes certain terms of our capital stock as set out more particularly in our amended and restated certificate of incorporation. Because it is only a summary, it may not contain all the information that is important to you.</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Units</w:t>
      </w:r>
    </w:p>
    <w:p>
      <w:pPr>
        <w:spacing w:after="0" w:line="153" w:lineRule="exact"/>
        <w:rPr>
          <w:sz w:val="20"/>
          <w:szCs w:val="20"/>
          <w:color w:val="auto"/>
        </w:rPr>
      </w:pPr>
    </w:p>
    <w:p>
      <w:pPr>
        <w:ind w:left="460" w:right="479"/>
        <w:spacing w:after="0" w:line="234" w:lineRule="auto"/>
        <w:rPr>
          <w:sz w:val="20"/>
          <w:szCs w:val="20"/>
          <w:color w:val="auto"/>
        </w:rPr>
      </w:pPr>
      <w:r>
        <w:rPr>
          <w:rFonts w:ascii="Arial" w:cs="Arial" w:eastAsia="Arial" w:hAnsi="Arial"/>
          <w:sz w:val="18"/>
          <w:szCs w:val="18"/>
          <w:color w:val="auto"/>
        </w:rPr>
        <w:t>Each unit has an offering price of $10.00 and consists of one share of Class A common stock and one-third of one redeemable warrant. Each whole warrant entitles the holder thereof to purchase one share of Class A common stock at a price of $11.50 per share, subject to adjustment as described in this prospectus. Pursuant to the warrant agreement, a warrant holder may exercise its warrants only for a whole number of the shares of Company’s Class A common stock. This means only a whole warrant may be exercised at any given time by a warrant holder. For example, if a warrant holder holds one-third of one warrant to purchase a share of Class A common stock, such warrant will not be exercisable. If a warrant holder holds three-thirds of one warrant, such whole warrant will be exercisable for one share of Class A common stock at a price of $ 11.50 per share. The Class A common stock and warrants comprising the units are expected to begin separate trading on the 52</w:t>
      </w:r>
      <w:r>
        <w:rPr>
          <w:rFonts w:ascii="Arial" w:cs="Arial" w:eastAsia="Arial" w:hAnsi="Arial"/>
          <w:sz w:val="20"/>
          <w:szCs w:val="20"/>
          <w:color w:val="auto"/>
          <w:vertAlign w:val="superscript"/>
        </w:rPr>
        <w:t>nd</w:t>
      </w:r>
      <w:r>
        <w:rPr>
          <w:rFonts w:ascii="Arial" w:cs="Arial" w:eastAsia="Arial" w:hAnsi="Arial"/>
          <w:sz w:val="18"/>
          <w:szCs w:val="18"/>
          <w:color w:val="auto"/>
        </w:rPr>
        <w:t xml:space="preserve"> day following the date of this prospectus unless Jefferies LLC informs us of its decision to allow earlier separate trading, subject to our having filed the Current Report on Form 8-K described below and having issued a press release announcing when such separate trading will begin. Once the shares of Class A common stock and warrants commence separate trading, holders will have the option to continue to hold units or separate their units into the component securities. Holders will need to have their brokers contact our transfer agent in order to separate the units into Class A common stock and warrants. No fractional warrants will be issued upon separation of the units and only whole warrants will trade. Accordingly, unless you purchase at least three units, you will not be able to receive or trade a whole warrant.</w:t>
      </w:r>
    </w:p>
    <w:p>
      <w:pPr>
        <w:spacing w:after="0" w:line="139"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In no event will the Class A common stock and warrants be traded separately until we have filed with the SEC a Current Report on Form 8-K which includes an audited balance sheet reflecting our receipt of the gross proceeds at closing of this offering. We will file a Current Report on Form 8-K which includes this audited balance sheet promptly after the completion of this offering, which closing is anticipated to take place three business days after the date of this prospectus. If the underwriters’ over-allotment option is exercised following the initial filing of such Current Report on Form 8-K, a second or amended Current Report on Form 8-K will be filed to provide updated financial information to reflect the exercise of the underwriters’ over-allotment option.</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Common Stock</w:t>
      </w:r>
    </w:p>
    <w:p>
      <w:pPr>
        <w:spacing w:after="0" w:line="166"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Prior to the date of this prospectus, there were 10,062,500 shares of Class B common stock outstanding, all of which were held of record by our initial stockholders, so that our initial stockholders will own 20% of our issued and outstanding shares after this offering (assuming our initial stockholders do not purchase any units in this offering). Up to 1,312,500 of the founder shares will be forfeited by our initial stockholders depending on the extent to which the underwriters’ over-allotment is exercised. Upon the closing of this offering, 43,750,000 of our shares of common stock will be outstanding (assuming no exercise of the underwriters’ over-allotment option and the corresponding forfeiture of 1,312,500 founder shares by our initial stockholders) including:</w:t>
      </w:r>
    </w:p>
    <w:p>
      <w:pPr>
        <w:spacing w:after="0" w:line="19" w:lineRule="exact"/>
        <w:rPr>
          <w:sz w:val="20"/>
          <w:szCs w:val="20"/>
          <w:color w:val="auto"/>
        </w:rPr>
      </w:pPr>
    </w:p>
    <w:p>
      <w:pPr>
        <w:ind w:left="1100" w:right="659" w:hanging="322"/>
        <w:spacing w:after="0" w:line="246" w:lineRule="auto"/>
        <w:tabs>
          <w:tab w:leader="none" w:pos="1089" w:val="left"/>
        </w:tabs>
        <w:numPr>
          <w:ilvl w:val="0"/>
          <w:numId w:val="58"/>
        </w:numPr>
        <w:rPr>
          <w:rFonts w:ascii="Arial" w:cs="Arial" w:eastAsia="Arial" w:hAnsi="Arial"/>
          <w:sz w:val="18"/>
          <w:szCs w:val="18"/>
          <w:color w:val="auto"/>
        </w:rPr>
      </w:pPr>
      <w:r>
        <w:rPr>
          <w:rFonts w:ascii="Arial" w:cs="Arial" w:eastAsia="Arial" w:hAnsi="Arial"/>
          <w:sz w:val="18"/>
          <w:szCs w:val="18"/>
          <w:color w:val="auto"/>
        </w:rPr>
        <w:t>35,000,000 shares of Class A common stock underlying units issued as part of this offering; and</w:t>
      </w:r>
    </w:p>
    <w:p>
      <w:pPr>
        <w:spacing w:after="0" w:line="21" w:lineRule="exact"/>
        <w:rPr>
          <w:rFonts w:ascii="Arial" w:cs="Arial" w:eastAsia="Arial" w:hAnsi="Arial"/>
          <w:sz w:val="18"/>
          <w:szCs w:val="18"/>
          <w:color w:val="auto"/>
        </w:rPr>
      </w:pPr>
    </w:p>
    <w:p>
      <w:pPr>
        <w:ind w:left="1100" w:hanging="322"/>
        <w:spacing w:after="0"/>
        <w:tabs>
          <w:tab w:leader="none" w:pos="11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8,750,000 shares of Class B common stock held by our initial stockholders.</w:t>
      </w:r>
    </w:p>
    <w:p>
      <w:pPr>
        <w:spacing w:after="0" w:line="144" w:lineRule="exact"/>
        <w:rPr>
          <w:sz w:val="20"/>
          <w:szCs w:val="20"/>
          <w:color w:val="auto"/>
        </w:rPr>
      </w:pPr>
    </w:p>
    <w:p>
      <w:pPr>
        <w:ind w:left="460" w:right="739"/>
        <w:spacing w:after="0" w:line="238" w:lineRule="auto"/>
        <w:rPr>
          <w:sz w:val="20"/>
          <w:szCs w:val="20"/>
          <w:color w:val="auto"/>
        </w:rPr>
      </w:pPr>
      <w:r>
        <w:rPr>
          <w:rFonts w:ascii="Arial" w:cs="Arial" w:eastAsia="Arial" w:hAnsi="Arial"/>
          <w:sz w:val="18"/>
          <w:szCs w:val="18"/>
          <w:color w:val="auto"/>
        </w:rPr>
        <w:t>If we increase or decrease the size of this offering, we will effect a stock dividend or share contribution back to capital or other appropriate mechanism, as applicable, with respect to our Class B common stock immediately prior to the consummation of the offering in such amount as to maintain the ownership of our initial stockholders at 20.0% of our issued and outstanding common stock upon the consummation of this offering.</w:t>
      </w:r>
    </w:p>
    <w:p>
      <w:pPr>
        <w:spacing w:after="0" w:line="121" w:lineRule="exact"/>
        <w:rPr>
          <w:sz w:val="20"/>
          <w:szCs w:val="20"/>
          <w:color w:val="auto"/>
        </w:rPr>
      </w:pPr>
    </w:p>
    <w:p>
      <w:pPr>
        <w:ind w:left="460" w:right="499"/>
        <w:spacing w:after="0" w:line="238" w:lineRule="auto"/>
        <w:rPr>
          <w:sz w:val="20"/>
          <w:szCs w:val="20"/>
          <w:color w:val="auto"/>
        </w:rPr>
      </w:pPr>
      <w:r>
        <w:rPr>
          <w:rFonts w:ascii="Arial" w:cs="Arial" w:eastAsia="Arial" w:hAnsi="Arial"/>
          <w:sz w:val="18"/>
          <w:szCs w:val="18"/>
          <w:color w:val="auto"/>
        </w:rPr>
        <w:t>Stockholders of record are entitled to one vote for each share held on all matters to be voted on by stockholders. Holders of Class A common stock and holders of Class B common stock will vote together as a single class on all matters submitted to a vote of our stockholders except as required by law. Unless specified in our amended and</w:t>
      </w:r>
    </w:p>
    <w:p>
      <w:pPr>
        <w:sectPr>
          <w:pgSz w:w="11900" w:h="16838" w:orient="portrait"/>
          <w:cols w:equalWidth="0" w:num="1">
            <w:col w:w="9019"/>
          </w:cols>
          <w:pgMar w:left="1440" w:top="333" w:right="1440" w:bottom="1440" w:gutter="0" w:footer="0" w:header="0"/>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118" w:name="page119"/>
    <w:bookmarkEnd w:id="118"/>
    <w:p>
      <w:pPr>
        <w:ind w:left="460" w:right="499"/>
        <w:spacing w:after="0" w:line="236" w:lineRule="auto"/>
        <w:rPr>
          <w:sz w:val="20"/>
          <w:szCs w:val="20"/>
          <w:color w:val="auto"/>
        </w:rPr>
      </w:pPr>
      <w:r>
        <w:rPr>
          <w:rFonts w:ascii="Arial" w:cs="Arial" w:eastAsia="Arial" w:hAnsi="Arial"/>
          <w:sz w:val="18"/>
          <w:szCs w:val="18"/>
          <w:color w:val="auto"/>
        </w:rPr>
        <w:t>restated certificate of incorporation, or as required by applicable provisions of the DGCL or applicable stock exchange rules, the affirmative vote of a majority of our shares of common stock that are voted is required to approve any such matter voted on by our stockholders. Our board of directors is divided into three classes, each of which will generally serve for a term of three years with only one class of directors being elected in each year. There is no cumulative voting with respect to the election of directors, with the result that the holders of more than 50% of the shares voted for the election of directors can elect all of the directors. Our stockholders are entitled to receive ratable dividends when, as and if declared by the board of directors out of funds legally available therefor.</w:t>
      </w:r>
    </w:p>
    <w:p>
      <w:pPr>
        <w:spacing w:after="0" w:line="127" w:lineRule="exact"/>
        <w:rPr>
          <w:sz w:val="20"/>
          <w:szCs w:val="20"/>
          <w:color w:val="auto"/>
        </w:rPr>
      </w:pPr>
    </w:p>
    <w:p>
      <w:pPr>
        <w:ind w:left="460" w:right="559"/>
        <w:spacing w:after="0" w:line="236" w:lineRule="auto"/>
        <w:rPr>
          <w:sz w:val="20"/>
          <w:szCs w:val="20"/>
          <w:color w:val="auto"/>
        </w:rPr>
      </w:pPr>
      <w:r>
        <w:rPr>
          <w:rFonts w:ascii="Arial" w:cs="Arial" w:eastAsia="Arial" w:hAnsi="Arial"/>
          <w:sz w:val="18"/>
          <w:szCs w:val="18"/>
          <w:color w:val="auto"/>
        </w:rPr>
        <w:t>Because our amended and restated certificate of incorporation authorizes the issuance of up to 380,000,000 shares of Class A common stock, if we were to enter into a business combination, we may (depending on the terms of such a business combination) be required to increase the number of shares of Class A common stock which we are authorized to issue at the same time as our stockholders vote on the business combination to the extent we seek stockholder approval in connection with our initial business combination. Our board of directors is divided into three classes with only one class of directors being elected in each year and each class (except for those directors appointed prior to our first annual meeting of stockholders) serving a three-year term.</w:t>
      </w:r>
    </w:p>
    <w:p>
      <w:pPr>
        <w:spacing w:after="0" w:line="140"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In accordance with Nasdaq corporate governance requirements, we are not required to hold an annual meeting until no later than one year after our first fiscal year end following our listing on Nasdaq. Under Section 211(b) of the DGCL, we are, however, required to hold an annual meeting of stockholders for the purposes of electing directors in accordance with our bylaws, unless such election is made by written consent in lieu of such a meeting. We may not hold an annual meeting of stockholders to elect new directors prior to the consummation of our initial business combination, and thus we may not be in compliance with Section 211(b) of the DGCL, which requires an annual meeting. Therefore, if our stockholders want us to hold an annual meeting prior to the consummation of our initial business combination, they may attempt to force us to hold one by submitting an application to the Delaware Court of Chancery in accordance with Section 211(c) of the DGCL.</w:t>
      </w:r>
    </w:p>
    <w:p>
      <w:pPr>
        <w:spacing w:after="0" w:line="138"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We will provide our public stockholders with the opportunity to redeem all or a portion of their public shares upon the completion of our initial business combination at a per-share price, payable in cash, equal to the aggregate amount then on deposit in the trust account calculated as of two business days prior to the consummation of our initial business combination, including interest earned on the funds held in the trust account and not previously released to us to pay our taxes, divided by the number of then outstanding public shares, subject to the limitations described herein. The amount in the trust account is initially anticipated to be $10.00 per public share. The per share amount we will distribute to investors who properly redeem their shares will not be reduced by the deferred underwriting commissions we will pay to the underwriters. Our initial stockholders, sponsor, officers and directors have entered into a letter agreement with us, pursuant to which they have agreed to waive their redemption rights with respect to any founder shares and public shares they hold in connection with the completion of our initial business combination. Unlike many special purpose acquisition companies that hold stockholder votes and conduct proxy solicitations in conjunction with their initial business combinations and provide for related redemptions of public shares for cash upon completion of such initial business combinations even when a vote is not required by law, if a stockholder vote is not required by law and we do not decide to hold a stockholder vote for business or other legal reasons, we will, pursuant to our amended and restated certificate of incorporation, conduct the redemptions pursuant to the tender offer rules of the SEC, and file tender offer documents with the SEC prior to completing our initial business combination. Our amended and restated certificate of incorporation requires these tender offer documents to contain substantially the same financial and other information about our initial business combination and the redemption rights as is required under the SEC’s proxy rules. If, however, a stockholder approval of the transaction is required by law, or we decide to obtain stockholder approval for business or other legal reasons, we will, like many special purpose acquisition companies, offer to redeem shares in conjunction with a proxy solicitation pursuant to the proxy rules and not pursuant to the tender offer rules. If we seek stockholder approval, we will complete our initial business combination only if a majority of the shares of common stock voted are voted in favor of our initial business combination. However, the participation of our sponsor, officers, directors, advisors or their respective affiliates in privately-negotiated transactions (as described in this prospectus), if any, could result in the approval of our initial business combination even if a majority of our public stockholders vote, or indicate their intention to vote, against such initial business combination. For purposes of seeking approval of the majority of our outstanding shares of common stock, non-votes will have no effect on the approval of our initial business combination once a quorum is obtained.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19" w:name="page120"/>
    <w:bookmarkEnd w:id="119"/>
    <w:p>
      <w:pPr>
        <w:ind w:left="460" w:right="479"/>
        <w:spacing w:after="0" w:line="235" w:lineRule="auto"/>
        <w:rPr>
          <w:sz w:val="20"/>
          <w:szCs w:val="20"/>
          <w:color w:val="auto"/>
        </w:rPr>
      </w:pPr>
      <w:r>
        <w:rPr>
          <w:rFonts w:ascii="Arial" w:cs="Arial" w:eastAsia="Arial" w:hAnsi="Arial"/>
          <w:sz w:val="18"/>
          <w:szCs w:val="18"/>
          <w:color w:val="auto"/>
        </w:rPr>
        <w:t>If we seek stockholder approval of our initial business combination and we do not conduct redemptions in connection with our initial business combination pursuant to the tender offer rules, our amended and restated certificate of incorporation provides that a public stockholder, together with any affiliate of such stockholder or any other person with whom such stockholder is acting in concert or as a “group” (as defined under Section 13 of the Exchange Act), will be restricted from redeeming its shares with respect to Excess Shares, without our prior consent. However, we would not be restricting our stockholders’ ability to vote all of their shares (including Excess Shares) for or against our initial business combination. Our stockholders’ inability to redeem the Excess Shares will reduce their influence over our ability to complete our initial business combination, and such stockholders could suffer a material loss in their investment if they sell such Excess Shares on the open market. Additionally, such stockholders will not receive redemption distributions with respect to the Excess Shares if we complete our initial business combination. And, as a result, such stockholders will continue to hold that number of shares exceeding 20% and, in order to dispose such shares would be required to sell their shares in open market transactions, potentially at a loss.</w:t>
      </w:r>
    </w:p>
    <w:p>
      <w:pPr>
        <w:spacing w:after="0" w:line="133" w:lineRule="exact"/>
        <w:rPr>
          <w:sz w:val="20"/>
          <w:szCs w:val="20"/>
          <w:color w:val="auto"/>
        </w:rPr>
      </w:pPr>
    </w:p>
    <w:p>
      <w:pPr>
        <w:ind w:left="460" w:right="679"/>
        <w:spacing w:after="0" w:line="248" w:lineRule="auto"/>
        <w:rPr>
          <w:sz w:val="20"/>
          <w:szCs w:val="20"/>
          <w:color w:val="auto"/>
        </w:rPr>
      </w:pPr>
      <w:r>
        <w:rPr>
          <w:rFonts w:ascii="Arial" w:cs="Arial" w:eastAsia="Arial" w:hAnsi="Arial"/>
          <w:sz w:val="17"/>
          <w:szCs w:val="17"/>
          <w:color w:val="auto"/>
        </w:rPr>
        <w:t>If we seek stockholder approval in connection with our initial business combination, our initial stockholders, sponsor, officers and directors have agreed to vote any founder shares they hold and any public shares purchased during or after this offering in favor of our initial business combination. As a result, in addition to our initial stockholders’ founder shares, we would need 13,125,001, or</w:t>
      </w:r>
    </w:p>
    <w:p>
      <w:pPr>
        <w:spacing w:after="0" w:line="2" w:lineRule="exact"/>
        <w:rPr>
          <w:sz w:val="20"/>
          <w:szCs w:val="20"/>
          <w:color w:val="auto"/>
        </w:rPr>
      </w:pPr>
    </w:p>
    <w:p>
      <w:pPr>
        <w:ind w:left="460" w:right="499"/>
        <w:spacing w:after="0" w:line="238" w:lineRule="auto"/>
        <w:rPr>
          <w:sz w:val="20"/>
          <w:szCs w:val="20"/>
          <w:color w:val="auto"/>
        </w:rPr>
      </w:pPr>
      <w:r>
        <w:rPr>
          <w:rFonts w:ascii="Arial" w:cs="Arial" w:eastAsia="Arial" w:hAnsi="Arial"/>
          <w:sz w:val="18"/>
          <w:szCs w:val="18"/>
          <w:color w:val="auto"/>
        </w:rPr>
        <w:t>37.5%, of the 35,000,000 public shares sold in this offering to be voted in favor of an initial business combination in order to have our initial business combination approved (assuming all outstanding shares are voted and the over-allotment option is not exercised). Additionally, each public stockholder may elect to redeem their public shares irrespective of whether they vote for or against the proposed transaction.</w:t>
      </w:r>
    </w:p>
    <w:p>
      <w:pPr>
        <w:spacing w:after="0" w:line="135"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Pursuant to our amended and restated certificate of incorporation, if we are unable to complete our initial business combination within 24 months from the closing of this offering, we will (i) cease all operations except for the purpose of winding up, (ii) as promptly as reasonably possible but no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our remaining stockholders and our board of directors, liquidate and dissolve, subject in each case to our obligations under Delaware law to provide for claims of creditors and the requirements of other applicable law. Our initial stockholders have entered into agreements with us, pursuant to which they have agreed to waive their rights to liquidating distributions from the trust account with respect to their founder shares if we fail to complete our initial business combination within 24 months from the closing of this offering or during any Extension Period. However, if our initial stockholders or management team acquire public shares in or after this offering, they will be entitled to liquidating distributions from the trust account with respect to such public shares if we fail to complete our initial business combination within the prescribed time period.</w:t>
      </w:r>
    </w:p>
    <w:p>
      <w:pPr>
        <w:spacing w:after="0" w:line="145"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In the event of a liquidation, dissolution or winding up of the company after a business combination, our stockholders are entitled to share ratably in all assets remaining available for distribution to them after payment of liabilities and after provision is made for each class of shares, if any, having preference over the common stock. Our stockholders have no preemptive or other subscription rights. There are no sinking fund provisions applicable to the common stock, except that we will provide our public stockholders with the opportunity to redeem their public shares for cash at a per share price equal to the aggregate amount then on deposit in the trust account, including interest earned on the funds held in the trust account and not previously released to us to pay our taxes, divided by the number of then outstanding public shares, upon the completion of our initial business combination, subject to the limitations described herein.</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Founder Shares</w:t>
      </w:r>
    </w:p>
    <w:p>
      <w:pPr>
        <w:spacing w:after="0" w:line="153" w:lineRule="exact"/>
        <w:rPr>
          <w:sz w:val="20"/>
          <w:szCs w:val="20"/>
          <w:color w:val="auto"/>
        </w:rPr>
      </w:pPr>
    </w:p>
    <w:p>
      <w:pPr>
        <w:ind w:left="460" w:right="519"/>
        <w:spacing w:after="0" w:line="237" w:lineRule="auto"/>
        <w:rPr>
          <w:sz w:val="20"/>
          <w:szCs w:val="20"/>
          <w:color w:val="auto"/>
        </w:rPr>
      </w:pPr>
      <w:r>
        <w:rPr>
          <w:rFonts w:ascii="Arial" w:cs="Arial" w:eastAsia="Arial" w:hAnsi="Arial"/>
          <w:sz w:val="18"/>
          <w:szCs w:val="18"/>
          <w:color w:val="auto"/>
        </w:rPr>
        <w:t>The founder shares are designated as Class B common stock and, except as described below, are identical to the shares of Class A common stock included in the units being sold in this offering, and holders of founder shares have the same stockholder rights as public stockholders, except that (i) the founder shares are subject to certain transfer restrictions, as described in more detail below, (ii) our initial stockholders, sponsor, officers and directors have entered into a letter agreement with us, pursuant to which they have agreed (A) to waive their redemption rights with respect to any founder shares and public shares they hold in connection with the completion of our initial</w:t>
      </w:r>
    </w:p>
    <w:p>
      <w:pPr>
        <w:sectPr>
          <w:pgSz w:w="11900" w:h="16838" w:orient="portrait"/>
          <w:cols w:equalWidth="0" w:num="1">
            <w:col w:w="9019"/>
          </w:cols>
          <w:pgMar w:left="1440" w:top="287" w:right="1440" w:bottom="1440" w:gutter="0" w:footer="0" w:header="0"/>
        </w:sectPr>
      </w:pP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120" w:name="page121"/>
    <w:bookmarkEnd w:id="120"/>
    <w:p>
      <w:pPr>
        <w:ind w:left="460" w:right="479"/>
        <w:spacing w:after="0" w:line="235" w:lineRule="auto"/>
        <w:rPr>
          <w:sz w:val="20"/>
          <w:szCs w:val="20"/>
          <w:color w:val="auto"/>
        </w:rPr>
      </w:pPr>
      <w:r>
        <w:rPr>
          <w:rFonts w:ascii="Arial" w:cs="Arial" w:eastAsia="Arial" w:hAnsi="Arial"/>
          <w:sz w:val="18"/>
          <w:szCs w:val="18"/>
          <w:color w:val="auto"/>
        </w:rPr>
        <w:t>business combination, (B) to waive their redemption rights with respect to any founder shares and public shares they hold in connection with a stockholder vote to approve an amendment to our amended and restated certificate of incorporation to modify the substance or timing of our obligation to redeem 100% of our public shares if we have not consummated an initial business combination within 24 months from the closing of this offering or with respect to any other material provisions relating to stockholders’ rights or pre-initial business combination activity and (C) to waive their rights to liquidating distributions from the trust account with respect to any founder shares they hold if we fail to complete our initial business combination within 24 months from the closing of this offering or during any Extension Period, although they will be entitled to liquidating distributions from the trust account with respect to any public shares they hold if we fail to complete our initial business combination within such time period, and (iii) the founder shares are automatically convertible into Class A common stock concurrently with or immediately following the consummation of our initial business combination on a one-for-one basis, subject to adjustment as described herein and in our amended and restated certificate of incorporation. If we submit our initial business combination to our public stockholders for a vote, our initial stockholders have agreed to vote their founder shares and any public shares purchased during or after this offering in favor of our initial business combination.</w:t>
      </w:r>
    </w:p>
    <w:p>
      <w:pPr>
        <w:spacing w:after="0" w:line="132" w:lineRule="exact"/>
        <w:rPr>
          <w:sz w:val="20"/>
          <w:szCs w:val="20"/>
          <w:color w:val="auto"/>
        </w:rPr>
      </w:pPr>
    </w:p>
    <w:p>
      <w:pPr>
        <w:ind w:left="460" w:right="479"/>
        <w:spacing w:after="0" w:line="250" w:lineRule="auto"/>
        <w:rPr>
          <w:sz w:val="20"/>
          <w:szCs w:val="20"/>
          <w:color w:val="auto"/>
        </w:rPr>
      </w:pPr>
      <w:r>
        <w:rPr>
          <w:rFonts w:ascii="Arial" w:cs="Arial" w:eastAsia="Arial" w:hAnsi="Arial"/>
          <w:sz w:val="17"/>
          <w:szCs w:val="17"/>
          <w:color w:val="auto"/>
        </w:rPr>
        <w:t>The founder shares will automatically convert into shares of Class A common stock concurrently with or immediately following the consummation of our initial business combination on a one-for-one basis, subject to adjustment for stock splits, stock dividends, reorganizations, recapitalizations and the like, and subject to further adjustment as provided herein. In the case that additional shares of Class A common stock or equity-linked securities are issued or deemed issued in connection with our initial business combination, the number of shares of Class A common stock issuable upon conversion of all founder shares will equal, in the aggregate, on an as-converted basis, 20% of the total number of shares of Class A common stock outstanding after such conversion (after giving effect to any redemptions of shares of Class A common stock by public stockholders), including the total number of shares of Class A common stock issued, or deemed issued or issuable upon conversion or exercise of any equity-linked securities or rights issued or deemed issued, by the Company in connection with or in relation to the consummation of the initial business combination (including any forward purchase shares), excluding any shares of Class A common stock or equity-linked securities or rights exercisable for or convertible into shares of Class A common stock issued, or to be issued, to any seller in the initial business combination and any private placement warrants issued to our sponsor, officers or directors upon conversion of working capital loans, provided that such conversion of founder shares will never occur on a less than one-for-one basis. The term “equity-linked securities” refers to any debt or equity securities that are convertible, exercisable or exchangeable for our shares of Class A common stock issued in a financing transaction in connection with our initial business combination, including, but not limited to, a private placement of equity or debt.</w:t>
      </w:r>
    </w:p>
    <w:p>
      <w:pPr>
        <w:spacing w:after="0" w:line="330"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With certain limited exceptions, the founder shares are not transferable, assignable or salable (except to our officers and directors and other persons or entities affiliated with our sponsor, each of whom will be subject to the same transfer restrictions) until the earlier of (A) one year after the completion of our initial business combination or earlier if, subsequent to our initial business combination, the closing price of the Class A common stock equals or exceeds $12.00 per share (as adjusted for stock splits, stock capitalizations, reorganizations, recapitalizations and the like) for any 20 trading days within any 30-trading day period commencing at least 150 days after our initial business combination, and (B) the date following the completion of our initial business combination on which we complete a liquidation, merger, capital stock exchange or other similar transaction that results in all of our stockholders having the right to exchange their Class A common stock for cash, securities or other property. Up to 1,312,500 founder shares will be forfeited by our initial stockholders depending on the exercise of the over-allotment option.</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Preferred Stock</w:t>
      </w:r>
    </w:p>
    <w:p>
      <w:pPr>
        <w:spacing w:after="0" w:line="166"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Our amended and restated certificate of incorporation authorizes 1,000,000 shares of preferred stock and provides that shares of preferred stock may be issued from time to time in one or more series. Our board of directors will be authorized to fix the voting rights, if any, designations, powers, preferences, the relative, participating, optional or other special rights and any qualifications, limitations and restrictions thereof, applicable to the shares of each series. Our board of directors will be able to, without stockholder approval, issue shares of preferred stock with voting and other rights that could adversely affect the voting power and other rights of the holders of the common stock and could have anti-takeover effects. The ability of our board of directors to issue shares of preferred stock without stockholder approval could have the effect of delaying, deferring or preventing a change of control of us or the removal of existing management. We have no preferred shares outstanding at the date hereof. Although we do not currently intend to issue any shares of preferred stock, we cannot assure you that we will not do so in the future. No shares of preferred stock are being issued or registered in this offering.</w:t>
      </w:r>
    </w:p>
    <w:p>
      <w:pPr>
        <w:sectPr>
          <w:pgSz w:w="11900" w:h="16838" w:orient="portrait"/>
          <w:cols w:equalWidth="0" w:num="1">
            <w:col w:w="9019"/>
          </w:cols>
          <w:pgMar w:left="1440" w:top="287"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121" w:name="page122"/>
    <w:bookmarkEnd w:id="121"/>
    <w:p>
      <w:pPr>
        <w:ind w:left="460"/>
        <w:spacing w:after="0"/>
        <w:rPr>
          <w:sz w:val="20"/>
          <w:szCs w:val="20"/>
          <w:color w:val="auto"/>
        </w:rPr>
      </w:pPr>
      <w:r>
        <w:rPr>
          <w:rFonts w:ascii="Arial" w:cs="Arial" w:eastAsia="Arial" w:hAnsi="Arial"/>
          <w:sz w:val="18"/>
          <w:szCs w:val="18"/>
          <w:b w:val="1"/>
          <w:bCs w:val="1"/>
          <w:color w:val="auto"/>
        </w:rPr>
        <w:t>Warrants</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Public Stockholders’ Warrants</w:t>
      </w:r>
    </w:p>
    <w:p>
      <w:pPr>
        <w:spacing w:after="0" w:line="166" w:lineRule="exact"/>
        <w:rPr>
          <w:sz w:val="20"/>
          <w:szCs w:val="20"/>
          <w:color w:val="auto"/>
        </w:rPr>
      </w:pPr>
    </w:p>
    <w:p>
      <w:pPr>
        <w:ind w:left="460" w:right="539"/>
        <w:spacing w:after="0" w:line="235" w:lineRule="auto"/>
        <w:rPr>
          <w:sz w:val="20"/>
          <w:szCs w:val="20"/>
          <w:color w:val="auto"/>
        </w:rPr>
      </w:pPr>
      <w:r>
        <w:rPr>
          <w:rFonts w:ascii="Arial" w:cs="Arial" w:eastAsia="Arial" w:hAnsi="Arial"/>
          <w:sz w:val="18"/>
          <w:szCs w:val="18"/>
          <w:color w:val="auto"/>
        </w:rPr>
        <w:t>Each whole warrant entitles the registered holder to purchase one share of Class A common stock at a price of $ 11.50 per share, subject to adjustment as discussed below, at any time commencing on the later of 12 months from the closing of this offering and 30 days after the completion of our initial business combination, provided in each case that we have an effective registration statement under the Securities Act covering the shares of Class A common stock issuable upon exercise of the warrants and a current prospectus relating to them is available (or we permit holders to exercise their warrants on a cashless basis under the circumstances specified in the warrant agreement) and such shares are registered, qualified or exempt from registration under the securities, or blue sky, laws of the state of residence of the holder. Pursuant to the warrant agreement, a warrant holder may exercise its warrants only for a whole number of shares of Class A common stock. This means only a whole warrant may be exercised at a given time by a warrant holder. No fractional warrants will be issued upon separation of the units and only whole warrants will trade. Accordingly, unless you purchase at least three units, you will not be able to receive or trade a whole warrant. The warrants will expire five years after the completion of our initial business combination, at 5:00 p.m., New York City time, or earlier upon redemption or liquidation.</w:t>
      </w:r>
    </w:p>
    <w:p>
      <w:pPr>
        <w:spacing w:after="0" w:line="132"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We will not be obligated to deliver any Class A common stock pursuant to the exercise of a warrant and will have no obligation to settle such warrant exercise unless a registration statement under the Securities Act with respect to the Class A common stock underlying the warrants is then effective and a prospectus relating thereto is current, subject to our satisfying our obligations described below with respect to registration. No warrant will be exercisable and we will not be obligated to issue a share of Class A common stock upon exercise of a warrant unless the share of Class A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share of Class A common stock underlying such unit.</w:t>
      </w:r>
    </w:p>
    <w:p>
      <w:pPr>
        <w:spacing w:after="0" w:line="146" w:lineRule="exact"/>
        <w:rPr>
          <w:sz w:val="20"/>
          <w:szCs w:val="20"/>
          <w:color w:val="auto"/>
        </w:rPr>
      </w:pPr>
    </w:p>
    <w:p>
      <w:pPr>
        <w:ind w:left="460" w:right="459"/>
        <w:spacing w:after="0" w:line="233" w:lineRule="auto"/>
        <w:rPr>
          <w:sz w:val="20"/>
          <w:szCs w:val="20"/>
          <w:color w:val="auto"/>
        </w:rPr>
      </w:pPr>
      <w:r>
        <w:rPr>
          <w:rFonts w:ascii="Arial" w:cs="Arial" w:eastAsia="Arial" w:hAnsi="Arial"/>
          <w:sz w:val="18"/>
          <w:szCs w:val="18"/>
          <w:color w:val="auto"/>
        </w:rPr>
        <w:t>We have agreed that as soon as practicable, but in no event later than fifteen (15) business days after the closing of our initial business combination, we will use our best efforts to file with the SEC a registration statement for the registration, under the Securities Act, of the Class A common stock issuable upon exercise of the warrants. We will use our best efforts to cause the same to become effective and to maintain the effectiveness of such registration statement, and a current prospectus relating thereto, until the expiration of the warrants in accordance with the provisions of the warrant agreement. If a registration statement covering the shares of Class A common stock issuable upon exercise of the warrants is not effective by the sixtieth (60</w:t>
      </w:r>
      <w:r>
        <w:rPr>
          <w:rFonts w:ascii="Arial" w:cs="Arial" w:eastAsia="Arial" w:hAnsi="Arial"/>
          <w:sz w:val="20"/>
          <w:szCs w:val="20"/>
          <w:color w:val="auto"/>
          <w:vertAlign w:val="superscript"/>
        </w:rPr>
        <w:t>th</w:t>
      </w:r>
      <w:r>
        <w:rPr>
          <w:rFonts w:ascii="Arial" w:cs="Arial" w:eastAsia="Arial" w:hAnsi="Arial"/>
          <w:sz w:val="18"/>
          <w:szCs w:val="18"/>
          <w:color w:val="auto"/>
        </w:rPr>
        <w:t>) business day after the closing of our initial business combination, warrant holders may, until such time as there is an effective registration statement and during any period when we will have failed to maintain an effective registration statement, exercise warrants on a “cashless basis” in accordance with Section 3(a)(9) of the Securities Act or another exemption. Notwithstanding the above, if our Class A common stock are at the time of any exercise of a warrant not listed on a national securities exchange such that they satisfy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and in the event we do not so elect, we will use our best efforts to register or qualify the shares under applicable blue sky laws to the extent an exemption is not available. In such event, each holder would pay the exercise price by surrendering the warrants for that number of shares of Class A common stock equal to the lesser of</w:t>
      </w:r>
    </w:p>
    <w:p>
      <w:pPr>
        <w:spacing w:after="0" w:line="9" w:lineRule="exact"/>
        <w:rPr>
          <w:sz w:val="20"/>
          <w:szCs w:val="20"/>
          <w:color w:val="auto"/>
        </w:rPr>
      </w:pPr>
    </w:p>
    <w:p>
      <w:pPr>
        <w:ind w:left="460" w:right="559" w:hanging="6"/>
        <w:spacing w:after="0" w:line="237" w:lineRule="auto"/>
        <w:tabs>
          <w:tab w:leader="none" w:pos="75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quotient obtained by dividing (x) the product of the number of shares of Class A common stock underlying the warrants, multiplied by the excess of the “fair market value” (defined below) less the exercise price of the warrants by (y) the fair market value and (B) 0.361. The “fair market value” as used in this paragraph shall mean the volume weighted average price of the Class A common stock for the 10 trading days ending on the trading day prior to the date on which the notice of exercise is received by the warrant agent.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22" w:name="page123"/>
    <w:bookmarkEnd w:id="122"/>
    <w:p>
      <w:pPr>
        <w:ind w:left="460" w:right="479"/>
        <w:spacing w:after="0" w:line="271" w:lineRule="auto"/>
        <w:rPr>
          <w:sz w:val="20"/>
          <w:szCs w:val="20"/>
          <w:color w:val="auto"/>
        </w:rPr>
      </w:pPr>
      <w:r>
        <w:rPr>
          <w:rFonts w:ascii="Arial" w:cs="Arial" w:eastAsia="Arial" w:hAnsi="Arial"/>
          <w:sz w:val="18"/>
          <w:szCs w:val="18"/>
          <w:b w:val="1"/>
          <w:bCs w:val="1"/>
          <w:i w:val="1"/>
          <w:iCs w:val="1"/>
          <w:color w:val="auto"/>
        </w:rPr>
        <w:t>Redemption of warrants when the price per share of Class A common stock equals or exceeds $18.00.</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Once the warrants become exercisable, we may redeem the outstanding warrants:</w:t>
      </w:r>
    </w:p>
    <w:p>
      <w:pPr>
        <w:spacing w:after="0" w:line="23" w:lineRule="exact"/>
        <w:rPr>
          <w:sz w:val="20"/>
          <w:szCs w:val="20"/>
          <w:color w:val="auto"/>
        </w:rPr>
      </w:pPr>
    </w:p>
    <w:p>
      <w:pPr>
        <w:ind w:left="1100" w:hanging="322"/>
        <w:spacing w:after="0"/>
        <w:tabs>
          <w:tab w:leader="none" w:pos="11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to each warrant holder; and</w:t>
      </w:r>
    </w:p>
    <w:p>
      <w:pPr>
        <w:spacing w:after="0" w:line="22" w:lineRule="exact"/>
        <w:rPr>
          <w:rFonts w:ascii="Arial" w:cs="Arial" w:eastAsia="Arial" w:hAnsi="Arial"/>
          <w:sz w:val="18"/>
          <w:szCs w:val="18"/>
          <w:color w:val="auto"/>
        </w:rPr>
      </w:pPr>
    </w:p>
    <w:p>
      <w:pPr>
        <w:ind w:left="1100" w:right="639" w:hanging="322"/>
        <w:spacing w:after="0" w:line="237" w:lineRule="auto"/>
        <w:tabs>
          <w:tab w:leader="none" w:pos="1089"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and only if, the closing price of the Class A common stock equals or exceeds $18.00 per share (as adjusted for adjustments to the number of shares issuable upon exercise or the exercise price of a warrant as described under the heading “— Warrants — Public Stockholders’ Warrants — Anti-Dilution Adjustments”) for any 20 trading days within a 30-trading day period ending three trading days before we send the notice of redemption to the warrant holders.</w:t>
      </w:r>
    </w:p>
    <w:p>
      <w:pPr>
        <w:spacing w:after="0" w:line="137"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We will not redeem the warrants as described above unless a registration statement under the Securities Act covering the issuance of the Class A common stock issuable upon exercise of the warrants is then effective and a current prospectus relating to those shares of Class A common stock is available throughout the 30-day redemption period. If and when the warrants become redeemable by us, we may exercise our redemption right even if we are unable to register or qualify the underlying securities for sale under all applicable state securities laws. None of the private placement warrants will be redeemable by us so long as they are held by our sponsor or its permitted transferees.</w:t>
      </w:r>
    </w:p>
    <w:p>
      <w:pPr>
        <w:spacing w:after="0" w:line="140" w:lineRule="exact"/>
        <w:rPr>
          <w:sz w:val="20"/>
          <w:szCs w:val="20"/>
          <w:color w:val="auto"/>
        </w:rPr>
      </w:pPr>
    </w:p>
    <w:p>
      <w:pPr>
        <w:ind w:left="460" w:right="459"/>
        <w:spacing w:after="0" w:line="236" w:lineRule="auto"/>
        <w:rPr>
          <w:sz w:val="20"/>
          <w:szCs w:val="20"/>
          <w:color w:val="auto"/>
        </w:rPr>
      </w:pPr>
      <w:r>
        <w:rPr>
          <w:rFonts w:ascii="Arial" w:cs="Arial" w:eastAsia="Arial" w:hAnsi="Arial"/>
          <w:sz w:val="18"/>
          <w:szCs w:val="18"/>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Class A common stock may fall below the $18.00 redemption trigger price (as adjusted for adjustments to the number of shares issuable upon exercise or the exercise price of a warrant as described under the heading “— Warrants — Public Stockholders’ Warrants — Anti-dilution Adjustments”) as well as the $11.50 (for whole shares) warrant exercise price after the redemption notice is issued.</w:t>
      </w:r>
    </w:p>
    <w:p>
      <w:pPr>
        <w:spacing w:after="0" w:line="185" w:lineRule="exact"/>
        <w:rPr>
          <w:sz w:val="20"/>
          <w:szCs w:val="20"/>
          <w:color w:val="auto"/>
        </w:rPr>
      </w:pPr>
    </w:p>
    <w:p>
      <w:pPr>
        <w:ind w:left="460" w:right="479"/>
        <w:spacing w:after="0" w:line="271" w:lineRule="auto"/>
        <w:rPr>
          <w:sz w:val="20"/>
          <w:szCs w:val="20"/>
          <w:color w:val="auto"/>
        </w:rPr>
      </w:pPr>
      <w:r>
        <w:rPr>
          <w:rFonts w:ascii="Arial" w:cs="Arial" w:eastAsia="Arial" w:hAnsi="Arial"/>
          <w:sz w:val="18"/>
          <w:szCs w:val="18"/>
          <w:b w:val="1"/>
          <w:bCs w:val="1"/>
          <w:i w:val="1"/>
          <w:iCs w:val="1"/>
          <w:color w:val="auto"/>
        </w:rPr>
        <w:t>Redemption of warrants when the price per share of Class A common stock equals or exceeds $10.00.</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Once the warrants become exercisable, we may redeem the outstanding warrants:</w:t>
      </w:r>
    </w:p>
    <w:p>
      <w:pPr>
        <w:spacing w:after="0" w:line="36" w:lineRule="exact"/>
        <w:rPr>
          <w:sz w:val="20"/>
          <w:szCs w:val="20"/>
          <w:color w:val="auto"/>
        </w:rPr>
      </w:pPr>
    </w:p>
    <w:p>
      <w:pPr>
        <w:ind w:left="1100" w:hanging="322"/>
        <w:spacing w:after="0"/>
        <w:tabs>
          <w:tab w:leader="none" w:pos="11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8" w:lineRule="exact"/>
        <w:rPr>
          <w:rFonts w:ascii="Arial" w:cs="Arial" w:eastAsia="Arial" w:hAnsi="Arial"/>
          <w:sz w:val="18"/>
          <w:szCs w:val="18"/>
          <w:color w:val="auto"/>
        </w:rPr>
      </w:pPr>
    </w:p>
    <w:p>
      <w:pPr>
        <w:ind w:left="1100" w:right="559" w:hanging="322"/>
        <w:spacing w:after="0" w:line="242" w:lineRule="auto"/>
        <w:tabs>
          <w:tab w:leader="none" w:pos="1089"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at $0.10 per warrant upon a minimum of 30 days’ prior written notice of redemption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holders will be able to exercise their warrants on a cashless basis prior to redemption and receive that number of shares determined by reference to the table below, based on the redemption date and the “fair market value” (as defined below) of our Class A common stock except as otherwise described below;</w:t>
      </w:r>
    </w:p>
    <w:p>
      <w:pPr>
        <w:spacing w:after="0" w:line="13" w:lineRule="exact"/>
        <w:rPr>
          <w:rFonts w:ascii="Arial" w:cs="Arial" w:eastAsia="Arial" w:hAnsi="Arial"/>
          <w:sz w:val="18"/>
          <w:szCs w:val="18"/>
          <w:color w:val="auto"/>
        </w:rPr>
      </w:pPr>
    </w:p>
    <w:p>
      <w:pPr>
        <w:ind w:left="1100" w:right="599" w:hanging="322"/>
        <w:spacing w:after="0" w:line="237" w:lineRule="auto"/>
        <w:tabs>
          <w:tab w:leader="none" w:pos="1089" w:val="left"/>
        </w:tabs>
        <w:numPr>
          <w:ilvl w:val="0"/>
          <w:numId w:val="61"/>
        </w:numPr>
        <w:rPr>
          <w:rFonts w:ascii="Arial" w:cs="Arial" w:eastAsia="Arial" w:hAnsi="Arial"/>
          <w:sz w:val="18"/>
          <w:szCs w:val="18"/>
          <w:color w:val="auto"/>
        </w:rPr>
      </w:pPr>
      <w:r>
        <w:rPr>
          <w:rFonts w:ascii="Arial" w:cs="Arial" w:eastAsia="Arial" w:hAnsi="Arial"/>
          <w:sz w:val="18"/>
          <w:szCs w:val="18"/>
          <w:color w:val="auto"/>
        </w:rPr>
        <w:t>if, and only if, the closing price of our Class A common stock equals or exceeds $10.00 per public share (as adjusted for adjustments to the number of shares issuable upon exercise or the exercise price of a warrant as described under the heading “— Warrants — Public Stockholders’ Warrants — Anti-Dilution Adjustments”) for any 20 trading days within the 30-trading day period ending three trading days before we send the notice of redemption to the warrant holders; and</w:t>
      </w:r>
    </w:p>
    <w:p>
      <w:pPr>
        <w:spacing w:after="0" w:line="29" w:lineRule="exact"/>
        <w:rPr>
          <w:rFonts w:ascii="Arial" w:cs="Arial" w:eastAsia="Arial" w:hAnsi="Arial"/>
          <w:sz w:val="18"/>
          <w:szCs w:val="18"/>
          <w:color w:val="auto"/>
        </w:rPr>
      </w:pPr>
    </w:p>
    <w:p>
      <w:pPr>
        <w:ind w:left="1100" w:right="559" w:hanging="322"/>
        <w:spacing w:after="0" w:line="237" w:lineRule="auto"/>
        <w:tabs>
          <w:tab w:leader="none" w:pos="1089" w:val="left"/>
        </w:tabs>
        <w:numPr>
          <w:ilvl w:val="0"/>
          <w:numId w:val="61"/>
        </w:numPr>
        <w:rPr>
          <w:rFonts w:ascii="Arial" w:cs="Arial" w:eastAsia="Arial" w:hAnsi="Arial"/>
          <w:sz w:val="18"/>
          <w:szCs w:val="18"/>
          <w:color w:val="auto"/>
        </w:rPr>
      </w:pPr>
      <w:r>
        <w:rPr>
          <w:rFonts w:ascii="Arial" w:cs="Arial" w:eastAsia="Arial" w:hAnsi="Arial"/>
          <w:sz w:val="18"/>
          <w:szCs w:val="18"/>
          <w:color w:val="auto"/>
        </w:rPr>
        <w:t>if the closing price of our Class A common stock for any 20 trading days within a 30-trading day period ending three trading days before we send notice of redemption to the warrant holders is less than $18.00 per share (as adjusted for adjustments to the number of shares issuable upon exercise or the exercise price of a warrant as described under the heading “— Warrants — Public Shareholders’ Warrants — Anti-dilution Adjustments”), the private placement warrants must also be concurrently called for redemption on the same terms as the outstanding public warrants, as described above.</w:t>
      </w:r>
    </w:p>
    <w:p>
      <w:pPr>
        <w:spacing w:after="0" w:line="135"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Beginning on the date the notice of redemption is given until the warrants are redeemed or exercised, holders may elect to exercise their warrants on a cashless basis. The numbers in the table below represent the number of shares of Class A common stock that a warrant holder will receive upon such cashless exercise in connection with a redemption by us pursuant to this redemption feature, based on the “fair market value” of our Class A common stock on the corresponding redemption date (assuming holders elect to exercise their warrants and such warrants are not redeemed for $0.10 per warrant), determined for these purposes based on volume weighted average price of our Class A common stock during the 10 trading days immediately following the date on which the notice of redemption is sent to the holders of warrants, and the number of months that the corresponding redemption date precedes the</w:t>
      </w:r>
    </w:p>
    <w:p>
      <w:pPr>
        <w:sectPr>
          <w:pgSz w:w="11900" w:h="16838" w:orient="portrait"/>
          <w:cols w:equalWidth="0" w:num="1">
            <w:col w:w="9019"/>
          </w:cols>
          <w:pgMar w:left="1440" w:top="333"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123" w:name="page124"/>
    <w:bookmarkEnd w:id="123"/>
    <w:p>
      <w:pPr>
        <w:ind w:left="460" w:right="539"/>
        <w:spacing w:after="0" w:line="236" w:lineRule="auto"/>
        <w:rPr>
          <w:sz w:val="20"/>
          <w:szCs w:val="20"/>
          <w:color w:val="auto"/>
        </w:rPr>
      </w:pPr>
      <w:r>
        <w:rPr>
          <w:rFonts w:ascii="Arial" w:cs="Arial" w:eastAsia="Arial" w:hAnsi="Arial"/>
          <w:sz w:val="18"/>
          <w:szCs w:val="18"/>
          <w:color w:val="auto"/>
        </w:rPr>
        <w:t>expiration date of the warrants, each as set forth in the table below. We will provide our warrant holders with the final fair market value no later than one business day after the 10-trading day period described above ends. Pursuant to the warrant agreement, references above to Class A common stock shall include a security other than Class A common stock into which the Class A common stock have been converted or exchanged for in the event we are not the surviving company in our initial business combination. The numbers in the table below will not be adjusted when determining the number of shares of Class A common stock to be issued upon exercise of the warrants if we are not the surviving entity following our initial business combination.</w:t>
      </w:r>
    </w:p>
    <w:p>
      <w:pPr>
        <w:spacing w:after="0" w:line="127"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The share prices set forth in the column headings of the table below will be adjusted as of any date on which the number of shares issuable upon exercise of a warrant or the exercise price of a warrant is adjusted as set forth under the heading “— Anti-dilution Adjustments” below. If the number of shares issuable upon exercise of a warrant is adjusted, the adjusted share prices in the column headings will equal the share prices immediately prior to such adjustment, multiplied by a fraction, the numerator of which is the number of shares deliverable upon exercise of a warrant immediately prior to such adjustment and the denominator of which is the number of shares deliverable upon exercise of a warrant as so adjusted. The number of shares in the table below shall be adjusted in the same manner and at the same time as the number of shares issuable upon exercise of a warrant. If the exercise price of a warrant is adjusted, (a) in the case of an adjustment pursuant to the fifth paragraph under the heading “— Anti-dilution Adjustments” below, the adjusted share prices in the column headings will equal the unadjusted share price multiplied by a fraction, the numerator of which is the higher of the Market Value and the Newly Issued Price as set forth under the heading “— Anti-dilution Adjustments” and the denominator of which is $10.00 and (b) in the case of an adjustment pursuant to the second paragraph under the heading “— Anti-dilution Adjustments” below, the adjusted share prices in the column headings will equal the unadjusted share price less the decrease in the exercise price of a warrant pursuant to such exercise price adjustment.</w:t>
      </w:r>
    </w:p>
    <w:p>
      <w:pPr>
        <w:spacing w:after="0" w:line="179" w:lineRule="exact"/>
        <w:rPr>
          <w:sz w:val="20"/>
          <w:szCs w:val="20"/>
          <w:color w:val="auto"/>
        </w:rPr>
      </w:pPr>
    </w:p>
    <w:p>
      <w:pPr>
        <w:ind w:left="4000"/>
        <w:spacing w:after="0"/>
        <w:rPr>
          <w:sz w:val="20"/>
          <w:szCs w:val="20"/>
          <w:color w:val="auto"/>
        </w:rPr>
      </w:pPr>
      <w:r>
        <w:rPr>
          <w:rFonts w:ascii="Arial" w:cs="Arial" w:eastAsia="Arial" w:hAnsi="Arial"/>
          <w:sz w:val="14"/>
          <w:szCs w:val="14"/>
          <w:b w:val="1"/>
          <w:bCs w:val="1"/>
          <w:color w:val="auto"/>
        </w:rPr>
        <w:t>Fair Market Value of Class A Common Stock</w:t>
      </w:r>
    </w:p>
    <w:tbl>
      <w:tblPr>
        <w:tblLayout w:type="fixed"/>
        <w:tblInd w:w="460" w:type="dxa"/>
        <w:tblCellMar>
          <w:top w:w="0" w:type="dxa"/>
          <w:left w:w="0" w:type="dxa"/>
          <w:bottom w:w="0" w:type="dxa"/>
          <w:right w:w="0" w:type="dxa"/>
        </w:tblCellMar>
      </w:tblPr>
      <w:tr>
        <w:trPr>
          <w:trHeight w:val="63"/>
        </w:trPr>
        <w:tc>
          <w:tcPr>
            <w:tcW w:w="2020" w:type="dxa"/>
            <w:vAlign w:val="bottom"/>
            <w:gridSpan w:val="2"/>
            <w:vMerge w:val="restart"/>
          </w:tcPr>
          <w:p>
            <w:pPr>
              <w:spacing w:after="0" w:line="144" w:lineRule="exact"/>
              <w:rPr>
                <w:sz w:val="20"/>
                <w:szCs w:val="20"/>
                <w:color w:val="auto"/>
              </w:rPr>
            </w:pPr>
            <w:r>
              <w:rPr>
                <w:rFonts w:ascii="Arial" w:cs="Arial" w:eastAsia="Arial" w:hAnsi="Arial"/>
                <w:sz w:val="14"/>
                <w:szCs w:val="14"/>
                <w:b w:val="1"/>
                <w:bCs w:val="1"/>
                <w:color w:val="auto"/>
              </w:rPr>
              <w:t>Redemption Date (period to</w:t>
            </w:r>
          </w:p>
        </w:tc>
        <w:tc>
          <w:tcPr>
            <w:tcW w:w="5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2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2020" w:type="dxa"/>
            <w:vAlign w:val="bottom"/>
            <w:gridSpan w:val="2"/>
          </w:tcPr>
          <w:p>
            <w:pPr>
              <w:spacing w:after="0"/>
              <w:rPr>
                <w:sz w:val="20"/>
                <w:szCs w:val="20"/>
                <w:color w:val="auto"/>
              </w:rPr>
            </w:pPr>
            <w:r>
              <w:rPr>
                <w:rFonts w:ascii="Arial" w:cs="Arial" w:eastAsia="Arial" w:hAnsi="Arial"/>
                <w:sz w:val="14"/>
                <w:szCs w:val="14"/>
                <w:b w:val="1"/>
                <w:bCs w:val="1"/>
                <w:color w:val="auto"/>
              </w:rPr>
              <w:t>expiration of warrants)</w:t>
            </w:r>
          </w:p>
        </w:tc>
        <w:tc>
          <w:tcPr>
            <w:tcW w:w="640" w:type="dxa"/>
            <w:vAlign w:val="bottom"/>
            <w:gridSpan w:val="2"/>
          </w:tcPr>
          <w:p>
            <w:pPr>
              <w:ind w:left="60"/>
              <w:spacing w:after="0"/>
              <w:rPr>
                <w:sz w:val="20"/>
                <w:szCs w:val="20"/>
                <w:color w:val="auto"/>
              </w:rPr>
            </w:pPr>
            <w:r>
              <w:rPr>
                <w:rFonts w:ascii="Arial" w:cs="Arial" w:eastAsia="Arial" w:hAnsi="Arial"/>
                <w:sz w:val="14"/>
                <w:szCs w:val="14"/>
                <w:b w:val="1"/>
                <w:bCs w:val="1"/>
                <w:color w:val="auto"/>
              </w:rPr>
              <w:t>≤10.00</w:t>
            </w:r>
          </w:p>
        </w:tc>
        <w:tc>
          <w:tcPr>
            <w:tcW w:w="580" w:type="dxa"/>
            <w:vAlign w:val="bottom"/>
          </w:tcPr>
          <w:p>
            <w:pPr>
              <w:jc w:val="right"/>
              <w:ind w:right="11"/>
              <w:spacing w:after="0"/>
              <w:rPr>
                <w:sz w:val="20"/>
                <w:szCs w:val="20"/>
                <w:color w:val="auto"/>
              </w:rPr>
            </w:pPr>
            <w:r>
              <w:rPr>
                <w:rFonts w:ascii="Arial" w:cs="Arial" w:eastAsia="Arial" w:hAnsi="Arial"/>
                <w:sz w:val="14"/>
                <w:szCs w:val="14"/>
                <w:b w:val="1"/>
                <w:bCs w:val="1"/>
                <w:color w:val="auto"/>
              </w:rPr>
              <w:t>11.00</w:t>
            </w:r>
          </w:p>
        </w:tc>
        <w:tc>
          <w:tcPr>
            <w:tcW w:w="100" w:type="dxa"/>
            <w:vAlign w:val="bottom"/>
          </w:tcPr>
          <w:p>
            <w:pPr>
              <w:spacing w:after="0"/>
              <w:rPr>
                <w:sz w:val="16"/>
                <w:szCs w:val="16"/>
                <w:color w:val="auto"/>
              </w:rPr>
            </w:pPr>
          </w:p>
        </w:tc>
        <w:tc>
          <w:tcPr>
            <w:tcW w:w="580" w:type="dxa"/>
            <w:vAlign w:val="bottom"/>
          </w:tcPr>
          <w:p>
            <w:pPr>
              <w:ind w:left="120"/>
              <w:spacing w:after="0"/>
              <w:rPr>
                <w:sz w:val="20"/>
                <w:szCs w:val="20"/>
                <w:color w:val="auto"/>
              </w:rPr>
            </w:pPr>
            <w:r>
              <w:rPr>
                <w:rFonts w:ascii="Arial" w:cs="Arial" w:eastAsia="Arial" w:hAnsi="Arial"/>
                <w:sz w:val="14"/>
                <w:szCs w:val="14"/>
                <w:b w:val="1"/>
                <w:bCs w:val="1"/>
                <w:color w:val="auto"/>
              </w:rPr>
              <w:t>12.00</w:t>
            </w:r>
          </w:p>
        </w:tc>
        <w:tc>
          <w:tcPr>
            <w:tcW w:w="100" w:type="dxa"/>
            <w:vAlign w:val="bottom"/>
          </w:tcPr>
          <w:p>
            <w:pPr>
              <w:spacing w:after="0"/>
              <w:rPr>
                <w:sz w:val="16"/>
                <w:szCs w:val="16"/>
                <w:color w:val="auto"/>
              </w:rPr>
            </w:pPr>
          </w:p>
        </w:tc>
        <w:tc>
          <w:tcPr>
            <w:tcW w:w="580" w:type="dxa"/>
            <w:vAlign w:val="bottom"/>
          </w:tcPr>
          <w:p>
            <w:pPr>
              <w:ind w:left="100"/>
              <w:spacing w:after="0"/>
              <w:rPr>
                <w:sz w:val="20"/>
                <w:szCs w:val="20"/>
                <w:color w:val="auto"/>
              </w:rPr>
            </w:pPr>
            <w:r>
              <w:rPr>
                <w:rFonts w:ascii="Arial" w:cs="Arial" w:eastAsia="Arial" w:hAnsi="Arial"/>
                <w:sz w:val="14"/>
                <w:szCs w:val="14"/>
                <w:b w:val="1"/>
                <w:bCs w:val="1"/>
                <w:color w:val="auto"/>
              </w:rPr>
              <w:t>13.00</w:t>
            </w:r>
          </w:p>
        </w:tc>
        <w:tc>
          <w:tcPr>
            <w:tcW w:w="100" w:type="dxa"/>
            <w:vAlign w:val="bottom"/>
          </w:tcPr>
          <w:p>
            <w:pPr>
              <w:spacing w:after="0"/>
              <w:rPr>
                <w:sz w:val="16"/>
                <w:szCs w:val="16"/>
                <w:color w:val="auto"/>
              </w:rPr>
            </w:pPr>
          </w:p>
        </w:tc>
        <w:tc>
          <w:tcPr>
            <w:tcW w:w="580" w:type="dxa"/>
            <w:vAlign w:val="bottom"/>
          </w:tcPr>
          <w:p>
            <w:pPr>
              <w:ind w:left="100"/>
              <w:spacing w:after="0"/>
              <w:rPr>
                <w:sz w:val="20"/>
                <w:szCs w:val="20"/>
                <w:color w:val="auto"/>
              </w:rPr>
            </w:pPr>
            <w:r>
              <w:rPr>
                <w:rFonts w:ascii="Arial" w:cs="Arial" w:eastAsia="Arial" w:hAnsi="Arial"/>
                <w:sz w:val="14"/>
                <w:szCs w:val="14"/>
                <w:b w:val="1"/>
                <w:bCs w:val="1"/>
                <w:color w:val="auto"/>
              </w:rPr>
              <w:t>14.00</w:t>
            </w:r>
          </w:p>
        </w:tc>
        <w:tc>
          <w:tcPr>
            <w:tcW w:w="80" w:type="dxa"/>
            <w:vAlign w:val="bottom"/>
          </w:tcPr>
          <w:p>
            <w:pPr>
              <w:spacing w:after="0"/>
              <w:rPr>
                <w:sz w:val="16"/>
                <w:szCs w:val="16"/>
                <w:color w:val="auto"/>
              </w:rPr>
            </w:pPr>
          </w:p>
        </w:tc>
        <w:tc>
          <w:tcPr>
            <w:tcW w:w="580" w:type="dxa"/>
            <w:vAlign w:val="bottom"/>
          </w:tcPr>
          <w:p>
            <w:pPr>
              <w:ind w:left="120"/>
              <w:spacing w:after="0"/>
              <w:rPr>
                <w:sz w:val="20"/>
                <w:szCs w:val="20"/>
                <w:color w:val="auto"/>
              </w:rPr>
            </w:pPr>
            <w:r>
              <w:rPr>
                <w:rFonts w:ascii="Arial" w:cs="Arial" w:eastAsia="Arial" w:hAnsi="Arial"/>
                <w:sz w:val="14"/>
                <w:szCs w:val="14"/>
                <w:b w:val="1"/>
                <w:bCs w:val="1"/>
                <w:color w:val="auto"/>
              </w:rPr>
              <w:t>15.00</w:t>
            </w:r>
          </w:p>
        </w:tc>
        <w:tc>
          <w:tcPr>
            <w:tcW w:w="100" w:type="dxa"/>
            <w:vAlign w:val="bottom"/>
          </w:tcPr>
          <w:p>
            <w:pPr>
              <w:spacing w:after="0"/>
              <w:rPr>
                <w:sz w:val="16"/>
                <w:szCs w:val="16"/>
                <w:color w:val="auto"/>
              </w:rPr>
            </w:pPr>
          </w:p>
        </w:tc>
        <w:tc>
          <w:tcPr>
            <w:tcW w:w="580" w:type="dxa"/>
            <w:vAlign w:val="bottom"/>
          </w:tcPr>
          <w:p>
            <w:pPr>
              <w:ind w:left="120"/>
              <w:spacing w:after="0"/>
              <w:rPr>
                <w:sz w:val="20"/>
                <w:szCs w:val="20"/>
                <w:color w:val="auto"/>
              </w:rPr>
            </w:pPr>
            <w:r>
              <w:rPr>
                <w:rFonts w:ascii="Arial" w:cs="Arial" w:eastAsia="Arial" w:hAnsi="Arial"/>
                <w:sz w:val="14"/>
                <w:szCs w:val="14"/>
                <w:b w:val="1"/>
                <w:bCs w:val="1"/>
                <w:color w:val="auto"/>
              </w:rPr>
              <w:t>16.00</w:t>
            </w:r>
          </w:p>
        </w:tc>
        <w:tc>
          <w:tcPr>
            <w:tcW w:w="100" w:type="dxa"/>
            <w:vAlign w:val="bottom"/>
          </w:tcPr>
          <w:p>
            <w:pPr>
              <w:spacing w:after="0"/>
              <w:rPr>
                <w:sz w:val="16"/>
                <w:szCs w:val="16"/>
                <w:color w:val="auto"/>
              </w:rPr>
            </w:pPr>
          </w:p>
        </w:tc>
        <w:tc>
          <w:tcPr>
            <w:tcW w:w="600" w:type="dxa"/>
            <w:vAlign w:val="bottom"/>
          </w:tcPr>
          <w:p>
            <w:pPr>
              <w:jc w:val="right"/>
              <w:ind w:right="31"/>
              <w:spacing w:after="0"/>
              <w:rPr>
                <w:sz w:val="20"/>
                <w:szCs w:val="20"/>
                <w:color w:val="auto"/>
              </w:rPr>
            </w:pPr>
            <w:r>
              <w:rPr>
                <w:rFonts w:ascii="Arial" w:cs="Arial" w:eastAsia="Arial" w:hAnsi="Arial"/>
                <w:sz w:val="14"/>
                <w:szCs w:val="14"/>
                <w:b w:val="1"/>
                <w:bCs w:val="1"/>
                <w:color w:val="auto"/>
              </w:rPr>
              <w:t>17.00</w:t>
            </w:r>
          </w:p>
        </w:tc>
        <w:tc>
          <w:tcPr>
            <w:tcW w:w="80" w:type="dxa"/>
            <w:vAlign w:val="bottom"/>
          </w:tcPr>
          <w:p>
            <w:pPr>
              <w:spacing w:after="0"/>
              <w:rPr>
                <w:sz w:val="16"/>
                <w:szCs w:val="16"/>
                <w:color w:val="auto"/>
              </w:rPr>
            </w:pPr>
          </w:p>
        </w:tc>
        <w:tc>
          <w:tcPr>
            <w:tcW w:w="700" w:type="dxa"/>
            <w:vAlign w:val="bottom"/>
          </w:tcPr>
          <w:p>
            <w:pPr>
              <w:jc w:val="right"/>
              <w:ind w:right="51"/>
              <w:spacing w:after="0"/>
              <w:rPr>
                <w:sz w:val="20"/>
                <w:szCs w:val="20"/>
                <w:color w:val="auto"/>
              </w:rPr>
            </w:pPr>
            <w:r>
              <w:rPr>
                <w:rFonts w:ascii="Arial" w:cs="Arial" w:eastAsia="Arial" w:hAnsi="Arial"/>
                <w:sz w:val="14"/>
                <w:szCs w:val="14"/>
                <w:b w:val="1"/>
                <w:bCs w:val="1"/>
                <w:color w:val="auto"/>
              </w:rPr>
              <w:t>≥18.00</w:t>
            </w:r>
          </w:p>
        </w:tc>
        <w:tc>
          <w:tcPr>
            <w:tcW w:w="0" w:type="dxa"/>
            <w:vAlign w:val="bottom"/>
          </w:tcPr>
          <w:p>
            <w:pPr>
              <w:spacing w:after="0"/>
              <w:rPr>
                <w:sz w:val="1"/>
                <w:szCs w:val="1"/>
                <w:color w:val="auto"/>
              </w:rPr>
            </w:pPr>
          </w:p>
        </w:tc>
      </w:tr>
      <w:tr>
        <w:trPr>
          <w:trHeight w:val="26"/>
        </w:trPr>
        <w:tc>
          <w:tcPr>
            <w:tcW w:w="1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60 months</w:t>
            </w: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0.261</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0.281</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0.297</w:t>
            </w:r>
          </w:p>
        </w:tc>
        <w:tc>
          <w:tcPr>
            <w:tcW w:w="6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0.311</w:t>
            </w:r>
          </w:p>
        </w:tc>
        <w:tc>
          <w:tcPr>
            <w:tcW w:w="6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0.324</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0.337</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0.348</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0.358</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57"/>
        </w:trPr>
        <w:tc>
          <w:tcPr>
            <w:tcW w:w="2020" w:type="dxa"/>
            <w:vAlign w:val="bottom"/>
            <w:gridSpan w:val="2"/>
          </w:tcPr>
          <w:p>
            <w:pPr>
              <w:spacing w:after="0"/>
              <w:rPr>
                <w:sz w:val="20"/>
                <w:szCs w:val="20"/>
                <w:color w:val="auto"/>
              </w:rPr>
            </w:pPr>
            <w:r>
              <w:rPr>
                <w:rFonts w:ascii="Arial" w:cs="Arial" w:eastAsia="Arial" w:hAnsi="Arial"/>
                <w:sz w:val="18"/>
                <w:szCs w:val="18"/>
                <w:color w:val="auto"/>
              </w:rPr>
              <w:t>57 months</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0.257</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0.277</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0.294</w:t>
            </w: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0.310</w:t>
            </w: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0.324</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0.337</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0.348</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0.358</w:t>
            </w:r>
          </w:p>
        </w:tc>
        <w:tc>
          <w:tcPr>
            <w:tcW w:w="700" w:type="dxa"/>
            <w:vAlign w:val="bottom"/>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54 months</w:t>
            </w: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0.252</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0.272</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0.291</w:t>
            </w:r>
          </w:p>
        </w:tc>
        <w:tc>
          <w:tcPr>
            <w:tcW w:w="6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0.307</w:t>
            </w:r>
          </w:p>
        </w:tc>
        <w:tc>
          <w:tcPr>
            <w:tcW w:w="6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0.322</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0.335</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0.347</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0.357</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57"/>
        </w:trPr>
        <w:tc>
          <w:tcPr>
            <w:tcW w:w="2020" w:type="dxa"/>
            <w:vAlign w:val="bottom"/>
            <w:gridSpan w:val="2"/>
          </w:tcPr>
          <w:p>
            <w:pPr>
              <w:spacing w:after="0"/>
              <w:rPr>
                <w:sz w:val="20"/>
                <w:szCs w:val="20"/>
                <w:color w:val="auto"/>
              </w:rPr>
            </w:pPr>
            <w:r>
              <w:rPr>
                <w:rFonts w:ascii="Arial" w:cs="Arial" w:eastAsia="Arial" w:hAnsi="Arial"/>
                <w:sz w:val="18"/>
                <w:szCs w:val="18"/>
                <w:color w:val="auto"/>
              </w:rPr>
              <w:t>51 months</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0.246</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0.268</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0.287</w:t>
            </w: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0.304</w:t>
            </w: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0.320</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0.333</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0.346</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0.357</w:t>
            </w:r>
          </w:p>
        </w:tc>
        <w:tc>
          <w:tcPr>
            <w:tcW w:w="700" w:type="dxa"/>
            <w:vAlign w:val="bottom"/>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48 months</w:t>
            </w: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0.241</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0.263</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0.283</w:t>
            </w:r>
          </w:p>
        </w:tc>
        <w:tc>
          <w:tcPr>
            <w:tcW w:w="6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0.301</w:t>
            </w:r>
          </w:p>
        </w:tc>
        <w:tc>
          <w:tcPr>
            <w:tcW w:w="6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0.317</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0.332</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0.344</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0.356</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57"/>
        </w:trPr>
        <w:tc>
          <w:tcPr>
            <w:tcW w:w="2020" w:type="dxa"/>
            <w:vAlign w:val="bottom"/>
            <w:gridSpan w:val="2"/>
          </w:tcPr>
          <w:p>
            <w:pPr>
              <w:spacing w:after="0"/>
              <w:rPr>
                <w:sz w:val="20"/>
                <w:szCs w:val="20"/>
                <w:color w:val="auto"/>
              </w:rPr>
            </w:pPr>
            <w:r>
              <w:rPr>
                <w:rFonts w:ascii="Arial" w:cs="Arial" w:eastAsia="Arial" w:hAnsi="Arial"/>
                <w:sz w:val="18"/>
                <w:szCs w:val="18"/>
                <w:color w:val="auto"/>
              </w:rPr>
              <w:t>45 months</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0.235</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0.258</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0.279</w:t>
            </w: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0.298</w:t>
            </w: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0.315</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0.330</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0.343</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0.356</w:t>
            </w:r>
          </w:p>
        </w:tc>
        <w:tc>
          <w:tcPr>
            <w:tcW w:w="700" w:type="dxa"/>
            <w:vAlign w:val="bottom"/>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42 months</w:t>
            </w: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0.228</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0.252</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0.274</w:t>
            </w:r>
          </w:p>
        </w:tc>
        <w:tc>
          <w:tcPr>
            <w:tcW w:w="6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0.294</w:t>
            </w:r>
          </w:p>
        </w:tc>
        <w:tc>
          <w:tcPr>
            <w:tcW w:w="6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0.312</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0.328</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0.342</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0.355</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56"/>
        </w:trPr>
        <w:tc>
          <w:tcPr>
            <w:tcW w:w="2020" w:type="dxa"/>
            <w:vAlign w:val="bottom"/>
            <w:gridSpan w:val="2"/>
          </w:tcPr>
          <w:p>
            <w:pPr>
              <w:spacing w:after="0"/>
              <w:rPr>
                <w:sz w:val="20"/>
                <w:szCs w:val="20"/>
                <w:color w:val="auto"/>
              </w:rPr>
            </w:pPr>
            <w:r>
              <w:rPr>
                <w:rFonts w:ascii="Arial" w:cs="Arial" w:eastAsia="Arial" w:hAnsi="Arial"/>
                <w:sz w:val="18"/>
                <w:szCs w:val="18"/>
                <w:color w:val="auto"/>
              </w:rPr>
              <w:t>39 months</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0.221</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0.246</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0.269</w:t>
            </w: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0.290</w:t>
            </w: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0.309</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0.325</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0.340</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0.354</w:t>
            </w:r>
          </w:p>
        </w:tc>
        <w:tc>
          <w:tcPr>
            <w:tcW w:w="700" w:type="dxa"/>
            <w:vAlign w:val="bottom"/>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36 months</w:t>
            </w: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0.213</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0.239</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0.263</w:t>
            </w:r>
          </w:p>
        </w:tc>
        <w:tc>
          <w:tcPr>
            <w:tcW w:w="6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0.285</w:t>
            </w:r>
          </w:p>
        </w:tc>
        <w:tc>
          <w:tcPr>
            <w:tcW w:w="6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0.305</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0.323</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0.339</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0.353</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57"/>
        </w:trPr>
        <w:tc>
          <w:tcPr>
            <w:tcW w:w="2020" w:type="dxa"/>
            <w:vAlign w:val="bottom"/>
            <w:gridSpan w:val="2"/>
          </w:tcPr>
          <w:p>
            <w:pPr>
              <w:spacing w:after="0"/>
              <w:rPr>
                <w:sz w:val="20"/>
                <w:szCs w:val="20"/>
                <w:color w:val="auto"/>
              </w:rPr>
            </w:pPr>
            <w:r>
              <w:rPr>
                <w:rFonts w:ascii="Arial" w:cs="Arial" w:eastAsia="Arial" w:hAnsi="Arial"/>
                <w:sz w:val="18"/>
                <w:szCs w:val="18"/>
                <w:color w:val="auto"/>
              </w:rPr>
              <w:t>33 months</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0.205</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0.232</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0.257</w:t>
            </w: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0.280</w:t>
            </w: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0.301</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0.320</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0.337</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0.352</w:t>
            </w:r>
          </w:p>
        </w:tc>
        <w:tc>
          <w:tcPr>
            <w:tcW w:w="700" w:type="dxa"/>
            <w:vAlign w:val="bottom"/>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30 months</w:t>
            </w: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0.196</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0.224</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0.250</w:t>
            </w:r>
          </w:p>
        </w:tc>
        <w:tc>
          <w:tcPr>
            <w:tcW w:w="6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0.274</w:t>
            </w:r>
          </w:p>
        </w:tc>
        <w:tc>
          <w:tcPr>
            <w:tcW w:w="6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0.297</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0.316</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0.335</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0.351</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57"/>
        </w:trPr>
        <w:tc>
          <w:tcPr>
            <w:tcW w:w="2020" w:type="dxa"/>
            <w:vAlign w:val="bottom"/>
            <w:gridSpan w:val="2"/>
          </w:tcPr>
          <w:p>
            <w:pPr>
              <w:spacing w:after="0"/>
              <w:rPr>
                <w:sz w:val="20"/>
                <w:szCs w:val="20"/>
                <w:color w:val="auto"/>
              </w:rPr>
            </w:pPr>
            <w:r>
              <w:rPr>
                <w:rFonts w:ascii="Arial" w:cs="Arial" w:eastAsia="Arial" w:hAnsi="Arial"/>
                <w:sz w:val="18"/>
                <w:szCs w:val="18"/>
                <w:color w:val="auto"/>
              </w:rPr>
              <w:t>27 months</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0.185</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0.214</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0.242</w:t>
            </w: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0.268</w:t>
            </w: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0.291</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0.313</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0.332</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0.350</w:t>
            </w:r>
          </w:p>
        </w:tc>
        <w:tc>
          <w:tcPr>
            <w:tcW w:w="700" w:type="dxa"/>
            <w:vAlign w:val="bottom"/>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24 months</w:t>
            </w: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0.173</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0.204</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0.233</w:t>
            </w:r>
          </w:p>
        </w:tc>
        <w:tc>
          <w:tcPr>
            <w:tcW w:w="6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0.260</w:t>
            </w:r>
          </w:p>
        </w:tc>
        <w:tc>
          <w:tcPr>
            <w:tcW w:w="6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0.285</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0.308</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0.329</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0.348</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57"/>
        </w:trPr>
        <w:tc>
          <w:tcPr>
            <w:tcW w:w="2020" w:type="dxa"/>
            <w:vAlign w:val="bottom"/>
            <w:gridSpan w:val="2"/>
          </w:tcPr>
          <w:p>
            <w:pPr>
              <w:spacing w:after="0"/>
              <w:rPr>
                <w:sz w:val="20"/>
                <w:szCs w:val="20"/>
                <w:color w:val="auto"/>
              </w:rPr>
            </w:pPr>
            <w:r>
              <w:rPr>
                <w:rFonts w:ascii="Arial" w:cs="Arial" w:eastAsia="Arial" w:hAnsi="Arial"/>
                <w:sz w:val="18"/>
                <w:szCs w:val="18"/>
                <w:color w:val="auto"/>
              </w:rPr>
              <w:t>21 months</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0.161</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0.193</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0.223</w:t>
            </w: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0.252</w:t>
            </w: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0.279</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0.304</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0.326</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0.347</w:t>
            </w:r>
          </w:p>
        </w:tc>
        <w:tc>
          <w:tcPr>
            <w:tcW w:w="700" w:type="dxa"/>
            <w:vAlign w:val="bottom"/>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18 months</w:t>
            </w: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0.146</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0.179</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0.211</w:t>
            </w:r>
          </w:p>
        </w:tc>
        <w:tc>
          <w:tcPr>
            <w:tcW w:w="6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0.242</w:t>
            </w:r>
          </w:p>
        </w:tc>
        <w:tc>
          <w:tcPr>
            <w:tcW w:w="6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0.271</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0.298</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0.322</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0.345</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57"/>
        </w:trPr>
        <w:tc>
          <w:tcPr>
            <w:tcW w:w="2020" w:type="dxa"/>
            <w:vAlign w:val="bottom"/>
            <w:gridSpan w:val="2"/>
          </w:tcPr>
          <w:p>
            <w:pPr>
              <w:spacing w:after="0"/>
              <w:rPr>
                <w:sz w:val="20"/>
                <w:szCs w:val="20"/>
                <w:color w:val="auto"/>
              </w:rPr>
            </w:pPr>
            <w:r>
              <w:rPr>
                <w:rFonts w:ascii="Arial" w:cs="Arial" w:eastAsia="Arial" w:hAnsi="Arial"/>
                <w:sz w:val="18"/>
                <w:szCs w:val="18"/>
                <w:color w:val="auto"/>
              </w:rPr>
              <w:t>15 months</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0.130</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0.164</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0.197</w:t>
            </w: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0.230</w:t>
            </w: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0.262</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0.291</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0.317</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0.342</w:t>
            </w:r>
          </w:p>
        </w:tc>
        <w:tc>
          <w:tcPr>
            <w:tcW w:w="700" w:type="dxa"/>
            <w:vAlign w:val="bottom"/>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12 months</w:t>
            </w: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0.111</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0.146</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0.181</w:t>
            </w:r>
          </w:p>
        </w:tc>
        <w:tc>
          <w:tcPr>
            <w:tcW w:w="6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0.216</w:t>
            </w:r>
          </w:p>
        </w:tc>
        <w:tc>
          <w:tcPr>
            <w:tcW w:w="6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0.250</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0.282</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0.312</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0.339</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57"/>
        </w:trPr>
        <w:tc>
          <w:tcPr>
            <w:tcW w:w="2020" w:type="dxa"/>
            <w:vAlign w:val="bottom"/>
            <w:gridSpan w:val="2"/>
          </w:tcPr>
          <w:p>
            <w:pPr>
              <w:spacing w:after="0"/>
              <w:rPr>
                <w:sz w:val="20"/>
                <w:szCs w:val="20"/>
                <w:color w:val="auto"/>
              </w:rPr>
            </w:pPr>
            <w:r>
              <w:rPr>
                <w:rFonts w:ascii="Arial" w:cs="Arial" w:eastAsia="Arial" w:hAnsi="Arial"/>
                <w:sz w:val="18"/>
                <w:szCs w:val="18"/>
                <w:color w:val="auto"/>
              </w:rPr>
              <w:t>9 months</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0.090</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0.125</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0.162</w:t>
            </w: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0.199</w:t>
            </w: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0.237</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0.272</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0.305</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0.336</w:t>
            </w:r>
          </w:p>
        </w:tc>
        <w:tc>
          <w:tcPr>
            <w:tcW w:w="700" w:type="dxa"/>
            <w:vAlign w:val="bottom"/>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6 months</w:t>
            </w:r>
          </w:p>
        </w:tc>
        <w:tc>
          <w:tcPr>
            <w:tcW w:w="6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0.065</w:t>
            </w: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0.099</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0.137</w:t>
            </w:r>
          </w:p>
        </w:tc>
        <w:tc>
          <w:tcPr>
            <w:tcW w:w="6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0.178</w:t>
            </w:r>
          </w:p>
        </w:tc>
        <w:tc>
          <w:tcPr>
            <w:tcW w:w="6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0.219</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0.259</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0.296</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0.331</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56"/>
        </w:trPr>
        <w:tc>
          <w:tcPr>
            <w:tcW w:w="2020" w:type="dxa"/>
            <w:vAlign w:val="bottom"/>
            <w:gridSpan w:val="2"/>
          </w:tcPr>
          <w:p>
            <w:pPr>
              <w:spacing w:after="0"/>
              <w:rPr>
                <w:sz w:val="20"/>
                <w:szCs w:val="20"/>
                <w:color w:val="auto"/>
              </w:rPr>
            </w:pPr>
            <w:r>
              <w:rPr>
                <w:rFonts w:ascii="Arial" w:cs="Arial" w:eastAsia="Arial" w:hAnsi="Arial"/>
                <w:sz w:val="18"/>
                <w:szCs w:val="18"/>
                <w:color w:val="auto"/>
              </w:rPr>
              <w:t>3 months</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0.034</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0.065</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0.104</w:t>
            </w: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0.150</w:t>
            </w: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0.197</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0.243</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0.286</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0.326</w:t>
            </w:r>
          </w:p>
        </w:tc>
        <w:tc>
          <w:tcPr>
            <w:tcW w:w="700" w:type="dxa"/>
            <w:vAlign w:val="bottom"/>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 months</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0.042</w:t>
            </w:r>
          </w:p>
        </w:tc>
        <w:tc>
          <w:tcPr>
            <w:tcW w:w="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0.115</w:t>
            </w:r>
          </w:p>
        </w:tc>
        <w:tc>
          <w:tcPr>
            <w:tcW w:w="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0.179</w:t>
            </w: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0.233</w:t>
            </w: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0.281</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0.323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7"/>
        </w:trPr>
        <w:tc>
          <w:tcPr>
            <w:tcW w:w="19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24" w:name="page125"/>
    <w:bookmarkEnd w:id="124"/>
    <w:p>
      <w:pPr>
        <w:ind w:left="460" w:right="479"/>
        <w:spacing w:after="0" w:line="235" w:lineRule="auto"/>
        <w:rPr>
          <w:sz w:val="20"/>
          <w:szCs w:val="20"/>
          <w:color w:val="auto"/>
        </w:rPr>
      </w:pPr>
      <w:r>
        <w:rPr>
          <w:rFonts w:ascii="Arial" w:cs="Arial" w:eastAsia="Arial" w:hAnsi="Arial"/>
          <w:sz w:val="18"/>
          <w:szCs w:val="18"/>
          <w:color w:val="auto"/>
        </w:rPr>
        <w:t>The exact fair market value and redemption date may not be set forth in the table above, in which case, if the fair market value is between two values in the table or the redemption date is between two redemption dates in the table, the number of shares of Class A common stock to be issued for each warrant exercised will be determined by a straight-line interpolation between the number of shares set forth for the higher and lower fair market values and the earlier and later redemption dates, as applicable, based on a 365 or 366-day year, as applicable. For example, if the volume weighted average price of our Class A common stock during the 10 trading days immediately following the date on which the notice of redemption is sent to the holders of the warrants is $11.00 per share, and at such time there are 57 months until the expiration of the warrants, holders may choose to, in connection with this redemption feature, exercise their warrants for 0.277 Class A common stock for each whole warrant. For an example where the exact fair market value and redemption date are not as set forth in the table above, if the volume weighted average price of our Class common stock during the 10 trading days immediately following the date on which the notice of redemption is sent to the holders of the warrants is $13.50 per share, and at such time there are 38 months until the expiration of the warrants, holders may choose to, in connection with this redemption feature, exercise their warrants for 0.298 Class A common stock for each whole warrant. In no event will the warrants be exercisable on a cashless basis in connection with this redemption feature for more than 0.361 shares of Class A common stock per warrant (subject to adjustment). Finally, as reflected in the table above, if the warrants are out of the money and about to expire, they cannot be exercised on a cashless basis in connection with a redemption by us pursuant to this redemption feature, since they will not be exercisable for any shares of Class A common stock.</w:t>
      </w:r>
    </w:p>
    <w:p>
      <w:pPr>
        <w:spacing w:after="0" w:line="131" w:lineRule="exact"/>
        <w:rPr>
          <w:sz w:val="20"/>
          <w:szCs w:val="20"/>
          <w:color w:val="auto"/>
        </w:rPr>
      </w:pPr>
    </w:p>
    <w:p>
      <w:pPr>
        <w:ind w:left="460" w:right="459"/>
        <w:spacing w:after="0" w:line="250" w:lineRule="auto"/>
        <w:rPr>
          <w:sz w:val="20"/>
          <w:szCs w:val="20"/>
          <w:color w:val="auto"/>
        </w:rPr>
      </w:pPr>
      <w:r>
        <w:rPr>
          <w:rFonts w:ascii="Arial" w:cs="Arial" w:eastAsia="Arial" w:hAnsi="Arial"/>
          <w:sz w:val="17"/>
          <w:szCs w:val="17"/>
          <w:color w:val="auto"/>
        </w:rPr>
        <w:t>This redemption feature differs from the typical warrant redemption features used in other blank check offerings, which typically only provide for a redemption of warrants for cash (other than the private placement warrants) when the trading price for the Class A common stock exceeds $18.00 per share for a specified period of time. This redemption feature is structured to allow for all of the outstanding warrants to be redeemed when the Class A common stock are trading at or above $10.00 per share, which may be at a time when the trading price of our Class A common stock is below the exercise price of the warrants. We have established this redemption feature to provide us with the flexibility to redeem the warrants without the warrants having to reach the $18.00 per share threshold set forth above under “— Redemption of warrants when the price per share of Class A common stock equals or exceeds $18.00.” Holders choosing to exercise their warrants in connection with a redemption pursuant to this feature will, in effect, receive a number of shares for their warrants based on an option pricing model with a fixed volatility input as of the date of this prospectus. This redemption right provides us with an additional mechanism by which to redeem all of the outstanding warrants, and therefore have certainty as to our capital structure as the warrants would no longer be outstanding and would have been exercised or redeemed and we will be required to pay the redemption price to warrant holders if we choose to exercise this redemption right and it will allow us to quickly proceed with a redemption of the warrants if we determine it is in our best interest to do so. As such, we would redeem the warrants in this manner when we believe it is in our best interest to update our capital structure to remove the warrants and pay the redemption price to the warrant holders.</w:t>
      </w:r>
    </w:p>
    <w:p>
      <w:pPr>
        <w:spacing w:after="0" w:line="331" w:lineRule="exact"/>
        <w:rPr>
          <w:sz w:val="20"/>
          <w:szCs w:val="20"/>
          <w:color w:val="auto"/>
        </w:rPr>
      </w:pPr>
    </w:p>
    <w:p>
      <w:pPr>
        <w:ind w:left="460" w:right="559"/>
        <w:spacing w:after="0" w:line="236" w:lineRule="auto"/>
        <w:rPr>
          <w:sz w:val="20"/>
          <w:szCs w:val="20"/>
          <w:color w:val="auto"/>
        </w:rPr>
      </w:pPr>
      <w:r>
        <w:rPr>
          <w:rFonts w:ascii="Arial" w:cs="Arial" w:eastAsia="Arial" w:hAnsi="Arial"/>
          <w:sz w:val="18"/>
          <w:szCs w:val="18"/>
          <w:color w:val="auto"/>
        </w:rPr>
        <w:t>As stated above, we can redeem the warrants when the Class A common stock are trading at a price starting at $10.00, which is below the exercise price of $11.50, because it will provide certainty with respect to our capital structure and cash position while providing warrant holders with the opportunity to exercise their warrants on a cashless basis for the applicable number of shares. If we choose to redeem the warrants when the Class A common stock are trading at a price below the exercise price of the warrants, this could result in the warrant holders receiving fewer Class A common stock than they would have received if they had chosen to wait to exercise their warrants for Class A common stock if and when such Class A common stock were trading at a price higher than the exercise price of $11.50.</w:t>
      </w:r>
    </w:p>
    <w:p>
      <w:pPr>
        <w:spacing w:after="0" w:line="139"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No fractional Class A common stock will be issued upon exercise. If, upon exercise, a holder would be entitled to receive a fractional interest in a share, we will round down to the nearest whole number of the number of Class A common stock to be issued to the holder. If, at the time of redemption, the warrants are exercisable for a security other than the shares of Class A common stock pursuant to the warrant agreement (for instance, if we are not the surviving company in our initial business combination), the warrants may be exercised for such security. At such time as the warrants become exercisable for a security other than the Class A common stock, the Company (or surviving company) will use its commercially reasonable efforts to register under the Securities Act the security issuable upon exercise of the warrants.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25" w:name="page126"/>
    <w:bookmarkEnd w:id="125"/>
    <w:p>
      <w:pPr>
        <w:ind w:left="460"/>
        <w:spacing w:after="0"/>
        <w:rPr>
          <w:sz w:val="20"/>
          <w:szCs w:val="20"/>
          <w:color w:val="auto"/>
        </w:rPr>
      </w:pPr>
      <w:r>
        <w:rPr>
          <w:rFonts w:ascii="Arial" w:cs="Arial" w:eastAsia="Arial" w:hAnsi="Arial"/>
          <w:sz w:val="18"/>
          <w:szCs w:val="18"/>
          <w:b w:val="1"/>
          <w:bCs w:val="1"/>
          <w:i w:val="1"/>
          <w:iCs w:val="1"/>
          <w:color w:val="auto"/>
        </w:rPr>
        <w:t>Redemption procedures</w:t>
      </w:r>
    </w:p>
    <w:p>
      <w:pPr>
        <w:spacing w:after="0" w:line="166" w:lineRule="exact"/>
        <w:rPr>
          <w:sz w:val="20"/>
          <w:szCs w:val="20"/>
          <w:color w:val="auto"/>
        </w:rPr>
      </w:pPr>
    </w:p>
    <w:p>
      <w:pPr>
        <w:ind w:left="460" w:right="599"/>
        <w:spacing w:after="0" w:line="238" w:lineRule="auto"/>
        <w:rPr>
          <w:sz w:val="20"/>
          <w:szCs w:val="20"/>
          <w:color w:val="auto"/>
        </w:rPr>
      </w:pPr>
      <w:r>
        <w:rPr>
          <w:rFonts w:ascii="Arial" w:cs="Arial" w:eastAsia="Arial" w:hAnsi="Arial"/>
          <w:sz w:val="18"/>
          <w:szCs w:val="18"/>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the Class A common stock outstanding immediately after giving effect to such exercise.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Anti-Dilution Adjustments</w:t>
      </w:r>
    </w:p>
    <w:p>
      <w:pPr>
        <w:spacing w:after="0" w:line="153"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If the number of outstanding shares of Class A common stock is increased by a capitalization or share dividend payable in Class A common stock, or by a split-up of common stock or other similar event, then, on the effective date of such capitalization or share dividend, split-up or similar event, the number of shares of Class A common stock issuable on exercise of each warrant will be increased in proportion to such increase in the outstanding ordinary stock. A rights offering made to all or substantially all holders of common stock entitling holders to purchase Class A common stock at a price less than the “historical fair market value” (as defined below) will be deemed a share dividend of a number of shares of Class A common stock equal to the product of (i) the number of shares of Class A common stock actually sold in such rights offering (or issuable under any other equity securities sold in such rights offering that are convertible into or exercisable for Class A common stock) and (ii) one minus the quotient of (x) the price per share of Class A common stock paid in such rights offering and (y) the historical fair market value. For these purposes, (i) if the rights offering is for securities convertible into or exercisable for Class A common stock, in determining the price payable for Class A common stock, there will be taken into account any consideration received for such rights, as well as any additional amount payable upon exercise or conversion and (ii) “historical fair market value” means the volume weighted average price of Class A Common stock as reported during the 10 trading day period ending on the trading day prior to the first date on which the Class A common stock trade on the applicable exchange or in the applicable market, regular way, without the right to receive such rights.</w:t>
      </w:r>
    </w:p>
    <w:p>
      <w:pPr>
        <w:spacing w:after="0" w:line="145"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In addition, if we, at any time while the warrants are outstanding and unexpired, pay a dividend or make a distribution in cash, securities or other assets to all or substantially all of the holders of the Class A common stock on account of such Class A common stock (or other securities into which the warrants are convertible), other than (a) as described above, (b) any cash dividends or cash distributions which, when combined on a per share basis with all other cash dividends and cash distributions paid on the Class A common stock during the 365-day period ending on the date of declaration of such dividend or distribution does not exceed $0.50 (as adjusted to appropriately reflect any other adjustments and excluding cash dividends or cash distributions that resulted in an adjustment to the exercise price or to the number of shares of Class A common stock issuable on exercise of each warrant) but only with respect to the amount of the aggregate cash dividends or cash distributions equal to or less than $0.50 per share, (c) to satisfy the redemption rights of the holders of Class A common stock in connection with a proposed initial business combination, (d) to satisfy the redemption rights of the holders of Class A common stock in connection with a shareholder vote to amend our amended and restated certificate of incorporation (A) to modify the substance or timing of our obligation to provide holders of our Class A common stock the right to have their shares redeemed in connection with our initial business combination or to redeem 100% of our public shares if we do not complete our initial business combination within 24 months from the closing of this offering or (B) with respect to any other provision relating to the rights of holders of our Class A common stock, or (e) in connection with the redemption of our public shares upon our failure to complete our initial business combination, then the warrant exercise price will be decreased, effective immediately after the effective date of such event, by the amount of cash and/or the fair market value of any securities or other assets paid on each share of Class A common stock in respect of such event.</w:t>
      </w:r>
    </w:p>
    <w:p>
      <w:pPr>
        <w:spacing w:after="0" w:line="145" w:lineRule="exact"/>
        <w:rPr>
          <w:sz w:val="20"/>
          <w:szCs w:val="20"/>
          <w:color w:val="auto"/>
        </w:rPr>
      </w:pPr>
    </w:p>
    <w:p>
      <w:pPr>
        <w:ind w:left="460" w:right="639"/>
        <w:spacing w:after="0" w:line="255" w:lineRule="auto"/>
        <w:rPr>
          <w:sz w:val="20"/>
          <w:szCs w:val="20"/>
          <w:color w:val="auto"/>
        </w:rPr>
      </w:pPr>
      <w:r>
        <w:rPr>
          <w:rFonts w:ascii="Arial" w:cs="Arial" w:eastAsia="Arial" w:hAnsi="Arial"/>
          <w:sz w:val="17"/>
          <w:szCs w:val="17"/>
          <w:color w:val="auto"/>
        </w:rPr>
        <w:t>If the number of outstanding shares of Class A common stock is decreased by a consolidation, combination, reverse share split or reclassification of Class A common stock or other similar event, then, on the effective date of such consolidation, combination, reverse share split, reclassification or similar event, the number of shares of Class A common stock issuable on exercise of each warrant will be decreased in proportion to such decrease in outstanding shares of Class A common stock.</w:t>
      </w:r>
    </w:p>
    <w:p>
      <w:pPr>
        <w:spacing w:after="0" w:line="109" w:lineRule="exact"/>
        <w:rPr>
          <w:sz w:val="20"/>
          <w:szCs w:val="20"/>
          <w:color w:val="auto"/>
        </w:rPr>
      </w:pPr>
    </w:p>
    <w:p>
      <w:pPr>
        <w:ind w:left="460" w:right="519"/>
        <w:spacing w:after="0" w:line="237" w:lineRule="auto"/>
        <w:rPr>
          <w:sz w:val="20"/>
          <w:szCs w:val="20"/>
          <w:color w:val="auto"/>
        </w:rPr>
      </w:pPr>
      <w:r>
        <w:rPr>
          <w:rFonts w:ascii="Arial" w:cs="Arial" w:eastAsia="Arial" w:hAnsi="Arial"/>
          <w:sz w:val="18"/>
          <w:szCs w:val="18"/>
          <w:color w:val="auto"/>
        </w:rPr>
        <w:t>Whenever the number of shares of Class A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Class A common stock purchasable upon the exercise of the warrants immediately prior to such adjustment and (y) the denominator of which will be the number of shares of Class A common stock so purchasable immediately thereafter.</w:t>
      </w:r>
    </w:p>
    <w:p>
      <w:pPr>
        <w:sectPr>
          <w:pgSz w:w="11900" w:h="16838" w:orient="portrait"/>
          <w:cols w:equalWidth="0" w:num="1">
            <w:col w:w="9019"/>
          </w:cols>
          <w:pgMar w:left="1440" w:top="333" w:right="1440" w:bottom="1440" w:gutter="0" w:footer="0" w:header="0"/>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126" w:name="page127"/>
    <w:bookmarkEnd w:id="126"/>
    <w:p>
      <w:pPr>
        <w:ind w:left="460" w:right="499"/>
        <w:spacing w:after="0" w:line="235" w:lineRule="auto"/>
        <w:rPr>
          <w:sz w:val="20"/>
          <w:szCs w:val="20"/>
          <w:color w:val="auto"/>
        </w:rPr>
      </w:pPr>
      <w:r>
        <w:rPr>
          <w:rFonts w:ascii="Arial" w:cs="Arial" w:eastAsia="Arial" w:hAnsi="Arial"/>
          <w:sz w:val="18"/>
          <w:szCs w:val="18"/>
          <w:color w:val="auto"/>
        </w:rPr>
        <w:t>In addition, if (x) we issue additional shares of Class A common stock or equity-linked securities for capital raising purposes in connection with the closing of our initial business combination (excluding any issuance of forward purchase shares) at an issue price or effective issue price of less than $9.20 per share (with such issue price or effective issue price to be determined in good faith by our board of directors and, in the case of any such issuance to our sponsor or its affiliates, without taking into account any founder shares held by our sponsor or such affiliates, as applicable, prior to such issuance) (the “Newly Issued Price”), (y) the aggregate gross proceeds from such issuances represent more than 60% of the total equity proceeds, and interest thereon, available for the funding of our initial business combination on the date of the consummation of our initial business combination (net of redemptions), and (z) the volume weighted average trading price of our Class A common stock during the 20 trading day period starting on the trading day prior to the day on which we consummate our initial business combination (such price, the “Market Value”) is below $9.20 per share, the exercise price of the warrants will be adjusted (to the nearest cent) to be equal to 115% of the higher of the Market Value and the Newly Issued Price, the $18.00 per share redemption trigger price described above under “— Redemption of warrants when the price per share of Class A common stock equals or exceeds $18.00” will be adjusted (to the nearest cent) to be equal to 180% of the higher of the Market Value and the Newly Issued Price, and the $10.00 per share redemption trigger price described above under “— Redemption of warrants when the price per share of Class A common stock equals or exceeds $10.00” will be adjusted (to the nearest cent) to be equal to the higher of the Market Value and the Newly Issued Price.</w:t>
      </w:r>
    </w:p>
    <w:p>
      <w:pPr>
        <w:spacing w:after="0" w:line="132"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In case of any reclassification or reorganization of the outstanding Class A common stock (other than those described above or that solely affects the par value of such Class A common stock), or in the case of any merger or consolidation of us with or into another corporation (other than a consolidation or merger in which we are the continuing corporation and that does not result in any reclassification or reorganization of our outstanding Class A common stock),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Class A common stock immediately theretofore purchasable and receivable upon the exercise of the rights represented thereby, the kind and amount of shares of Class A common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Class A common stock in such a transaction is payable in the form of Class A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Black-Scholes Warrant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spacing w:after="0" w:line="144"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The warrants will be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and that all other modifications or amendments will require the vote or written consent of the holders of at least 50% of the then outstanding public warrants, and, solely with respect to any amendment to the terms of the private placement warrants, a majority of the then outstanding private placement warrants. You should review a copy of the warrant agreement, which will be filed as an exhibit to the registration statement of which this prospectus is a part, for a complete description of the terms and conditions applicable to the warrants.</w:t>
      </w:r>
    </w:p>
    <w:p>
      <w:pPr>
        <w:spacing w:after="0" w:line="139" w:lineRule="exact"/>
        <w:rPr>
          <w:sz w:val="20"/>
          <w:szCs w:val="20"/>
          <w:color w:val="auto"/>
        </w:rPr>
      </w:pPr>
    </w:p>
    <w:p>
      <w:pPr>
        <w:ind w:left="460" w:right="519"/>
        <w:spacing w:after="0" w:line="252" w:lineRule="auto"/>
        <w:rPr>
          <w:sz w:val="20"/>
          <w:szCs w:val="20"/>
          <w:color w:val="auto"/>
        </w:rPr>
      </w:pPr>
      <w:r>
        <w:rPr>
          <w:rFonts w:ascii="Arial" w:cs="Arial" w:eastAsia="Arial" w:hAnsi="Arial"/>
          <w:sz w:val="17"/>
          <w:szCs w:val="17"/>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common stock and any voting rights until they exercise their warrants and receive Class A common stock. After the issuance of Class A common stock upon exercise of the warrants, each holder will be entitled to one vote for each share held of record on all matters to be voted on by stockholders.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27" w:name="page128"/>
    <w:bookmarkEnd w:id="127"/>
    <w:p>
      <w:pPr>
        <w:ind w:left="460" w:right="539"/>
        <w:spacing w:after="0" w:line="238" w:lineRule="auto"/>
        <w:rPr>
          <w:sz w:val="20"/>
          <w:szCs w:val="20"/>
          <w:color w:val="auto"/>
        </w:rPr>
      </w:pPr>
      <w:r>
        <w:rPr>
          <w:rFonts w:ascii="Arial" w:cs="Arial" w:eastAsia="Arial" w:hAnsi="Arial"/>
          <w:sz w:val="18"/>
          <w:szCs w:val="18"/>
          <w:color w:val="auto"/>
        </w:rPr>
        <w:t>No fractional shares will be issued upon exercise of the warrants. If, upon exercise of the warrants, a holder would be entitled to receive a fractional interest in a share, we will, upon exercise, round down to the nearest whole number the number of shares of Class A common stock to be issued to the warrant holder.</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53" w:lineRule="exact"/>
        <w:rPr>
          <w:sz w:val="20"/>
          <w:szCs w:val="20"/>
          <w:color w:val="auto"/>
        </w:rPr>
      </w:pPr>
    </w:p>
    <w:p>
      <w:pPr>
        <w:ind w:left="460" w:right="519"/>
        <w:spacing w:after="0" w:line="235" w:lineRule="auto"/>
        <w:rPr>
          <w:sz w:val="20"/>
          <w:szCs w:val="20"/>
          <w:color w:val="auto"/>
        </w:rPr>
      </w:pPr>
      <w:r>
        <w:rPr>
          <w:rFonts w:ascii="Arial" w:cs="Arial" w:eastAsia="Arial" w:hAnsi="Arial"/>
          <w:sz w:val="18"/>
          <w:szCs w:val="18"/>
          <w:color w:val="auto"/>
        </w:rPr>
        <w:t>Except as described below, the private placement warrants have terms and provisions that are identical to those of the warrants being sold as part of the units in this offering. The private placement warrants (including the Class A common stock issuable upon exercise of the private placement warrants) will not be transferable, assignable or salable until 30 days after the completion of our initial business combination (except pursuant to limited exceptions as described under “Principal Shareholders — Transfers of Founder Shares, Private Placement Warrants and Forward Purchase Shares,” to our officers and directors and other persons or entities affiliated with the initial purchasers of the private placement warrants) and they will not be redeemable by us so long as they are held by our sponsor or its permitted transferees (except as otherwise set forth herein). Our sponsor, or its permitted transferees, has the option to exercise the private placement warrants on a cashless basis. If the private placement warrants are held by holders other than our sponsor or its permitted transferees, the private placement warrants will be redeemable by us in all redemption scenarios and exercisable by the holders on the same basis as the warrants included in the units being sold in this offering.</w:t>
      </w:r>
    </w:p>
    <w:p>
      <w:pPr>
        <w:spacing w:after="0" w:line="146" w:lineRule="exact"/>
        <w:rPr>
          <w:sz w:val="20"/>
          <w:szCs w:val="20"/>
          <w:color w:val="auto"/>
        </w:rPr>
      </w:pPr>
    </w:p>
    <w:p>
      <w:pPr>
        <w:jc w:val="both"/>
        <w:ind w:left="460" w:right="639"/>
        <w:spacing w:after="0" w:line="248" w:lineRule="auto"/>
        <w:rPr>
          <w:sz w:val="20"/>
          <w:szCs w:val="20"/>
          <w:color w:val="auto"/>
        </w:rPr>
      </w:pPr>
      <w:r>
        <w:rPr>
          <w:rFonts w:ascii="Arial" w:cs="Arial" w:eastAsia="Arial" w:hAnsi="Arial"/>
          <w:sz w:val="17"/>
          <w:szCs w:val="17"/>
          <w:color w:val="auto"/>
        </w:rPr>
        <w:t>If holders of the private placement warrants elect to exercise them on a cashless basis, they would pay the exercise price by surrendering his, her or its warrants for that number of shares of Class A common stock equal to the quotient obtained by dividing (x) the product of the number of shares of Class A common stock underlying the warrants, multiplied by the excess of the “Sponsor fair market value” (defined below) over the exercise price of the warrants by (y) the Sponsor fair market value.</w:t>
      </w:r>
    </w:p>
    <w:p>
      <w:pPr>
        <w:spacing w:after="0" w:line="3" w:lineRule="exact"/>
        <w:rPr>
          <w:sz w:val="20"/>
          <w:szCs w:val="20"/>
          <w:color w:val="auto"/>
        </w:rPr>
      </w:pPr>
    </w:p>
    <w:p>
      <w:pPr>
        <w:ind w:left="460" w:right="519"/>
        <w:spacing w:after="0" w:line="235" w:lineRule="auto"/>
        <w:rPr>
          <w:sz w:val="20"/>
          <w:szCs w:val="20"/>
          <w:color w:val="auto"/>
        </w:rPr>
      </w:pPr>
      <w:r>
        <w:rPr>
          <w:rFonts w:ascii="Arial" w:cs="Arial" w:eastAsia="Arial" w:hAnsi="Arial"/>
          <w:sz w:val="18"/>
          <w:szCs w:val="18"/>
          <w:color w:val="auto"/>
        </w:rPr>
        <w:t>For these purposes, the “Sponsor fair market value” shall mean the average reported closing price of the Class A common stock for the 10 trading days ending on the third trading day prior to the date on which the notice of warrant exercise is sent to the warrant agent. The reason that we have agreed that these warrants will be exercisable on a cashless basis so long as they are held by our sponsor and its permitted transferees is because it is not known at this time whether they will be affiliated with us following a business combination. If they remain affiliated with us, their ability to sell our securities in the open market will be significantly limited. We expect to have policies in place that restrict insiders from selling our securities except during specific periods of time. Even during such periods of time when insiders will be permitted to sell our securities, an insider cannot trade in our securities if he or she is in possession of material non-public information. Accordingly, unlike public shareholders who could exercise their warrants and sell the Class A common stock received upon such exercise freely in the open market in order to recoup the cost of such exercise, the insiders could be significantly restricted from selling such securities. As a result, we believe that allowing the holders to exercise such warrants on a cashless basis is appropriate.</w:t>
      </w:r>
    </w:p>
    <w:p>
      <w:pPr>
        <w:spacing w:after="0" w:line="146" w:lineRule="exact"/>
        <w:rPr>
          <w:sz w:val="20"/>
          <w:szCs w:val="20"/>
          <w:color w:val="auto"/>
        </w:rPr>
      </w:pPr>
    </w:p>
    <w:p>
      <w:pPr>
        <w:ind w:left="460" w:right="559"/>
        <w:spacing w:after="0" w:line="237" w:lineRule="auto"/>
        <w:rPr>
          <w:sz w:val="20"/>
          <w:szCs w:val="20"/>
          <w:color w:val="auto"/>
        </w:rPr>
      </w:pPr>
      <w:r>
        <w:rPr>
          <w:rFonts w:ascii="Arial" w:cs="Arial" w:eastAsia="Arial" w:hAnsi="Arial"/>
          <w:sz w:val="18"/>
          <w:szCs w:val="18"/>
          <w:color w:val="auto"/>
        </w:rPr>
        <w:t>In order to fund working capital deficiencies or finance transaction costs in connection with an intended initial business combination, our sponsor or an affiliate of our sponsor or certain of our officers and directors may, but are not obligated to, loan us funds as may be required. Up to $ 1,500,000 of such loans may be convertible into warrants of the post business combination entity at a price of $1.50 per warrant at the option of the lender. Such warrants would be identical to the private placement warrants.</w:t>
      </w:r>
    </w:p>
    <w:p>
      <w:pPr>
        <w:spacing w:after="0" w:line="124" w:lineRule="exact"/>
        <w:rPr>
          <w:sz w:val="20"/>
          <w:szCs w:val="20"/>
          <w:color w:val="auto"/>
        </w:rPr>
      </w:pPr>
    </w:p>
    <w:p>
      <w:pPr>
        <w:ind w:left="460" w:right="599"/>
        <w:spacing w:after="0" w:line="237" w:lineRule="auto"/>
        <w:rPr>
          <w:sz w:val="20"/>
          <w:szCs w:val="20"/>
          <w:color w:val="auto"/>
        </w:rPr>
      </w:pPr>
      <w:r>
        <w:rPr>
          <w:rFonts w:ascii="Arial" w:cs="Arial" w:eastAsia="Arial" w:hAnsi="Arial"/>
          <w:sz w:val="18"/>
          <w:szCs w:val="18"/>
          <w:color w:val="auto"/>
        </w:rPr>
        <w:t>Our initial stockholders have agreed not to transfer, assign or sell any of the private placement warrants (including the Class A common stock issuable upon exercise of any of these warrants) until the date that is 30 days after the date we complete our initial business combination, except that, among other limited exceptions as described under “Principal Stockholders — Transfers of Founder Shares, Private Placement Warrants and Forward Purchase Shares,” transfers can be made to our officers and directors and other persons or entities affiliated with the sponsor.</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Dividends</w:t>
      </w:r>
    </w:p>
    <w:p>
      <w:pPr>
        <w:spacing w:after="0" w:line="166" w:lineRule="exact"/>
        <w:rPr>
          <w:sz w:val="20"/>
          <w:szCs w:val="20"/>
          <w:color w:val="auto"/>
        </w:rPr>
      </w:pPr>
    </w:p>
    <w:p>
      <w:pPr>
        <w:ind w:left="460" w:right="479"/>
        <w:spacing w:after="0" w:line="252" w:lineRule="auto"/>
        <w:rPr>
          <w:sz w:val="20"/>
          <w:szCs w:val="20"/>
          <w:color w:val="auto"/>
        </w:rPr>
      </w:pPr>
      <w:r>
        <w:rPr>
          <w:rFonts w:ascii="Arial" w:cs="Arial" w:eastAsia="Arial" w:hAnsi="Arial"/>
          <w:sz w:val="17"/>
          <w:szCs w:val="17"/>
          <w:color w:val="auto"/>
        </w:rPr>
        <w:t>We have not paid any cash dividends on our common stock to date and do not intend to pay cash dividends prior to the completion of a business combination. The payment of cash dividends in the future will be dependent upon our revenues and earnings, if any, capital requirements and general financial condition subsequent to completion of a business combination. The payment of any cash dividends subsequent to a business combination will be within the discretion of our board of directors at such time. If we increase or decrease the size of this offering, then we will effect a stock dividend or share contribution back to capital or other appropriate mechanism, as applicable, with respect to our founder shares immediately prior to the consummation of the offering in such amount as to maintain</w:t>
      </w:r>
    </w:p>
    <w:p>
      <w:pPr>
        <w:sectPr>
          <w:pgSz w:w="11900" w:h="16838" w:orient="portrait"/>
          <w:cols w:equalWidth="0" w:num="1">
            <w:col w:w="9019"/>
          </w:cols>
          <w:pgMar w:left="1440" w:top="287" w:right="1440"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128" w:name="page129"/>
    <w:bookmarkEnd w:id="128"/>
    <w:p>
      <w:pPr>
        <w:ind w:left="460" w:right="659"/>
        <w:spacing w:after="0"/>
        <w:rPr>
          <w:sz w:val="20"/>
          <w:szCs w:val="20"/>
          <w:color w:val="auto"/>
        </w:rPr>
      </w:pPr>
      <w:r>
        <w:rPr>
          <w:rFonts w:ascii="Arial" w:cs="Arial" w:eastAsia="Arial" w:hAnsi="Arial"/>
          <w:sz w:val="18"/>
          <w:szCs w:val="18"/>
          <w:color w:val="auto"/>
        </w:rPr>
        <w:t>the number of founder shares at 20.0% of our issued and outstanding common stock upon the consummation of this offering. Further, if we incur any indebtedness, our ability to declare dividends may be limited by restrictive covenants we may agree to in connection therewith.</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Transfer Agent and Warrant Agent</w:t>
      </w:r>
    </w:p>
    <w:p>
      <w:pPr>
        <w:spacing w:after="0" w:line="153"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The transfer agent for our common stock and warrant agent for our warrants is Continental Stock Transfer &amp; Trust Company. We have agreed to indemnify Continental Stock Transfer &amp; Trust Company in its roles as transfer agent and warrant agent, its agents and each of its stockholders, directors, officers and employees against all claims and losses that may arise out of acts performed or omitted for its activities in that capacity, except for any liability due to any gross negligence or intentional misconduct of the indemnified person or entity. Continental Stock Transfer &amp; Trust Company has agreed that it has no right of set-off or any right, title, interest or claim of any kind to, or to any monies in, the trust account, and has irrevocably waived any right, title, interest or claim of any kind to, or to any monies in, the trust account that it may have now or in the future. Accordingly, any indemnification provided will only be able to be satisfied, or a claim will only be able to be pursued, solely against us and our assets outside the trust account and not against the any monies in the trust account or interest earned thereon.</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166"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Our amended and restated certificate of incorporation will contain certain requirements and restrictions relating to this offering that will apply to us until the completion of our initial business combination. These provisions cannot be amended without the approval of the holders of 65% of our common stock. Our initial stockholders, who will collectively beneficially own 20% of our common stock upon the closing of this offering (assuming they do not purchase any units in this offering), may participate in any vote to amend our amended and restated certificate of incorporation and will have the discretion to vote in any manner they choose. Specifically, our amended and restated certificate of incorporation provides, among other things, that:</w:t>
      </w:r>
    </w:p>
    <w:p>
      <w:pPr>
        <w:spacing w:after="0" w:line="32" w:lineRule="exact"/>
        <w:rPr>
          <w:sz w:val="20"/>
          <w:szCs w:val="20"/>
          <w:color w:val="auto"/>
        </w:rPr>
      </w:pPr>
    </w:p>
    <w:p>
      <w:pPr>
        <w:ind w:left="1100" w:right="699" w:hanging="322"/>
        <w:spacing w:after="0" w:line="248" w:lineRule="auto"/>
        <w:tabs>
          <w:tab w:leader="none" w:pos="1089" w:val="left"/>
        </w:tabs>
        <w:numPr>
          <w:ilvl w:val="0"/>
          <w:numId w:val="62"/>
        </w:numPr>
        <w:rPr>
          <w:rFonts w:ascii="Arial" w:cs="Arial" w:eastAsia="Arial" w:hAnsi="Arial"/>
          <w:sz w:val="17"/>
          <w:szCs w:val="17"/>
          <w:color w:val="auto"/>
        </w:rPr>
      </w:pPr>
      <w:r>
        <w:rPr>
          <w:rFonts w:ascii="Arial" w:cs="Arial" w:eastAsia="Arial" w:hAnsi="Arial"/>
          <w:sz w:val="17"/>
          <w:szCs w:val="17"/>
          <w:color w:val="auto"/>
        </w:rPr>
        <w:t>If we are unable to complete our initial business combination within 24 months from the closing of this offering, we will (i) cease all operations except for the purpose of winding up,</w:t>
      </w:r>
    </w:p>
    <w:p>
      <w:pPr>
        <w:spacing w:after="0" w:line="1" w:lineRule="exact"/>
        <w:rPr>
          <w:rFonts w:ascii="Arial" w:cs="Arial" w:eastAsia="Arial" w:hAnsi="Arial"/>
          <w:sz w:val="17"/>
          <w:szCs w:val="17"/>
          <w:color w:val="auto"/>
        </w:rPr>
      </w:pPr>
    </w:p>
    <w:p>
      <w:pPr>
        <w:ind w:left="1100" w:right="479" w:firstLine="2"/>
        <w:spacing w:after="0" w:line="236" w:lineRule="auto"/>
        <w:tabs>
          <w:tab w:leader="none" w:pos="135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as promptly as reasonably possible but no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our remaining stockholders and our board of directors, liquidate and dissolve, subject in each case to our obligations under Delaware law to provide for claims of creditors and in all cases subject to the requirements of other applicable law;</w:t>
      </w:r>
    </w:p>
    <w:p>
      <w:pPr>
        <w:spacing w:after="0" w:line="15" w:lineRule="exact"/>
        <w:rPr>
          <w:rFonts w:ascii="Arial" w:cs="Arial" w:eastAsia="Arial" w:hAnsi="Arial"/>
          <w:sz w:val="18"/>
          <w:szCs w:val="18"/>
          <w:color w:val="auto"/>
        </w:rPr>
      </w:pPr>
    </w:p>
    <w:p>
      <w:pPr>
        <w:ind w:left="1100" w:right="499" w:hanging="322"/>
        <w:spacing w:after="0" w:line="248" w:lineRule="auto"/>
        <w:tabs>
          <w:tab w:leader="none" w:pos="1089" w:val="left"/>
        </w:tabs>
        <w:numPr>
          <w:ilvl w:val="0"/>
          <w:numId w:val="62"/>
        </w:numPr>
        <w:rPr>
          <w:rFonts w:ascii="Arial" w:cs="Arial" w:eastAsia="Arial" w:hAnsi="Arial"/>
          <w:sz w:val="17"/>
          <w:szCs w:val="17"/>
          <w:color w:val="auto"/>
        </w:rPr>
      </w:pPr>
      <w:r>
        <w:rPr>
          <w:rFonts w:ascii="Arial" w:cs="Arial" w:eastAsia="Arial" w:hAnsi="Arial"/>
          <w:sz w:val="17"/>
          <w:szCs w:val="17"/>
          <w:color w:val="auto"/>
        </w:rPr>
        <w:t>Prior to our initial business combination, we may not issue additional securities that would entitle the holders thereof to (i) receive funds from the trust account or (ii) vote as a class with our public shares (a) on our initial business combination or (b) to approve an amendment to our amended and restated certificate of incorporation to (x) extend the time we have to consummate a business combination beyond 24 months from the closing of this offering or</w:t>
      </w:r>
    </w:p>
    <w:p>
      <w:pPr>
        <w:spacing w:after="0" w:line="2" w:lineRule="exact"/>
        <w:rPr>
          <w:rFonts w:ascii="Arial" w:cs="Arial" w:eastAsia="Arial" w:hAnsi="Arial"/>
          <w:sz w:val="17"/>
          <w:szCs w:val="17"/>
          <w:color w:val="auto"/>
        </w:rPr>
      </w:pPr>
    </w:p>
    <w:p>
      <w:pPr>
        <w:ind w:left="1360" w:hanging="258"/>
        <w:spacing w:after="0"/>
        <w:tabs>
          <w:tab w:leader="none" w:pos="13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amend the foregoing provisions;</w:t>
      </w:r>
    </w:p>
    <w:p>
      <w:pPr>
        <w:spacing w:after="0" w:line="36" w:lineRule="exact"/>
        <w:rPr>
          <w:rFonts w:ascii="Arial" w:cs="Arial" w:eastAsia="Arial" w:hAnsi="Arial"/>
          <w:sz w:val="18"/>
          <w:szCs w:val="18"/>
          <w:color w:val="auto"/>
        </w:rPr>
      </w:pPr>
    </w:p>
    <w:p>
      <w:pPr>
        <w:ind w:left="1100" w:right="519" w:hanging="322"/>
        <w:spacing w:after="0" w:line="236" w:lineRule="auto"/>
        <w:tabs>
          <w:tab w:leader="none" w:pos="1089"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are not prohibited from entering into a business combination with a target business that is affiliated with our sponsor, our directors or our executive officers. In the event we enter into such a transaction, we, or a committee of independent directors, will obtain an opinion from an independent investment banking firm which is a member of FINRA or a valuation or appraisal firm that such a business combination is fair to our company from a financial point of view. A target will not be deemed an affiliate solely by virtue of ownership by our sponsor or its affiliates, or any of their or our executive officers or directors, of less than 10% of its common stock, individually or in the aggregate;</w:t>
      </w:r>
    </w:p>
    <w:p>
      <w:pPr>
        <w:spacing w:after="0" w:line="32" w:lineRule="exact"/>
        <w:rPr>
          <w:rFonts w:ascii="Arial" w:cs="Arial" w:eastAsia="Arial" w:hAnsi="Arial"/>
          <w:sz w:val="18"/>
          <w:szCs w:val="18"/>
          <w:color w:val="auto"/>
        </w:rPr>
      </w:pPr>
    </w:p>
    <w:p>
      <w:pPr>
        <w:ind w:left="1100" w:right="499" w:hanging="322"/>
        <w:spacing w:after="0" w:line="237" w:lineRule="auto"/>
        <w:tabs>
          <w:tab w:leader="none" w:pos="1089"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a stockholder vote on our initial business combination is not required by law and we do not decide to hold a stockholder vote for business or other legal reasons, we will offer to redeem our public shares pursuant to Rule 13e-4 and Regulation 14E of the Exchange Act, and will file tender offer documents with the SEC prior to completing our initial business combination which contain substantially the same financial and other information about our initial business combination and the redemption rights as is required under</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29" w:name="page130"/>
    <w:bookmarkEnd w:id="129"/>
    <w:p>
      <w:pPr>
        <w:ind w:left="1100" w:right="659"/>
        <w:spacing w:after="0"/>
        <w:rPr>
          <w:sz w:val="20"/>
          <w:szCs w:val="20"/>
          <w:color w:val="auto"/>
        </w:rPr>
      </w:pPr>
      <w:r>
        <w:rPr>
          <w:rFonts w:ascii="Arial" w:cs="Arial" w:eastAsia="Arial" w:hAnsi="Arial"/>
          <w:sz w:val="18"/>
          <w:szCs w:val="18"/>
          <w:color w:val="auto"/>
        </w:rPr>
        <w:t>Regulation 14A of the Exchange Act. Whether or not we maintain our registration under the Exchange Act or our listing on Nasdaq, we will provide our public stockholders with the opportunity to redeem their public shares by one of the two methods listed above;</w:t>
      </w:r>
    </w:p>
    <w:p>
      <w:pPr>
        <w:spacing w:after="0" w:line="14" w:lineRule="exact"/>
        <w:rPr>
          <w:sz w:val="20"/>
          <w:szCs w:val="20"/>
          <w:color w:val="auto"/>
        </w:rPr>
      </w:pPr>
    </w:p>
    <w:p>
      <w:pPr>
        <w:ind w:left="1100" w:right="459" w:hanging="322"/>
        <w:spacing w:after="0" w:line="237" w:lineRule="auto"/>
        <w:tabs>
          <w:tab w:leader="none" w:pos="1089" w:val="left"/>
        </w:tabs>
        <w:numPr>
          <w:ilvl w:val="0"/>
          <w:numId w:val="64"/>
        </w:numPr>
        <w:rPr>
          <w:rFonts w:ascii="Arial" w:cs="Arial" w:eastAsia="Arial" w:hAnsi="Arial"/>
          <w:sz w:val="18"/>
          <w:szCs w:val="18"/>
          <w:color w:val="auto"/>
        </w:rPr>
      </w:pPr>
      <w:r>
        <w:rPr>
          <w:rFonts w:ascii="Arial" w:cs="Arial" w:eastAsia="Arial" w:hAnsi="Arial"/>
          <w:sz w:val="18"/>
          <w:szCs w:val="18"/>
          <w:color w:val="auto"/>
        </w:rPr>
        <w:t>So long as we obtain and maintain a listing for our securities on Nasdaq, Nasdaq rules require that we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our signing a definitive agreement in connection with our initial business combination;</w:t>
      </w:r>
    </w:p>
    <w:p>
      <w:pPr>
        <w:spacing w:after="0" w:line="29" w:lineRule="exact"/>
        <w:rPr>
          <w:rFonts w:ascii="Arial" w:cs="Arial" w:eastAsia="Arial" w:hAnsi="Arial"/>
          <w:sz w:val="18"/>
          <w:szCs w:val="18"/>
          <w:color w:val="auto"/>
        </w:rPr>
      </w:pPr>
    </w:p>
    <w:p>
      <w:pPr>
        <w:ind w:left="1100" w:right="739" w:hanging="322"/>
        <w:spacing w:after="0" w:line="236" w:lineRule="auto"/>
        <w:tabs>
          <w:tab w:leader="none" w:pos="1089"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our stockholders approve an amendment to our amended and restated certificate of incorporation to modify the substance or timing of our obligation to redeem 100% of our public shares if we do not complete our initial business combination within 24 months from the closing of this offering, or with respect to any other material provisions relating to stockholders’ rights or pre-initial business combination activity, we will provide our public stockholders with the opportunity to redeem all or a portion of their Class A common stock upon such approval at a per-share price, payable in cash, equal to the aggregate amount then on deposit in the trust account, including interest earned on the funds held in the trust account and not previously released to us to pay our taxes, divided by the number of then outstanding public shares, subject to the limitations described herein; and</w:t>
      </w:r>
    </w:p>
    <w:p>
      <w:pPr>
        <w:spacing w:after="0" w:line="30" w:lineRule="exact"/>
        <w:rPr>
          <w:rFonts w:ascii="Arial" w:cs="Arial" w:eastAsia="Arial" w:hAnsi="Arial"/>
          <w:sz w:val="18"/>
          <w:szCs w:val="18"/>
          <w:color w:val="auto"/>
        </w:rPr>
      </w:pPr>
    </w:p>
    <w:p>
      <w:pPr>
        <w:ind w:left="1100" w:right="499" w:hanging="322"/>
        <w:spacing w:after="0" w:line="246" w:lineRule="auto"/>
        <w:tabs>
          <w:tab w:leader="none" w:pos="1089"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will not effectuate our initial business combination with another blank check company or a similar company with nominal operations.</w:t>
      </w:r>
    </w:p>
    <w:p>
      <w:pPr>
        <w:spacing w:after="0" w:line="116" w:lineRule="exact"/>
        <w:rPr>
          <w:sz w:val="20"/>
          <w:szCs w:val="20"/>
          <w:color w:val="auto"/>
        </w:rPr>
      </w:pPr>
    </w:p>
    <w:p>
      <w:pPr>
        <w:ind w:left="460" w:right="979"/>
        <w:spacing w:after="0"/>
        <w:rPr>
          <w:sz w:val="20"/>
          <w:szCs w:val="20"/>
          <w:color w:val="auto"/>
        </w:rPr>
      </w:pPr>
      <w:r>
        <w:rPr>
          <w:rFonts w:ascii="Arial" w:cs="Arial" w:eastAsia="Arial" w:hAnsi="Arial"/>
          <w:sz w:val="18"/>
          <w:szCs w:val="18"/>
          <w:color w:val="auto"/>
        </w:rPr>
        <w:t>In addition, our amended and restated certificate of incorporation provides that under no circumstances will we redeem our public shares in an amount that would cause our net tangible assets to be less than $5,000,001.</w:t>
      </w:r>
    </w:p>
    <w:p>
      <w:pPr>
        <w:spacing w:after="0" w:line="181" w:lineRule="exact"/>
        <w:rPr>
          <w:sz w:val="20"/>
          <w:szCs w:val="20"/>
          <w:color w:val="auto"/>
        </w:rPr>
      </w:pPr>
    </w:p>
    <w:p>
      <w:pPr>
        <w:ind w:left="460" w:right="599"/>
        <w:spacing w:after="0" w:line="271" w:lineRule="auto"/>
        <w:rPr>
          <w:sz w:val="20"/>
          <w:szCs w:val="20"/>
          <w:color w:val="auto"/>
        </w:rPr>
      </w:pPr>
      <w:r>
        <w:rPr>
          <w:rFonts w:ascii="Arial" w:cs="Arial" w:eastAsia="Arial" w:hAnsi="Arial"/>
          <w:sz w:val="18"/>
          <w:szCs w:val="18"/>
          <w:b w:val="1"/>
          <w:bCs w:val="1"/>
          <w:color w:val="auto"/>
        </w:rPr>
        <w:t>Certain Anti-Takeover Provisions of Delaware Law and our Amended and Restated Certificate of Incorporation and Bylaws</w:t>
      </w:r>
    </w:p>
    <w:p>
      <w:pPr>
        <w:spacing w:after="0" w:line="108" w:lineRule="exact"/>
        <w:rPr>
          <w:sz w:val="20"/>
          <w:szCs w:val="20"/>
          <w:color w:val="auto"/>
        </w:rPr>
      </w:pPr>
    </w:p>
    <w:p>
      <w:pPr>
        <w:ind w:left="460" w:right="519"/>
        <w:spacing w:after="0" w:line="238" w:lineRule="auto"/>
        <w:rPr>
          <w:sz w:val="20"/>
          <w:szCs w:val="20"/>
          <w:color w:val="auto"/>
        </w:rPr>
      </w:pPr>
      <w:r>
        <w:rPr>
          <w:rFonts w:ascii="Arial" w:cs="Arial" w:eastAsia="Arial" w:hAnsi="Arial"/>
          <w:sz w:val="18"/>
          <w:szCs w:val="18"/>
          <w:color w:val="auto"/>
        </w:rPr>
        <w:t>We have opted out of the provisions of Section 203 of the DGCL regulating corporate takeovers upon completion of this offering. However, our amended and restated certificate of incorporation contains similar provisions that will prevent us, under certain circumstances, from engaging in a “business combination” with:</w:t>
      </w:r>
    </w:p>
    <w:p>
      <w:pPr>
        <w:spacing w:after="0" w:line="29" w:lineRule="exact"/>
        <w:rPr>
          <w:sz w:val="20"/>
          <w:szCs w:val="20"/>
          <w:color w:val="auto"/>
        </w:rPr>
      </w:pPr>
    </w:p>
    <w:p>
      <w:pPr>
        <w:ind w:left="1100" w:right="499" w:hanging="322"/>
        <w:spacing w:after="0" w:line="246" w:lineRule="auto"/>
        <w:tabs>
          <w:tab w:leader="none" w:pos="1089"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stockholder who owns 15% or more of our outstanding voting stock (otherwise known as an “interested stockholder”);</w:t>
      </w:r>
    </w:p>
    <w:p>
      <w:pPr>
        <w:spacing w:after="0" w:line="7" w:lineRule="exact"/>
        <w:rPr>
          <w:rFonts w:ascii="Arial" w:cs="Arial" w:eastAsia="Arial" w:hAnsi="Arial"/>
          <w:sz w:val="18"/>
          <w:szCs w:val="18"/>
          <w:color w:val="auto"/>
        </w:rPr>
      </w:pPr>
    </w:p>
    <w:p>
      <w:pPr>
        <w:ind w:left="1100" w:hanging="322"/>
        <w:spacing w:after="0"/>
        <w:tabs>
          <w:tab w:leader="none" w:pos="11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affiliate of an interested stockholder; or</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associate of an interested stockholder,</w:t>
      </w:r>
    </w:p>
    <w:p>
      <w:pPr>
        <w:spacing w:after="0" w:line="144" w:lineRule="exact"/>
        <w:rPr>
          <w:sz w:val="20"/>
          <w:szCs w:val="20"/>
          <w:color w:val="auto"/>
        </w:rPr>
      </w:pPr>
    </w:p>
    <w:p>
      <w:pPr>
        <w:ind w:left="460" w:right="599"/>
        <w:spacing w:after="0" w:line="238" w:lineRule="auto"/>
        <w:rPr>
          <w:sz w:val="20"/>
          <w:szCs w:val="20"/>
          <w:color w:val="auto"/>
        </w:rPr>
      </w:pPr>
      <w:r>
        <w:rPr>
          <w:rFonts w:ascii="Arial" w:cs="Arial" w:eastAsia="Arial" w:hAnsi="Arial"/>
          <w:sz w:val="18"/>
          <w:szCs w:val="18"/>
          <w:color w:val="auto"/>
        </w:rPr>
        <w:t>for three years following the date that the stockholder became an interested stockholder, provided that our sponsor and its affiliates, any of its respective direct or indirect transferees who hold at least 15% of our outstanding common stock after such transfer and any group as to which such persons are party to, do not constitute “interested stockholders” for purposes of this provision.</w:t>
      </w:r>
    </w:p>
    <w:p>
      <w:pPr>
        <w:spacing w:after="0" w:line="124" w:lineRule="exact"/>
        <w:rPr>
          <w:sz w:val="20"/>
          <w:szCs w:val="20"/>
          <w:color w:val="auto"/>
        </w:rPr>
      </w:pPr>
    </w:p>
    <w:p>
      <w:pPr>
        <w:ind w:left="460" w:right="779"/>
        <w:spacing w:after="0" w:line="246" w:lineRule="auto"/>
        <w:rPr>
          <w:sz w:val="20"/>
          <w:szCs w:val="20"/>
          <w:color w:val="auto"/>
        </w:rPr>
      </w:pPr>
      <w:r>
        <w:rPr>
          <w:rFonts w:ascii="Arial" w:cs="Arial" w:eastAsia="Arial" w:hAnsi="Arial"/>
          <w:sz w:val="18"/>
          <w:szCs w:val="18"/>
          <w:color w:val="auto"/>
        </w:rPr>
        <w:t>A “business combination” includes a merger or sale of more than 10% of our assets. However, the above provisions of our amended and restated certificate of incorporation do not apply if:</w:t>
      </w:r>
    </w:p>
    <w:p>
      <w:pPr>
        <w:spacing w:after="0" w:line="21" w:lineRule="exact"/>
        <w:rPr>
          <w:sz w:val="20"/>
          <w:szCs w:val="20"/>
          <w:color w:val="auto"/>
        </w:rPr>
      </w:pPr>
    </w:p>
    <w:p>
      <w:pPr>
        <w:ind w:left="1100" w:right="919" w:hanging="322"/>
        <w:spacing w:after="0" w:line="246" w:lineRule="auto"/>
        <w:tabs>
          <w:tab w:leader="none" w:pos="1089" w:val="left"/>
        </w:tabs>
        <w:numPr>
          <w:ilvl w:val="0"/>
          <w:numId w:val="66"/>
        </w:numPr>
        <w:rPr>
          <w:rFonts w:ascii="Arial" w:cs="Arial" w:eastAsia="Arial" w:hAnsi="Arial"/>
          <w:sz w:val="18"/>
          <w:szCs w:val="18"/>
          <w:color w:val="auto"/>
        </w:rPr>
      </w:pPr>
      <w:r>
        <w:rPr>
          <w:rFonts w:ascii="Arial" w:cs="Arial" w:eastAsia="Arial" w:hAnsi="Arial"/>
          <w:sz w:val="18"/>
          <w:szCs w:val="18"/>
          <w:color w:val="auto"/>
        </w:rPr>
        <w:t>our board of directors approves the transaction that made the stockholder an “interested stockholder,” prior to the date of the transaction;</w:t>
      </w:r>
    </w:p>
    <w:p>
      <w:pPr>
        <w:spacing w:after="0" w:line="21" w:lineRule="exact"/>
        <w:rPr>
          <w:rFonts w:ascii="Arial" w:cs="Arial" w:eastAsia="Arial" w:hAnsi="Arial"/>
          <w:sz w:val="18"/>
          <w:szCs w:val="18"/>
          <w:color w:val="auto"/>
        </w:rPr>
      </w:pPr>
    </w:p>
    <w:p>
      <w:pPr>
        <w:ind w:left="1100" w:right="499" w:hanging="322"/>
        <w:spacing w:after="0" w:line="259" w:lineRule="auto"/>
        <w:tabs>
          <w:tab w:leader="none" w:pos="1089" w:val="left"/>
        </w:tabs>
        <w:numPr>
          <w:ilvl w:val="0"/>
          <w:numId w:val="66"/>
        </w:numPr>
        <w:rPr>
          <w:rFonts w:ascii="Arial" w:cs="Arial" w:eastAsia="Arial" w:hAnsi="Arial"/>
          <w:sz w:val="17"/>
          <w:szCs w:val="17"/>
          <w:color w:val="auto"/>
        </w:rPr>
      </w:pPr>
      <w:r>
        <w:rPr>
          <w:rFonts w:ascii="Arial" w:cs="Arial" w:eastAsia="Arial" w:hAnsi="Arial"/>
          <w:sz w:val="17"/>
          <w:szCs w:val="17"/>
          <w:color w:val="auto"/>
        </w:rPr>
        <w:t>after the completion of the transaction that resulted in the stockholder becoming an interested stockholder, that stockholder owned at least 85% of our voting stock outstanding at the time the transaction commenced, other than statutorily excluded shares of common stock; or</w:t>
      </w:r>
    </w:p>
    <w:p>
      <w:pPr>
        <w:spacing w:after="0" w:line="1" w:lineRule="exact"/>
        <w:rPr>
          <w:rFonts w:ascii="Arial" w:cs="Arial" w:eastAsia="Arial" w:hAnsi="Arial"/>
          <w:sz w:val="17"/>
          <w:szCs w:val="17"/>
          <w:color w:val="auto"/>
        </w:rPr>
      </w:pPr>
    </w:p>
    <w:p>
      <w:pPr>
        <w:ind w:left="1100" w:right="599" w:hanging="322"/>
        <w:spacing w:after="0" w:line="238" w:lineRule="auto"/>
        <w:tabs>
          <w:tab w:leader="none" w:pos="1089" w:val="left"/>
        </w:tabs>
        <w:numPr>
          <w:ilvl w:val="0"/>
          <w:numId w:val="66"/>
        </w:numPr>
        <w:rPr>
          <w:rFonts w:ascii="Arial" w:cs="Arial" w:eastAsia="Arial" w:hAnsi="Arial"/>
          <w:sz w:val="18"/>
          <w:szCs w:val="18"/>
          <w:color w:val="auto"/>
        </w:rPr>
      </w:pPr>
      <w:r>
        <w:rPr>
          <w:rFonts w:ascii="Arial" w:cs="Arial" w:eastAsia="Arial" w:hAnsi="Arial"/>
          <w:sz w:val="18"/>
          <w:szCs w:val="18"/>
          <w:color w:val="auto"/>
        </w:rPr>
        <w:t>on or subsequent to the date of the transaction, the initial business combination is approved by our board of directors and authorized at a meeting of our stockholders, and not by written consent, by an affirmative vote of at least two-thirds of the outstanding voting stock not owned by the interested stockholder.</w:t>
      </w:r>
    </w:p>
    <w:p>
      <w:pPr>
        <w:spacing w:after="0" w:line="137" w:lineRule="exact"/>
        <w:rPr>
          <w:sz w:val="20"/>
          <w:szCs w:val="20"/>
          <w:color w:val="auto"/>
        </w:rPr>
      </w:pPr>
    </w:p>
    <w:p>
      <w:pPr>
        <w:ind w:left="460" w:right="479"/>
        <w:spacing w:after="0"/>
        <w:rPr>
          <w:sz w:val="20"/>
          <w:szCs w:val="20"/>
          <w:color w:val="auto"/>
        </w:rPr>
      </w:pPr>
      <w:r>
        <w:rPr>
          <w:rFonts w:ascii="Arial" w:cs="Arial" w:eastAsia="Arial" w:hAnsi="Arial"/>
          <w:sz w:val="18"/>
          <w:szCs w:val="18"/>
          <w:color w:val="auto"/>
        </w:rPr>
        <w:t>Our amended and restated certificate of incorporation will provide that our board of directors will be classified into three classes of directors. As a result, in most circumstances, a person can gain control of our board only by successfully engaging in a proxy contest at two or more annual meetings.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79" w:right="1440" w:bottom="1440" w:gutter="0" w:footer="0" w:header="0"/>
        </w:sectPr>
      </w:pPr>
    </w:p>
    <w:bookmarkStart w:id="130" w:name="page131"/>
    <w:bookmarkEnd w:id="130"/>
    <w:p>
      <w:pPr>
        <w:ind w:left="460" w:right="479"/>
        <w:spacing w:after="0" w:line="237" w:lineRule="auto"/>
        <w:rPr>
          <w:sz w:val="20"/>
          <w:szCs w:val="20"/>
          <w:color w:val="auto"/>
        </w:rPr>
      </w:pPr>
      <w:r>
        <w:rPr>
          <w:rFonts w:ascii="Arial" w:cs="Arial" w:eastAsia="Arial" w:hAnsi="Arial"/>
          <w:sz w:val="18"/>
          <w:szCs w:val="18"/>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Exclusive forum for certain lawsuits</w:t>
      </w:r>
    </w:p>
    <w:p>
      <w:pPr>
        <w:spacing w:after="0" w:line="153" w:lineRule="exact"/>
        <w:rPr>
          <w:sz w:val="20"/>
          <w:szCs w:val="20"/>
          <w:color w:val="auto"/>
        </w:rPr>
      </w:pPr>
    </w:p>
    <w:p>
      <w:pPr>
        <w:ind w:left="460" w:right="559"/>
        <w:spacing w:after="0" w:line="248" w:lineRule="auto"/>
        <w:rPr>
          <w:sz w:val="20"/>
          <w:szCs w:val="20"/>
          <w:color w:val="auto"/>
        </w:rPr>
      </w:pPr>
      <w:r>
        <w:rPr>
          <w:rFonts w:ascii="Arial" w:cs="Arial" w:eastAsia="Arial" w:hAnsi="Arial"/>
          <w:sz w:val="17"/>
          <w:szCs w:val="17"/>
          <w:color w:val="auto"/>
        </w:rPr>
        <w:t>Our amended and restated certificate of incorporation will require, unless we consent in writing to the selection of an alternative forum, that (i) any derivative action or proceeding brought on our behalf,</w:t>
      </w:r>
    </w:p>
    <w:p>
      <w:pPr>
        <w:spacing w:after="0" w:line="1" w:lineRule="exact"/>
        <w:rPr>
          <w:sz w:val="20"/>
          <w:szCs w:val="20"/>
          <w:color w:val="auto"/>
        </w:rPr>
      </w:pPr>
    </w:p>
    <w:p>
      <w:pPr>
        <w:ind w:left="460" w:right="479" w:hanging="6"/>
        <w:spacing w:after="0" w:line="235" w:lineRule="auto"/>
        <w:tabs>
          <w:tab w:leader="none" w:pos="71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any director, officer or other employee to us or our stockholders, (iii) any action asserting a claim against us, our directors, officers or employees arising pursuant to any provision of the DGCL or our amended and restated certificate of incorporation or bylaws, or (iv) any action asserting a claim against us, our directors, officers or employees governed by the internal affairs doctrine may be brought only in the Court of Chancery in the State of Delaware, except any claim (A) as to which the Court of Chancery of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for which the Court of Chancery does not have subject matter jurisdiction, as to which the Court of Chancery and the federal district court for the District of Delaware shall have concurrent jurisdiction. If an action is brought outside of Delaware, the stockholder bringing the suit will be deemed to have consented to service of process on such stockholder’s counsel. Although we believe this provision benefits us by providing increased consistency in the application of Delaware law in the types of lawsuits to which it applies, a court may determine that this provision is unenforceable, and to the extent it is enforceable, the provision may have the effect of discouraging lawsuits against our directors and officers, although our stockholders will not be deemed to have waived our compliance with federal securities laws and the rules and regulations thereunder.</w:t>
      </w:r>
    </w:p>
    <w:p>
      <w:pPr>
        <w:spacing w:after="0" w:line="145"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Notwithstanding the foregoing, our amended and restated certificate of incorporation will provide that the exclusive forum provision will not apply to suits brought to enforce a duty or liability created by the Exchange Act or any other claim for which the federal courts have exclusive jurisdiction. Section 27 of the Exchange Act creates exclusive federal jurisdiction over all suits brought to enforce any duty or liability created by the Exchange Act or the rules and regulations thereunder. Additionally, unless we consent in writing to the selection of an alternative forum, the federal courts shall be the exclusive forum for the resolution of any complaint asserting a cause of action arising under the Securities Act against us or any of our directors, officers, other employees or agents. Any person or entity purchasing or otherwise acquiring any interest in our securities shall be deemed to have notice of and consented to these provisions.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Special meeting of stockholders</w:t>
      </w:r>
    </w:p>
    <w:p>
      <w:pPr>
        <w:spacing w:after="0" w:line="166" w:lineRule="exact"/>
        <w:rPr>
          <w:sz w:val="20"/>
          <w:szCs w:val="20"/>
          <w:color w:val="auto"/>
        </w:rPr>
      </w:pPr>
    </w:p>
    <w:p>
      <w:pPr>
        <w:ind w:left="460" w:right="519"/>
        <w:spacing w:after="0" w:line="246" w:lineRule="auto"/>
        <w:rPr>
          <w:sz w:val="20"/>
          <w:szCs w:val="20"/>
          <w:color w:val="auto"/>
        </w:rPr>
      </w:pPr>
      <w:r>
        <w:rPr>
          <w:rFonts w:ascii="Arial" w:cs="Arial" w:eastAsia="Arial" w:hAnsi="Arial"/>
          <w:sz w:val="18"/>
          <w:szCs w:val="18"/>
          <w:color w:val="auto"/>
        </w:rPr>
        <w:t>Our bylaws provide that special meetings of our stockholders may be called only by a majority vote of our board of directors, by our Chief Executive Officer or by our Chairman.</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Advance notice requirements for stockholder proposals and director nominations</w:t>
      </w:r>
    </w:p>
    <w:p>
      <w:pPr>
        <w:spacing w:after="0" w:line="153" w:lineRule="exact"/>
        <w:rPr>
          <w:sz w:val="20"/>
          <w:szCs w:val="20"/>
          <w:color w:val="auto"/>
        </w:rPr>
      </w:pPr>
    </w:p>
    <w:p>
      <w:pPr>
        <w:ind w:left="460" w:right="499"/>
        <w:spacing w:after="0" w:line="233" w:lineRule="auto"/>
        <w:rPr>
          <w:sz w:val="20"/>
          <w:szCs w:val="20"/>
          <w:color w:val="auto"/>
        </w:rPr>
      </w:pPr>
      <w:r>
        <w:rPr>
          <w:rFonts w:ascii="Arial" w:cs="Arial" w:eastAsia="Arial" w:hAnsi="Arial"/>
          <w:sz w:val="18"/>
          <w:szCs w:val="18"/>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a stockholder’s notice will need to be received by the company secretary at our principal executive offices not later than the close of business on the 90</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day nor earlier than the opening of business on the 120</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day prior to the anniversary date of the immediately preceding annual meeting of stockholders. Pursuant to Rule 14a-8 of the Exchange Act, proposals seeking inclusion in our annual proxy statement must comply with the notice periods contained therein. Our bylaws also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31" w:name="page132"/>
    <w:bookmarkEnd w:id="131"/>
    <w:p>
      <w:pPr>
        <w:ind w:left="460"/>
        <w:spacing w:after="0"/>
        <w:rPr>
          <w:sz w:val="20"/>
          <w:szCs w:val="20"/>
          <w:color w:val="auto"/>
        </w:rPr>
      </w:pPr>
      <w:r>
        <w:rPr>
          <w:rFonts w:ascii="Arial" w:cs="Arial" w:eastAsia="Arial" w:hAnsi="Arial"/>
          <w:sz w:val="18"/>
          <w:szCs w:val="18"/>
          <w:b w:val="1"/>
          <w:bCs w:val="1"/>
          <w:i w:val="1"/>
          <w:iCs w:val="1"/>
          <w:color w:val="auto"/>
        </w:rPr>
        <w:t>Action by written consent</w:t>
      </w:r>
    </w:p>
    <w:p>
      <w:pPr>
        <w:spacing w:after="0" w:line="139" w:lineRule="exact"/>
        <w:rPr>
          <w:sz w:val="20"/>
          <w:szCs w:val="20"/>
          <w:color w:val="auto"/>
        </w:rPr>
      </w:pPr>
    </w:p>
    <w:p>
      <w:pPr>
        <w:ind w:left="460" w:right="599"/>
        <w:spacing w:after="0" w:line="238" w:lineRule="auto"/>
        <w:rPr>
          <w:sz w:val="20"/>
          <w:szCs w:val="20"/>
          <w:color w:val="auto"/>
        </w:rPr>
      </w:pPr>
      <w:r>
        <w:rPr>
          <w:rFonts w:ascii="Arial" w:cs="Arial" w:eastAsia="Arial" w:hAnsi="Arial"/>
          <w:sz w:val="18"/>
          <w:szCs w:val="18"/>
          <w:color w:val="auto"/>
        </w:rPr>
        <w:t>Subsequent to the consummation of the offering, any action required or permitted to be taken by our common stockholders must be effected by a duly called annual or special meeting of such stockholders and may not be effected by written consent of the stockholders other than with respect to our Class B common stock.</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53" w:lineRule="exact"/>
        <w:rPr>
          <w:sz w:val="20"/>
          <w:szCs w:val="20"/>
          <w:color w:val="auto"/>
        </w:rPr>
      </w:pPr>
    </w:p>
    <w:p>
      <w:pPr>
        <w:ind w:left="460" w:right="559"/>
        <w:spacing w:after="0" w:line="236" w:lineRule="auto"/>
        <w:rPr>
          <w:sz w:val="20"/>
          <w:szCs w:val="20"/>
          <w:color w:val="auto"/>
        </w:rPr>
      </w:pPr>
      <w:r>
        <w:rPr>
          <w:rFonts w:ascii="Arial" w:cs="Arial" w:eastAsia="Arial" w:hAnsi="Arial"/>
          <w:sz w:val="18"/>
          <w:szCs w:val="18"/>
          <w:color w:val="auto"/>
        </w:rPr>
        <w:t>Our board of directors will initially be divided into three classes, Class I, Class II and Class III, with members of each class serving staggered three-year terms. Our amended and restated certificate of incorporation will provide that the authorized number of directors may be changed only by resolution of the board of directors. Subject to the terms of any preferred stock, any or all of the directors may be removed from office at any time, but only for cause and only by the affirmative vote of holders of a majority of the voting power of all then outstanding shares of our capital stock entitled to vote generally in the election of directors, voting together as a single class. Any vacancy on our board of directors, including a vacancy resulting from an enlargement of our board of directors, may be filled only by vote of a majority of our directors then in office.</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Class B Common Stock Consent Right</w:t>
      </w:r>
    </w:p>
    <w:p>
      <w:pPr>
        <w:spacing w:after="0" w:line="139"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For so long as any shares of Class B common stock remain outstanding, we may not, without the prior vote or written consent of the holders of a majority of the shares of Class B common stock then outstanding, voting separately as a single class, amend, alter or repeal any provision of our certificate of incorporation, whether by merger, consolidation or otherwise, if such amendment, alteration or repeal would alter or change the powers, preferences or relative, participating, optional or other or special rights of the Class B common stock. Any action required or permitted to be taken at any meeting of the holders of Class B common stock may be taken without a meeting, without prior notice and without a vote, if a consent or consents in writing, setting forth the action so taken, shall be signed by the holders of the outstanding Class B common stock having not less than the minimum number of votes that would be necessary to authorize or take such action at a meeting at which all shares of Class B common stock were present and voted.</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Securities Eligible for Future Sale</w:t>
      </w:r>
    </w:p>
    <w:p>
      <w:pPr>
        <w:spacing w:after="0" w:line="139"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Immediately after this offering we will have 43,750,000 (or 50,312,500 if the underwriters’ over-allotment option is exercised in full) shares of common stock outstanding. Of these shares, the shares of Class A common stock sold in this offering (35,000,000 Class A common stock if the underwriters’ over-allotment option is not exercised and 40,250,000 shares if the underwriters’ over-allotment option is exercised in full) will be freely tradable without restriction or further registration under the Securities Act, except for any Class A common stock purchased by one of our affiliates within the meaning of Rule 144 under the Securities Act. All of the outstanding founder shares (8,750,000 founder shares if the underwriters’ over-allotment option is not exercised and 10,062,500 founder shares if the underwriters’ over-allotment option is exercised in full) and all of the outstanding private placement warrants (6,000,000 warrants if the underwriters’ over-allotment option is not exercised and 6,700,000 warrants if the underwriters’ over-allotment option is exercised in full) will be restricted securities under Rule 144, in that they were issued in private transactions not involving a public offering. Upon the closing of the sale of any forward purchase shares, all such forward purchase shares, up to 15,000,000, will be restricted securities under Rule 144.</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Rule 144</w:t>
      </w:r>
    </w:p>
    <w:p>
      <w:pPr>
        <w:spacing w:after="0" w:line="153" w:lineRule="exact"/>
        <w:rPr>
          <w:sz w:val="20"/>
          <w:szCs w:val="20"/>
          <w:color w:val="auto"/>
        </w:rPr>
      </w:pPr>
    </w:p>
    <w:p>
      <w:pPr>
        <w:ind w:left="460" w:right="499"/>
        <w:spacing w:after="0" w:line="253" w:lineRule="auto"/>
        <w:rPr>
          <w:sz w:val="20"/>
          <w:szCs w:val="20"/>
          <w:color w:val="auto"/>
        </w:rPr>
      </w:pPr>
      <w:r>
        <w:rPr>
          <w:rFonts w:ascii="Arial" w:cs="Arial" w:eastAsia="Arial" w:hAnsi="Arial"/>
          <w:sz w:val="17"/>
          <w:szCs w:val="17"/>
          <w:color w:val="auto"/>
        </w:rPr>
        <w:t>Pursuant to Rule 144, a person who has beneficially owned restricted shares or warrants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100" w:lineRule="exact"/>
        <w:rPr>
          <w:sz w:val="20"/>
          <w:szCs w:val="20"/>
          <w:color w:val="auto"/>
        </w:rPr>
      </w:pPr>
    </w:p>
    <w:p>
      <w:pPr>
        <w:jc w:val="both"/>
        <w:ind w:left="460" w:right="759"/>
        <w:spacing w:after="0"/>
        <w:rPr>
          <w:sz w:val="20"/>
          <w:szCs w:val="20"/>
          <w:color w:val="auto"/>
        </w:rPr>
      </w:pPr>
      <w:r>
        <w:rPr>
          <w:rFonts w:ascii="Arial" w:cs="Arial" w:eastAsia="Arial" w:hAnsi="Arial"/>
          <w:sz w:val="18"/>
          <w:szCs w:val="18"/>
          <w:color w:val="auto"/>
        </w:rPr>
        <w:t>Persons who have beneficially owned restricted shares or warrants for at least six months but who are our affiliates at the time of, or at any time during the three months preceding, a sale, would be subject to additional restrictions, by</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32" w:name="page133"/>
    <w:bookmarkEnd w:id="132"/>
    <w:p>
      <w:pPr>
        <w:ind w:left="460" w:right="539"/>
        <w:spacing w:after="0" w:line="246" w:lineRule="auto"/>
        <w:rPr>
          <w:sz w:val="20"/>
          <w:szCs w:val="20"/>
          <w:color w:val="auto"/>
        </w:rPr>
      </w:pPr>
      <w:r>
        <w:rPr>
          <w:rFonts w:ascii="Arial" w:cs="Arial" w:eastAsia="Arial" w:hAnsi="Arial"/>
          <w:sz w:val="18"/>
          <w:szCs w:val="18"/>
          <w:color w:val="auto"/>
        </w:rPr>
        <w:t>which such person would be entitled to sell within any three-month period only a number of securities that does not exceed the greater of:</w:t>
      </w:r>
    </w:p>
    <w:p>
      <w:pPr>
        <w:spacing w:after="0" w:line="21" w:lineRule="exact"/>
        <w:rPr>
          <w:sz w:val="20"/>
          <w:szCs w:val="20"/>
          <w:color w:val="auto"/>
        </w:rPr>
      </w:pPr>
    </w:p>
    <w:p>
      <w:pPr>
        <w:ind w:left="1100" w:right="519" w:hanging="322"/>
        <w:spacing w:after="0"/>
        <w:tabs>
          <w:tab w:leader="none" w:pos="1089" w:val="left"/>
        </w:tabs>
        <w:numPr>
          <w:ilvl w:val="0"/>
          <w:numId w:val="68"/>
        </w:numPr>
        <w:rPr>
          <w:rFonts w:ascii="Arial" w:cs="Arial" w:eastAsia="Arial" w:hAnsi="Arial"/>
          <w:sz w:val="18"/>
          <w:szCs w:val="18"/>
          <w:color w:val="auto"/>
        </w:rPr>
      </w:pPr>
      <w:r>
        <w:rPr>
          <w:rFonts w:ascii="Arial" w:cs="Arial" w:eastAsia="Arial" w:hAnsi="Arial"/>
          <w:sz w:val="18"/>
          <w:szCs w:val="18"/>
          <w:color w:val="auto"/>
        </w:rPr>
        <w:t>1% of the total number of shares of Class A common stock then outstanding, which will equal 350,000 shares immediately after this offering (or 402,500 if the underwriters exercise in full their over-allotment option); or</w:t>
      </w:r>
    </w:p>
    <w:p>
      <w:pPr>
        <w:spacing w:after="0" w:line="27" w:lineRule="exact"/>
        <w:rPr>
          <w:rFonts w:ascii="Arial" w:cs="Arial" w:eastAsia="Arial" w:hAnsi="Arial"/>
          <w:sz w:val="18"/>
          <w:szCs w:val="18"/>
          <w:color w:val="auto"/>
        </w:rPr>
      </w:pPr>
    </w:p>
    <w:p>
      <w:pPr>
        <w:ind w:left="1100" w:right="839" w:hanging="322"/>
        <w:spacing w:after="0" w:line="246" w:lineRule="auto"/>
        <w:tabs>
          <w:tab w:leader="none" w:pos="1089"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average weekly reported trading volume of the Class A common stock during the four calendar weeks preceding the filing of a notice on Form 144 with respect to the sale.</w:t>
      </w:r>
    </w:p>
    <w:p>
      <w:pPr>
        <w:spacing w:after="0" w:line="116" w:lineRule="exact"/>
        <w:rPr>
          <w:sz w:val="20"/>
          <w:szCs w:val="20"/>
          <w:color w:val="auto"/>
        </w:rPr>
      </w:pPr>
    </w:p>
    <w:p>
      <w:pPr>
        <w:ind w:left="460" w:right="1099"/>
        <w:spacing w:after="0" w:line="246" w:lineRule="auto"/>
        <w:rPr>
          <w:sz w:val="20"/>
          <w:szCs w:val="20"/>
          <w:color w:val="auto"/>
        </w:rPr>
      </w:pPr>
      <w:r>
        <w:rPr>
          <w:rFonts w:ascii="Arial" w:cs="Arial" w:eastAsia="Arial" w:hAnsi="Arial"/>
          <w:sz w:val="18"/>
          <w:szCs w:val="18"/>
          <w:color w:val="auto"/>
        </w:rPr>
        <w:t>Sales by our affiliates under Rule 144 are also limited by manner of sale provisions and notice requirements and to the availability of current public information about us.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Restrictions on the Use of Rule 144 by Shell Companies or Former Shell Companies</w:t>
      </w:r>
    </w:p>
    <w:p>
      <w:pPr>
        <w:spacing w:after="0" w:line="166" w:lineRule="exact"/>
        <w:rPr>
          <w:sz w:val="20"/>
          <w:szCs w:val="20"/>
          <w:color w:val="auto"/>
        </w:rPr>
      </w:pPr>
    </w:p>
    <w:p>
      <w:pPr>
        <w:ind w:left="460" w:right="819"/>
        <w:spacing w:after="0" w:line="238" w:lineRule="auto"/>
        <w:rPr>
          <w:sz w:val="20"/>
          <w:szCs w:val="20"/>
          <w:color w:val="auto"/>
        </w:rPr>
      </w:pPr>
      <w:r>
        <w:rPr>
          <w:rFonts w:ascii="Arial" w:cs="Arial" w:eastAsia="Arial" w:hAnsi="Arial"/>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29" w:lineRule="exact"/>
        <w:rPr>
          <w:sz w:val="20"/>
          <w:szCs w:val="20"/>
          <w:color w:val="auto"/>
        </w:rPr>
      </w:pPr>
    </w:p>
    <w:p>
      <w:pPr>
        <w:ind w:left="1100" w:right="1079" w:hanging="322"/>
        <w:spacing w:after="0" w:line="246" w:lineRule="auto"/>
        <w:tabs>
          <w:tab w:leader="none" w:pos="1089"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issuer of the securities that was formerly a shell company has ceased to be a shell company;</w:t>
      </w:r>
    </w:p>
    <w:p>
      <w:pPr>
        <w:spacing w:after="0" w:line="7" w:lineRule="exact"/>
        <w:rPr>
          <w:rFonts w:ascii="Arial" w:cs="Arial" w:eastAsia="Arial" w:hAnsi="Arial"/>
          <w:sz w:val="18"/>
          <w:szCs w:val="18"/>
          <w:color w:val="auto"/>
        </w:rPr>
      </w:pPr>
    </w:p>
    <w:p>
      <w:pPr>
        <w:ind w:left="1100" w:right="699" w:hanging="322"/>
        <w:spacing w:after="0" w:line="246" w:lineRule="auto"/>
        <w:tabs>
          <w:tab w:leader="none" w:pos="1089"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21" w:lineRule="exact"/>
        <w:rPr>
          <w:rFonts w:ascii="Arial" w:cs="Arial" w:eastAsia="Arial" w:hAnsi="Arial"/>
          <w:sz w:val="18"/>
          <w:szCs w:val="18"/>
          <w:color w:val="auto"/>
        </w:rPr>
      </w:pPr>
    </w:p>
    <w:p>
      <w:pPr>
        <w:ind w:left="1100" w:right="479" w:hanging="322"/>
        <w:spacing w:after="0"/>
        <w:tabs>
          <w:tab w:leader="none" w:pos="1089"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27" w:lineRule="exact"/>
        <w:rPr>
          <w:rFonts w:ascii="Arial" w:cs="Arial" w:eastAsia="Arial" w:hAnsi="Arial"/>
          <w:sz w:val="18"/>
          <w:szCs w:val="18"/>
          <w:color w:val="auto"/>
        </w:rPr>
      </w:pPr>
    </w:p>
    <w:p>
      <w:pPr>
        <w:jc w:val="both"/>
        <w:ind w:left="1100" w:right="1199" w:hanging="322"/>
        <w:spacing w:after="0" w:line="274" w:lineRule="auto"/>
        <w:tabs>
          <w:tab w:leader="none" w:pos="1089" w:val="left"/>
        </w:tabs>
        <w:numPr>
          <w:ilvl w:val="0"/>
          <w:numId w:val="69"/>
        </w:numPr>
        <w:rPr>
          <w:rFonts w:ascii="Arial" w:cs="Arial" w:eastAsia="Arial" w:hAnsi="Arial"/>
          <w:sz w:val="17"/>
          <w:szCs w:val="17"/>
          <w:color w:val="auto"/>
        </w:rPr>
      </w:pPr>
      <w:r>
        <w:rPr>
          <w:rFonts w:ascii="Arial" w:cs="Arial" w:eastAsia="Arial" w:hAnsi="Arial"/>
          <w:sz w:val="17"/>
          <w:szCs w:val="17"/>
          <w:color w:val="auto"/>
        </w:rPr>
        <w:t>at least one year has elapsed from the time that the issuer filed current Form 10 type information with the SEC reflecting its status as an entity that is not a shell company.</w:t>
      </w:r>
    </w:p>
    <w:p>
      <w:pPr>
        <w:spacing w:after="0" w:line="94" w:lineRule="exact"/>
        <w:rPr>
          <w:sz w:val="20"/>
          <w:szCs w:val="20"/>
          <w:color w:val="auto"/>
        </w:rPr>
      </w:pPr>
    </w:p>
    <w:p>
      <w:pPr>
        <w:ind w:left="460" w:right="639"/>
        <w:spacing w:after="0"/>
        <w:rPr>
          <w:sz w:val="20"/>
          <w:szCs w:val="20"/>
          <w:color w:val="auto"/>
        </w:rPr>
      </w:pPr>
      <w:r>
        <w:rPr>
          <w:rFonts w:ascii="Arial" w:cs="Arial" w:eastAsia="Arial" w:hAnsi="Arial"/>
          <w:sz w:val="18"/>
          <w:szCs w:val="18"/>
          <w:color w:val="auto"/>
        </w:rPr>
        <w:t>As a result, our initial stockholders will be able to sell their founder shares and private placement warrants, as applicable, pursuant to Rule 144 without registration one year after we have completed our initial business combination.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Registration Rights</w:t>
      </w:r>
    </w:p>
    <w:p>
      <w:pPr>
        <w:spacing w:after="0" w:line="166"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The holders of the (i) founder shares, which were issued in a private placement prior to the closing of this offering, (ii) private placement warrants, which will be issued in a private placement simultaneously with the closing of this offering and the shares of Class A common stock underlying such private placement warrants, (iii) private placement warrants that may be issued upon conversion of working capital loans and (iv) any forward purchase shares that are issued in a private placement simultaneously with the closing of the initial business combination, will have registration rights to require us to register a sale of any of our securities held by them pursuant to a registration rights agreement to be signed prior to or on the effective date of this offering. Pursuant to the registration rights agreement and assuming the underwriters exercise their over-allotment option in full and $1.5 million of working capital loans are converted into private placement warrants, we will be obligated to register up to 32,762,500 shares of Class A common stock and 7,700,000 warrants. The number of shares of Class A common stock includes (i) 10,062,500 shares of Class A common stock to be issued upon conversion of the founder shares, (ii) 6,700,000 shares of Class A common stock underlying the private placement warrants, (iii) 1,000,000 shares of Class A common stock underlying the private placement warrants issued upon conversion of working capital loans and (iv) up to 15,000,000 forward purchase shares. The number of warrants includes 6,700,000 private placement warrants and 1,000,000 private placement warrants issued upon conversion of working capital loans. The holders of these securities are entitled to make up to three demands, excluding short form demands, that we register such securities. In addition, the holders have certain “piggy-back” registration rights with respect to registration statements filed subsequent to our completion of our initial business combination. We will bear the expenses incurred in connection with the filing of any such registration statements.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Listing of Securities</w:t>
      </w:r>
    </w:p>
    <w:p>
      <w:pPr>
        <w:spacing w:after="0" w:line="166" w:lineRule="exact"/>
        <w:rPr>
          <w:sz w:val="20"/>
          <w:szCs w:val="20"/>
          <w:color w:val="auto"/>
        </w:rPr>
      </w:pPr>
    </w:p>
    <w:p>
      <w:pPr>
        <w:ind w:left="460" w:right="539"/>
        <w:spacing w:after="0" w:line="238" w:lineRule="auto"/>
        <w:rPr>
          <w:sz w:val="20"/>
          <w:szCs w:val="20"/>
          <w:color w:val="auto"/>
        </w:rPr>
      </w:pPr>
      <w:r>
        <w:rPr>
          <w:rFonts w:ascii="Arial" w:cs="Arial" w:eastAsia="Arial" w:hAnsi="Arial"/>
          <w:sz w:val="18"/>
          <w:szCs w:val="18"/>
          <w:color w:val="auto"/>
        </w:rPr>
        <w:t>We intend to apply to have our units listed on Nasdaq under the symbol “CMLFU” commencing on or promptly after the date of this prospectus. We cannot guarantee that our securities will be approved for listing on Nasdaq. Once the securities comprising the units begin separate trading, we expect that the Class A common stock and warrants will be listed on Nasdaq under the symbols “CMLF” and “CMLFW,” respectively.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sectPr>
      </w:pPr>
    </w:p>
    <w:bookmarkStart w:id="133" w:name="page134"/>
    <w:bookmarkEnd w:id="133"/>
    <w:p>
      <w:pPr>
        <w:jc w:val="center"/>
        <w:ind w:right="19"/>
        <w:spacing w:after="0"/>
        <w:rPr>
          <w:sz w:val="20"/>
          <w:szCs w:val="20"/>
          <w:color w:val="auto"/>
        </w:rPr>
      </w:pPr>
      <w:r>
        <w:rPr>
          <w:rFonts w:ascii="Arial" w:cs="Arial" w:eastAsia="Arial" w:hAnsi="Arial"/>
          <w:sz w:val="18"/>
          <w:szCs w:val="18"/>
          <w:b w:val="1"/>
          <w:bCs w:val="1"/>
          <w:color w:val="auto"/>
        </w:rPr>
        <w:t>U.S. FEDERAL INCOME TAX CONSIDERATIONS</w:t>
      </w:r>
    </w:p>
    <w:p>
      <w:pPr>
        <w:spacing w:after="0" w:line="166"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The following is a discussion of certain material U.S. federal income tax consequences of the acquisition, ownership and disposition of our units, shares of Class A common stock and warrants, which we refer to collectively as our securities. Because the components of a unit are separable at the option of the holder, the holder of a unit generally should be treated, for U.S. federal income tax purposes, as the owner of the underlying Class A common stock and one-third of one redeemable warrant components of the unit, as the case may be. As a result, the discussion below with respect to actual holders of Class A common stock and warrants should also apply to holders of units (as the deemed owners of the underlying Class A common stock and warrants that comprise the units).</w:t>
      </w:r>
    </w:p>
    <w:p>
      <w:pPr>
        <w:spacing w:after="0" w:line="127" w:lineRule="exact"/>
        <w:rPr>
          <w:sz w:val="20"/>
          <w:szCs w:val="20"/>
          <w:color w:val="auto"/>
        </w:rPr>
      </w:pPr>
    </w:p>
    <w:p>
      <w:pPr>
        <w:ind w:left="460" w:right="519"/>
        <w:spacing w:after="0" w:line="237" w:lineRule="auto"/>
        <w:rPr>
          <w:sz w:val="20"/>
          <w:szCs w:val="20"/>
          <w:color w:val="auto"/>
        </w:rPr>
      </w:pPr>
      <w:r>
        <w:rPr>
          <w:rFonts w:ascii="Arial" w:cs="Arial" w:eastAsia="Arial" w:hAnsi="Arial"/>
          <w:sz w:val="18"/>
          <w:szCs w:val="18"/>
          <w:color w:val="auto"/>
        </w:rPr>
        <w:t>This discussion is limited to certain U.S. federal income tax considerations to beneficial owners of our securities who are initial purchasers of a unit pursuant to this offering and hold the unit and each component of the unit as a capital asset within the meaning of Section 1221 of the U.S. Internal Revenue Code of 1986, as amended (the “Code”). This discussion assumes that the Class A common stock and warrants will trade separately and that any distributions made (or deemed made) by us on our Class A common stock and any consideration received (or deemed received) by a holder in consideration for the sale or other disposition of our securities will be in U.S. dollars.</w:t>
      </w:r>
    </w:p>
    <w:p>
      <w:pPr>
        <w:spacing w:after="0" w:line="135" w:lineRule="exact"/>
        <w:rPr>
          <w:sz w:val="20"/>
          <w:szCs w:val="20"/>
          <w:color w:val="auto"/>
        </w:rPr>
      </w:pPr>
    </w:p>
    <w:p>
      <w:pPr>
        <w:ind w:left="460" w:right="579"/>
        <w:spacing w:after="0" w:line="237" w:lineRule="auto"/>
        <w:rPr>
          <w:sz w:val="20"/>
          <w:szCs w:val="20"/>
          <w:color w:val="auto"/>
        </w:rPr>
      </w:pPr>
      <w:r>
        <w:rPr>
          <w:rFonts w:ascii="Arial" w:cs="Arial" w:eastAsia="Arial" w:hAnsi="Arial"/>
          <w:sz w:val="18"/>
          <w:szCs w:val="18"/>
          <w:color w:val="auto"/>
        </w:rPr>
        <w:t>This summary is based upon U.S. federal income tax law as of the date of this prospectus, which is subject to change or differing interpretations, possibly with retroactive effect. This discussion is a summary only and does not describe all of the tax consequences that may be relevant to you in light of your particular circumstances, including but not limited to the alternative minimum tax, the Medicare tax on certain net investment income and the different consequences that may apply if you are subject to special rules that apply to certain types of investors, including but not limited to:</w:t>
      </w:r>
    </w:p>
    <w:p>
      <w:pPr>
        <w:spacing w:after="0" w:line="29" w:lineRule="exact"/>
        <w:rPr>
          <w:sz w:val="20"/>
          <w:szCs w:val="20"/>
          <w:color w:val="auto"/>
        </w:rPr>
      </w:pPr>
    </w:p>
    <w:p>
      <w:pPr>
        <w:ind w:left="1100" w:hanging="322"/>
        <w:spacing w:after="0"/>
        <w:tabs>
          <w:tab w:leader="none" w:pos="11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financial institutions or financial services entities;</w:t>
      </w:r>
    </w:p>
    <w:p>
      <w:pPr>
        <w:spacing w:after="0" w:line="22" w:lineRule="exact"/>
        <w:rPr>
          <w:rFonts w:ascii="Arial" w:cs="Arial" w:eastAsia="Arial" w:hAnsi="Arial"/>
          <w:sz w:val="18"/>
          <w:szCs w:val="18"/>
          <w:color w:val="auto"/>
        </w:rPr>
      </w:pPr>
    </w:p>
    <w:p>
      <w:pPr>
        <w:ind w:left="1100" w:hanging="322"/>
        <w:spacing w:after="0"/>
        <w:tabs>
          <w:tab w:leader="none" w:pos="11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governments or agencies or instrumentalities thereof;</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22" w:lineRule="exact"/>
        <w:rPr>
          <w:rFonts w:ascii="Arial" w:cs="Arial" w:eastAsia="Arial" w:hAnsi="Arial"/>
          <w:sz w:val="18"/>
          <w:szCs w:val="18"/>
          <w:color w:val="auto"/>
        </w:rPr>
      </w:pPr>
    </w:p>
    <w:p>
      <w:pPr>
        <w:ind w:left="1100" w:hanging="322"/>
        <w:spacing w:after="0"/>
        <w:tabs>
          <w:tab w:leader="none" w:pos="11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expatriates or former long-term residents of the U.S.;</w:t>
      </w:r>
    </w:p>
    <w:p>
      <w:pPr>
        <w:spacing w:after="0" w:line="36" w:lineRule="exact"/>
        <w:rPr>
          <w:rFonts w:ascii="Arial" w:cs="Arial" w:eastAsia="Arial" w:hAnsi="Arial"/>
          <w:sz w:val="18"/>
          <w:szCs w:val="18"/>
          <w:color w:val="auto"/>
        </w:rPr>
      </w:pPr>
    </w:p>
    <w:p>
      <w:pPr>
        <w:ind w:left="1100" w:right="939" w:hanging="322"/>
        <w:spacing w:after="0" w:line="246" w:lineRule="auto"/>
        <w:tabs>
          <w:tab w:leader="none" w:pos="1089" w:val="left"/>
        </w:tabs>
        <w:numPr>
          <w:ilvl w:val="0"/>
          <w:numId w:val="70"/>
        </w:numPr>
        <w:rPr>
          <w:rFonts w:ascii="Arial" w:cs="Arial" w:eastAsia="Arial" w:hAnsi="Arial"/>
          <w:sz w:val="18"/>
          <w:szCs w:val="18"/>
          <w:color w:val="auto"/>
        </w:rPr>
      </w:pPr>
      <w:r>
        <w:rPr>
          <w:rFonts w:ascii="Arial" w:cs="Arial" w:eastAsia="Arial" w:hAnsi="Arial"/>
          <w:sz w:val="18"/>
          <w:szCs w:val="18"/>
          <w:color w:val="auto"/>
        </w:rPr>
        <w:t>persons that actually or constructively own five percent or more (by vote or value) of our shares;</w:t>
      </w:r>
    </w:p>
    <w:p>
      <w:pPr>
        <w:spacing w:after="0" w:line="7" w:lineRule="exact"/>
        <w:rPr>
          <w:rFonts w:ascii="Arial" w:cs="Arial" w:eastAsia="Arial" w:hAnsi="Arial"/>
          <w:sz w:val="18"/>
          <w:szCs w:val="18"/>
          <w:color w:val="auto"/>
        </w:rPr>
      </w:pPr>
    </w:p>
    <w:p>
      <w:pPr>
        <w:ind w:left="1100" w:right="759" w:hanging="322"/>
        <w:spacing w:after="0" w:line="246" w:lineRule="auto"/>
        <w:tabs>
          <w:tab w:leader="none" w:pos="1089" w:val="left"/>
        </w:tabs>
        <w:numPr>
          <w:ilvl w:val="0"/>
          <w:numId w:val="70"/>
        </w:numPr>
        <w:rPr>
          <w:rFonts w:ascii="Arial" w:cs="Arial" w:eastAsia="Arial" w:hAnsi="Arial"/>
          <w:sz w:val="18"/>
          <w:szCs w:val="18"/>
          <w:color w:val="auto"/>
        </w:rPr>
      </w:pPr>
      <w:r>
        <w:rPr>
          <w:rFonts w:ascii="Arial" w:cs="Arial" w:eastAsia="Arial" w:hAnsi="Arial"/>
          <w:sz w:val="18"/>
          <w:szCs w:val="18"/>
          <w:color w:val="auto"/>
        </w:rPr>
        <w:t>persons that acquired our securities pursuant to an exercise of employee share options, in connection with employee share incentive plans or otherwise as compensation;</w:t>
      </w:r>
    </w:p>
    <w:p>
      <w:pPr>
        <w:spacing w:after="0" w:line="21" w:lineRule="exact"/>
        <w:rPr>
          <w:rFonts w:ascii="Arial" w:cs="Arial" w:eastAsia="Arial" w:hAnsi="Arial"/>
          <w:sz w:val="18"/>
          <w:szCs w:val="18"/>
          <w:color w:val="auto"/>
        </w:rPr>
      </w:pPr>
    </w:p>
    <w:p>
      <w:pPr>
        <w:ind w:left="1100" w:hanging="322"/>
        <w:spacing w:after="0"/>
        <w:tabs>
          <w:tab w:leader="none" w:pos="11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36" w:lineRule="exact"/>
        <w:rPr>
          <w:rFonts w:ascii="Arial" w:cs="Arial" w:eastAsia="Arial" w:hAnsi="Arial"/>
          <w:sz w:val="18"/>
          <w:szCs w:val="18"/>
          <w:color w:val="auto"/>
        </w:rPr>
      </w:pPr>
    </w:p>
    <w:p>
      <w:pPr>
        <w:ind w:left="1100" w:right="999" w:hanging="322"/>
        <w:spacing w:after="0" w:line="246" w:lineRule="auto"/>
        <w:tabs>
          <w:tab w:leader="none" w:pos="1089"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dealers or traders subject to a mark-to-market method of accounting with respect to the securities;</w:t>
      </w:r>
    </w:p>
    <w:p>
      <w:pPr>
        <w:spacing w:after="0" w:line="7" w:lineRule="exact"/>
        <w:rPr>
          <w:rFonts w:ascii="Arial" w:cs="Arial" w:eastAsia="Arial" w:hAnsi="Arial"/>
          <w:sz w:val="18"/>
          <w:szCs w:val="18"/>
          <w:color w:val="auto"/>
        </w:rPr>
      </w:pPr>
    </w:p>
    <w:p>
      <w:pPr>
        <w:ind w:left="1100" w:right="559" w:hanging="322"/>
        <w:spacing w:after="0" w:line="246" w:lineRule="auto"/>
        <w:tabs>
          <w:tab w:leader="none" w:pos="1089" w:val="left"/>
        </w:tabs>
        <w:numPr>
          <w:ilvl w:val="0"/>
          <w:numId w:val="70"/>
        </w:numPr>
        <w:rPr>
          <w:rFonts w:ascii="Arial" w:cs="Arial" w:eastAsia="Arial" w:hAnsi="Arial"/>
          <w:sz w:val="18"/>
          <w:szCs w:val="18"/>
          <w:color w:val="auto"/>
        </w:rPr>
      </w:pPr>
      <w:r>
        <w:rPr>
          <w:rFonts w:ascii="Arial" w:cs="Arial" w:eastAsia="Arial" w:hAnsi="Arial"/>
          <w:sz w:val="18"/>
          <w:szCs w:val="18"/>
          <w:color w:val="auto"/>
        </w:rPr>
        <w:t>persons holding the securities as part of a “straddle,” constructive sale, hedge, conversion or other integrated or similar transaction;</w:t>
      </w:r>
    </w:p>
    <w:p>
      <w:pPr>
        <w:spacing w:after="0" w:line="21" w:lineRule="exact"/>
        <w:rPr>
          <w:rFonts w:ascii="Arial" w:cs="Arial" w:eastAsia="Arial" w:hAnsi="Arial"/>
          <w:sz w:val="18"/>
          <w:szCs w:val="18"/>
          <w:color w:val="auto"/>
        </w:rPr>
      </w:pPr>
    </w:p>
    <w:p>
      <w:pPr>
        <w:ind w:left="1100" w:hanging="322"/>
        <w:spacing w:after="0"/>
        <w:tabs>
          <w:tab w:leader="none" w:pos="11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is not the U.S. dollar;</w:t>
      </w:r>
    </w:p>
    <w:p>
      <w:pPr>
        <w:spacing w:after="0" w:line="36" w:lineRule="exact"/>
        <w:rPr>
          <w:rFonts w:ascii="Arial" w:cs="Arial" w:eastAsia="Arial" w:hAnsi="Arial"/>
          <w:sz w:val="18"/>
          <w:szCs w:val="18"/>
          <w:color w:val="auto"/>
        </w:rPr>
      </w:pPr>
    </w:p>
    <w:p>
      <w:pPr>
        <w:ind w:left="1100" w:right="879" w:hanging="322"/>
        <w:spacing w:after="0" w:line="246" w:lineRule="auto"/>
        <w:tabs>
          <w:tab w:leader="none" w:pos="1089" w:val="left"/>
        </w:tabs>
        <w:numPr>
          <w:ilvl w:val="0"/>
          <w:numId w:val="70"/>
        </w:numPr>
        <w:rPr>
          <w:rFonts w:ascii="Arial" w:cs="Arial" w:eastAsia="Arial" w:hAnsi="Arial"/>
          <w:sz w:val="18"/>
          <w:szCs w:val="18"/>
          <w:color w:val="auto"/>
        </w:rPr>
      </w:pPr>
      <w:r>
        <w:rPr>
          <w:rFonts w:ascii="Arial" w:cs="Arial" w:eastAsia="Arial" w:hAnsi="Arial"/>
          <w:sz w:val="18"/>
          <w:szCs w:val="18"/>
          <w:color w:val="auto"/>
        </w:rPr>
        <w:t>partnerships or other pass-through entities for U.S. federal income tax purposes and any beneficial owners of such entities;</w:t>
      </w:r>
    </w:p>
    <w:p>
      <w:pPr>
        <w:spacing w:after="0" w:line="7" w:lineRule="exact"/>
        <w:rPr>
          <w:rFonts w:ascii="Arial" w:cs="Arial" w:eastAsia="Arial" w:hAnsi="Arial"/>
          <w:sz w:val="18"/>
          <w:szCs w:val="18"/>
          <w:color w:val="auto"/>
        </w:rPr>
      </w:pPr>
    </w:p>
    <w:p>
      <w:pPr>
        <w:ind w:left="1100" w:hanging="322"/>
        <w:spacing w:after="0"/>
        <w:tabs>
          <w:tab w:leader="none" w:pos="11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controlled foreign corporations; and.</w:t>
      </w:r>
    </w:p>
    <w:p>
      <w:pPr>
        <w:spacing w:after="0" w:line="22" w:lineRule="exact"/>
        <w:rPr>
          <w:rFonts w:ascii="Arial" w:cs="Arial" w:eastAsia="Arial" w:hAnsi="Arial"/>
          <w:sz w:val="18"/>
          <w:szCs w:val="18"/>
          <w:color w:val="auto"/>
        </w:rPr>
      </w:pPr>
    </w:p>
    <w:p>
      <w:pPr>
        <w:ind w:left="1100" w:hanging="322"/>
        <w:spacing w:after="0"/>
        <w:tabs>
          <w:tab w:leader="none" w:pos="11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131"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If a partnership (including an entity or arrangement treated as a partnership for U.S. federal income tax purposes) holds our securities, the tax treatment of a partner, member or other beneficial owner in such partnership will generally depend upon the status of the partner, member or other beneficial owner, the activities of the partnership and certain determinations made at the partner, member or other beneficial owner level. If you are a partner, member or other beneficial owner of a partnership holding our securities, you are urged to consult your tax advisor regarding the tax consequences of the acquisition, ownership and disposition of our securities.</w:t>
      </w:r>
    </w:p>
    <w:p>
      <w:pPr>
        <w:spacing w:after="0" w:line="108" w:lineRule="exact"/>
        <w:rPr>
          <w:sz w:val="20"/>
          <w:szCs w:val="20"/>
          <w:color w:val="auto"/>
        </w:rPr>
      </w:pPr>
    </w:p>
    <w:p>
      <w:pPr>
        <w:ind w:left="460" w:right="539"/>
        <w:spacing w:after="0" w:line="237" w:lineRule="auto"/>
        <w:rPr>
          <w:sz w:val="20"/>
          <w:szCs w:val="20"/>
          <w:color w:val="auto"/>
        </w:rPr>
      </w:pPr>
      <w:r>
        <w:rPr>
          <w:rFonts w:ascii="Arial" w:cs="Arial" w:eastAsia="Arial" w:hAnsi="Arial"/>
          <w:sz w:val="18"/>
          <w:szCs w:val="18"/>
          <w:color w:val="auto"/>
        </w:rPr>
        <w:t>This discussion is based on the U.S. Internal Revenue Code of 1986, as amended (the “Code”), and administrative pronouncements, judicial decisions and final, temporary and proposed Treasury regulations as of the date hereof, which are subject to change, possibly on a retroactive basis, and changes to any of which subsequent to the date of this prospectus may affect the tax consequences described herein. This discussion does not address any aspect of state, local or non-U.S. taxation, or any U.S. federal taxes other than income taxes (such as gift and estate taxes).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34" w:name="page135"/>
    <w:bookmarkEnd w:id="134"/>
    <w:p>
      <w:pPr>
        <w:ind w:left="460" w:right="579"/>
        <w:spacing w:after="0" w:line="237" w:lineRule="auto"/>
        <w:rPr>
          <w:sz w:val="20"/>
          <w:szCs w:val="20"/>
          <w:color w:val="auto"/>
        </w:rPr>
      </w:pPr>
      <w:r>
        <w:rPr>
          <w:rFonts w:ascii="Arial" w:cs="Arial" w:eastAsia="Arial" w:hAnsi="Arial"/>
          <w:sz w:val="18"/>
          <w:szCs w:val="18"/>
          <w:color w:val="auto"/>
        </w:rPr>
        <w:t>We have not sought, and do not expect to seek, a ruling from the U.S. Internal Revenue Service (the “IRS”)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tax advisor with respect to the application of U.S. federal tax laws to your particular situation, as well as any tax consequences arising under the laws of any state, local or foreign jurisdiction.</w:t>
      </w:r>
    </w:p>
    <w:p>
      <w:pPr>
        <w:spacing w:after="0" w:line="113" w:lineRule="exact"/>
        <w:rPr>
          <w:sz w:val="20"/>
          <w:szCs w:val="20"/>
          <w:color w:val="auto"/>
        </w:rPr>
      </w:pPr>
    </w:p>
    <w:p>
      <w:pPr>
        <w:ind w:left="460" w:right="679"/>
        <w:spacing w:after="0"/>
        <w:rPr>
          <w:sz w:val="20"/>
          <w:szCs w:val="20"/>
          <w:color w:val="auto"/>
        </w:rPr>
      </w:pPr>
      <w:r>
        <w:rPr>
          <w:rFonts w:ascii="Arial" w:cs="Arial" w:eastAsia="Arial" w:hAnsi="Arial"/>
          <w:sz w:val="18"/>
          <w:szCs w:val="18"/>
          <w:b w:val="1"/>
          <w:bCs w:val="1"/>
          <w:color w:val="auto"/>
        </w:rPr>
        <w:t>THIS DISCUSSION IS ONLY A SUMMARY OF CERTAIN U.S. FEDERAL INCOME TAX CONSIDERATIONS ASSOCIATED WITH THE ACQUISITION, OWNERSHIP AND DISPOSITION OF OUR SECURITIES. EACH PROSPECTIVE INVESTOR IN OUR SECURITIES IS URGED TO CONSULT ITS OWN TAX ADVISOR WITH RESPECT TO THE PARTICULAR TAX CONSEQUENCES TO SUCH INVESTOR OF THE ACQUISITION, OWNERSHIP AND DISPOSITION OF OUR SECURITIES, INCLUDING THE APPLICABILITY AND EFFECT OF ANY U.S. FEDERAL NON-INCOME, STATE, LOCAL, AND NON-U.S. TAX LAWS.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Personal Holding Company Status</w:t>
      </w:r>
    </w:p>
    <w:p>
      <w:pPr>
        <w:spacing w:after="0" w:line="166"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We could be subject to a second level of U.S. federal income tax on a portion of our income if we are determined to be a personal holding company, or PHC, for U.S. federal income tax purposes. A U.S. corporation generally will be classified as a PHC for U.S. federal income tax purposes in a given taxable year if (i) at any time during the last half of such taxable year, five or fewer individuals (without regard to their citizenship or residency and including as individuals for this purpose certain entities such as certain tax-exempt organizations, pension funds and charitable trusts) own or are deemed to own (pursuant to certain constructive ownership rules) more than 50% of the stock of the corporation by value and (ii) at least 60% of the corporation’s adjusted ordinary gross income, as determined for U.S. federal income tax purposes, for such taxable year consists of PHC income (which includes, among other things, dividends, interest, certain royalties, annuities and, under certain circumstances, rents).</w:t>
      </w:r>
    </w:p>
    <w:p>
      <w:pPr>
        <w:spacing w:after="0" w:line="124"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At least 60% of our adjusted ordinary gross income may consist of PHC income, depending on the date and size of our initial business combination. In addition, depending on the concentration of our stock in the hands of individuals, including the members of our sponsor and certain tax-exempt organizations, pension funds and charitable trusts, more than 50% of our stock may be owned or deemed owned (pursuant to the constructive ownership rules) by such persons during the last half of a taxable year. Thus, no assurance can be given that we will not be a PHC following this offering or in the future. If we are or were to become a PHC in a given taxable year, we would be subject to an additional PHC tax, currently imposed at a rate of 20%, on our undistributed PHC income, which generally includes our taxable income, subject to certain adjustments.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Allocation of Purchase Price and Characterization of a Unit</w:t>
      </w:r>
    </w:p>
    <w:p>
      <w:pPr>
        <w:spacing w:after="0" w:line="166"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No statutory, administrative or judicial authority directly addresses the treatment of a unit or any instrument similar to a unit for U.S. federal income tax purposes and, therefore, that treatment is not entirely clear. The acquisition of a unit should be treated for U.S. federal income tax purposes as the acquisition of one share of our Class A common stock and one-third of one warrant to acquire one share of our Class A common stock. For U.S. federal income tax purposes, each holder of a unit must allocate the purchase price paid by such holder for such unit between the one share of Class A common stock and the one-third of one warrant based on the relative fair market value of each at the time of issuance. Under U.S. federal income tax law, each investor must make his or her own determination of such value based on all the relevant facts and circumstances. Therefore, we strongly urge each investor to consult his or her tax advisor regarding the determination of value for these purposes. The price allocated to each share of Class A common stock and the one-third of one warrant should be the stockholder’s tax basis in such share or warrant, as the case may be. Any disposition of a unit should be treated for U.S. federal income tax purposes as a disposition of the share of Class A common stock and one-third of one warrant comprising the unit, and the amount realized on the disposition should be allocated between the share of Class A common stock and the one-third of one warrant based on their respective relative fair market values (as determined by each such unit holder based on all the relevant facts and circumstances) at the time of disposition. The separation of shares of Class A common stock and warrants comprising units and the combination of three thirds of warrants into a single warrant should not be a taxable event for U.S. federal income tax purposes.</w:t>
      </w:r>
    </w:p>
    <w:p>
      <w:pPr>
        <w:spacing w:after="0" w:line="145" w:lineRule="exact"/>
        <w:rPr>
          <w:sz w:val="20"/>
          <w:szCs w:val="20"/>
          <w:color w:val="auto"/>
        </w:rPr>
      </w:pPr>
    </w:p>
    <w:p>
      <w:pPr>
        <w:jc w:val="both"/>
        <w:ind w:left="460" w:right="679"/>
        <w:spacing w:after="0"/>
        <w:rPr>
          <w:sz w:val="20"/>
          <w:szCs w:val="20"/>
          <w:color w:val="auto"/>
        </w:rPr>
      </w:pPr>
      <w:r>
        <w:rPr>
          <w:rFonts w:ascii="Arial" w:cs="Arial" w:eastAsia="Arial" w:hAnsi="Arial"/>
          <w:sz w:val="18"/>
          <w:szCs w:val="18"/>
          <w:color w:val="auto"/>
        </w:rPr>
        <w:t>The foregoing treatment of the units, shares of Class A common stock and warrants and a holder’s purchase price allocation are not binding on the IRS or the courts. Because there are no authorities that directly address</w:t>
      </w:r>
    </w:p>
    <w:p>
      <w:pPr>
        <w:sectPr>
          <w:pgSz w:w="11900" w:h="16838" w:orient="portrait"/>
          <w:cols w:equalWidth="0" w:num="1">
            <w:col w:w="9019"/>
          </w:cols>
          <w:pgMar w:left="1440" w:top="260"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type w:val="continuous"/>
        </w:sectPr>
      </w:pPr>
    </w:p>
    <w:bookmarkStart w:id="135" w:name="page136"/>
    <w:bookmarkEnd w:id="135"/>
    <w:p>
      <w:pPr>
        <w:ind w:left="460" w:right="639"/>
        <w:spacing w:after="0" w:line="237" w:lineRule="auto"/>
        <w:rPr>
          <w:sz w:val="20"/>
          <w:szCs w:val="20"/>
          <w:color w:val="auto"/>
        </w:rPr>
      </w:pPr>
      <w:r>
        <w:rPr>
          <w:rFonts w:ascii="Arial" w:cs="Arial" w:eastAsia="Arial" w:hAnsi="Arial"/>
          <w:sz w:val="18"/>
          <w:szCs w:val="18"/>
          <w:color w:val="auto"/>
        </w:rPr>
        <w:t>instruments that are similar to the units, no assurance can be given that the IRS or the courts will agree with the characterization described above or the discussion below. Accordingly, each prospective investor is urged to consult its own tax advisors regarding the tax consequences of an investment in a unit (including alternative characterizations of a unit). The balance of this discussion assumes that the characterization of the units described above will be respected for U.S. federal income tax purposes.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U.S. Holders</w:t>
      </w:r>
    </w:p>
    <w:p>
      <w:pPr>
        <w:spacing w:after="0" w:line="153" w:lineRule="exact"/>
        <w:rPr>
          <w:sz w:val="20"/>
          <w:szCs w:val="20"/>
          <w:color w:val="auto"/>
        </w:rPr>
      </w:pPr>
    </w:p>
    <w:p>
      <w:pPr>
        <w:ind w:left="460" w:right="599"/>
        <w:spacing w:after="0" w:line="273" w:lineRule="auto"/>
        <w:rPr>
          <w:sz w:val="20"/>
          <w:szCs w:val="20"/>
          <w:color w:val="auto"/>
        </w:rPr>
      </w:pPr>
      <w:r>
        <w:rPr>
          <w:rFonts w:ascii="Arial" w:cs="Arial" w:eastAsia="Arial" w:hAnsi="Arial"/>
          <w:sz w:val="17"/>
          <w:szCs w:val="17"/>
          <w:color w:val="auto"/>
        </w:rPr>
        <w:t>This section applies to you if you are a “U.S. holder.” A U.S. holder is a beneficial owner of our units, shares of Class A common stock or warrants who or that is, for U.S. federal income tax purposes:</w:t>
      </w:r>
    </w:p>
    <w:p>
      <w:pPr>
        <w:spacing w:after="0" w:line="1" w:lineRule="exact"/>
        <w:rPr>
          <w:sz w:val="20"/>
          <w:szCs w:val="20"/>
          <w:color w:val="auto"/>
        </w:rPr>
      </w:pPr>
    </w:p>
    <w:p>
      <w:pPr>
        <w:ind w:left="1100" w:hanging="322"/>
        <w:spacing w:after="0"/>
        <w:tabs>
          <w:tab w:leader="none" w:pos="11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36" w:lineRule="exact"/>
        <w:rPr>
          <w:rFonts w:ascii="Arial" w:cs="Arial" w:eastAsia="Arial" w:hAnsi="Arial"/>
          <w:sz w:val="18"/>
          <w:szCs w:val="18"/>
          <w:color w:val="auto"/>
        </w:rPr>
      </w:pPr>
    </w:p>
    <w:p>
      <w:pPr>
        <w:ind w:left="1100" w:right="679" w:hanging="322"/>
        <w:spacing w:after="0" w:line="246" w:lineRule="auto"/>
        <w:tabs>
          <w:tab w:leader="none" w:pos="1089"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organized in or under the laws of the United States, any state thereof or the District of Columbia;</w:t>
      </w:r>
    </w:p>
    <w:p>
      <w:pPr>
        <w:spacing w:after="0" w:line="7" w:lineRule="exact"/>
        <w:rPr>
          <w:rFonts w:ascii="Arial" w:cs="Arial" w:eastAsia="Arial" w:hAnsi="Arial"/>
          <w:sz w:val="18"/>
          <w:szCs w:val="18"/>
          <w:color w:val="auto"/>
        </w:rPr>
      </w:pPr>
    </w:p>
    <w:p>
      <w:pPr>
        <w:ind w:left="1100" w:right="1079" w:hanging="322"/>
        <w:spacing w:after="0" w:line="246" w:lineRule="auto"/>
        <w:tabs>
          <w:tab w:leader="none" w:pos="1089"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21" w:lineRule="exact"/>
        <w:rPr>
          <w:rFonts w:ascii="Arial" w:cs="Arial" w:eastAsia="Arial" w:hAnsi="Arial"/>
          <w:sz w:val="18"/>
          <w:szCs w:val="18"/>
          <w:color w:val="auto"/>
        </w:rPr>
      </w:pPr>
    </w:p>
    <w:p>
      <w:pPr>
        <w:jc w:val="both"/>
        <w:ind w:left="1100" w:right="679" w:hanging="322"/>
        <w:spacing w:after="0" w:line="238" w:lineRule="auto"/>
        <w:tabs>
          <w:tab w:leader="none" w:pos="1089"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trust, if (i) a court within the United States is able to exercise primary supervision over the administration of the trust and one or more United States persons (as defined in the Code) have authority to control all substantial decisions of the trust or (ii) it has a valid election in effect under Treasury Regulations to be treated as a U.S. person.</w:t>
      </w:r>
    </w:p>
    <w:p>
      <w:pPr>
        <w:spacing w:after="0" w:line="119" w:lineRule="exact"/>
        <w:rPr>
          <w:sz w:val="20"/>
          <w:szCs w:val="20"/>
          <w:color w:val="auto"/>
        </w:rPr>
      </w:pPr>
    </w:p>
    <w:p>
      <w:pPr>
        <w:ind w:left="460" w:right="499"/>
        <w:spacing w:after="0" w:line="238" w:lineRule="auto"/>
        <w:rPr>
          <w:sz w:val="20"/>
          <w:szCs w:val="20"/>
          <w:color w:val="auto"/>
        </w:rPr>
      </w:pPr>
      <w:r>
        <w:rPr>
          <w:rFonts w:ascii="Arial" w:cs="Arial" w:eastAsia="Arial" w:hAnsi="Arial"/>
          <w:sz w:val="18"/>
          <w:szCs w:val="18"/>
          <w:i w:val="1"/>
          <w:iCs w:val="1"/>
          <w:color w:val="auto"/>
        </w:rPr>
        <w:t xml:space="preserve">Taxation of Distributions. </w:t>
      </w:r>
      <w:r>
        <w:rPr>
          <w:rFonts w:ascii="Arial" w:cs="Arial" w:eastAsia="Arial" w:hAnsi="Arial"/>
          <w:sz w:val="18"/>
          <w:szCs w:val="18"/>
          <w:color w:val="auto"/>
        </w:rPr>
        <w:t>If we pay distributions in cash or other property (other than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distributions of our stock or rights to acquire our stock) to U.S. holders of shares of our Class A common stock, such distributions generally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our Class A common stock. Any remaining excess will be treated as gain realized on the sale or other disposition of the Class A common stock and will be treated as described under “U.S. Holders — Gain or Loss on Sale, Taxable Exchange or Other Taxable Disposition of Class A Common Stock and Warrants” below.</w:t>
      </w:r>
    </w:p>
    <w:p>
      <w:pPr>
        <w:spacing w:after="0" w:line="125" w:lineRule="exact"/>
        <w:rPr>
          <w:sz w:val="20"/>
          <w:szCs w:val="20"/>
          <w:color w:val="auto"/>
        </w:rPr>
      </w:pPr>
    </w:p>
    <w:p>
      <w:pPr>
        <w:ind w:left="460" w:right="559"/>
        <w:spacing w:after="0" w:line="236" w:lineRule="auto"/>
        <w:rPr>
          <w:sz w:val="20"/>
          <w:szCs w:val="20"/>
          <w:color w:val="auto"/>
        </w:rPr>
      </w:pPr>
      <w:r>
        <w:rPr>
          <w:rFonts w:ascii="Arial" w:cs="Arial" w:eastAsia="Arial" w:hAnsi="Arial"/>
          <w:sz w:val="18"/>
          <w:szCs w:val="18"/>
          <w:color w:val="auto"/>
        </w:rPr>
        <w:t>Dividends we pay to a U.S. holder that is a taxable corporation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we pay to a non-corporate U.S. holder may constitute “qualified dividend income” that will be subject to tax at the maximum tax rate accorded to long-term capital gains. It is unclear whether the redemption rights with respect to the Class A common stock described in this prospectus may prevent a U.S. holder from satisfying the applicable holding period requirements with respect to the dividends received deduction or the preferential tax rate on qualified dividend income, as the case may be. If the holding period requirements are not satisfied, then a corporation may not be able to qualify for the dividends received deduction and would have taxable income equal to the entire dividend amount, and non-corporate U.S. holders may be subject to tax on such dividend at regular ordinary income tax rates instead of the preferential rate that applies to qualified dividend income.</w:t>
      </w:r>
    </w:p>
    <w:p>
      <w:pPr>
        <w:spacing w:after="0" w:line="117" w:lineRule="exact"/>
        <w:rPr>
          <w:sz w:val="20"/>
          <w:szCs w:val="20"/>
          <w:color w:val="auto"/>
        </w:rPr>
      </w:pPr>
    </w:p>
    <w:p>
      <w:pPr>
        <w:ind w:left="460" w:right="479"/>
        <w:spacing w:after="0" w:line="250" w:lineRule="auto"/>
        <w:rPr>
          <w:sz w:val="20"/>
          <w:szCs w:val="20"/>
          <w:color w:val="auto"/>
        </w:rPr>
      </w:pPr>
      <w:r>
        <w:rPr>
          <w:rFonts w:ascii="Arial" w:cs="Arial" w:eastAsia="Arial" w:hAnsi="Arial"/>
          <w:sz w:val="17"/>
          <w:szCs w:val="17"/>
          <w:i w:val="1"/>
          <w:iCs w:val="1"/>
          <w:color w:val="auto"/>
        </w:rPr>
        <w:t xml:space="preserve">Gain or Loss on Sale, Taxable Exchange or Other Taxable Disposition of Class A Common Stock and Warrants. </w:t>
      </w:r>
      <w:r>
        <w:rPr>
          <w:rFonts w:ascii="Arial" w:cs="Arial" w:eastAsia="Arial" w:hAnsi="Arial"/>
          <w:sz w:val="17"/>
          <w:szCs w:val="17"/>
          <w:color w:val="auto"/>
        </w:rPr>
        <w:t>Upon a sale or other taxable disposition of our Class A common stock or warrants (which,</w:t>
      </w:r>
      <w:r>
        <w:rPr>
          <w:rFonts w:ascii="Arial" w:cs="Arial" w:eastAsia="Arial" w:hAnsi="Arial"/>
          <w:sz w:val="17"/>
          <w:szCs w:val="17"/>
          <w:i w:val="1"/>
          <w:iCs w:val="1"/>
          <w:color w:val="auto"/>
        </w:rPr>
        <w:t xml:space="preserve"> </w:t>
      </w:r>
      <w:r>
        <w:rPr>
          <w:rFonts w:ascii="Arial" w:cs="Arial" w:eastAsia="Arial" w:hAnsi="Arial"/>
          <w:sz w:val="17"/>
          <w:szCs w:val="17"/>
          <w:color w:val="auto"/>
        </w:rPr>
        <w:t>in general, would include a redemption of Class A common stock or warrants that is treated as a sale of such securities as described below, including as a result of a dissolution and liquidation in the event we do not consummate an initial business combination within the required time period), a U.S. holder generally will recognize capital gain or loss in an amount equal to the difference between the amount realized and the U.S. holder’s adjusted tax basis in the Class A common stock or warrants. Any such capital gain or loss generally will be long-term capital gain or loss if the U.S. holder’s holding period for the Class A common stock or warrants so disposed of exceeds one year. It is unclear, however, whether the redemption rights with respect to the Class A common stock described in this prospectus may suspend the running of the applicable holding period for this purpose. If the running of the holding period for the Class A common stock is suspended, then non-corporate</w:t>
      </w:r>
    </w:p>
    <w:p>
      <w:pPr>
        <w:spacing w:after="0" w:line="5" w:lineRule="exact"/>
        <w:rPr>
          <w:sz w:val="20"/>
          <w:szCs w:val="20"/>
          <w:color w:val="auto"/>
        </w:rPr>
      </w:pPr>
    </w:p>
    <w:p>
      <w:pPr>
        <w:ind w:left="460" w:right="499"/>
        <w:spacing w:after="0" w:line="238" w:lineRule="auto"/>
        <w:rPr>
          <w:sz w:val="20"/>
          <w:szCs w:val="20"/>
          <w:color w:val="auto"/>
        </w:rPr>
      </w:pPr>
      <w:r>
        <w:rPr>
          <w:rFonts w:ascii="Arial" w:cs="Arial" w:eastAsia="Arial" w:hAnsi="Arial"/>
          <w:sz w:val="18"/>
          <w:szCs w:val="18"/>
          <w:color w:val="auto"/>
        </w:rPr>
        <w:t>U.S. holders may not be able to satisfy the one-year holding period requirement for long-term capital gain treatment, in which case any gain on a sale or taxable disposition of the shares would be subject to short-term capital gain treatment and would be taxed at regular ordinary income tax rates. Long-term capital gains recognized by non-corporate U.S. holders may be eligible to be taxed at reduced rates. The deductibility of capital losses is subject to limitations.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36" w:name="page137"/>
    <w:bookmarkEnd w:id="136"/>
    <w:p>
      <w:pPr>
        <w:ind w:left="460" w:right="479"/>
        <w:spacing w:after="0" w:line="236" w:lineRule="auto"/>
        <w:rPr>
          <w:sz w:val="20"/>
          <w:szCs w:val="20"/>
          <w:color w:val="auto"/>
        </w:rPr>
      </w:pPr>
      <w:r>
        <w:rPr>
          <w:rFonts w:ascii="Arial" w:cs="Arial" w:eastAsia="Arial" w:hAnsi="Arial"/>
          <w:sz w:val="18"/>
          <w:szCs w:val="18"/>
          <w:color w:val="auto"/>
        </w:rPr>
        <w:t>Generally, the amount of gain or loss recognized by a U.S. holder is an amount equal to the difference between (i) the sum of the amount of cash and the fair market value of any property received in such disposition (or, if the Class A common stock or warrants are held as part of units at the time of the disposition, the portion of the amount realized on such disposition that is allocated to the Class A common stock or the warrants based upon the then relative fair market values of the Class A common stock and the warrants included in the units) and (ii) the U.S. holder’s adjusted tax basis in its Class A common stock or warrants so disposed of. A U.S. holder’s adjusted tax basis in its Class A common stock or warrants generally will equal the U.S. holder’s acquisition cost (that is, as discussed above, the portion of the purchase price of a unit allocated to a share of Class A common stock or one-third of one warrant or, as discussed below, the U.S. holder’s initial basis for Class A common stock received upon exercise of warrants) less, in the case of a share of Class A common stock, any prior distributions treated as a return of capital.</w:t>
      </w:r>
    </w:p>
    <w:p>
      <w:pPr>
        <w:spacing w:after="0" w:line="105"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i w:val="1"/>
          <w:iCs w:val="1"/>
          <w:color w:val="auto"/>
        </w:rPr>
        <w:t xml:space="preserve">Redemption of Class A Common Stock. </w:t>
      </w:r>
      <w:r>
        <w:rPr>
          <w:rFonts w:ascii="Arial" w:cs="Arial" w:eastAsia="Arial" w:hAnsi="Arial"/>
          <w:sz w:val="18"/>
          <w:szCs w:val="18"/>
          <w:color w:val="auto"/>
        </w:rPr>
        <w:t>In the event that a U.S. holder’s Class A common stock is</w:t>
      </w:r>
      <w:r>
        <w:rPr>
          <w:rFonts w:ascii="Arial" w:cs="Arial" w:eastAsia="Arial" w:hAnsi="Arial"/>
          <w:sz w:val="18"/>
          <w:szCs w:val="18"/>
          <w:i w:val="1"/>
          <w:iCs w:val="1"/>
          <w:color w:val="auto"/>
        </w:rPr>
        <w:t xml:space="preserve"> </w:t>
      </w:r>
      <w:r>
        <w:rPr>
          <w:rFonts w:ascii="Arial" w:cs="Arial" w:eastAsia="Arial" w:hAnsi="Arial"/>
          <w:sz w:val="18"/>
          <w:szCs w:val="18"/>
          <w:color w:val="auto"/>
        </w:rPr>
        <w:t>redeemed pursuant to the redemption provisions described in this prospectus under the section of this prospectus entitled “Description of Securities — Common Stock” or if we purchase a U.S. holder’s Class A common stock in an open market transaction (such open market transaction referred to as a “redemption” for the remainder of this discussion), the treatment of the transaction for U.S. federal income tax purposes will depend on whether the redemption qualifies as a sale of Class A common stock under Section 302 of the Code. If the redemption qualifies as a sale of Class A common stock, the U.S. holder will be treated as described under “U.S. Holders — Gain or Loss on Sale, Taxable Exchange or Other Taxable Disposition of Class A Common Stock and Warrants” above. If the redemption does not qualify as a sale of Class A common stock, the U.S. holder will be treated as receiving a corporate distribution with the tax consequences described above under “U.S. Holders — Taxation of Distributions.” Whether a redemption qualifies for sale treatment will depend largely on the total number of shares of our stock treated as held by the U.S. holder (including any stock constructively owned by the U.S. holder as a result of owning warrants) relative to all of our shares outstanding both before and after the redemption. The redemption of Class A common stock generally will be treated as a sale of the Class A common stock (rather than as a corporate distribution) if the redemption (i) is “substantially disproportionate” with respect to the U.S. holder,</w:t>
      </w:r>
    </w:p>
    <w:p>
      <w:pPr>
        <w:ind w:left="460" w:right="619" w:hanging="6"/>
        <w:spacing w:after="0" w:line="274" w:lineRule="auto"/>
        <w:tabs>
          <w:tab w:leader="none" w:pos="710" w:val="left"/>
        </w:tabs>
        <w:numPr>
          <w:ilvl w:val="0"/>
          <w:numId w:val="72"/>
        </w:numPr>
        <w:rPr>
          <w:rFonts w:ascii="Arial" w:cs="Arial" w:eastAsia="Arial" w:hAnsi="Arial"/>
          <w:sz w:val="17"/>
          <w:szCs w:val="17"/>
          <w:color w:val="auto"/>
        </w:rPr>
      </w:pPr>
      <w:r>
        <w:rPr>
          <w:rFonts w:ascii="Arial" w:cs="Arial" w:eastAsia="Arial" w:hAnsi="Arial"/>
          <w:sz w:val="17"/>
          <w:szCs w:val="17"/>
          <w:color w:val="auto"/>
        </w:rPr>
        <w:t>results in a “complete termination” of the U.S. holder’s interest in us or (iii) is “not essentially equivalent to a dividend” with respect to the U.S. holder. These tests are explained more fully below.</w:t>
      </w:r>
    </w:p>
    <w:p>
      <w:pPr>
        <w:spacing w:after="0" w:line="107" w:lineRule="exact"/>
        <w:rPr>
          <w:sz w:val="20"/>
          <w:szCs w:val="20"/>
          <w:color w:val="auto"/>
        </w:rPr>
      </w:pPr>
    </w:p>
    <w:p>
      <w:pPr>
        <w:ind w:left="460" w:right="519"/>
        <w:spacing w:after="0" w:line="235" w:lineRule="auto"/>
        <w:rPr>
          <w:sz w:val="20"/>
          <w:szCs w:val="20"/>
          <w:color w:val="auto"/>
        </w:rPr>
      </w:pPr>
      <w:r>
        <w:rPr>
          <w:rFonts w:ascii="Arial" w:cs="Arial" w:eastAsia="Arial" w:hAnsi="Arial"/>
          <w:sz w:val="18"/>
          <w:szCs w:val="18"/>
          <w:color w:val="auto"/>
        </w:rPr>
        <w:t>In determining whether any of the foregoing tests are satisfied, a U.S. holder takes into account not only stock actually owned by the U.S. holder, but also shares of our stock that are constructively owned by it. A U.S. holder may constructively own, in addition to stock owned directly, stock owned by certain related individuals and entities in which the U.S. holder has an interest or that have an interest in such U.S. holder, as well as any stock the U.S. holder has a right to acquire by exercise of an option, which would generally include Class A common stock which could be acquired pursuant to the exercise of the warrants. In order to meet the substantially disproportionate test, the percentage of our outstanding voting stock actually and constructively owned by the U.S. holder immediately following the redemption of Class A common stock must, among other requirements, be less than 80% of the percentage of our outstanding voting stock actually and constructively owned by the U.S. holder immediately before the redemption. There will be a complete termination of a U.S. holder’s interest if either (i) all of the shares of our stock actually and constructively owned by the U.S. holder are redeemed or (ii) all of the shares of our stock actually owned by the U.S. holder are redeemed and the U.S. holder is eligible to waive, and effectively waives in accordance with specific rules, the attribution of stock owned by certain family members and the U.S. holder does not constructively own any other shares of our stock (including any stock constructively owned by the U.S. holder as a result of owning warrants). The redemption of the Class A common stock will not be essentially equivalent to a dividend if a U.S. holder’s redemption results in a “meaningful reduction” of the U.S. holder’s proportionate interest in us. Whether the redemption will result in a meaningful reduction in a U.S. holder’s proportionate interest in us will depend on the particular facts and circumstances. However, the IRS has indicated in a published ruling that even a small reduction in the proportionate interest of a small minority stockholder in a publicly held corporation who exercises no control over corporate affairs may constitute such a “meaningful reduction.” A U.S. holder should consult with its own tax advisors as to the tax consequences of a redemption.</w:t>
      </w:r>
    </w:p>
    <w:p>
      <w:pPr>
        <w:spacing w:after="0" w:line="144" w:lineRule="exact"/>
        <w:rPr>
          <w:sz w:val="20"/>
          <w:szCs w:val="20"/>
          <w:color w:val="auto"/>
        </w:rPr>
      </w:pPr>
    </w:p>
    <w:p>
      <w:pPr>
        <w:ind w:left="460" w:right="559"/>
        <w:spacing w:after="0" w:line="237" w:lineRule="auto"/>
        <w:rPr>
          <w:sz w:val="20"/>
          <w:szCs w:val="20"/>
          <w:color w:val="auto"/>
        </w:rPr>
      </w:pPr>
      <w:r>
        <w:rPr>
          <w:rFonts w:ascii="Arial" w:cs="Arial" w:eastAsia="Arial" w:hAnsi="Arial"/>
          <w:sz w:val="18"/>
          <w:szCs w:val="18"/>
          <w:color w:val="auto"/>
        </w:rPr>
        <w:t>If none of the foregoing tests is satisfied, then the redemption will be treated as a corporate distribution and the tax effects will be as described under “U.S. Holders — Taxation of Distributions,” above. After the application of those rules, any remaining tax basis of the U.S. holder in the redeemed Class A common stock will be added to the U.S. holder’s adjusted tax basis in its remaining stock, or, if it has none, to the U.S. holder’s adjusted tax basis in its warrants or possibly in other stock constructively owned by it.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37" w:name="page138"/>
    <w:bookmarkEnd w:id="137"/>
    <w:p>
      <w:pPr>
        <w:ind w:left="460" w:right="459"/>
        <w:spacing w:after="0" w:line="238" w:lineRule="auto"/>
        <w:rPr>
          <w:sz w:val="20"/>
          <w:szCs w:val="20"/>
          <w:color w:val="auto"/>
        </w:rPr>
      </w:pPr>
      <w:r>
        <w:rPr>
          <w:rFonts w:ascii="Arial" w:cs="Arial" w:eastAsia="Arial" w:hAnsi="Arial"/>
          <w:sz w:val="18"/>
          <w:szCs w:val="18"/>
          <w:i w:val="1"/>
          <w:iCs w:val="1"/>
          <w:color w:val="auto"/>
        </w:rPr>
        <w:t xml:space="preserve">Exercise, Lapse or Redemption of a Warrant. </w:t>
      </w:r>
      <w:r>
        <w:rPr>
          <w:rFonts w:ascii="Arial" w:cs="Arial" w:eastAsia="Arial" w:hAnsi="Arial"/>
          <w:sz w:val="18"/>
          <w:szCs w:val="18"/>
          <w:color w:val="auto"/>
        </w:rPr>
        <w:t>A U.S. holder generally will not recognize taxable gain</w:t>
      </w:r>
      <w:r>
        <w:rPr>
          <w:rFonts w:ascii="Arial" w:cs="Arial" w:eastAsia="Arial" w:hAnsi="Arial"/>
          <w:sz w:val="18"/>
          <w:szCs w:val="18"/>
          <w:i w:val="1"/>
          <w:iCs w:val="1"/>
          <w:color w:val="auto"/>
        </w:rPr>
        <w:t xml:space="preserve"> </w:t>
      </w:r>
      <w:r>
        <w:rPr>
          <w:rFonts w:ascii="Arial" w:cs="Arial" w:eastAsia="Arial" w:hAnsi="Arial"/>
          <w:sz w:val="18"/>
          <w:szCs w:val="18"/>
          <w:color w:val="auto"/>
        </w:rPr>
        <w:t>or loss on the acquisition of our Class A common stock upon exercise of a warrant for cash. The U.S. holder’s tax basis in the share of our Class A common stock received upon exercise of the warrant generally will be an amount equal to the sum of the U.S. holder’s initial investment in the warrant (i.e., the portion of the U.S. holder’s purchase price for units that is allocated to the warrant, as described above under “— Allocation of Purchase Price and Characterization of a Unit”) and the exercise price. It is unclear whether the U.S. holder’s holding period for the Class A common stock received upon exercise of the warrants will begin on the date following the date of exercise or on the date of exercise of the warrants; in either case, the holding period will not include the period during which the U.S. holder held the warrants. If a warrant is allowed to lapse unexercised, a U.S. holder generally will recognize a capital loss equal to such holder’s tax basis in the warrant.</w:t>
      </w:r>
    </w:p>
    <w:p>
      <w:pPr>
        <w:spacing w:after="0" w:line="123"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The tax consequences of a cashless exercise of a warrant are not clear under current tax law. A cashless exercise may be tax-free, either because the exercise is not a realization event or because the exercise is treated as a recapitalization for U.S. federal income tax purposes. In either tax-free situation, a U.S. holder’s basis in the Class A common stock received would equal the holder’s basis in the warrants exercised therefor. If the cashless exercise were treated as not being a realization event, it is unclear whether a U.S. holder’s holding period in the Class A common stock would be treated as commencing on the date following the date of exercise or on the date of exercise of the warrant; in either case, the holding period would not include the period during which the U.S. holder held the warrants. If the cashless exercise were treated as a recapitalization, the holding period of the Class A common stock would include the holding period of the warrants exercised therefor.</w:t>
      </w:r>
    </w:p>
    <w:p>
      <w:pPr>
        <w:spacing w:after="0" w:line="138"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It is also possible that a cashless exercise could be treated as a taxable exchange in which gain or loss would be recognized. In such event, a U.S. holder could be deemed to have surrendered a number of warrants equal to the number of shares of Class A common stock having a value equal to the exercise price for the total number of warrants to be exercised. The U.S. holder would recognize capital gain or loss in an amount equal to the difference between the fair market value of the Class A common stock received in respect of the warrants deemed surrendered and the U.S. holder’s tax basis in the warrants deemed surrendered. In this case, a U.S. holder’s aggregate tax basis in the Class A common stock received would equal the sum of the fair market value of the Class A common stock received in respect of the warrants deemed surrendered and the U.S. holder’s tax basis in the warrants exercised. It is unclear whether a U.S. holder’s holding period for the Class A common stock would commence on the date following the date of exercise or on the date of exercise of the warrant; in either case, the holding period would not include the period during which the U.S. holder held the warrant.</w:t>
      </w:r>
    </w:p>
    <w:p>
      <w:pPr>
        <w:spacing w:after="0" w:line="135" w:lineRule="exact"/>
        <w:rPr>
          <w:sz w:val="20"/>
          <w:szCs w:val="20"/>
          <w:color w:val="auto"/>
        </w:rPr>
      </w:pPr>
    </w:p>
    <w:p>
      <w:pPr>
        <w:ind w:left="460" w:right="599"/>
        <w:spacing w:after="0" w:line="237" w:lineRule="auto"/>
        <w:rPr>
          <w:sz w:val="20"/>
          <w:szCs w:val="20"/>
          <w:color w:val="auto"/>
        </w:rPr>
      </w:pPr>
      <w:r>
        <w:rPr>
          <w:rFonts w:ascii="Arial" w:cs="Arial" w:eastAsia="Arial" w:hAnsi="Arial"/>
          <w:sz w:val="18"/>
          <w:szCs w:val="18"/>
          <w:color w:val="auto"/>
        </w:rPr>
        <w:t>Due to the absence of authority on the U.S. federal income tax treatment of a cashless exercise, including when a U.S. holder’s holding period would commence with respect to the Class A common stock received, there can be no assurance regarding which, if any, of the alternative tax consequences and holding periods described above would be adopted by the IRS or a court of law. Accordingly, U.S. holders should consult their tax advisors regarding the tax consequences of a cashless exercise.</w:t>
      </w:r>
    </w:p>
    <w:p>
      <w:pPr>
        <w:spacing w:after="0" w:line="124" w:lineRule="exact"/>
        <w:rPr>
          <w:sz w:val="20"/>
          <w:szCs w:val="20"/>
          <w:color w:val="auto"/>
        </w:rPr>
      </w:pPr>
    </w:p>
    <w:p>
      <w:pPr>
        <w:ind w:left="460" w:right="519"/>
        <w:spacing w:after="0" w:line="237" w:lineRule="auto"/>
        <w:rPr>
          <w:sz w:val="20"/>
          <w:szCs w:val="20"/>
          <w:color w:val="auto"/>
        </w:rPr>
      </w:pPr>
      <w:r>
        <w:rPr>
          <w:rFonts w:ascii="Arial" w:cs="Arial" w:eastAsia="Arial" w:hAnsi="Arial"/>
          <w:sz w:val="18"/>
          <w:szCs w:val="18"/>
          <w:color w:val="auto"/>
        </w:rPr>
        <w:t>If we redeem warrants for cash pursuant to the redemption provisions described in the section of this prospectus entitled “Description of Securities — Warrants — Public Stockholders’ Warrants” or if we purchase warrants in an open market transaction, such redemption or purchase generally will be treated as a taxable disposition to the U.S. holder, taxed as described above under “U.S. Holders — Gain or Loss on Sale, Taxable Exchange or Other Taxable Disposition of Class A Common Stock and Warrants.”</w:t>
      </w:r>
    </w:p>
    <w:p>
      <w:pPr>
        <w:spacing w:after="0" w:line="119"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i w:val="1"/>
          <w:iCs w:val="1"/>
          <w:color w:val="auto"/>
        </w:rPr>
        <w:t xml:space="preserve">Possible Constructive Distributions. </w:t>
      </w:r>
      <w:r>
        <w:rPr>
          <w:rFonts w:ascii="Arial" w:cs="Arial" w:eastAsia="Arial" w:hAnsi="Arial"/>
          <w:sz w:val="18"/>
          <w:szCs w:val="18"/>
          <w:color w:val="auto"/>
        </w:rPr>
        <w:t>The terms of each warrant provide for an adjustment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shares of Class A common stock for which the warrant may be exercised or to the exercise price of the warrant in certain events, as discussed in the section of this prospectus entitled “Description of Securities — Warrants — Public Stockholders’ Warrants.” An adjustment which has the effect of preventing dilution generally is not taxable. The U.S. holders of the warrants would, however, be treated as receiving a constructive distribution from us if, for example, the adjustment increases the warrant holders’ proportionate interest in our assets or earnings and profits (for example, through an increase in the number of shares of Class A common stock that would be obtained upon exercise or through a decrease in the exercise price of the warrant), which adjustment may be made as a result of a distribution of cash or other property, such as other securities, to the holders of shares of our Class A common stock, or as a result of the issuance of a stock dividend to holders of shares of our Class A common stock, in each case which is taxable to the holders of such shares as a distribution. Such constructive distribution would be subject to</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38" w:name="page139"/>
    <w:bookmarkEnd w:id="138"/>
    <w:p>
      <w:pPr>
        <w:ind w:left="460" w:right="639"/>
        <w:spacing w:after="0"/>
        <w:rPr>
          <w:sz w:val="20"/>
          <w:szCs w:val="20"/>
          <w:color w:val="auto"/>
        </w:rPr>
      </w:pPr>
      <w:r>
        <w:rPr>
          <w:rFonts w:ascii="Arial" w:cs="Arial" w:eastAsia="Arial" w:hAnsi="Arial"/>
          <w:sz w:val="18"/>
          <w:szCs w:val="18"/>
          <w:color w:val="auto"/>
        </w:rPr>
        <w:t>tax as described under “U.S. Holders — Taxation of Distributions” in the same manner as if the U.S. holders of the warrants received a cash distribution from us equal to the fair market value of such increased interest.</w:t>
      </w:r>
    </w:p>
    <w:p>
      <w:pPr>
        <w:spacing w:after="0" w:line="104" w:lineRule="exact"/>
        <w:rPr>
          <w:sz w:val="20"/>
          <w:szCs w:val="20"/>
          <w:color w:val="auto"/>
        </w:rPr>
      </w:pPr>
    </w:p>
    <w:p>
      <w:pPr>
        <w:ind w:left="460" w:right="559"/>
        <w:spacing w:after="0" w:line="241" w:lineRule="auto"/>
        <w:rPr>
          <w:sz w:val="20"/>
          <w:szCs w:val="20"/>
          <w:color w:val="auto"/>
        </w:rPr>
      </w:pPr>
      <w:r>
        <w:rPr>
          <w:rFonts w:ascii="Arial" w:cs="Arial" w:eastAsia="Arial" w:hAnsi="Arial"/>
          <w:sz w:val="18"/>
          <w:szCs w:val="18"/>
          <w:i w:val="1"/>
          <w:iCs w:val="1"/>
          <w:color w:val="auto"/>
        </w:rPr>
        <w:t xml:space="preserve">Information Reporting and Backup Withholding. </w:t>
      </w:r>
      <w:r>
        <w:rPr>
          <w:rFonts w:ascii="Arial" w:cs="Arial" w:eastAsia="Arial" w:hAnsi="Arial"/>
          <w:sz w:val="18"/>
          <w:szCs w:val="18"/>
          <w:color w:val="auto"/>
        </w:rPr>
        <w:t>In general, information reporting requirements may</w:t>
      </w:r>
      <w:r>
        <w:rPr>
          <w:rFonts w:ascii="Arial" w:cs="Arial" w:eastAsia="Arial" w:hAnsi="Arial"/>
          <w:sz w:val="18"/>
          <w:szCs w:val="18"/>
          <w:i w:val="1"/>
          <w:iCs w:val="1"/>
          <w:color w:val="auto"/>
        </w:rPr>
        <w:t xml:space="preserve"> </w:t>
      </w:r>
      <w:r>
        <w:rPr>
          <w:rFonts w:ascii="Arial" w:cs="Arial" w:eastAsia="Arial" w:hAnsi="Arial"/>
          <w:sz w:val="18"/>
          <w:szCs w:val="18"/>
          <w:color w:val="auto"/>
        </w:rPr>
        <w:t>apply to dividends paid to a U.S. holder and to the proceeds of the sale or other disposition of our units, shares of Class A common stock and warrants, unless the U.S. holder is an exempt recipient. Backup withholding may apply to such payments if the U.S. holder fails to provide a taxpayer identification number, a certification of exempt status or has been notified by the IRS that it is subject to backup withholding (and such notification has not been withdrawn).</w:t>
      </w:r>
    </w:p>
    <w:p>
      <w:pPr>
        <w:spacing w:after="0" w:line="134" w:lineRule="exact"/>
        <w:rPr>
          <w:sz w:val="20"/>
          <w:szCs w:val="20"/>
          <w:color w:val="auto"/>
        </w:rPr>
      </w:pPr>
    </w:p>
    <w:p>
      <w:pPr>
        <w:ind w:left="460" w:right="479"/>
        <w:spacing w:after="0"/>
        <w:rPr>
          <w:sz w:val="20"/>
          <w:szCs w:val="20"/>
          <w:color w:val="auto"/>
        </w:rPr>
      </w:pPr>
      <w:r>
        <w:rPr>
          <w:rFonts w:ascii="Arial" w:cs="Arial" w:eastAsia="Arial" w:hAnsi="Arial"/>
          <w:sz w:val="18"/>
          <w:szCs w:val="18"/>
          <w:color w:val="auto"/>
        </w:rPr>
        <w:t>Backup withholding is not an additional tax. Any amounts withheld under the backup withholding rules will be allowed as a credit against a U.S. holder’s U.S. federal income tax liability and may entitle such holder to a refund, provided the required information is timely furnished to the IRS.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Non-U.S. Holders</w:t>
      </w:r>
    </w:p>
    <w:p>
      <w:pPr>
        <w:spacing w:after="0" w:line="166" w:lineRule="exact"/>
        <w:rPr>
          <w:sz w:val="20"/>
          <w:szCs w:val="20"/>
          <w:color w:val="auto"/>
        </w:rPr>
      </w:pPr>
    </w:p>
    <w:p>
      <w:pPr>
        <w:ind w:left="460" w:right="539"/>
        <w:spacing w:after="0"/>
        <w:rPr>
          <w:sz w:val="20"/>
          <w:szCs w:val="20"/>
          <w:color w:val="auto"/>
        </w:rPr>
      </w:pPr>
      <w:r>
        <w:rPr>
          <w:rFonts w:ascii="Arial" w:cs="Arial" w:eastAsia="Arial" w:hAnsi="Arial"/>
          <w:sz w:val="18"/>
          <w:szCs w:val="18"/>
          <w:color w:val="auto"/>
        </w:rPr>
        <w:t>This section applies to you if you are a “Non-U.S. holder.” As used herein, the term “Non-U.S. holder” means a beneficial owner of our units, Class A common stock or warrants who or that is for U.S. federal income tax purposes:</w:t>
      </w:r>
    </w:p>
    <w:p>
      <w:pPr>
        <w:spacing w:after="0" w:line="14" w:lineRule="exact"/>
        <w:rPr>
          <w:sz w:val="20"/>
          <w:szCs w:val="20"/>
          <w:color w:val="auto"/>
        </w:rPr>
      </w:pPr>
    </w:p>
    <w:p>
      <w:pPr>
        <w:ind w:left="1100" w:right="779" w:hanging="322"/>
        <w:spacing w:after="0" w:line="246" w:lineRule="auto"/>
        <w:tabs>
          <w:tab w:leader="none" w:pos="1089"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non-resident alien individual (other than certain former citizens and residents of the U.S. subject to U.S. tax as expatriates);</w:t>
      </w:r>
    </w:p>
    <w:p>
      <w:pPr>
        <w:spacing w:after="0" w:line="21" w:lineRule="exact"/>
        <w:rPr>
          <w:rFonts w:ascii="Arial" w:cs="Arial" w:eastAsia="Arial" w:hAnsi="Arial"/>
          <w:sz w:val="18"/>
          <w:szCs w:val="18"/>
          <w:color w:val="auto"/>
        </w:rPr>
      </w:pPr>
    </w:p>
    <w:p>
      <w:pPr>
        <w:ind w:left="1100" w:hanging="322"/>
        <w:spacing w:after="0"/>
        <w:tabs>
          <w:tab w:leader="none" w:pos="11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 estate or trust that is not a U.S. holder;</w:t>
      </w:r>
    </w:p>
    <w:p>
      <w:pPr>
        <w:spacing w:after="0" w:line="131" w:lineRule="exact"/>
        <w:rPr>
          <w:sz w:val="20"/>
          <w:szCs w:val="20"/>
          <w:color w:val="auto"/>
        </w:rPr>
      </w:pPr>
    </w:p>
    <w:p>
      <w:pPr>
        <w:ind w:left="460" w:right="659"/>
        <w:spacing w:after="0" w:line="238" w:lineRule="auto"/>
        <w:rPr>
          <w:sz w:val="20"/>
          <w:szCs w:val="20"/>
          <w:color w:val="auto"/>
        </w:rPr>
      </w:pPr>
      <w:r>
        <w:rPr>
          <w:rFonts w:ascii="Arial" w:cs="Arial" w:eastAsia="Arial" w:hAnsi="Arial"/>
          <w:sz w:val="18"/>
          <w:szCs w:val="18"/>
          <w:color w:val="auto"/>
        </w:rPr>
        <w:t>but generally does not include an individual who is present in the U.S. for 183 days or more in the taxable year of the disposition of our units, Class A common stock or warrants. If you are such an individual, you should consult your tax advisor regarding the U.S. federal income tax consequences of the acquisition, ownership or sale or other disposition of our securities.</w:t>
      </w:r>
    </w:p>
    <w:p>
      <w:pPr>
        <w:spacing w:after="0" w:line="119" w:lineRule="exact"/>
        <w:rPr>
          <w:sz w:val="20"/>
          <w:szCs w:val="20"/>
          <w:color w:val="auto"/>
        </w:rPr>
      </w:pPr>
    </w:p>
    <w:p>
      <w:pPr>
        <w:ind w:left="460" w:right="539"/>
        <w:spacing w:after="0" w:line="238" w:lineRule="auto"/>
        <w:rPr>
          <w:sz w:val="20"/>
          <w:szCs w:val="20"/>
          <w:color w:val="auto"/>
        </w:rPr>
      </w:pPr>
      <w:r>
        <w:rPr>
          <w:rFonts w:ascii="Arial" w:cs="Arial" w:eastAsia="Arial" w:hAnsi="Arial"/>
          <w:sz w:val="18"/>
          <w:szCs w:val="18"/>
          <w:i w:val="1"/>
          <w:iCs w:val="1"/>
          <w:color w:val="auto"/>
        </w:rPr>
        <w:t xml:space="preserve">Taxation of Distributions. </w:t>
      </w:r>
      <w:r>
        <w:rPr>
          <w:rFonts w:ascii="Arial" w:cs="Arial" w:eastAsia="Arial" w:hAnsi="Arial"/>
          <w:sz w:val="18"/>
          <w:szCs w:val="18"/>
          <w:color w:val="auto"/>
        </w:rPr>
        <w:t>In general, any distributions (including constructive distributions) we make</w:t>
      </w:r>
      <w:r>
        <w:rPr>
          <w:rFonts w:ascii="Arial" w:cs="Arial" w:eastAsia="Arial" w:hAnsi="Arial"/>
          <w:sz w:val="18"/>
          <w:szCs w:val="18"/>
          <w:i w:val="1"/>
          <w:iCs w:val="1"/>
          <w:color w:val="auto"/>
        </w:rPr>
        <w:t xml:space="preserve"> </w:t>
      </w:r>
      <w:r>
        <w:rPr>
          <w:rFonts w:ascii="Arial" w:cs="Arial" w:eastAsia="Arial" w:hAnsi="Arial"/>
          <w:sz w:val="18"/>
          <w:szCs w:val="18"/>
          <w:color w:val="auto"/>
        </w:rPr>
        <w:t>to a Non-U.S. holder of shares of our Class A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w:t>
      </w:r>
    </w:p>
    <w:p>
      <w:pPr>
        <w:spacing w:after="0" w:line="4"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In the case of any constructive dividend, it is possible that this tax would be withheld from any amount owed to a Non-U.S. holder by the applicable withholding agent, including cash distributions on other property or sale proceeds from warrants or other property subsequently paid or credited to such holder. Any distribution not constituting a dividend will be treated first as reducing (but not below zero) the Non-U.S. holder’s adjusted tax basis in its shares of our Class A common stock and, to the extent such distribution exceeds the Non-U.S. holder’s adjusted tax basis, as gain realized from the sale or other disposition of the Class A common stock, which will be treated as described under “Non-U.S. Holders — Gain on Sale, Taxable Exchange or Other Taxable Disposition of Class A Common Stock and Warrants” below. In addition, if we determine that we are likely to be classified as a “United States real property holding corporation” (see “Non-U.S. Holders — Gain on Sale, Taxable Exchange or Other Taxable Disposition of Class A Common Stock and Warrants” below), we will withhold 15% of any distribution that exceeds our current and accumulated earnings and profits.</w:t>
      </w:r>
    </w:p>
    <w:p>
      <w:pPr>
        <w:spacing w:after="0" w:line="146"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The withholding tax generally does not apply to dividends paid to a Non-U.S. holder who provides a Form W-8ECI, certifying that the dividends are effectively connected with the Non-U.S. holder’s conduct of a trade or business within the United States. Instead, the effectively connected dividends will be subject to regular U.S. income tax as if the Non-U.S. holder were a U.S. resident, subject to an applicable income tax treaty providing otherwise. A corporate Non-U.S. holder receiving effectively connected dividends may also be subject to an additional “branch profits tax” imposed at a rate of 30% (or a lower treaty rate).</w:t>
      </w:r>
    </w:p>
    <w:p>
      <w:pPr>
        <w:spacing w:after="0" w:line="104" w:lineRule="exact"/>
        <w:rPr>
          <w:sz w:val="20"/>
          <w:szCs w:val="20"/>
          <w:color w:val="auto"/>
        </w:rPr>
      </w:pPr>
    </w:p>
    <w:p>
      <w:pPr>
        <w:ind w:left="460" w:right="579"/>
        <w:spacing w:after="0" w:line="242" w:lineRule="auto"/>
        <w:rPr>
          <w:sz w:val="20"/>
          <w:szCs w:val="20"/>
          <w:color w:val="auto"/>
        </w:rPr>
      </w:pPr>
      <w:r>
        <w:rPr>
          <w:rFonts w:ascii="Arial" w:cs="Arial" w:eastAsia="Arial" w:hAnsi="Arial"/>
          <w:sz w:val="18"/>
          <w:szCs w:val="18"/>
          <w:i w:val="1"/>
          <w:iCs w:val="1"/>
          <w:color w:val="auto"/>
        </w:rPr>
        <w:t xml:space="preserve">Exercise, Lapse or Redemption of a Warrant. </w:t>
      </w:r>
      <w:r>
        <w:rPr>
          <w:rFonts w:ascii="Arial" w:cs="Arial" w:eastAsia="Arial" w:hAnsi="Arial"/>
          <w:sz w:val="18"/>
          <w:szCs w:val="18"/>
          <w:color w:val="auto"/>
        </w:rPr>
        <w:t>The U.S. federal income tax treatment of a Non-U.S.</w:t>
      </w:r>
      <w:r>
        <w:rPr>
          <w:rFonts w:ascii="Arial" w:cs="Arial" w:eastAsia="Arial" w:hAnsi="Arial"/>
          <w:sz w:val="18"/>
          <w:szCs w:val="18"/>
          <w:i w:val="1"/>
          <w:iCs w:val="1"/>
          <w:color w:val="auto"/>
        </w:rPr>
        <w:t xml:space="preserve"> </w:t>
      </w:r>
      <w:r>
        <w:rPr>
          <w:rFonts w:ascii="Arial" w:cs="Arial" w:eastAsia="Arial" w:hAnsi="Arial"/>
          <w:sz w:val="18"/>
          <w:szCs w:val="18"/>
          <w:color w:val="auto"/>
        </w:rPr>
        <w:t>holder’s exercise of a warrant, or the lapse of a warrant held by a Non-U.S. holder, generally will correspond to the U.S. federal income tax treatment of the exercise or lapse of a warrant by a U.S. holder, as described under “U.S. Holders — Exercise, Lapse or Redemption of a Warrant” above, although to the extent a cashless exercise results in a taxable</w:t>
      </w:r>
    </w:p>
    <w:p>
      <w:pPr>
        <w:sectPr>
          <w:pgSz w:w="11900" w:h="16838" w:orient="portrait"/>
          <w:cols w:equalWidth="0" w:num="1">
            <w:col w:w="9019"/>
          </w:cols>
          <w:pgMar w:left="1440" w:top="287" w:right="1440" w:bottom="1440" w:gutter="0" w:footer="0" w:header="0"/>
        </w:sectPr>
      </w:pP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139" w:name="page140"/>
    <w:bookmarkEnd w:id="139"/>
    <w:p>
      <w:pPr>
        <w:ind w:left="460" w:right="479"/>
        <w:spacing w:after="0" w:line="274" w:lineRule="auto"/>
        <w:rPr>
          <w:sz w:val="20"/>
          <w:szCs w:val="20"/>
          <w:color w:val="auto"/>
        </w:rPr>
      </w:pPr>
      <w:r>
        <w:rPr>
          <w:rFonts w:ascii="Arial" w:cs="Arial" w:eastAsia="Arial" w:hAnsi="Arial"/>
          <w:sz w:val="17"/>
          <w:szCs w:val="17"/>
          <w:color w:val="auto"/>
        </w:rPr>
        <w:t>exchange, the consequences would be similar to those described below in “Non-U.S. Holders — Gain on Sale, Taxable Exchange or Other Taxable Disposition of Class A Common Stock and Warrants.”</w:t>
      </w:r>
    </w:p>
    <w:p>
      <w:pPr>
        <w:spacing w:after="0" w:line="94" w:lineRule="exact"/>
        <w:rPr>
          <w:sz w:val="20"/>
          <w:szCs w:val="20"/>
          <w:color w:val="auto"/>
        </w:rPr>
      </w:pPr>
    </w:p>
    <w:p>
      <w:pPr>
        <w:ind w:left="460" w:right="519"/>
        <w:spacing w:after="0" w:line="237" w:lineRule="auto"/>
        <w:rPr>
          <w:sz w:val="20"/>
          <w:szCs w:val="20"/>
          <w:color w:val="auto"/>
        </w:rPr>
      </w:pPr>
      <w:r>
        <w:rPr>
          <w:rFonts w:ascii="Arial" w:cs="Arial" w:eastAsia="Arial" w:hAnsi="Arial"/>
          <w:sz w:val="18"/>
          <w:szCs w:val="18"/>
          <w:color w:val="auto"/>
        </w:rPr>
        <w:t>The characterization for U.S. federal income tax purposes of the redemption of the Non-U.S. holder’s warrants generally will correspond to the U.S. federal income tax treatment of such a redemption of a U.S. holder’s warrants, as described under “U.S. Holders — Exercise, Lapse or Redemption of a Warrant” above, and the consequences of the redemption to the Non-U.S. holder will be as described below under the heading “Non-U.S. Holders — Gain on Sale, Taxable Exchange or Other Taxable Disposition of Class A Common Stock and Warrants” depending on such characterization.</w:t>
      </w:r>
    </w:p>
    <w:p>
      <w:pPr>
        <w:spacing w:after="0" w:line="119" w:lineRule="exact"/>
        <w:rPr>
          <w:sz w:val="20"/>
          <w:szCs w:val="20"/>
          <w:color w:val="auto"/>
        </w:rPr>
      </w:pPr>
    </w:p>
    <w:p>
      <w:pPr>
        <w:ind w:left="460" w:right="579"/>
        <w:spacing w:after="0"/>
        <w:rPr>
          <w:sz w:val="20"/>
          <w:szCs w:val="20"/>
          <w:color w:val="auto"/>
        </w:rPr>
      </w:pPr>
      <w:r>
        <w:rPr>
          <w:rFonts w:ascii="Arial" w:cs="Arial" w:eastAsia="Arial" w:hAnsi="Arial"/>
          <w:sz w:val="18"/>
          <w:szCs w:val="18"/>
          <w:i w:val="1"/>
          <w:iCs w:val="1"/>
          <w:color w:val="auto"/>
        </w:rPr>
        <w:t xml:space="preserve">Gain on Sale, Taxable Exchange or Other Taxable Disposition of Class A Common Stock and Warrants. </w:t>
      </w:r>
      <w:r>
        <w:rPr>
          <w:rFonts w:ascii="Arial" w:cs="Arial" w:eastAsia="Arial" w:hAnsi="Arial"/>
          <w:sz w:val="18"/>
          <w:szCs w:val="18"/>
          <w:color w:val="auto"/>
        </w:rPr>
        <w:t>A Non-U.S. holder generally will not be subject to U.S. federal income or withholding tax</w:t>
      </w:r>
      <w:r>
        <w:rPr>
          <w:rFonts w:ascii="Arial" w:cs="Arial" w:eastAsia="Arial" w:hAnsi="Arial"/>
          <w:sz w:val="18"/>
          <w:szCs w:val="18"/>
          <w:i w:val="1"/>
          <w:iCs w:val="1"/>
          <w:color w:val="auto"/>
        </w:rPr>
        <w:t xml:space="preserve"> </w:t>
      </w:r>
      <w:r>
        <w:rPr>
          <w:rFonts w:ascii="Arial" w:cs="Arial" w:eastAsia="Arial" w:hAnsi="Arial"/>
          <w:sz w:val="18"/>
          <w:szCs w:val="18"/>
          <w:color w:val="auto"/>
        </w:rPr>
        <w:t>in respect of gain recognized on a sale, taxable exchange or other taxable disposition of our Class A common stock, which would include a dissolution and liquidation in the event we do not complete an initial business combination within 24 months from the closing of this offering, or warrants (including an expiration or redemption of our warrants), in each case without regard to whether those securities were held as part of a unit, unless:</w:t>
      </w:r>
    </w:p>
    <w:p>
      <w:pPr>
        <w:spacing w:after="0" w:line="27" w:lineRule="exact"/>
        <w:rPr>
          <w:sz w:val="20"/>
          <w:szCs w:val="20"/>
          <w:color w:val="auto"/>
        </w:rPr>
      </w:pPr>
    </w:p>
    <w:p>
      <w:pPr>
        <w:ind w:left="1100" w:right="559" w:hanging="322"/>
        <w:spacing w:after="0" w:line="259" w:lineRule="auto"/>
        <w:tabs>
          <w:tab w:leader="none" w:pos="1089"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gain is effectively connected with the conduct by the Non-U.S. holder of a trade or business within the United States (and, under certain income tax treaties, is attributable to a United States permanent establishment or fixed base maintained by the Non-U.S. holder); or</w:t>
      </w:r>
    </w:p>
    <w:p>
      <w:pPr>
        <w:spacing w:after="0" w:line="1" w:lineRule="exact"/>
        <w:rPr>
          <w:rFonts w:ascii="Arial" w:cs="Arial" w:eastAsia="Arial" w:hAnsi="Arial"/>
          <w:sz w:val="17"/>
          <w:szCs w:val="17"/>
          <w:color w:val="auto"/>
        </w:rPr>
      </w:pPr>
    </w:p>
    <w:p>
      <w:pPr>
        <w:ind w:left="1100" w:right="499" w:hanging="322"/>
        <w:spacing w:after="0" w:line="236" w:lineRule="auto"/>
        <w:tabs>
          <w:tab w:leader="none" w:pos="1089" w:val="left"/>
        </w:tabs>
        <w:numPr>
          <w:ilvl w:val="0"/>
          <w:numId w:val="74"/>
        </w:numPr>
        <w:rPr>
          <w:rFonts w:ascii="Arial" w:cs="Arial" w:eastAsia="Arial" w:hAnsi="Arial"/>
          <w:sz w:val="18"/>
          <w:szCs w:val="18"/>
          <w:color w:val="auto"/>
        </w:rPr>
      </w:pPr>
      <w:r>
        <w:rPr>
          <w:rFonts w:ascii="Arial" w:cs="Arial" w:eastAsia="Arial" w:hAnsi="Arial"/>
          <w:sz w:val="18"/>
          <w:szCs w:val="18"/>
          <w:color w:val="auto"/>
        </w:rPr>
        <w:t>we are or have been a “United States real property holding corporation” for U.S. federal income tax purposes at any time during the shorter of the five-year period ending on the date of disposition or the period that the Non-U.S. holder held our Class A common stock, and, in the case where shares of our Class A common stock are regularly traded on an established securities market, the Non-U.S. holder has owned, directly or constructively, more than 5% of our Class A common stock at any time within the shorter of the five-year period preceding the disposition or such Non-U.S. holder’s holding period for the shares of our Class A common stock. There can be no assurance that our Class A common stock will be treated as regularly traded on an established securities market for this purpose.</w:t>
      </w:r>
    </w:p>
    <w:p>
      <w:pPr>
        <w:spacing w:after="0" w:line="139" w:lineRule="exact"/>
        <w:rPr>
          <w:sz w:val="20"/>
          <w:szCs w:val="20"/>
          <w:color w:val="auto"/>
        </w:rPr>
      </w:pPr>
    </w:p>
    <w:p>
      <w:pPr>
        <w:ind w:left="460" w:right="539"/>
        <w:spacing w:after="0" w:line="238" w:lineRule="auto"/>
        <w:rPr>
          <w:sz w:val="20"/>
          <w:szCs w:val="20"/>
          <w:color w:val="auto"/>
        </w:rPr>
      </w:pPr>
      <w:r>
        <w:rPr>
          <w:rFonts w:ascii="Arial" w:cs="Arial" w:eastAsia="Arial" w:hAnsi="Arial"/>
          <w:sz w:val="18"/>
          <w:szCs w:val="18"/>
          <w:color w:val="auto"/>
        </w:rPr>
        <w:t>Unless an applicable treaty provides otherwise, gain described in the first bullet point above will be subject to tax at generally applicable U.S. federal income tax rates as if the Non-U.S. holder were a U.S. resident. Any gains described in the first bullet point above of a Non-U.S. holder that is a foreign corporation may also be subject to an additional “branch profits tax” imposed at a 30% rate (or lower treaty rate).</w:t>
      </w:r>
    </w:p>
    <w:p>
      <w:pPr>
        <w:spacing w:after="0" w:line="135"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If the second bullet point above applies to a Non-U.S. holder, gain recognized by such holder on the sale, exchange or other disposition of our Class A common stock or warrants will be subject to tax at generally applicable U.S. federal income tax rates. In addition, a buyer of our Class A common stock or warrants from such holder may be required to withhold U.S. federal income tax at a rate of 15% of the amount realized upon such disposition. We cannot determine whether we will be a “United States real property holding corporation” in the future until we complete an initial business combination. We will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w:t>
      </w:r>
    </w:p>
    <w:p>
      <w:pPr>
        <w:spacing w:after="0" w:line="107" w:lineRule="exact"/>
        <w:rPr>
          <w:sz w:val="20"/>
          <w:szCs w:val="20"/>
          <w:color w:val="auto"/>
        </w:rPr>
      </w:pPr>
    </w:p>
    <w:p>
      <w:pPr>
        <w:ind w:left="460" w:right="559"/>
        <w:spacing w:after="0" w:line="251" w:lineRule="auto"/>
        <w:rPr>
          <w:sz w:val="20"/>
          <w:szCs w:val="20"/>
          <w:color w:val="auto"/>
        </w:rPr>
      </w:pPr>
      <w:r>
        <w:rPr>
          <w:rFonts w:ascii="Arial" w:cs="Arial" w:eastAsia="Arial" w:hAnsi="Arial"/>
          <w:sz w:val="17"/>
          <w:szCs w:val="17"/>
          <w:i w:val="1"/>
          <w:iCs w:val="1"/>
          <w:color w:val="auto"/>
        </w:rPr>
        <w:t xml:space="preserve">Redemption of Class A Common Stock. </w:t>
      </w:r>
      <w:r>
        <w:rPr>
          <w:rFonts w:ascii="Arial" w:cs="Arial" w:eastAsia="Arial" w:hAnsi="Arial"/>
          <w:sz w:val="17"/>
          <w:szCs w:val="17"/>
          <w:color w:val="auto"/>
        </w:rPr>
        <w:t>The characterization for U.S. federal income tax purposes</w:t>
      </w:r>
      <w:r>
        <w:rPr>
          <w:rFonts w:ascii="Arial" w:cs="Arial" w:eastAsia="Arial" w:hAnsi="Arial"/>
          <w:sz w:val="17"/>
          <w:szCs w:val="17"/>
          <w:i w:val="1"/>
          <w:iCs w:val="1"/>
          <w:color w:val="auto"/>
        </w:rPr>
        <w:t xml:space="preserve"> </w:t>
      </w:r>
      <w:r>
        <w:rPr>
          <w:rFonts w:ascii="Arial" w:cs="Arial" w:eastAsia="Arial" w:hAnsi="Arial"/>
          <w:sz w:val="17"/>
          <w:szCs w:val="17"/>
          <w:color w:val="auto"/>
        </w:rPr>
        <w:t>of the redemption of a Non-U.S. holder’s Class A common stock pursuant to the redemption provisions described in the section of this prospectus entitled “Description of Securities — Common Stock” generally will correspond to the U.S. federal income tax characterization of such a redemption of a U.S. holder’s Class A common stock, as described under “U.S. Holders — Redemption of Class A Common Stock” above, and the consequences of the redemption to the Non-U.S. holder will be as described above under “Non-U.S. Holders — Taxation of Distributions” and “Non-U.S. Holders</w:t>
      </w:r>
    </w:p>
    <w:p>
      <w:pPr>
        <w:spacing w:after="0" w:line="4" w:lineRule="exact"/>
        <w:rPr>
          <w:sz w:val="20"/>
          <w:szCs w:val="20"/>
          <w:color w:val="auto"/>
        </w:rPr>
      </w:pPr>
    </w:p>
    <w:p>
      <w:pPr>
        <w:ind w:left="460" w:right="579"/>
        <w:spacing w:after="0" w:line="236" w:lineRule="auto"/>
        <w:rPr>
          <w:sz w:val="20"/>
          <w:szCs w:val="20"/>
          <w:color w:val="auto"/>
        </w:rPr>
      </w:pPr>
      <w:r>
        <w:rPr>
          <w:rFonts w:ascii="Arial" w:cs="Arial" w:eastAsia="Arial" w:hAnsi="Arial"/>
          <w:sz w:val="18"/>
          <w:szCs w:val="18"/>
          <w:color w:val="auto"/>
        </w:rPr>
        <w:t>— Gain on Sale, Taxable Exchange or Other Taxable Disposition of Class A Common Stock and Warrants,” as applicable. Because it may not be certain at the time a Non-U.S. holder is redeemed whether such Non-U.S. holder’s redemption will be treated as a sale of shares or a distribution constituting a dividend, and because such determination will depend in part on a Non-U.S. holder’s particular circumstances, we or the applicable withholding agent may not be able to determine whether (or to what extent) a Non-U.S. holder is treated as receiving a dividend for U.S. federal income tax purposes. Therefore, we or the applicable withholding agent may withhold tax at a rate of 30% on the gross amount of any consideration paid to a Non-U.S. holder in redemption of</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40" w:name="page141"/>
    <w:bookmarkEnd w:id="140"/>
    <w:p>
      <w:pPr>
        <w:ind w:left="460" w:right="599"/>
        <w:spacing w:after="0" w:line="253" w:lineRule="auto"/>
        <w:rPr>
          <w:sz w:val="20"/>
          <w:szCs w:val="20"/>
          <w:color w:val="auto"/>
        </w:rPr>
      </w:pPr>
      <w:r>
        <w:rPr>
          <w:rFonts w:ascii="Arial" w:cs="Arial" w:eastAsia="Arial" w:hAnsi="Arial"/>
          <w:sz w:val="17"/>
          <w:szCs w:val="17"/>
          <w:color w:val="auto"/>
        </w:rPr>
        <w:t>such Non-U.S. holder’s Class A common stock unless special procedures are available to Non-U.S. holders to certify that they are entitled to exemptions from, or reductions in, such withholding tax. However, there can be no assurance that such special certification procedures will be available. A Non-U.S. Holder generally may obtain a refund of any such excess amounts withheld by timely filing an appropriate claim for refund with the IRS. Non-U.S. Holders should consult their own tax advisors regarding the application of the foregoing rules in light of their particular facts and circumstances.</w:t>
      </w:r>
    </w:p>
    <w:p>
      <w:pPr>
        <w:spacing w:after="0" w:line="96"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i w:val="1"/>
          <w:iCs w:val="1"/>
          <w:color w:val="auto"/>
        </w:rPr>
        <w:t xml:space="preserve">Possible Constructive Distributions. </w:t>
      </w:r>
      <w:r>
        <w:rPr>
          <w:rFonts w:ascii="Arial" w:cs="Arial" w:eastAsia="Arial" w:hAnsi="Arial"/>
          <w:sz w:val="18"/>
          <w:szCs w:val="18"/>
          <w:color w:val="auto"/>
        </w:rPr>
        <w:t>The terms of each warrant provide for an adjustment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shares of Class A common stock for which the warrant may be exercised or to the exercise price of the warrant in certain events, as discussed in the section of this prospectus captioned “Description of Securities — Warrants — Public Stockholders’ Warrants.” An adjustment which has the effect of preventing dilution generally is not a taxable event. Nevertheless, a Non-U.S. holder of warrants would be treated as receiving a constructive distribution from us if, for example, the adjustment increases the holder’s proportionate interest in our assets or earnings and profits (for example, through an increase in the number of shares of Class A common stock that would be obtained upon exercise or through a decrease in the exercise price of the warrants), which adjustment may be made as a result of a distribution of cash or other property, such as other securities, to the holders of shares of our Class A common stock which is taxable to such holders as a distribution. Any constructive distribution received by a Non-U.S. holder would be subject to U.S. federal income tax (including any applicable withholding) in the same manner as if such Non-U.S. holder received a cash distribution from us equal to the fair market value of such increased interest without any corresponding receipt of cash. It is possible that any withholding tax on such a constructive distribution might be satisfied by us or the applicable withholding agent through a sale of a portion of the Non-U.S. holder’s shares of Class A common stock, warrants or other property held or controlled by us or the applicable withholding agent on behalf of the Non-U.S. holder or might be withheld from distributions or proceeds subsequently paid or credited to the Non-U.S. holder.</w:t>
      </w:r>
    </w:p>
    <w:p>
      <w:pPr>
        <w:spacing w:after="0" w:line="129" w:lineRule="exact"/>
        <w:rPr>
          <w:sz w:val="20"/>
          <w:szCs w:val="20"/>
          <w:color w:val="auto"/>
        </w:rPr>
      </w:pPr>
    </w:p>
    <w:p>
      <w:pPr>
        <w:ind w:left="460" w:right="539"/>
        <w:spacing w:after="0" w:line="238" w:lineRule="auto"/>
        <w:rPr>
          <w:sz w:val="20"/>
          <w:szCs w:val="20"/>
          <w:color w:val="auto"/>
        </w:rPr>
      </w:pPr>
      <w:r>
        <w:rPr>
          <w:rFonts w:ascii="Arial" w:cs="Arial" w:eastAsia="Arial" w:hAnsi="Arial"/>
          <w:sz w:val="18"/>
          <w:szCs w:val="18"/>
          <w:i w:val="1"/>
          <w:iCs w:val="1"/>
          <w:color w:val="auto"/>
        </w:rPr>
        <w:t xml:space="preserve">Information Reporting and Backup Withholding. </w:t>
      </w:r>
      <w:r>
        <w:rPr>
          <w:rFonts w:ascii="Arial" w:cs="Arial" w:eastAsia="Arial" w:hAnsi="Arial"/>
          <w:sz w:val="18"/>
          <w:szCs w:val="18"/>
          <w:color w:val="auto"/>
        </w:rPr>
        <w:t>Information returns will be filed with the IRS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payments of dividends and the proceeds from a sale or other disposition of our units, shares of Class A common stock and warrants.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generally will satisfy the certification requirements necessary to avoid the backup withholding as well. Backup withholding is not an additional tax. The amount of any backup withholding from a payment to a Non-U.S. holder will be allowed as a credit against such holder’s U.S. federal income tax liability and may entitle such holder to a refund, provided that the required information is timely furnished to the IRS.</w:t>
      </w:r>
    </w:p>
    <w:p>
      <w:pPr>
        <w:spacing w:after="0" w:line="121" w:lineRule="exact"/>
        <w:rPr>
          <w:sz w:val="20"/>
          <w:szCs w:val="20"/>
          <w:color w:val="auto"/>
        </w:rPr>
      </w:pPr>
    </w:p>
    <w:p>
      <w:pPr>
        <w:ind w:left="460" w:right="459"/>
        <w:spacing w:after="0" w:line="236" w:lineRule="auto"/>
        <w:rPr>
          <w:sz w:val="20"/>
          <w:szCs w:val="20"/>
          <w:color w:val="auto"/>
        </w:rPr>
      </w:pPr>
      <w:r>
        <w:rPr>
          <w:rFonts w:ascii="Arial" w:cs="Arial" w:eastAsia="Arial" w:hAnsi="Arial"/>
          <w:sz w:val="18"/>
          <w:szCs w:val="18"/>
          <w:i w:val="1"/>
          <w:iCs w:val="1"/>
          <w:color w:val="auto"/>
        </w:rPr>
        <w:t xml:space="preserve">FATCA Withholding Taxes. </w:t>
      </w:r>
      <w:r>
        <w:rPr>
          <w:rFonts w:ascii="Arial" w:cs="Arial" w:eastAsia="Arial" w:hAnsi="Arial"/>
          <w:sz w:val="18"/>
          <w:szCs w:val="18"/>
          <w:color w:val="auto"/>
        </w:rPr>
        <w:t>Provisions commonly referred to as “FATCA” impose withholding of 30%</w:t>
      </w:r>
      <w:r>
        <w:rPr>
          <w:rFonts w:ascii="Arial" w:cs="Arial" w:eastAsia="Arial" w:hAnsi="Arial"/>
          <w:sz w:val="18"/>
          <w:szCs w:val="18"/>
          <w:i w:val="1"/>
          <w:iCs w:val="1"/>
          <w:color w:val="auto"/>
        </w:rPr>
        <w:t xml:space="preserve"> </w:t>
      </w:r>
      <w:r>
        <w:rPr>
          <w:rFonts w:ascii="Arial" w:cs="Arial" w:eastAsia="Arial" w:hAnsi="Arial"/>
          <w:sz w:val="18"/>
          <w:szCs w:val="18"/>
          <w:color w:val="auto"/>
        </w:rPr>
        <w:t>on payments of dividends (including constructive dividends) on our Class A common stock to “foreign financial institutions” (which is broadly defined for this purpose and in general includes investment vehicles) and certain other non-U.S. entities unless various U.S. information reporting and due diligence requirements (generally relating to ownership by United States persons of interests in or accounts with those entities) have been satisfied by, or an exemption applies to, the payee (typically certified as to by the delivery of a properly completed IRS Form W-8BEN-E). Foreign financial 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 Thirty percent withholding under FATCA was scheduled to apply to payments of gross proceeds from the sale or other disposition of property that produces U.S.-source interest or dividends beginning on January 1, 2019, but on December 13, 2018, the IRS released proposed regulations that, if finalized in their proposed form, would eliminate the obligation to withhold on gross proceeds. Such proposed regulations also delayed withholding on certain other payments received from other foreign financial institutions that are allocable, as provided for under final Treasury Regulations, to payments of U.S.-source dividends, and other fixed or determinable annual or periodic income. Although these proposed Treasury Regulations are not final, taxpayers generally may rely on them until final Treasury Regulations are issued. Prospective investors should consult their tax advisors regarding the effects of FATCA on their investment in our securities.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41" w:name="page142"/>
    <w:bookmarkEnd w:id="141"/>
    <w:tbl>
      <w:tblPr>
        <w:tblLayout w:type="fixed"/>
        <w:tblInd w:w="460" w:type="dxa"/>
        <w:tblCellMar>
          <w:top w:w="0" w:type="dxa"/>
          <w:left w:w="0" w:type="dxa"/>
          <w:bottom w:w="0" w:type="dxa"/>
          <w:right w:w="0" w:type="dxa"/>
        </w:tblCellMar>
      </w:tblPr>
      <w:tr>
        <w:trPr>
          <w:trHeight w:val="239"/>
        </w:trPr>
        <w:tc>
          <w:tcPr>
            <w:tcW w:w="6760" w:type="dxa"/>
            <w:vAlign w:val="bottom"/>
          </w:tcPr>
          <w:p>
            <w:pPr>
              <w:ind w:left="3340"/>
              <w:spacing w:after="0"/>
              <w:rPr>
                <w:sz w:val="20"/>
                <w:szCs w:val="20"/>
                <w:color w:val="auto"/>
              </w:rPr>
            </w:pPr>
            <w:r>
              <w:rPr>
                <w:rFonts w:ascii="Arial" w:cs="Arial" w:eastAsia="Arial" w:hAnsi="Arial"/>
                <w:sz w:val="18"/>
                <w:szCs w:val="18"/>
                <w:b w:val="1"/>
                <w:bCs w:val="1"/>
                <w:color w:val="auto"/>
              </w:rPr>
              <w:t>UNDERWRITING</w:t>
            </w:r>
          </w:p>
        </w:tc>
        <w:tc>
          <w:tcPr>
            <w:tcW w:w="780" w:type="dxa"/>
            <w:vAlign w:val="bottom"/>
          </w:tcPr>
          <w:p>
            <w:pPr>
              <w:spacing w:after="0"/>
              <w:rPr>
                <w:sz w:val="20"/>
                <w:szCs w:val="20"/>
                <w:color w:val="auto"/>
              </w:rPr>
            </w:pPr>
          </w:p>
        </w:tc>
      </w:tr>
      <w:tr>
        <w:trPr>
          <w:trHeight w:val="337"/>
        </w:trPr>
        <w:tc>
          <w:tcPr>
            <w:tcW w:w="6760" w:type="dxa"/>
            <w:vAlign w:val="bottom"/>
          </w:tcPr>
          <w:p>
            <w:pPr>
              <w:spacing w:after="0"/>
              <w:rPr>
                <w:sz w:val="20"/>
                <w:szCs w:val="20"/>
                <w:color w:val="auto"/>
              </w:rPr>
            </w:pPr>
            <w:r>
              <w:rPr>
                <w:rFonts w:ascii="Arial" w:cs="Arial" w:eastAsia="Arial" w:hAnsi="Arial"/>
                <w:sz w:val="18"/>
                <w:szCs w:val="18"/>
                <w:color w:val="auto"/>
              </w:rPr>
              <w:t>Subject to the terms and conditions set forth in the underwriting agreement, dated</w:t>
            </w:r>
          </w:p>
        </w:tc>
        <w:tc>
          <w:tcPr>
            <w:tcW w:w="780" w:type="dxa"/>
            <w:vAlign w:val="bottom"/>
          </w:tcPr>
          <w:p>
            <w:pPr>
              <w:jc w:val="right"/>
              <w:spacing w:after="0"/>
              <w:rPr>
                <w:sz w:val="20"/>
                <w:szCs w:val="20"/>
                <w:color w:val="auto"/>
              </w:rPr>
            </w:pPr>
            <w:r>
              <w:rPr>
                <w:rFonts w:ascii="Arial" w:cs="Arial" w:eastAsia="Arial" w:hAnsi="Arial"/>
                <w:sz w:val="18"/>
                <w:szCs w:val="18"/>
                <w:color w:val="auto"/>
              </w:rPr>
              <w:t>, 2020</w:t>
            </w:r>
          </w:p>
        </w:tc>
      </w:tr>
    </w:tbl>
    <w:p>
      <w:pPr>
        <w:ind w:left="460" w:right="459"/>
        <w:spacing w:after="0" w:line="238" w:lineRule="auto"/>
        <w:rPr>
          <w:sz w:val="20"/>
          <w:szCs w:val="20"/>
          <w:color w:val="auto"/>
        </w:rPr>
      </w:pPr>
      <w:r>
        <w:rPr>
          <w:rFonts w:ascii="Arial" w:cs="Arial" w:eastAsia="Arial" w:hAnsi="Arial"/>
          <w:sz w:val="18"/>
          <w:szCs w:val="18"/>
          <w:color w:val="auto"/>
        </w:rPr>
        <w:t>between us and Jefferies LLC, as the representatives of the underwriters named below and the book running manager of this offering, we have agreed to sell to the underwriters, and each of the underwriters has agreed, severally and not jointly, to purchase from us, the respective number of units shown opposite its name below:</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6600" w:type="dxa"/>
            <w:vAlign w:val="bottom"/>
            <w:gridSpan w:val="2"/>
          </w:tcPr>
          <w:p>
            <w:pPr>
              <w:spacing w:after="0"/>
              <w:rPr>
                <w:sz w:val="20"/>
                <w:szCs w:val="20"/>
                <w:color w:val="auto"/>
              </w:rPr>
            </w:pPr>
            <w:r>
              <w:rPr>
                <w:rFonts w:ascii="Arial" w:cs="Arial" w:eastAsia="Arial" w:hAnsi="Arial"/>
                <w:sz w:val="14"/>
                <w:szCs w:val="14"/>
                <w:b w:val="1"/>
                <w:bCs w:val="1"/>
                <w:color w:val="auto"/>
              </w:rPr>
              <w:t>Underwriters</w:t>
            </w:r>
          </w:p>
        </w:tc>
        <w:tc>
          <w:tcPr>
            <w:tcW w:w="1500" w:type="dxa"/>
            <w:vAlign w:val="bottom"/>
          </w:tcPr>
          <w:p>
            <w:pPr>
              <w:jc w:val="right"/>
              <w:ind w:right="119"/>
              <w:spacing w:after="0"/>
              <w:rPr>
                <w:sz w:val="20"/>
                <w:szCs w:val="20"/>
                <w:color w:val="auto"/>
              </w:rPr>
            </w:pPr>
            <w:r>
              <w:rPr>
                <w:rFonts w:ascii="Arial" w:cs="Arial" w:eastAsia="Arial" w:hAnsi="Arial"/>
                <w:sz w:val="14"/>
                <w:szCs w:val="14"/>
                <w:b w:val="1"/>
                <w:bCs w:val="1"/>
                <w:color w:val="auto"/>
              </w:rPr>
              <w:t>Number of Units</w:t>
            </w:r>
          </w:p>
        </w:tc>
      </w:tr>
      <w:tr>
        <w:trPr>
          <w:trHeight w:val="26"/>
        </w:trPr>
        <w:tc>
          <w:tcPr>
            <w:tcW w:w="6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3"/>
        </w:trPr>
        <w:tc>
          <w:tcPr>
            <w:tcW w:w="6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Jefferies LLC</w:t>
            </w:r>
          </w:p>
        </w:tc>
        <w:tc>
          <w:tcPr>
            <w:tcW w:w="1500" w:type="dxa"/>
            <w:vAlign w:val="bottom"/>
            <w:tcBorders>
              <w:bottom w:val="single" w:sz="8" w:color="CCEEFF"/>
            </w:tcBorders>
            <w:shd w:val="clear" w:color="auto" w:fill="CCEEFF"/>
          </w:tcPr>
          <w:p>
            <w:pPr>
              <w:spacing w:after="0"/>
              <w:rPr>
                <w:sz w:val="22"/>
                <w:szCs w:val="22"/>
                <w:color w:val="auto"/>
              </w:rPr>
            </w:pPr>
          </w:p>
        </w:tc>
      </w:tr>
      <w:tr>
        <w:trPr>
          <w:trHeight w:val="250"/>
        </w:trPr>
        <w:tc>
          <w:tcPr>
            <w:tcW w:w="66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35,000,000</w:t>
            </w:r>
          </w:p>
        </w:tc>
      </w:tr>
      <w:tr>
        <w:trPr>
          <w:trHeight w:val="20"/>
        </w:trPr>
        <w:tc>
          <w:tcPr>
            <w:tcW w:w="6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units if any of them are purchased. If an underwriter defaults, the underwriting agreement provides that the purchase commitments of the nondefaulting underwriters may be increased or the underwriting agreement may be terminated. 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126"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The underwriters have advised us that, following the completion of this offering, they currently intend to make a market in the units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 for the units, that you will be able to sell any of the units held by you at a particular time or that the prices that you receive when you sell will be favorable.</w:t>
      </w:r>
    </w:p>
    <w:p>
      <w:pPr>
        <w:spacing w:after="0" w:line="137" w:lineRule="exact"/>
        <w:rPr>
          <w:sz w:val="20"/>
          <w:szCs w:val="20"/>
          <w:color w:val="auto"/>
        </w:rPr>
      </w:pPr>
    </w:p>
    <w:p>
      <w:pPr>
        <w:jc w:val="both"/>
        <w:ind w:left="460" w:right="579"/>
        <w:spacing w:after="0" w:line="238" w:lineRule="auto"/>
        <w:rPr>
          <w:sz w:val="20"/>
          <w:szCs w:val="20"/>
          <w:color w:val="auto"/>
        </w:rPr>
      </w:pPr>
      <w:r>
        <w:rPr>
          <w:rFonts w:ascii="Arial" w:cs="Arial" w:eastAsia="Arial" w:hAnsi="Arial"/>
          <w:sz w:val="18"/>
          <w:szCs w:val="18"/>
          <w:color w:val="auto"/>
        </w:rPr>
        <w:t>The underwriters are offering the units subject to their acceptance of the units from us and subject to prior sale. The underwriters reserve the right to withdraw, cancel or modify offers to the public and to reject orders in whole or in part. In addition, the underwriters have advised us that they do not intend to confirm sales to any account over which they exercise discretionary authority.</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Commission and Expenses</w:t>
      </w:r>
    </w:p>
    <w:p>
      <w:pPr>
        <w:spacing w:after="0" w:line="166" w:lineRule="exact"/>
        <w:rPr>
          <w:sz w:val="20"/>
          <w:szCs w:val="20"/>
          <w:color w:val="auto"/>
        </w:rPr>
      </w:pPr>
    </w:p>
    <w:p>
      <w:pPr>
        <w:ind w:left="460" w:right="519"/>
        <w:spacing w:after="0" w:line="248" w:lineRule="auto"/>
        <w:rPr>
          <w:sz w:val="20"/>
          <w:szCs w:val="20"/>
          <w:color w:val="auto"/>
        </w:rPr>
      </w:pPr>
      <w:r>
        <w:rPr>
          <w:rFonts w:ascii="Arial" w:cs="Arial" w:eastAsia="Arial" w:hAnsi="Arial"/>
          <w:sz w:val="17"/>
          <w:szCs w:val="17"/>
          <w:color w:val="auto"/>
        </w:rPr>
        <w:t>The underwriters have advised us that they propose to offer the units to the public at the initial public offering price set forth on the cover page of this prospectus and to certain dealers, which may include</w:t>
      </w:r>
    </w:p>
    <w:p>
      <w:pPr>
        <w:ind w:left="460"/>
        <w:spacing w:after="0"/>
        <w:tabs>
          <w:tab w:leader="none" w:pos="6140" w:val="left"/>
        </w:tabs>
        <w:rPr>
          <w:sz w:val="20"/>
          <w:szCs w:val="20"/>
          <w:color w:val="auto"/>
        </w:rPr>
      </w:pPr>
      <w:r>
        <w:rPr>
          <w:rFonts w:ascii="Arial" w:cs="Arial" w:eastAsia="Arial" w:hAnsi="Arial"/>
          <w:sz w:val="18"/>
          <w:szCs w:val="18"/>
          <w:color w:val="auto"/>
        </w:rPr>
        <w:t>the underwriters, at that price less a concession not in excess of $</w:t>
      </w:r>
      <w:r>
        <w:rPr>
          <w:sz w:val="20"/>
          <w:szCs w:val="20"/>
          <w:color w:val="auto"/>
        </w:rPr>
        <w:tab/>
      </w:r>
      <w:r>
        <w:rPr>
          <w:rFonts w:ascii="Arial" w:cs="Arial" w:eastAsia="Arial" w:hAnsi="Arial"/>
          <w:sz w:val="17"/>
          <w:szCs w:val="17"/>
          <w:color w:val="auto"/>
        </w:rPr>
        <w:t>per unit. The underwriters</w:t>
      </w:r>
    </w:p>
    <w:p>
      <w:pPr>
        <w:ind w:left="460"/>
        <w:spacing w:after="0" w:line="235" w:lineRule="auto"/>
        <w:rPr>
          <w:sz w:val="20"/>
          <w:szCs w:val="20"/>
          <w:color w:val="auto"/>
        </w:rPr>
      </w:pPr>
      <w:r>
        <w:rPr>
          <w:rFonts w:ascii="Arial" w:cs="Arial" w:eastAsia="Arial" w:hAnsi="Arial"/>
          <w:sz w:val="18"/>
          <w:szCs w:val="18"/>
          <w:color w:val="auto"/>
        </w:rPr>
        <w:t>may allow, and certain dealers may reallow, a discount from the concession not in excess of $</w:t>
      </w:r>
    </w:p>
    <w:p>
      <w:pPr>
        <w:ind w:left="460"/>
        <w:spacing w:after="0" w:line="235" w:lineRule="auto"/>
        <w:rPr>
          <w:sz w:val="20"/>
          <w:szCs w:val="20"/>
          <w:color w:val="auto"/>
        </w:rPr>
      </w:pPr>
      <w:r>
        <w:rPr>
          <w:rFonts w:ascii="Arial" w:cs="Arial" w:eastAsia="Arial" w:hAnsi="Arial"/>
          <w:sz w:val="18"/>
          <w:szCs w:val="18"/>
          <w:color w:val="auto"/>
        </w:rPr>
        <w:t>per unit to certain brokers and dealers. After the offering, the initial public offering price, concession</w:t>
      </w:r>
    </w:p>
    <w:p>
      <w:pPr>
        <w:ind w:left="460"/>
        <w:spacing w:after="0" w:line="235" w:lineRule="auto"/>
        <w:rPr>
          <w:sz w:val="20"/>
          <w:szCs w:val="20"/>
          <w:color w:val="auto"/>
        </w:rPr>
      </w:pPr>
      <w:r>
        <w:rPr>
          <w:rFonts w:ascii="Arial" w:cs="Arial" w:eastAsia="Arial" w:hAnsi="Arial"/>
          <w:sz w:val="18"/>
          <w:szCs w:val="18"/>
          <w:color w:val="auto"/>
        </w:rPr>
        <w:t>and reallowance to dealers may be reduced by the representative. No such reduction will change the</w:t>
      </w:r>
    </w:p>
    <w:p>
      <w:pPr>
        <w:ind w:left="460"/>
        <w:spacing w:after="0"/>
        <w:rPr>
          <w:sz w:val="20"/>
          <w:szCs w:val="20"/>
          <w:color w:val="auto"/>
        </w:rPr>
      </w:pPr>
      <w:r>
        <w:rPr>
          <w:rFonts w:ascii="Arial" w:cs="Arial" w:eastAsia="Arial" w:hAnsi="Arial"/>
          <w:sz w:val="18"/>
          <w:szCs w:val="18"/>
          <w:color w:val="auto"/>
        </w:rPr>
        <w:t>amount of proceeds to be received by us as set forth on the cover page of this prospectus.</w:t>
      </w:r>
    </w:p>
    <w:p>
      <w:pPr>
        <w:spacing w:after="0" w:line="131" w:lineRule="exact"/>
        <w:rPr>
          <w:sz w:val="20"/>
          <w:szCs w:val="20"/>
          <w:color w:val="auto"/>
        </w:rPr>
      </w:pPr>
    </w:p>
    <w:p>
      <w:pPr>
        <w:ind w:left="460" w:right="619"/>
        <w:spacing w:after="0" w:line="238" w:lineRule="auto"/>
        <w:rPr>
          <w:sz w:val="20"/>
          <w:szCs w:val="20"/>
          <w:color w:val="auto"/>
        </w:rPr>
      </w:pPr>
      <w:r>
        <w:rPr>
          <w:rFonts w:ascii="Arial" w:cs="Arial" w:eastAsia="Arial" w:hAnsi="Arial"/>
          <w:sz w:val="18"/>
          <w:szCs w:val="18"/>
          <w:color w:val="auto"/>
        </w:rPr>
        <w:t>The following table shows the public offering price, the underwriting discounts and commissions that we are to pay the underwriters and the proceeds, before expenses, to us in connection with this offering. Such amounts are shown assuming both no exercise and full exercise of the underwriters’ option to purchase additional units.</w:t>
      </w:r>
    </w:p>
    <w:p>
      <w:pPr>
        <w:spacing w:after="0" w:line="247"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32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400" w:type="dxa"/>
            <w:vAlign w:val="bottom"/>
            <w:gridSpan w:val="5"/>
          </w:tcPr>
          <w:p>
            <w:pPr>
              <w:jc w:val="right"/>
              <w:spacing w:after="0"/>
              <w:rPr>
                <w:sz w:val="20"/>
                <w:szCs w:val="20"/>
                <w:color w:val="auto"/>
              </w:rPr>
            </w:pPr>
            <w:r>
              <w:rPr>
                <w:rFonts w:ascii="Arial" w:cs="Arial" w:eastAsia="Arial" w:hAnsi="Arial"/>
                <w:sz w:val="14"/>
                <w:szCs w:val="14"/>
                <w:b w:val="1"/>
                <w:bCs w:val="1"/>
                <w:color w:val="auto"/>
              </w:rPr>
              <w:t>PAID BY CM LIFE SCIENCES, INC.</w:t>
            </w:r>
          </w:p>
        </w:tc>
      </w:tr>
      <w:tr>
        <w:trPr>
          <w:trHeight w:val="25"/>
        </w:trPr>
        <w:tc>
          <w:tcPr>
            <w:tcW w:w="32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2"/>
        </w:trPr>
        <w:tc>
          <w:tcPr>
            <w:tcW w:w="324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No Exercise</w:t>
            </w:r>
          </w:p>
        </w:tc>
        <w:tc>
          <w:tcPr>
            <w:tcW w:w="140" w:type="dxa"/>
            <w:vAlign w:val="bottom"/>
          </w:tcPr>
          <w:p>
            <w:pPr>
              <w:spacing w:after="0"/>
              <w:rPr>
                <w:sz w:val="21"/>
                <w:szCs w:val="21"/>
                <w:color w:val="auto"/>
              </w:rPr>
            </w:pPr>
          </w:p>
        </w:tc>
        <w:tc>
          <w:tcPr>
            <w:tcW w:w="1060" w:type="dxa"/>
            <w:vAlign w:val="bottom"/>
          </w:tcPr>
          <w:p>
            <w:pPr>
              <w:jc w:val="right"/>
              <w:ind w:right="76"/>
              <w:spacing w:after="0"/>
              <w:rPr>
                <w:sz w:val="20"/>
                <w:szCs w:val="20"/>
                <w:color w:val="auto"/>
              </w:rPr>
            </w:pPr>
            <w:r>
              <w:rPr>
                <w:rFonts w:ascii="Arial" w:cs="Arial" w:eastAsia="Arial" w:hAnsi="Arial"/>
                <w:sz w:val="14"/>
                <w:szCs w:val="14"/>
                <w:b w:val="1"/>
                <w:bCs w:val="1"/>
                <w:color w:val="auto"/>
              </w:rPr>
              <w:t>Full Exercise</w:t>
            </w:r>
          </w:p>
        </w:tc>
      </w:tr>
      <w:tr>
        <w:trPr>
          <w:trHeight w:val="25"/>
        </w:trPr>
        <w:tc>
          <w:tcPr>
            <w:tcW w:w="324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3"/>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Per Unit</w:t>
            </w:r>
            <w:r>
              <w:rPr>
                <w:rFonts w:ascii="Arial" w:cs="Arial" w:eastAsia="Arial" w:hAnsi="Arial"/>
                <w:sz w:val="20"/>
                <w:szCs w:val="20"/>
                <w:color w:val="auto"/>
                <w:vertAlign w:val="superscript"/>
              </w:rPr>
              <w:t>(1)</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r>
      <w:tr>
        <w:trPr>
          <w:trHeight w:val="307"/>
        </w:trPr>
        <w:tc>
          <w:tcPr>
            <w:tcW w:w="3240" w:type="dxa"/>
            <w:vAlign w:val="bottom"/>
          </w:tcPr>
          <w:p>
            <w:pPr>
              <w:spacing w:after="0"/>
              <w:rPr>
                <w:sz w:val="20"/>
                <w:szCs w:val="20"/>
                <w:color w:val="auto"/>
              </w:rPr>
            </w:pPr>
            <w:r>
              <w:rPr>
                <w:rFonts w:ascii="Arial" w:cs="Arial" w:eastAsia="Arial" w:hAnsi="Arial"/>
                <w:sz w:val="18"/>
                <w:szCs w:val="18"/>
                <w:color w:val="auto"/>
              </w:rPr>
              <w:t>Total</w:t>
            </w:r>
            <w:r>
              <w:rPr>
                <w:rFonts w:ascii="Arial" w:cs="Arial" w:eastAsia="Arial" w:hAnsi="Arial"/>
                <w:sz w:val="20"/>
                <w:szCs w:val="20"/>
                <w:color w:val="auto"/>
                <w:vertAlign w:val="superscript"/>
              </w:rPr>
              <w:t>(1)</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19,250,000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22,137,500</w:t>
            </w:r>
          </w:p>
        </w:tc>
      </w:tr>
    </w:tbl>
    <w:p>
      <w:pPr>
        <w:spacing w:after="0" w:line="3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73" w:lineRule="exact"/>
        <w:rPr>
          <w:sz w:val="20"/>
          <w:szCs w:val="20"/>
          <w:color w:val="auto"/>
        </w:rPr>
      </w:pPr>
    </w:p>
    <w:p>
      <w:pPr>
        <w:ind w:left="880" w:right="519" w:hanging="426"/>
        <w:spacing w:after="0" w:line="222" w:lineRule="auto"/>
        <w:tabs>
          <w:tab w:leader="none" w:pos="882" w:val="left"/>
        </w:tabs>
        <w:numPr>
          <w:ilvl w:val="0"/>
          <w:numId w:val="76"/>
        </w:numPr>
        <w:rPr>
          <w:rFonts w:ascii="Arial" w:cs="Arial" w:eastAsia="Arial" w:hAnsi="Arial"/>
          <w:sz w:val="13"/>
          <w:szCs w:val="13"/>
          <w:color w:val="auto"/>
        </w:rPr>
      </w:pPr>
      <w:r>
        <w:rPr>
          <w:rFonts w:ascii="Arial" w:cs="Arial" w:eastAsia="Arial" w:hAnsi="Arial"/>
          <w:sz w:val="13"/>
          <w:szCs w:val="13"/>
          <w:color w:val="auto"/>
        </w:rPr>
        <w:t>$0.20 per unit, or $7,000,000 in the aggregate (or $8,050,000 if the underwriters’ over-allotment option is exercised in full), is payable upon the closing of this offering. Includes $0.35 per unit, or $12,250,000 in the aggregate (or $14,087,500 in the aggregate if the over-allotment option is exercised in full) payable to the underwriters for deferred underwriting commissions will be placed in a trust account located in the United States as described herein. The deferred commissions will be released to the underwriters only on and concurrently with completion of an initial business combination.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42" w:name="page143"/>
    <w:bookmarkEnd w:id="142"/>
    <w:p>
      <w:pPr>
        <w:ind w:left="460" w:right="499"/>
        <w:spacing w:after="0" w:line="237" w:lineRule="auto"/>
        <w:rPr>
          <w:sz w:val="20"/>
          <w:szCs w:val="20"/>
          <w:color w:val="auto"/>
        </w:rPr>
      </w:pPr>
      <w:r>
        <w:rPr>
          <w:rFonts w:ascii="Arial" w:cs="Arial" w:eastAsia="Arial" w:hAnsi="Arial"/>
          <w:sz w:val="18"/>
          <w:szCs w:val="18"/>
          <w:color w:val="auto"/>
        </w:rPr>
        <w:t>If we do not complete our initial business combination within the time period required by our amended and restated certificate of incorporation, the underwriters have agreed that (i) they will forfeit any rights or claims to their deferred underwriting discounts and commissions, including any accrued interest thereon, then in the trust account and (ii) the deferred underwriters’ discounts and commissions will be distributed on a pro rata basis, together with any accrued interest thereon (which interest will be net of taxes payable) to the public shareholders.</w:t>
      </w:r>
    </w:p>
    <w:p>
      <w:pPr>
        <w:spacing w:after="0" w:line="124" w:lineRule="exact"/>
        <w:rPr>
          <w:sz w:val="20"/>
          <w:szCs w:val="20"/>
          <w:color w:val="auto"/>
        </w:rPr>
      </w:pPr>
    </w:p>
    <w:p>
      <w:pPr>
        <w:ind w:left="460" w:right="599"/>
        <w:spacing w:after="0" w:line="261" w:lineRule="auto"/>
        <w:rPr>
          <w:sz w:val="20"/>
          <w:szCs w:val="20"/>
          <w:color w:val="auto"/>
        </w:rPr>
      </w:pPr>
      <w:r>
        <w:rPr>
          <w:rFonts w:ascii="Arial" w:cs="Arial" w:eastAsia="Arial" w:hAnsi="Arial"/>
          <w:sz w:val="17"/>
          <w:szCs w:val="17"/>
          <w:color w:val="auto"/>
        </w:rPr>
        <w:t>We estimate expenses payable by us in connection with this offering, other than the underwriting discounts and commissions referred to above, will be approximately $1,000,000. We have agreed to pay for FINRA-related fees and expenses of the underwriters’ legal counsel, not to exceed $25,000.</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Determination of Offering Price</w:t>
      </w:r>
    </w:p>
    <w:p>
      <w:pPr>
        <w:spacing w:after="0" w:line="166" w:lineRule="exact"/>
        <w:rPr>
          <w:sz w:val="20"/>
          <w:szCs w:val="20"/>
          <w:color w:val="auto"/>
        </w:rPr>
      </w:pPr>
    </w:p>
    <w:p>
      <w:pPr>
        <w:ind w:left="460" w:right="559"/>
        <w:spacing w:after="0" w:line="237" w:lineRule="auto"/>
        <w:rPr>
          <w:sz w:val="20"/>
          <w:szCs w:val="20"/>
          <w:color w:val="auto"/>
        </w:rPr>
      </w:pPr>
      <w:r>
        <w:rPr>
          <w:rFonts w:ascii="Arial" w:cs="Arial" w:eastAsia="Arial" w:hAnsi="Arial"/>
          <w:sz w:val="18"/>
          <w:szCs w:val="18"/>
          <w:color w:val="auto"/>
        </w:rPr>
        <w:t>Prior to this offering, there has not been a public market for our securities. Consequently, the initial public offering price for our units was determined by negotiations between us and the representative. Among the factors considered in these negotiations were the history and prospects of companies whose principal business is the acquisition of other companies, prior offerings of those companies, our management team, our capital structure, and currently prevailing general conditions in equity securities markets, including current market valuations of publicly traded companies considered comparable to our company.</w:t>
      </w:r>
    </w:p>
    <w:p>
      <w:pPr>
        <w:spacing w:after="0" w:line="135" w:lineRule="exact"/>
        <w:rPr>
          <w:sz w:val="20"/>
          <w:szCs w:val="20"/>
          <w:color w:val="auto"/>
        </w:rPr>
      </w:pPr>
    </w:p>
    <w:p>
      <w:pPr>
        <w:ind w:left="460" w:right="599"/>
        <w:spacing w:after="0"/>
        <w:rPr>
          <w:sz w:val="20"/>
          <w:szCs w:val="20"/>
          <w:color w:val="auto"/>
        </w:rPr>
      </w:pPr>
      <w:r>
        <w:rPr>
          <w:rFonts w:ascii="Arial" w:cs="Arial" w:eastAsia="Arial" w:hAnsi="Arial"/>
          <w:sz w:val="18"/>
          <w:szCs w:val="18"/>
          <w:color w:val="auto"/>
        </w:rPr>
        <w:t>We offer no assurances that the initial public offering price will correspond to the price at which the units will trade in the public market subsequent to the offering or that an active trading market for the units will develop and continue after the offering.</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Listing</w:t>
      </w:r>
    </w:p>
    <w:p>
      <w:pPr>
        <w:spacing w:after="0" w:line="153" w:lineRule="exact"/>
        <w:rPr>
          <w:sz w:val="20"/>
          <w:szCs w:val="20"/>
          <w:color w:val="auto"/>
        </w:rPr>
      </w:pPr>
    </w:p>
    <w:p>
      <w:pPr>
        <w:ind w:left="460" w:right="539"/>
        <w:spacing w:after="0" w:line="238" w:lineRule="auto"/>
        <w:rPr>
          <w:sz w:val="20"/>
          <w:szCs w:val="20"/>
          <w:color w:val="auto"/>
        </w:rPr>
      </w:pPr>
      <w:r>
        <w:rPr>
          <w:rFonts w:ascii="Arial" w:cs="Arial" w:eastAsia="Arial" w:hAnsi="Arial"/>
          <w:sz w:val="18"/>
          <w:szCs w:val="18"/>
          <w:color w:val="auto"/>
        </w:rPr>
        <w:t>We intend to apply to have our units listed on Nasdaq under the symbol “CMLFU.” Once the securities comprising the units begin separate trading, we expect that the Class A common stock and warrants will be listed on Nasdaq under the symbols “CMLF” and “CMLFW,” respectively. The units will automatically separate into their component parts and will not be traded following the completion of our initial business combination.</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Option to Purchase Additional Units</w:t>
      </w:r>
    </w:p>
    <w:p>
      <w:pPr>
        <w:spacing w:after="0" w:line="166" w:lineRule="exact"/>
        <w:rPr>
          <w:sz w:val="20"/>
          <w:szCs w:val="20"/>
          <w:color w:val="auto"/>
        </w:rPr>
      </w:pPr>
    </w:p>
    <w:p>
      <w:pPr>
        <w:ind w:left="460" w:right="579"/>
        <w:spacing w:after="0" w:line="236" w:lineRule="auto"/>
        <w:rPr>
          <w:sz w:val="20"/>
          <w:szCs w:val="20"/>
          <w:color w:val="auto"/>
        </w:rPr>
      </w:pPr>
      <w:r>
        <w:rPr>
          <w:rFonts w:ascii="Arial" w:cs="Arial" w:eastAsia="Arial" w:hAnsi="Arial"/>
          <w:sz w:val="18"/>
          <w:szCs w:val="18"/>
          <w:color w:val="auto"/>
        </w:rPr>
        <w:t>We have granted to the underwriters an option, exercisable for 45 days from the date of this prospectus, to purchase, from time to time, in whole or in part, up to an aggregate of 5,250,000 units from us at the public offering price set forth on the cover page of this prospectus, less underwriting discounts and commissions. If the underwriters exercise this option, each underwriter will be obligated, subject to specified conditions, to purchase a number of additional units proportionate to that underwriter’s initial purchase commitment as indicated in the table above. This option may be exercised only if the underwriters sell more units than the total number set forth on the cover page of this prospectus.</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Letter Agreements</w:t>
      </w:r>
    </w:p>
    <w:p>
      <w:pPr>
        <w:spacing w:after="0" w:line="166"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We, our sponsor and our officers and directors have agreed that, for a period of 180 days from the date of this prospectus, we and they will not, without the prior written consent of Jefferies LLC, offer, sell, contract to sell, pledge or otherwise dispose of, directly or indirectly, any units, warrants, shares of Class A common stock or any other securities convertible into, or exercisable, or exchangeable for, Class A common stock; provided, however, that we may (1) issue and sell the private placement warrants, (2) issue and sell the additional units to cover our underwriters’ over-allotment option (if any), (3) register with the SEC pursuant to an agreement to be entered into concurrently with the issuance and sale of the securities in this offering, the resale of the founder shares and the private placement warrants and the securities underlying the foregoing or the warrants and shares of Class A common stock issuable upon exercise of the warrants, and (4) issue securities in connection with an initial business combination (including the sale of any forward purchase shares). Jefferies LLC, in its sole discretion, may release any of the securities subject to these lock-up agreements at any time without notice.</w:t>
      </w:r>
    </w:p>
    <w:p>
      <w:pPr>
        <w:spacing w:after="0" w:line="122" w:lineRule="exact"/>
        <w:rPr>
          <w:sz w:val="20"/>
          <w:szCs w:val="20"/>
          <w:color w:val="auto"/>
        </w:rPr>
      </w:pPr>
    </w:p>
    <w:p>
      <w:pPr>
        <w:ind w:left="460" w:right="499"/>
        <w:spacing w:after="0" w:line="234" w:lineRule="auto"/>
        <w:rPr>
          <w:sz w:val="20"/>
          <w:szCs w:val="20"/>
          <w:color w:val="auto"/>
        </w:rPr>
      </w:pPr>
      <w:r>
        <w:rPr>
          <w:rFonts w:ascii="Arial" w:cs="Arial" w:eastAsia="Arial" w:hAnsi="Arial"/>
          <w:sz w:val="18"/>
          <w:szCs w:val="18"/>
          <w:color w:val="auto"/>
        </w:rPr>
        <w:t>Our initial shareholders have agreed not to transfer, assign or sell any of their founder shares until the earlier to occur of: (A) one year after the completion of our initial business combination and</w:t>
      </w:r>
    </w:p>
    <w:p>
      <w:pPr>
        <w:spacing w:after="0" w:line="1" w:lineRule="exact"/>
        <w:rPr>
          <w:sz w:val="20"/>
          <w:szCs w:val="20"/>
          <w:color w:val="auto"/>
        </w:rPr>
      </w:pPr>
    </w:p>
    <w:p>
      <w:pPr>
        <w:ind w:left="460" w:right="879" w:hanging="6"/>
        <w:spacing w:after="0"/>
        <w:tabs>
          <w:tab w:leader="none" w:pos="750" w:val="left"/>
        </w:tabs>
        <w:numPr>
          <w:ilvl w:val="0"/>
          <w:numId w:val="77"/>
        </w:numPr>
        <w:rPr>
          <w:rFonts w:ascii="Arial" w:cs="Arial" w:eastAsia="Arial" w:hAnsi="Arial"/>
          <w:sz w:val="18"/>
          <w:szCs w:val="18"/>
          <w:color w:val="auto"/>
        </w:rPr>
      </w:pPr>
      <w:r>
        <w:rPr>
          <w:rFonts w:ascii="Arial" w:cs="Arial" w:eastAsia="Arial" w:hAnsi="Arial"/>
          <w:sz w:val="18"/>
          <w:szCs w:val="18"/>
          <w:color w:val="auto"/>
        </w:rPr>
        <w:t>subsequent to our initial business combination, (x) if the closing price of our Class A common stock equals or exceeds $12.00 per share (as adjusted for stock splits, stock capitalizations, reorganizations, recapitalizations and the like) for any 20 trading days within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43" w:name="page144"/>
    <w:bookmarkEnd w:id="143"/>
    <w:p>
      <w:pPr>
        <w:ind w:left="460"/>
        <w:spacing w:after="0"/>
        <w:rPr>
          <w:sz w:val="20"/>
          <w:szCs w:val="20"/>
          <w:color w:val="auto"/>
        </w:rPr>
      </w:pPr>
      <w:r>
        <w:rPr>
          <w:rFonts w:ascii="Arial" w:cs="Arial" w:eastAsia="Arial" w:hAnsi="Arial"/>
          <w:sz w:val="18"/>
          <w:szCs w:val="18"/>
          <w:color w:val="auto"/>
        </w:rPr>
        <w:t>any 30-trading day period commencing at least 150 days after our initial business combination, or</w:t>
      </w:r>
    </w:p>
    <w:p>
      <w:pPr>
        <w:ind w:left="460" w:right="599" w:hanging="6"/>
        <w:spacing w:after="0" w:line="236" w:lineRule="auto"/>
        <w:tabs>
          <w:tab w:leader="none" w:pos="7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date on which we complete a liquidation, merger, capital stock exchange, or other similar transaction that results in all of our public shareholders having the right to exchange their common stock for cash, securities or other property (except as described herein under “Principal Shareholders — Transfers of Founder Shares, Private Placement Warrants and Forward Purchase Shares”). Any permitted transferees will be subject to the same restrictions and other agreements of our sponsor and our management team with respect to any founder shares, private placement warrants and shares of Class A common stock issued upon conversion or exercise thereof. We refer to such transfer restrictions throughout this prospectus as the lock-up.</w:t>
      </w:r>
    </w:p>
    <w:p>
      <w:pPr>
        <w:spacing w:after="0" w:line="127" w:lineRule="exact"/>
        <w:rPr>
          <w:sz w:val="20"/>
          <w:szCs w:val="20"/>
          <w:color w:val="auto"/>
        </w:rPr>
      </w:pPr>
    </w:p>
    <w:p>
      <w:pPr>
        <w:ind w:left="460" w:right="1099"/>
        <w:spacing w:after="0" w:line="248" w:lineRule="auto"/>
        <w:rPr>
          <w:sz w:val="20"/>
          <w:szCs w:val="20"/>
          <w:color w:val="auto"/>
        </w:rPr>
      </w:pPr>
      <w:r>
        <w:rPr>
          <w:rFonts w:ascii="Arial" w:cs="Arial" w:eastAsia="Arial" w:hAnsi="Arial"/>
          <w:sz w:val="17"/>
          <w:szCs w:val="17"/>
          <w:color w:val="auto"/>
        </w:rPr>
        <w:t>The private placement warrants (including the shares of Class A common stock issuable upon exercise of the private placement warrants) will not be transferable, assignable or salable until</w:t>
      </w:r>
    </w:p>
    <w:p>
      <w:pPr>
        <w:spacing w:after="0" w:line="1" w:lineRule="exact"/>
        <w:rPr>
          <w:sz w:val="20"/>
          <w:szCs w:val="20"/>
          <w:color w:val="auto"/>
        </w:rPr>
      </w:pPr>
    </w:p>
    <w:p>
      <w:pPr>
        <w:ind w:left="460" w:right="719"/>
        <w:spacing w:after="0" w:line="238" w:lineRule="auto"/>
        <w:rPr>
          <w:sz w:val="20"/>
          <w:szCs w:val="20"/>
          <w:color w:val="auto"/>
        </w:rPr>
      </w:pPr>
      <w:r>
        <w:rPr>
          <w:rFonts w:ascii="Arial" w:cs="Arial" w:eastAsia="Arial" w:hAnsi="Arial"/>
          <w:sz w:val="18"/>
          <w:szCs w:val="18"/>
          <w:color w:val="auto"/>
        </w:rPr>
        <w:t>30 days after the completion of our initial business combination (except with respect to permitted transferees as described herein under the section of this prospectus entitled “Principal Shareholders — Transfers of Founder Shares, Private Placement Warrants and Forward Purchase Shares”).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Stabilization</w:t>
      </w:r>
    </w:p>
    <w:p>
      <w:pPr>
        <w:spacing w:after="0" w:line="166" w:lineRule="exact"/>
        <w:rPr>
          <w:sz w:val="20"/>
          <w:szCs w:val="20"/>
          <w:color w:val="auto"/>
        </w:rPr>
      </w:pPr>
    </w:p>
    <w:p>
      <w:pPr>
        <w:ind w:left="460" w:right="519"/>
        <w:spacing w:after="0" w:line="237" w:lineRule="auto"/>
        <w:rPr>
          <w:sz w:val="20"/>
          <w:szCs w:val="20"/>
          <w:color w:val="auto"/>
        </w:rPr>
      </w:pPr>
      <w:r>
        <w:rPr>
          <w:rFonts w:ascii="Arial" w:cs="Arial" w:eastAsia="Arial" w:hAnsi="Arial"/>
          <w:sz w:val="18"/>
          <w:szCs w:val="18"/>
          <w:color w:val="auto"/>
        </w:rPr>
        <w:t>The underwriters have advised us that they, pursuant to Regulation M under the Exchange Act, and certain persons participating in the offering may engage in short sale transactions, stabilizing transactions, syndicate covering transactions or the imposition of penalty bids in connection with this offering. These activities may have the effect of stabilizing or maintaining the market price of the units at a level above that which might otherwise prevail in the open market. Establishing short sales positions may involve either “covered” short sales or “naked” short sales.</w:t>
      </w:r>
    </w:p>
    <w:p>
      <w:pPr>
        <w:spacing w:after="0" w:line="137" w:lineRule="exact"/>
        <w:rPr>
          <w:sz w:val="20"/>
          <w:szCs w:val="20"/>
          <w:color w:val="auto"/>
        </w:rPr>
      </w:pPr>
    </w:p>
    <w:p>
      <w:pPr>
        <w:ind w:left="460" w:right="479"/>
        <w:spacing w:after="0" w:line="253" w:lineRule="auto"/>
        <w:rPr>
          <w:sz w:val="20"/>
          <w:szCs w:val="20"/>
          <w:color w:val="auto"/>
        </w:rPr>
      </w:pPr>
      <w:r>
        <w:rPr>
          <w:rFonts w:ascii="Arial" w:cs="Arial" w:eastAsia="Arial" w:hAnsi="Arial"/>
          <w:sz w:val="17"/>
          <w:szCs w:val="17"/>
          <w:color w:val="auto"/>
        </w:rPr>
        <w:t>“Covered” short sales are sales made in an amount not greater than the underwriters’ option to purchase additional units in this offering. The underwriters may close out any covered short position by either exercising their option to purchase additional units or purchasing units in the open market. In determining the source of units to close out the covered short position, the underwriters will consider, among other things, the price of units available for purchase in the open market as compared to the price at which they may purchase units through the option to purchase additional units.</w:t>
      </w:r>
    </w:p>
    <w:p>
      <w:pPr>
        <w:spacing w:after="0" w:line="114" w:lineRule="exact"/>
        <w:rPr>
          <w:sz w:val="20"/>
          <w:szCs w:val="20"/>
          <w:color w:val="auto"/>
        </w:rPr>
      </w:pPr>
    </w:p>
    <w:p>
      <w:pPr>
        <w:ind w:left="460" w:right="499"/>
        <w:spacing w:after="0" w:line="238" w:lineRule="auto"/>
        <w:rPr>
          <w:sz w:val="20"/>
          <w:szCs w:val="20"/>
          <w:color w:val="auto"/>
        </w:rPr>
      </w:pPr>
      <w:r>
        <w:rPr>
          <w:rFonts w:ascii="Arial" w:cs="Arial" w:eastAsia="Arial" w:hAnsi="Arial"/>
          <w:sz w:val="18"/>
          <w:szCs w:val="18"/>
          <w:color w:val="auto"/>
        </w:rPr>
        <w:t>“Naked” short sales are sales in excess of the option to purchase additional units. The underwriters must close out any naked short position by purchasing units in the open market. A naked short position is more likely to be created if the underwriters are concerned that there may be downward pressure on the price of our units in the open market after pricing that could adversely affect investors who purchase in this offering.</w:t>
      </w:r>
    </w:p>
    <w:p>
      <w:pPr>
        <w:spacing w:after="0" w:line="135" w:lineRule="exact"/>
        <w:rPr>
          <w:sz w:val="20"/>
          <w:szCs w:val="20"/>
          <w:color w:val="auto"/>
        </w:rPr>
      </w:pPr>
    </w:p>
    <w:p>
      <w:pPr>
        <w:ind w:left="460" w:right="459"/>
        <w:spacing w:after="0" w:line="236" w:lineRule="auto"/>
        <w:rPr>
          <w:sz w:val="20"/>
          <w:szCs w:val="20"/>
          <w:color w:val="auto"/>
        </w:rPr>
      </w:pPr>
      <w:r>
        <w:rPr>
          <w:rFonts w:ascii="Arial" w:cs="Arial" w:eastAsia="Arial" w:hAnsi="Arial"/>
          <w:sz w:val="18"/>
          <w:szCs w:val="18"/>
          <w:color w:val="auto"/>
        </w:rPr>
        <w:t>A stabilizing bid is a bid for the purchase of units on behalf of the underwriters for the purpose of fixing or maintaining the price of the units. A syndicate covering transaction is the bid for or the purchase of units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units or preventing or retarding a decline in the market price of our units. As a result, the price of our units may be higher than the price that might otherwise exist in the open market. A penalty bid is an arrangement permitting the underwriters to reclaim the selling concession otherwise accruing to a syndicate member in connection with the offering if the units originally sold by such syndicate member are purchased in a syndicate covering transaction and therefore have not been effectively placed by such syndicate member.</w:t>
      </w:r>
    </w:p>
    <w:p>
      <w:pPr>
        <w:spacing w:after="0" w:line="137"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Neither we nor any of the underwriters make any representation or prediction as to the direction or magnitude of any effect that the transactions described above may have on the price of our units. The underwriters are not obligated to engage in these activities and, if commenced, any of the activities may be discontinued at any time.</w:t>
      </w:r>
    </w:p>
    <w:p>
      <w:pPr>
        <w:spacing w:after="0" w:line="124" w:lineRule="exact"/>
        <w:rPr>
          <w:sz w:val="20"/>
          <w:szCs w:val="20"/>
          <w:color w:val="auto"/>
        </w:rPr>
      </w:pPr>
    </w:p>
    <w:p>
      <w:pPr>
        <w:ind w:left="460" w:right="579"/>
        <w:spacing w:after="0" w:line="237" w:lineRule="auto"/>
        <w:rPr>
          <w:sz w:val="20"/>
          <w:szCs w:val="20"/>
          <w:color w:val="auto"/>
        </w:rPr>
      </w:pPr>
      <w:r>
        <w:rPr>
          <w:rFonts w:ascii="Arial" w:cs="Arial" w:eastAsia="Arial" w:hAnsi="Arial"/>
          <w:sz w:val="18"/>
          <w:szCs w:val="18"/>
          <w:color w:val="auto"/>
        </w:rPr>
        <w:t>The underwriters may also engage in passive market making transactions in our units on Nasdaq in accordance with Rule 103 of Regulation M during a period before the commencement of offers or sales of our units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144" w:name="page145"/>
    <w:bookmarkEnd w:id="144"/>
    <w:p>
      <w:pPr>
        <w:ind w:left="460"/>
        <w:spacing w:after="0"/>
        <w:rPr>
          <w:sz w:val="20"/>
          <w:szCs w:val="20"/>
          <w:color w:val="auto"/>
        </w:rPr>
      </w:pPr>
      <w:r>
        <w:rPr>
          <w:rFonts w:ascii="Arial" w:cs="Arial" w:eastAsia="Arial" w:hAnsi="Arial"/>
          <w:sz w:val="18"/>
          <w:szCs w:val="18"/>
          <w:b w:val="1"/>
          <w:bCs w:val="1"/>
          <w:color w:val="auto"/>
        </w:rPr>
        <w:t>Electronic Distribution</w:t>
      </w:r>
    </w:p>
    <w:p>
      <w:pPr>
        <w:spacing w:after="0" w:line="166" w:lineRule="exact"/>
        <w:rPr>
          <w:sz w:val="20"/>
          <w:szCs w:val="20"/>
          <w:color w:val="auto"/>
        </w:rPr>
      </w:pPr>
    </w:p>
    <w:p>
      <w:pPr>
        <w:ind w:left="460" w:right="559"/>
        <w:spacing w:after="0" w:line="236" w:lineRule="auto"/>
        <w:rPr>
          <w:sz w:val="20"/>
          <w:szCs w:val="20"/>
          <w:color w:val="auto"/>
        </w:rPr>
      </w:pPr>
      <w:r>
        <w:rPr>
          <w:rFonts w:ascii="Arial" w:cs="Arial" w:eastAsia="Arial" w:hAnsi="Arial"/>
          <w:sz w:val="18"/>
          <w:szCs w:val="18"/>
          <w:color w:val="auto"/>
        </w:rPr>
        <w:t>A prospectus in electronic format may be made available by e-mail or on the websites or through online services maintained by one or more of the underwriters or their affiliates. In those cases, prospective investors may view offering terms online and may be allowed to place orders online. The underwriters may agree with us to allocate a specific number of units for sale to online brokerage account holders. Any such allocation for online distributions will be made by the underwriters on the same basis as other allocations. Other than the prospectus in electronic format, the information on the underwriters’ websites and any information contained in any other website maintained by any of the underwriters is not part of this prospectus, has not been approved and/or endorsed by us or the underwriters and should not be relied upon by investors.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 Activities and Relationships</w:t>
      </w:r>
    </w:p>
    <w:p>
      <w:pPr>
        <w:spacing w:after="0" w:line="153" w:lineRule="exact"/>
        <w:rPr>
          <w:sz w:val="20"/>
          <w:szCs w:val="20"/>
          <w:color w:val="auto"/>
        </w:rPr>
      </w:pPr>
    </w:p>
    <w:p>
      <w:pPr>
        <w:ind w:left="460" w:right="459"/>
        <w:spacing w:after="0" w:line="236" w:lineRule="auto"/>
        <w:rPr>
          <w:sz w:val="20"/>
          <w:szCs w:val="20"/>
          <w:color w:val="auto"/>
        </w:rPr>
      </w:pPr>
      <w:r>
        <w:rPr>
          <w:rFonts w:ascii="Arial" w:cs="Arial" w:eastAsia="Arial" w:hAnsi="Arial"/>
          <w:sz w:val="18"/>
          <w:szCs w:val="18"/>
          <w:color w:val="auto"/>
        </w:rPr>
        <w:t>We are not under any contractual obligation to engage any of the underwriters to provide any services for us after this offering, and have no present intent to do so. However, any of the underwriters may introduce us to potential target businesses or assist us in raising additional capital in the future. If any of the underwriters provide services to us after this offering, we may pay such underwriter fair and reasonable fees that would be determined at that time in an arm’s length negotiation; provided that no agreement will be entered into with any of the underwriters and no fees for such services will be paid to any of the underwriters prior to the date that is 90 days from the date of this prospectus, unless FINRA determines that such payment would not be deemed underwriters’ compensation in connection with this offering and we may pay the underwriters of this offering or any entity with which they are affiliated a finder’s fee or other compensation for services rendered to us in connection with the completion of a business combination.</w:t>
      </w:r>
    </w:p>
    <w:p>
      <w:pPr>
        <w:spacing w:after="0" w:line="137" w:lineRule="exact"/>
        <w:rPr>
          <w:sz w:val="20"/>
          <w:szCs w:val="20"/>
          <w:color w:val="auto"/>
        </w:rPr>
      </w:pPr>
    </w:p>
    <w:p>
      <w:pPr>
        <w:ind w:left="460" w:right="459"/>
        <w:spacing w:after="0" w:line="253" w:lineRule="auto"/>
        <w:rPr>
          <w:sz w:val="20"/>
          <w:szCs w:val="20"/>
          <w:color w:val="auto"/>
        </w:rPr>
      </w:pPr>
      <w:r>
        <w:rPr>
          <w:rFonts w:ascii="Arial" w:cs="Arial" w:eastAsia="Arial" w:hAnsi="Arial"/>
          <w:sz w:val="17"/>
          <w:szCs w:val="17"/>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affiliates have, from time to time, performed, and may in the future perform, various commercial and investment banking and financial advisory services for us and our affiliates, for which they received or will receive customary fees and expenses.</w:t>
      </w:r>
    </w:p>
    <w:p>
      <w:pPr>
        <w:spacing w:after="0" w:line="127"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Selling Restrictions</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Canada</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Resale Restrictions</w:t>
      </w:r>
    </w:p>
    <w:p>
      <w:pPr>
        <w:spacing w:after="0" w:line="144"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The distribution of the securities in Canada is being made only in the provinces of Ontario, Quebec, Alberta and British Columbia on a private placement basis exempt from the requirement that we prepare and file a prospectus with the securities regulatory authorities in each province where trades of these securities are made. Any resale of the securities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securities.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45" w:name="page146"/>
    <w:bookmarkEnd w:id="145"/>
    <w:p>
      <w:pPr>
        <w:ind w:left="460"/>
        <w:spacing w:after="0"/>
        <w:rPr>
          <w:sz w:val="20"/>
          <w:szCs w:val="20"/>
          <w:color w:val="auto"/>
        </w:rPr>
      </w:pPr>
      <w:r>
        <w:rPr>
          <w:rFonts w:ascii="Arial" w:cs="Arial" w:eastAsia="Arial" w:hAnsi="Arial"/>
          <w:sz w:val="18"/>
          <w:szCs w:val="18"/>
          <w:color w:val="auto"/>
        </w:rPr>
        <w:t>Representations of Canadian Purchasers</w:t>
      </w:r>
    </w:p>
    <w:p>
      <w:pPr>
        <w:spacing w:after="0" w:line="131" w:lineRule="exact"/>
        <w:rPr>
          <w:sz w:val="20"/>
          <w:szCs w:val="20"/>
          <w:color w:val="auto"/>
        </w:rPr>
      </w:pPr>
    </w:p>
    <w:p>
      <w:pPr>
        <w:ind w:left="460" w:right="519"/>
        <w:spacing w:after="0" w:line="273" w:lineRule="auto"/>
        <w:rPr>
          <w:sz w:val="20"/>
          <w:szCs w:val="20"/>
          <w:color w:val="auto"/>
        </w:rPr>
      </w:pPr>
      <w:r>
        <w:rPr>
          <w:rFonts w:ascii="Arial" w:cs="Arial" w:eastAsia="Arial" w:hAnsi="Arial"/>
          <w:sz w:val="17"/>
          <w:szCs w:val="17"/>
          <w:color w:val="auto"/>
        </w:rPr>
        <w:t>By purchasing the securities in Canada and accepting delivery of a purchase confirmation, a purchaser is representing to us and the dealer from whom the purchase confirmation is received that:</w:t>
      </w:r>
    </w:p>
    <w:p>
      <w:pPr>
        <w:spacing w:after="0" w:line="1" w:lineRule="exact"/>
        <w:rPr>
          <w:sz w:val="20"/>
          <w:szCs w:val="20"/>
          <w:color w:val="auto"/>
        </w:rPr>
      </w:pPr>
    </w:p>
    <w:p>
      <w:pPr>
        <w:jc w:val="both"/>
        <w:ind w:left="1100" w:right="479" w:hanging="322"/>
        <w:spacing w:after="0"/>
        <w:tabs>
          <w:tab w:leader="none" w:pos="1096"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the purchaser is entitled under applicable provincial securities laws to purchase the securities without the benefit of a prospectus qualified under those securities laws as it is an “accredited investor” as defined under National Instrument 45-106 — </w:t>
      </w:r>
      <w:r>
        <w:rPr>
          <w:rFonts w:ascii="Arial" w:cs="Arial" w:eastAsia="Arial" w:hAnsi="Arial"/>
          <w:sz w:val="18"/>
          <w:szCs w:val="18"/>
          <w:i w:val="1"/>
          <w:iCs w:val="1"/>
          <w:color w:val="auto"/>
        </w:rPr>
        <w:t>Prospectus Exemptions</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100" w:right="579" w:hanging="322"/>
        <w:spacing w:after="0" w:line="260" w:lineRule="auto"/>
        <w:tabs>
          <w:tab w:leader="none" w:pos="1096"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the purchaser is a “permitted client” as defined in National Instrument 31-103 — </w:t>
      </w:r>
      <w:r>
        <w:rPr>
          <w:rFonts w:ascii="Arial" w:cs="Arial" w:eastAsia="Arial" w:hAnsi="Arial"/>
          <w:sz w:val="18"/>
          <w:szCs w:val="18"/>
          <w:i w:val="1"/>
          <w:iCs w:val="1"/>
          <w:color w:val="auto"/>
        </w:rPr>
        <w:t>Registration</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Requirements, Exemptions and Ongoing Registrant Obligations</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1080" w:hanging="30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where required by law, the purchaser is purchasing as principal and not as agent; and</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purchaser has reviewed the text above under Resale Restrictions.</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Conflicts of Interest</w:t>
      </w:r>
    </w:p>
    <w:p>
      <w:pPr>
        <w:spacing w:after="0" w:line="144" w:lineRule="exact"/>
        <w:rPr>
          <w:sz w:val="20"/>
          <w:szCs w:val="20"/>
          <w:color w:val="auto"/>
        </w:rPr>
      </w:pPr>
    </w:p>
    <w:p>
      <w:pPr>
        <w:ind w:left="460" w:right="519"/>
        <w:spacing w:after="0"/>
        <w:rPr>
          <w:sz w:val="20"/>
          <w:szCs w:val="20"/>
          <w:color w:val="auto"/>
        </w:rPr>
      </w:pPr>
      <w:r>
        <w:rPr>
          <w:rFonts w:ascii="Arial" w:cs="Arial" w:eastAsia="Arial" w:hAnsi="Arial"/>
          <w:sz w:val="18"/>
          <w:szCs w:val="18"/>
          <w:color w:val="auto"/>
        </w:rPr>
        <w:t xml:space="preserve">Canadian purchasers are hereby notified that the underwriters are relying on the exemption set out in section 3A.3 or 3A.4, if applicable, of National Instrument 33-105 —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from having to provide certain conflict of interest disclosure in this document.</w:t>
      </w:r>
    </w:p>
    <w:p>
      <w:pPr>
        <w:spacing w:after="0" w:line="2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Statutory Rights of Action</w:t>
      </w:r>
    </w:p>
    <w:p>
      <w:pPr>
        <w:spacing w:after="0" w:line="131" w:lineRule="exact"/>
        <w:rPr>
          <w:sz w:val="20"/>
          <w:szCs w:val="20"/>
          <w:color w:val="auto"/>
        </w:rPr>
      </w:pPr>
    </w:p>
    <w:p>
      <w:pPr>
        <w:ind w:left="460" w:right="519"/>
        <w:spacing w:after="0" w:line="23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the prospectus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2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Enforcement of Legal Rights</w:t>
      </w:r>
    </w:p>
    <w:p>
      <w:pPr>
        <w:spacing w:after="0" w:line="144" w:lineRule="exact"/>
        <w:rPr>
          <w:sz w:val="20"/>
          <w:szCs w:val="20"/>
          <w:color w:val="auto"/>
        </w:rPr>
      </w:pPr>
    </w:p>
    <w:p>
      <w:pPr>
        <w:ind w:left="460" w:right="599"/>
        <w:spacing w:after="0" w:line="237" w:lineRule="auto"/>
        <w:rPr>
          <w:sz w:val="20"/>
          <w:szCs w:val="20"/>
          <w:color w:val="auto"/>
        </w:rPr>
      </w:pPr>
      <w:r>
        <w:rPr>
          <w:rFonts w:ascii="Arial" w:cs="Arial" w:eastAsia="Arial" w:hAnsi="Arial"/>
          <w:sz w:val="18"/>
          <w:szCs w:val="18"/>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Taxation and Eligibility for Investment</w:t>
      </w:r>
    </w:p>
    <w:p>
      <w:pPr>
        <w:spacing w:after="0" w:line="144" w:lineRule="exact"/>
        <w:rPr>
          <w:sz w:val="20"/>
          <w:szCs w:val="20"/>
          <w:color w:val="auto"/>
        </w:rPr>
      </w:pPr>
    </w:p>
    <w:p>
      <w:pPr>
        <w:ind w:left="460" w:right="559"/>
        <w:spacing w:after="0" w:line="261" w:lineRule="auto"/>
        <w:rPr>
          <w:sz w:val="20"/>
          <w:szCs w:val="20"/>
          <w:color w:val="auto"/>
        </w:rPr>
      </w:pPr>
      <w:r>
        <w:rPr>
          <w:rFonts w:ascii="Arial" w:cs="Arial" w:eastAsia="Arial" w:hAnsi="Arial"/>
          <w:sz w:val="17"/>
          <w:szCs w:val="17"/>
          <w:color w:val="auto"/>
        </w:rPr>
        <w:t>Canadian purchasers of the securities should consult their own legal and tax advisors with respect to the tax consequences of an investment in the securities in their particular circumstances and about the eligibility of the securities for investment by the purchaser under relevant Canadian legislation.</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Australia</w:t>
      </w:r>
    </w:p>
    <w:p>
      <w:pPr>
        <w:spacing w:after="0" w:line="153" w:lineRule="exact"/>
        <w:rPr>
          <w:sz w:val="20"/>
          <w:szCs w:val="20"/>
          <w:color w:val="auto"/>
        </w:rPr>
      </w:pPr>
    </w:p>
    <w:p>
      <w:pPr>
        <w:ind w:left="460" w:right="699"/>
        <w:spacing w:after="0" w:line="238" w:lineRule="auto"/>
        <w:rPr>
          <w:sz w:val="20"/>
          <w:szCs w:val="20"/>
          <w:color w:val="auto"/>
        </w:rPr>
      </w:pPr>
      <w:r>
        <w:rPr>
          <w:rFonts w:ascii="Arial" w:cs="Arial" w:eastAsia="Arial" w:hAnsi="Arial"/>
          <w:sz w:val="18"/>
          <w:szCs w:val="18"/>
          <w:color w:val="auto"/>
        </w:rPr>
        <w:t>This prospectus is not a disclosure document for the purposes of Australia’s Corporations Act 2001 (Cth) of Australia, or Corporations Act, has not been lodged with the Australian Securities &amp; Investments Commission and is only directed to the categories of exempt persons set out below. Accordingly, if you receive this prospectus in Australia:</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confirm and warrant that you are either:</w:t>
      </w:r>
    </w:p>
    <w:p>
      <w:pPr>
        <w:spacing w:after="0" w:line="36" w:lineRule="exact"/>
        <w:rPr>
          <w:sz w:val="20"/>
          <w:szCs w:val="20"/>
          <w:color w:val="auto"/>
        </w:rPr>
      </w:pPr>
    </w:p>
    <w:p>
      <w:pPr>
        <w:ind w:left="1100" w:hanging="322"/>
        <w:spacing w:after="0"/>
        <w:tabs>
          <w:tab w:leader="none" w:pos="11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“sophisticated investor” under section 708(8)(a) or (b) of the Corporations Act;</w:t>
      </w:r>
    </w:p>
    <w:p>
      <w:pPr>
        <w:spacing w:after="0" w:line="22" w:lineRule="exact"/>
        <w:rPr>
          <w:rFonts w:ascii="Arial" w:cs="Arial" w:eastAsia="Arial" w:hAnsi="Arial"/>
          <w:sz w:val="18"/>
          <w:szCs w:val="18"/>
          <w:color w:val="auto"/>
        </w:rPr>
      </w:pPr>
    </w:p>
    <w:p>
      <w:pPr>
        <w:ind w:left="1100" w:right="599" w:hanging="322"/>
        <w:spacing w:after="0" w:line="238" w:lineRule="auto"/>
        <w:tabs>
          <w:tab w:leader="none" w:pos="1096"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w:t>
      </w:r>
    </w:p>
    <w:p>
      <w:pPr>
        <w:spacing w:after="0" w:line="29" w:lineRule="exact"/>
        <w:rPr>
          <w:rFonts w:ascii="Arial" w:cs="Arial" w:eastAsia="Arial" w:hAnsi="Arial"/>
          <w:sz w:val="18"/>
          <w:szCs w:val="18"/>
          <w:color w:val="auto"/>
        </w:rPr>
      </w:pPr>
    </w:p>
    <w:p>
      <w:pPr>
        <w:ind w:left="1080" w:hanging="30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person associated with the Company under Section 708(12) of the Corporations Act; or</w:t>
      </w:r>
    </w:p>
    <w:p>
      <w:pPr>
        <w:spacing w:after="0" w:line="36" w:lineRule="exact"/>
        <w:rPr>
          <w:rFonts w:ascii="Arial" w:cs="Arial" w:eastAsia="Arial" w:hAnsi="Arial"/>
          <w:sz w:val="18"/>
          <w:szCs w:val="18"/>
          <w:color w:val="auto"/>
        </w:rPr>
      </w:pPr>
    </w:p>
    <w:p>
      <w:pPr>
        <w:ind w:left="1100" w:right="679" w:hanging="322"/>
        <w:spacing w:after="0" w:line="246" w:lineRule="auto"/>
        <w:tabs>
          <w:tab w:leader="none" w:pos="1096"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“professional investor” within the meaning of section 708(11)(a) or (b) of the Corporations Act.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46" w:name="page147"/>
    <w:bookmarkEnd w:id="146"/>
    <w:p>
      <w:pPr>
        <w:ind w:left="460" w:right="539"/>
        <w:spacing w:after="0"/>
        <w:rPr>
          <w:sz w:val="20"/>
          <w:szCs w:val="20"/>
          <w:color w:val="auto"/>
        </w:rPr>
      </w:pPr>
      <w:r>
        <w:rPr>
          <w:rFonts w:ascii="Arial" w:cs="Arial" w:eastAsia="Arial" w:hAnsi="Arial"/>
          <w:sz w:val="18"/>
          <w:szCs w:val="18"/>
          <w:color w:val="auto"/>
        </w:rPr>
        <w:t>To the extent that you are unable to confirm or warrant that you are an exempt sophisticated investor, associated person or professional investor under the Corporations Act any offer made to you under this prospectus is void and incapable of acceptance.</w:t>
      </w:r>
    </w:p>
    <w:p>
      <w:pPr>
        <w:spacing w:after="0" w:line="122" w:lineRule="exact"/>
        <w:rPr>
          <w:sz w:val="20"/>
          <w:szCs w:val="20"/>
          <w:color w:val="auto"/>
        </w:rPr>
      </w:pPr>
    </w:p>
    <w:p>
      <w:pPr>
        <w:ind w:left="460" w:right="619"/>
        <w:spacing w:after="0" w:line="238" w:lineRule="auto"/>
        <w:rPr>
          <w:sz w:val="20"/>
          <w:szCs w:val="20"/>
          <w:color w:val="auto"/>
        </w:rPr>
      </w:pPr>
      <w:r>
        <w:rPr>
          <w:rFonts w:ascii="Arial" w:cs="Arial" w:eastAsia="Arial" w:hAnsi="Arial"/>
          <w:sz w:val="18"/>
          <w:szCs w:val="18"/>
          <w:color w:val="auto"/>
        </w:rPr>
        <w:t>You warrant and agree that you will not offer any of the securities issued to you pursuant to this prospectus for resale in Australia within 12 months of those securities being issued unless any such resale offer is exempt from the requirement to issue a disclosure document under section 708 of the Corporations Act.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66"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The units are not intended to be offered or sold to and should not be offered or sold to any retail investor in the European Economic Area (the “EEA”). For these purposes, a retail investor means a person who is one (or more) of: (i) a retail client as defined in point (11) of Article 4(1) of Directive 2014/65/EU, as amended (“MiFID II”); or (ii) a customer within the meaning of Directive 2002/92/EC, as amended (the “Insurance Mediation Directive”), where that customer would not qualify as a professional client as defined in point (10) of Article 4(1) of MiFID II; or (iii) not a qualified investor as defined in the Directive 2003/71/EC (as amended, the “Prospectus Directive”). No key information document required by Regulation (EU) No 1286/2014, as amended (the “PRIIPs Regulation”) for offering or selling the units or otherwise making them available to retail investors in the EEA has been prepared. Offering or selling the units or otherwise making them available to any retail investor in the EEA may be unlawful under the PRIIPS Regulation. This prospectus has been prepared on the basis that any offer of the units in any member state of the EEA will be made pursuant to an exemption under the Prospectus Directive from a requirement to publish a prospectus for offers of units. This prospectus is not a prospectus for the purpose of the Prospectus Directive.</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Hong Kong</w:t>
      </w:r>
    </w:p>
    <w:p>
      <w:pPr>
        <w:spacing w:after="0" w:line="166" w:lineRule="exact"/>
        <w:rPr>
          <w:sz w:val="20"/>
          <w:szCs w:val="20"/>
          <w:color w:val="auto"/>
        </w:rPr>
      </w:pPr>
    </w:p>
    <w:p>
      <w:pPr>
        <w:ind w:left="460" w:right="539"/>
        <w:spacing w:after="0" w:line="236" w:lineRule="auto"/>
        <w:rPr>
          <w:sz w:val="20"/>
          <w:szCs w:val="20"/>
          <w:color w:val="auto"/>
        </w:rPr>
      </w:pPr>
      <w:r>
        <w:rPr>
          <w:rFonts w:ascii="Arial" w:cs="Arial" w:eastAsia="Arial" w:hAnsi="Arial"/>
          <w:sz w:val="18"/>
          <w:szCs w:val="18"/>
          <w:color w:val="auto"/>
        </w:rPr>
        <w:t>No securities have been offered or sold, and no securities may be offered or sold, in Hong Kong, by means of any document, other than to persons whose ordinary business is to buy or sell shares or debentures, whether as principal or agent; or to “professional investors” as defined in the Securities and Futures Ordinance (Cap. 571) of Hong Kong (“SFO”) and any rules made under that Ordinance; or in other circumstances which do not result in the document being a “prospectus” as defined in the Companies Ordinance (Cap. 32) of Hong Kong (“CO”) or which do not constitute an offer or invitation to the public for the purpose of the CO or the SFO. No document, invitation or advertisement relating to the securities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securities which are or are intended to be disposed of only to persons outside Hong Kong or only to “professional investors” as defined in the SFO and any rules made under that Ordinance.</w:t>
      </w:r>
    </w:p>
    <w:p>
      <w:pPr>
        <w:spacing w:after="0" w:line="122" w:lineRule="exact"/>
        <w:rPr>
          <w:sz w:val="20"/>
          <w:szCs w:val="20"/>
          <w:color w:val="auto"/>
        </w:rPr>
      </w:pPr>
    </w:p>
    <w:p>
      <w:pPr>
        <w:ind w:left="460" w:right="539"/>
        <w:spacing w:after="0" w:line="237" w:lineRule="auto"/>
        <w:rPr>
          <w:sz w:val="20"/>
          <w:szCs w:val="20"/>
          <w:color w:val="auto"/>
        </w:rPr>
      </w:pPr>
      <w:r>
        <w:rPr>
          <w:rFonts w:ascii="Arial" w:cs="Arial" w:eastAsia="Arial" w:hAnsi="Arial"/>
          <w:sz w:val="18"/>
          <w:szCs w:val="18"/>
          <w:color w:val="auto"/>
        </w:rPr>
        <w:t>This prospectus has not been registered with the Registrar of Companies in Hong Kong. Accordingly, this prospectus may not be issued, circulated or distributed in Hong Kong, and the securities may not be offered for subscription to members of the public in Hong Kong. Each person acquiring the securities will be required, and is deemed by the acquisition of the securities, to confirm that he is aware of the restriction on offers of the securities described in this prospectus and the relevant offering documents and that he is not acquiring, and has not been offered any securities in circumstances that contravene any such restrictions.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Israel</w:t>
      </w:r>
    </w:p>
    <w:p>
      <w:pPr>
        <w:spacing w:after="0" w:line="166" w:lineRule="exact"/>
        <w:rPr>
          <w:sz w:val="20"/>
          <w:szCs w:val="20"/>
          <w:color w:val="auto"/>
        </w:rPr>
      </w:pPr>
    </w:p>
    <w:p>
      <w:pPr>
        <w:ind w:left="460" w:right="679"/>
        <w:spacing w:after="0" w:line="234" w:lineRule="auto"/>
        <w:rPr>
          <w:sz w:val="20"/>
          <w:szCs w:val="20"/>
          <w:color w:val="auto"/>
        </w:rPr>
      </w:pPr>
      <w:r>
        <w:rPr>
          <w:rFonts w:ascii="Arial" w:cs="Arial" w:eastAsia="Arial" w:hAnsi="Arial"/>
          <w:sz w:val="18"/>
          <w:szCs w:val="18"/>
          <w:color w:val="auto"/>
        </w:rPr>
        <w:t>This document does not constitute a prospectus under the Israeli Securities Law, 5728-1968, or the Securities Law, and has not been filed with or approved by the Israel Securities Authority. In Israel, this prospectus is being distributed only to, and is directed only at, and any offer of the units is directed only at, (i) a limited number of persons in accordance with the Israeli Securities Law and</w:t>
      </w:r>
    </w:p>
    <w:p>
      <w:pPr>
        <w:spacing w:after="0" w:line="3" w:lineRule="exact"/>
        <w:rPr>
          <w:sz w:val="20"/>
          <w:szCs w:val="20"/>
          <w:color w:val="auto"/>
        </w:rPr>
      </w:pPr>
    </w:p>
    <w:p>
      <w:pPr>
        <w:ind w:left="460" w:right="719" w:hanging="6"/>
        <w:spacing w:after="0" w:line="237" w:lineRule="auto"/>
        <w:tabs>
          <w:tab w:leader="none" w:pos="71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47" w:name="page148"/>
    <w:bookmarkEnd w:id="147"/>
    <w:p>
      <w:pPr>
        <w:jc w:val="both"/>
        <w:ind w:left="460" w:right="619"/>
        <w:spacing w:after="0"/>
        <w:rPr>
          <w:sz w:val="20"/>
          <w:szCs w:val="20"/>
          <w:color w:val="auto"/>
        </w:rPr>
      </w:pPr>
      <w:r>
        <w:rPr>
          <w:rFonts w:ascii="Arial" w:cs="Arial" w:eastAsia="Arial" w:hAnsi="Arial"/>
          <w:sz w:val="18"/>
          <w:szCs w:val="18"/>
          <w:color w:val="auto"/>
        </w:rPr>
        <w:t>clients who are investors listed in the Addendum). Qualified investors are required to submit written confirmation that they fall within the scope of the Addendum, are aware of the meaning of same and agree to it.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Japan</w:t>
      </w:r>
    </w:p>
    <w:p>
      <w:pPr>
        <w:spacing w:after="0" w:line="153" w:lineRule="exact"/>
        <w:rPr>
          <w:sz w:val="20"/>
          <w:szCs w:val="20"/>
          <w:color w:val="auto"/>
        </w:rPr>
      </w:pPr>
    </w:p>
    <w:p>
      <w:pPr>
        <w:ind w:left="460" w:right="539"/>
        <w:spacing w:after="0" w:line="236" w:lineRule="auto"/>
        <w:rPr>
          <w:sz w:val="20"/>
          <w:szCs w:val="20"/>
          <w:color w:val="auto"/>
        </w:rPr>
      </w:pPr>
      <w:r>
        <w:rPr>
          <w:rFonts w:ascii="Arial" w:cs="Arial" w:eastAsia="Arial" w:hAnsi="Arial"/>
          <w:sz w:val="18"/>
          <w:szCs w:val="18"/>
          <w:color w:val="auto"/>
        </w:rPr>
        <w:t>The offering has not been and will not be registered under the Financial Instruments and Exchange Law of Japan (Law No. 25 of 1948 of Japan, as amended), or FIEL, and the Initial Purchaser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FIEL and any other applicable laws, regulations and ministerial guidelines of Japan.</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Singapore</w:t>
      </w:r>
    </w:p>
    <w:p>
      <w:pPr>
        <w:spacing w:after="0" w:line="166" w:lineRule="exact"/>
        <w:rPr>
          <w:sz w:val="20"/>
          <w:szCs w:val="20"/>
          <w:color w:val="auto"/>
        </w:rPr>
      </w:pPr>
    </w:p>
    <w:p>
      <w:pPr>
        <w:ind w:left="460" w:right="559"/>
        <w:spacing w:after="0" w:line="248" w:lineRule="auto"/>
        <w:rPr>
          <w:sz w:val="20"/>
          <w:szCs w:val="20"/>
          <w:color w:val="auto"/>
        </w:rPr>
      </w:pPr>
      <w:r>
        <w:rPr>
          <w:rFonts w:ascii="Arial" w:cs="Arial" w:eastAsia="Arial" w:hAnsi="Arial"/>
          <w:sz w:val="17"/>
          <w:szCs w:val="17"/>
          <w:color w:val="auto"/>
        </w:rPr>
        <w:t>This prospectus has not been and will not be lodged or registered as a prospectus with the Monetary Authority of Singapore. Accordingly, this prospectus and any other document or material in connection with the offer or sale, or invitation for subscription or purchase, of the securities may not be circulated or distributed, nor may the securities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w:t>
      </w:r>
    </w:p>
    <w:p>
      <w:pPr>
        <w:spacing w:after="0" w:line="4" w:lineRule="exact"/>
        <w:rPr>
          <w:sz w:val="20"/>
          <w:szCs w:val="20"/>
          <w:color w:val="auto"/>
        </w:rPr>
      </w:pPr>
    </w:p>
    <w:p>
      <w:pPr>
        <w:ind w:left="460" w:right="579" w:hanging="6"/>
        <w:spacing w:after="0" w:line="246" w:lineRule="auto"/>
        <w:tabs>
          <w:tab w:leader="none" w:pos="75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129" w:lineRule="exact"/>
        <w:rPr>
          <w:sz w:val="20"/>
          <w:szCs w:val="20"/>
          <w:color w:val="auto"/>
        </w:rPr>
      </w:pPr>
    </w:p>
    <w:p>
      <w:pPr>
        <w:ind w:left="460" w:right="519"/>
        <w:spacing w:after="0" w:line="246" w:lineRule="auto"/>
        <w:rPr>
          <w:sz w:val="20"/>
          <w:szCs w:val="20"/>
          <w:color w:val="auto"/>
        </w:rPr>
      </w:pPr>
      <w:r>
        <w:rPr>
          <w:rFonts w:ascii="Arial" w:cs="Arial" w:eastAsia="Arial" w:hAnsi="Arial"/>
          <w:sz w:val="18"/>
          <w:szCs w:val="18"/>
          <w:color w:val="auto"/>
        </w:rPr>
        <w:t>Where the securities are subscribed or purchased under Section 275 of the SFA by a relevant person which is:</w:t>
      </w:r>
    </w:p>
    <w:p>
      <w:pPr>
        <w:spacing w:after="0" w:line="8" w:lineRule="exact"/>
        <w:rPr>
          <w:sz w:val="20"/>
          <w:szCs w:val="20"/>
          <w:color w:val="auto"/>
        </w:rPr>
      </w:pPr>
    </w:p>
    <w:p>
      <w:pPr>
        <w:jc w:val="both"/>
        <w:ind w:left="1100" w:right="639" w:hanging="322"/>
        <w:spacing w:after="0"/>
        <w:tabs>
          <w:tab w:leader="none" w:pos="1096"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27" w:lineRule="exact"/>
        <w:rPr>
          <w:rFonts w:ascii="Arial" w:cs="Arial" w:eastAsia="Arial" w:hAnsi="Arial"/>
          <w:sz w:val="18"/>
          <w:szCs w:val="18"/>
          <w:color w:val="auto"/>
        </w:rPr>
      </w:pPr>
    </w:p>
    <w:p>
      <w:pPr>
        <w:ind w:left="1100" w:right="699" w:hanging="322"/>
        <w:spacing w:after="0" w:line="237" w:lineRule="auto"/>
        <w:tabs>
          <w:tab w:leader="none" w:pos="1096"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29" w:lineRule="exact"/>
        <w:rPr>
          <w:rFonts w:ascii="Arial" w:cs="Arial" w:eastAsia="Arial" w:hAnsi="Arial"/>
          <w:sz w:val="18"/>
          <w:szCs w:val="18"/>
          <w:color w:val="auto"/>
        </w:rPr>
      </w:pPr>
    </w:p>
    <w:p>
      <w:pPr>
        <w:ind w:left="1420" w:right="519" w:hanging="318"/>
        <w:spacing w:after="0"/>
        <w:tabs>
          <w:tab w:leader="none" w:pos="1409" w:val="left"/>
        </w:tabs>
        <w:numPr>
          <w:ilvl w:val="1"/>
          <w:numId w:val="83"/>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13" w:lineRule="exact"/>
        <w:rPr>
          <w:rFonts w:ascii="Arial" w:cs="Arial" w:eastAsia="Arial" w:hAnsi="Arial"/>
          <w:sz w:val="18"/>
          <w:szCs w:val="18"/>
          <w:color w:val="auto"/>
        </w:rPr>
      </w:pPr>
    </w:p>
    <w:p>
      <w:pPr>
        <w:ind w:left="1420" w:hanging="318"/>
        <w:spacing w:after="0"/>
        <w:tabs>
          <w:tab w:leader="none" w:pos="1420" w:val="left"/>
        </w:tabs>
        <w:numPr>
          <w:ilvl w:val="1"/>
          <w:numId w:val="83"/>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36" w:lineRule="exact"/>
        <w:rPr>
          <w:rFonts w:ascii="Arial" w:cs="Arial" w:eastAsia="Arial" w:hAnsi="Arial"/>
          <w:sz w:val="18"/>
          <w:szCs w:val="18"/>
          <w:color w:val="auto"/>
        </w:rPr>
      </w:pPr>
    </w:p>
    <w:p>
      <w:pPr>
        <w:ind w:left="1420" w:hanging="318"/>
        <w:spacing w:after="0"/>
        <w:tabs>
          <w:tab w:leader="none" w:pos="1420" w:val="left"/>
        </w:tabs>
        <w:numPr>
          <w:ilvl w:val="1"/>
          <w:numId w:val="83"/>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36" w:lineRule="exact"/>
        <w:rPr>
          <w:rFonts w:ascii="Arial" w:cs="Arial" w:eastAsia="Arial" w:hAnsi="Arial"/>
          <w:sz w:val="18"/>
          <w:szCs w:val="18"/>
          <w:color w:val="auto"/>
        </w:rPr>
      </w:pPr>
    </w:p>
    <w:p>
      <w:pPr>
        <w:ind w:left="1420" w:hanging="318"/>
        <w:spacing w:after="0"/>
        <w:tabs>
          <w:tab w:leader="none" w:pos="142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22" w:lineRule="exact"/>
        <w:rPr>
          <w:rFonts w:ascii="Arial" w:cs="Arial" w:eastAsia="Arial" w:hAnsi="Arial"/>
          <w:sz w:val="18"/>
          <w:szCs w:val="18"/>
          <w:color w:val="auto"/>
        </w:rPr>
      </w:pPr>
    </w:p>
    <w:p>
      <w:pPr>
        <w:ind w:left="1420" w:right="1079" w:hanging="318"/>
        <w:spacing w:after="0" w:line="246" w:lineRule="auto"/>
        <w:tabs>
          <w:tab w:leader="none" w:pos="1409" w:val="left"/>
        </w:tabs>
        <w:numPr>
          <w:ilvl w:val="1"/>
          <w:numId w:val="83"/>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Switzerland</w:t>
      </w:r>
    </w:p>
    <w:p>
      <w:pPr>
        <w:spacing w:after="0" w:line="166" w:lineRule="exact"/>
        <w:rPr>
          <w:sz w:val="20"/>
          <w:szCs w:val="20"/>
          <w:color w:val="auto"/>
        </w:rPr>
      </w:pPr>
    </w:p>
    <w:p>
      <w:pPr>
        <w:ind w:left="460" w:right="459"/>
        <w:spacing w:after="0" w:line="236" w:lineRule="auto"/>
        <w:rPr>
          <w:sz w:val="20"/>
          <w:szCs w:val="20"/>
          <w:color w:val="auto"/>
        </w:rPr>
      </w:pPr>
      <w:r>
        <w:rPr>
          <w:rFonts w:ascii="Arial" w:cs="Arial" w:eastAsia="Arial" w:hAnsi="Arial"/>
          <w:sz w:val="18"/>
          <w:szCs w:val="18"/>
          <w:color w:val="auto"/>
        </w:rPr>
        <w:t>The securities may not be publicly offered in Switzerland and will not be listed on the SIX Swiss Exchange (‘‘SIX”) or on any other stock exchange or regulated trading facility in Switzerland. This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nor any other offering or marketing material relating to the securities or the offering may be publicly distributed or otherwise made publicly available in Switzerland.</w:t>
      </w:r>
    </w:p>
    <w:p>
      <w:pPr>
        <w:spacing w:after="0" w:line="140" w:lineRule="exact"/>
        <w:rPr>
          <w:sz w:val="20"/>
          <w:szCs w:val="20"/>
          <w:color w:val="auto"/>
        </w:rPr>
      </w:pPr>
    </w:p>
    <w:p>
      <w:pPr>
        <w:ind w:left="460" w:right="739"/>
        <w:spacing w:after="0" w:line="238" w:lineRule="auto"/>
        <w:rPr>
          <w:sz w:val="20"/>
          <w:szCs w:val="20"/>
          <w:color w:val="auto"/>
        </w:rPr>
      </w:pPr>
      <w:r>
        <w:rPr>
          <w:rFonts w:ascii="Arial" w:cs="Arial" w:eastAsia="Arial" w:hAnsi="Arial"/>
          <w:sz w:val="18"/>
          <w:szCs w:val="18"/>
          <w:color w:val="auto"/>
        </w:rPr>
        <w:t>Neither this prospectus nor any other offering or marketing material relating to the offering, the Company or the securities have been or will be filed with or approved by any Swiss regulatory authority. In particular, this prospectus will not be filed with, and the offer of securities will not be supervised by, the Swiss Financial Market Supervisory Authority FINMA, and the offer of securities has not been and will not be authorized under the Swiss Federal Act</w:t>
      </w:r>
    </w:p>
    <w:p>
      <w:pPr>
        <w:sectPr>
          <w:pgSz w:w="11900" w:h="16838" w:orient="portrait"/>
          <w:cols w:equalWidth="0" w:num="1">
            <w:col w:w="9019"/>
          </w:cols>
          <w:pgMar w:left="1440" w:top="287"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148" w:name="page149"/>
    <w:bookmarkEnd w:id="148"/>
    <w:p>
      <w:pPr>
        <w:ind w:left="460" w:right="539"/>
        <w:spacing w:after="0" w:line="246" w:lineRule="auto"/>
        <w:rPr>
          <w:sz w:val="20"/>
          <w:szCs w:val="20"/>
          <w:color w:val="auto"/>
        </w:rPr>
      </w:pPr>
      <w:r>
        <w:rPr>
          <w:rFonts w:ascii="Arial" w:cs="Arial" w:eastAsia="Arial" w:hAnsi="Arial"/>
          <w:sz w:val="18"/>
          <w:szCs w:val="18"/>
          <w:color w:val="auto"/>
        </w:rPr>
        <w:t>on Collective Investment Schemes (“CISA”). The investor protection afforded to acquirers of interests in collective investment schemes under the CISA does not extend to acquirers of securities.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United Kingdom</w:t>
      </w:r>
    </w:p>
    <w:p>
      <w:pPr>
        <w:spacing w:after="0" w:line="153" w:lineRule="exact"/>
        <w:rPr>
          <w:sz w:val="20"/>
          <w:szCs w:val="20"/>
          <w:color w:val="auto"/>
        </w:rPr>
      </w:pPr>
    </w:p>
    <w:p>
      <w:pPr>
        <w:ind w:left="460" w:right="579"/>
        <w:spacing w:after="0" w:line="237" w:lineRule="auto"/>
        <w:rPr>
          <w:sz w:val="20"/>
          <w:szCs w:val="20"/>
          <w:color w:val="auto"/>
        </w:rPr>
      </w:pPr>
      <w:r>
        <w:rPr>
          <w:rFonts w:ascii="Arial" w:cs="Arial" w:eastAsia="Arial" w:hAnsi="Arial"/>
          <w:sz w:val="18"/>
          <w:szCs w:val="18"/>
          <w:color w:val="auto"/>
        </w:rPr>
        <w:t>This prospectus is only being distributed to, and is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as amended (the “Order”) and/or (ii) high net worth entities falling within Article 49(2)(a) to (d) of the Order and other persons to whom it may lawfully be communicated (each such person being referred to as a “relevant person”).</w:t>
      </w:r>
    </w:p>
    <w:p>
      <w:pPr>
        <w:spacing w:after="0" w:line="137" w:lineRule="exact"/>
        <w:rPr>
          <w:sz w:val="20"/>
          <w:szCs w:val="20"/>
          <w:color w:val="auto"/>
        </w:rPr>
      </w:pPr>
    </w:p>
    <w:p>
      <w:pPr>
        <w:ind w:left="460" w:right="1279"/>
        <w:spacing w:after="0" w:line="234" w:lineRule="auto"/>
        <w:rPr>
          <w:sz w:val="20"/>
          <w:szCs w:val="20"/>
          <w:color w:val="auto"/>
        </w:rPr>
      </w:pPr>
      <w:r>
        <w:rPr>
          <w:rFonts w:ascii="Arial" w:cs="Arial" w:eastAsia="Arial" w:hAnsi="Arial"/>
          <w:sz w:val="18"/>
          <w:szCs w:val="18"/>
          <w:color w:val="auto"/>
        </w:rPr>
        <w:t>This prospectus and its contents are confidential and should not be distributed, published or reproduced (in whole or in part) or disclosed by recipients to any other persons in the</w:t>
      </w:r>
    </w:p>
    <w:p>
      <w:pPr>
        <w:spacing w:after="0" w:line="1" w:lineRule="exact"/>
        <w:rPr>
          <w:sz w:val="20"/>
          <w:szCs w:val="20"/>
          <w:color w:val="auto"/>
        </w:rPr>
      </w:pPr>
    </w:p>
    <w:p>
      <w:pPr>
        <w:ind w:left="460" w:right="799"/>
        <w:spacing w:after="0" w:line="246" w:lineRule="auto"/>
        <w:rPr>
          <w:sz w:val="20"/>
          <w:szCs w:val="20"/>
          <w:color w:val="auto"/>
        </w:rPr>
      </w:pPr>
      <w:r>
        <w:rPr>
          <w:rFonts w:ascii="Arial" w:cs="Arial" w:eastAsia="Arial" w:hAnsi="Arial"/>
          <w:sz w:val="18"/>
          <w:szCs w:val="18"/>
          <w:color w:val="auto"/>
        </w:rPr>
        <w:t>United Kingdom. Any person in the United Kingdom that is not a relevant person should not act or rely on this document or any of its contents.</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49" w:name="page150"/>
    <w:bookmarkEnd w:id="149"/>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66" w:lineRule="exact"/>
        <w:rPr>
          <w:sz w:val="20"/>
          <w:szCs w:val="20"/>
          <w:color w:val="auto"/>
        </w:rPr>
      </w:pPr>
    </w:p>
    <w:p>
      <w:pPr>
        <w:ind w:left="460" w:right="619"/>
        <w:spacing w:after="0" w:line="238" w:lineRule="auto"/>
        <w:rPr>
          <w:sz w:val="20"/>
          <w:szCs w:val="20"/>
          <w:color w:val="auto"/>
        </w:rPr>
      </w:pPr>
      <w:r>
        <w:rPr>
          <w:rFonts w:ascii="Arial" w:cs="Arial" w:eastAsia="Arial" w:hAnsi="Arial"/>
          <w:sz w:val="18"/>
          <w:szCs w:val="18"/>
          <w:color w:val="auto"/>
        </w:rPr>
        <w:t>White &amp; Case LLP is acting as counsel in connection with the registration of our securities under the Securities Act, and as such, will pass upon the validity of the securities offered in this prospectus. Skadden, Arps, Slate, Meagher &amp; Flom LLP advised the underwriters in connection with the offering of the securities.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53" w:lineRule="exact"/>
        <w:rPr>
          <w:sz w:val="20"/>
          <w:szCs w:val="20"/>
          <w:color w:val="auto"/>
        </w:rPr>
      </w:pPr>
    </w:p>
    <w:p>
      <w:pPr>
        <w:ind w:left="460" w:right="499"/>
        <w:spacing w:after="0" w:line="238" w:lineRule="auto"/>
        <w:rPr>
          <w:sz w:val="20"/>
          <w:szCs w:val="20"/>
          <w:color w:val="auto"/>
        </w:rPr>
      </w:pPr>
      <w:r>
        <w:rPr>
          <w:rFonts w:ascii="Arial" w:cs="Arial" w:eastAsia="Arial" w:hAnsi="Arial"/>
          <w:sz w:val="18"/>
          <w:szCs w:val="18"/>
          <w:color w:val="auto"/>
        </w:rPr>
        <w:t>The financial statements of CM Life Sciences, Inc. as of July 16, 2020, and for the period from July 10, 2020 (inception) through July 16, 2020 appearing in this prospectus have been audited by WithumSmith+Brown, PC, independent registered public accounting firm, as set forth in their report thereon, appearing elsewhere in this prospectus, and are included in reliance on such report given on the authority of such firm as an experts in auditing and accounting.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66" w:lineRule="exact"/>
        <w:rPr>
          <w:sz w:val="20"/>
          <w:szCs w:val="20"/>
          <w:color w:val="auto"/>
        </w:rPr>
      </w:pPr>
    </w:p>
    <w:p>
      <w:pPr>
        <w:ind w:left="460" w:right="559"/>
        <w:spacing w:after="0" w:line="236" w:lineRule="auto"/>
        <w:rPr>
          <w:sz w:val="20"/>
          <w:szCs w:val="20"/>
          <w:color w:val="auto"/>
        </w:rPr>
      </w:pPr>
      <w:r>
        <w:rPr>
          <w:rFonts w:ascii="Arial" w:cs="Arial" w:eastAsia="Arial" w:hAnsi="Arial"/>
          <w:sz w:val="18"/>
          <w:szCs w:val="18"/>
          <w:color w:val="auto"/>
        </w:rPr>
        <w:t>We have filed with the SEC a registration statement on Form S-1 under the Securities Act with respect to the securities we are offering by this prospectus. This prospectus does not contain all of the information included in the registration statement. For further information about us and our securities, you should refer to the registration statement and the exhibits and schedules filed with the registration statement. Whenever we make reference in this prospectus to any of our contracts, agreements or other documents, the references are materially complete but may not include a description of all aspects of such contracts, agreements or other documents, and you should refer to the exhibits attached to the registration statement for copies of the actual contract, agreement or other document.</w:t>
      </w:r>
    </w:p>
    <w:p>
      <w:pPr>
        <w:spacing w:after="0" w:line="139" w:lineRule="exact"/>
        <w:rPr>
          <w:sz w:val="20"/>
          <w:szCs w:val="20"/>
          <w:color w:val="auto"/>
        </w:rPr>
      </w:pPr>
    </w:p>
    <w:p>
      <w:pPr>
        <w:jc w:val="both"/>
        <w:ind w:left="460" w:right="639"/>
        <w:spacing w:after="0" w:line="238" w:lineRule="auto"/>
        <w:rPr>
          <w:sz w:val="20"/>
          <w:szCs w:val="20"/>
          <w:color w:val="auto"/>
        </w:rPr>
      </w:pPr>
      <w:r>
        <w:rPr>
          <w:rFonts w:ascii="Arial" w:cs="Arial" w:eastAsia="Arial" w:hAnsi="Arial"/>
          <w:sz w:val="18"/>
          <w:szCs w:val="18"/>
          <w:color w:val="auto"/>
        </w:rPr>
        <w:t xml:space="preserve">Upon completion of this offering, we will be subject to the information requirements of the Exchange Act and will file annual, quarterly and current event reports, proxy statements and other information with the SEC. You can read our SEC filings, including the registration statement, over the Internet at the SEC’s website at </w:t>
      </w:r>
      <w:r>
        <w:rPr>
          <w:rFonts w:ascii="Arial" w:cs="Arial" w:eastAsia="Arial" w:hAnsi="Arial"/>
          <w:sz w:val="18"/>
          <w:szCs w:val="18"/>
          <w:i w:val="1"/>
          <w:iCs w:val="1"/>
          <w:color w:val="auto"/>
        </w:rPr>
        <w:t>www.sec.gov.</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50" w:name="page151"/>
    <w:bookmarkEnd w:id="150"/>
    <w:p>
      <w:pPr>
        <w:jc w:val="center"/>
        <w:ind w:right="19"/>
        <w:spacing w:after="0"/>
        <w:rPr>
          <w:sz w:val="20"/>
          <w:szCs w:val="20"/>
          <w:color w:val="auto"/>
        </w:rPr>
      </w:pPr>
      <w:r>
        <w:rPr>
          <w:rFonts w:ascii="Arial" w:cs="Arial" w:eastAsia="Arial" w:hAnsi="Arial"/>
          <w:sz w:val="18"/>
          <w:szCs w:val="18"/>
          <w:b w:val="1"/>
          <w:bCs w:val="1"/>
          <w:color w:val="auto"/>
        </w:rPr>
        <w:t>INDEX TO FINANCIAL STATEMENTS</w:t>
      </w:r>
    </w:p>
    <w:p>
      <w:pPr>
        <w:spacing w:after="0" w:line="262"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1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rPr>
              <w:t>Page</w:t>
            </w:r>
          </w:p>
        </w:tc>
      </w:tr>
      <w:tr>
        <w:trPr>
          <w:trHeight w:val="26"/>
        </w:trPr>
        <w:tc>
          <w:tcPr>
            <w:tcW w:w="18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7"/>
        </w:trPr>
        <w:tc>
          <w:tcPr>
            <w:tcW w:w="75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b w:val="1"/>
                <w:bCs w:val="1"/>
                <w:color w:val="auto"/>
              </w:rPr>
              <w:t>Audited Financial Statements of CM Life Sciences, Inc.:</w:t>
            </w:r>
          </w:p>
        </w:tc>
        <w:tc>
          <w:tcPr>
            <w:tcW w:w="600" w:type="dxa"/>
            <w:vAlign w:val="bottom"/>
            <w:tcBorders>
              <w:bottom w:val="single" w:sz="8" w:color="CCEEFF"/>
            </w:tcBorders>
            <w:shd w:val="clear" w:color="auto" w:fill="CCEEFF"/>
          </w:tcPr>
          <w:p>
            <w:pPr>
              <w:spacing w:after="0"/>
              <w:rPr>
                <w:sz w:val="22"/>
                <w:szCs w:val="22"/>
                <w:color w:val="auto"/>
              </w:rPr>
            </w:pPr>
          </w:p>
        </w:tc>
      </w:tr>
      <w:tr>
        <w:trPr>
          <w:trHeight w:val="257"/>
        </w:trPr>
        <w:tc>
          <w:tcPr>
            <w:tcW w:w="7500" w:type="dxa"/>
            <w:vAlign w:val="bottom"/>
            <w:gridSpan w:val="4"/>
          </w:tcPr>
          <w:p>
            <w:pPr>
              <w:spacing w:after="0"/>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Report of Independent Registered Public Accounting Firm</w:t>
              </w:r>
            </w:hyperlink>
          </w:p>
        </w:tc>
        <w:tc>
          <w:tcPr>
            <w:tcW w:w="600" w:type="dxa"/>
            <w:vAlign w:val="bottom"/>
          </w:tcPr>
          <w:p>
            <w:pPr>
              <w:jc w:val="center"/>
              <w:spacing w:after="0"/>
              <w:rPr>
                <w:sz w:val="20"/>
                <w:szCs w:val="20"/>
                <w:color w:val="auto"/>
              </w:rPr>
            </w:pPr>
            <w:r>
              <w:rPr>
                <w:rFonts w:ascii="Arial" w:cs="Arial" w:eastAsia="Arial" w:hAnsi="Arial"/>
                <w:sz w:val="18"/>
                <w:szCs w:val="18"/>
                <w:color w:val="auto"/>
              </w:rPr>
              <w:t>F-2</w:t>
            </w:r>
          </w:p>
        </w:tc>
      </w:tr>
      <w:tr>
        <w:trPr>
          <w:trHeight w:val="27"/>
        </w:trPr>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64"/>
        </w:trPr>
        <w:tc>
          <w:tcPr>
            <w:tcW w:w="7500" w:type="dxa"/>
            <w:vAlign w:val="bottom"/>
            <w:tcBorders>
              <w:bottom w:val="single" w:sz="8" w:color="CCEEFF"/>
            </w:tcBorders>
            <w:gridSpan w:val="4"/>
            <w:shd w:val="clear" w:color="auto" w:fill="CCEEFF"/>
          </w:tcPr>
          <w:p>
            <w:pPr>
              <w:spacing w:after="0"/>
              <w:rPr>
                <w:rFonts w:ascii="Arial" w:cs="Arial" w:eastAsia="Arial" w:hAnsi="Arial"/>
                <w:sz w:val="18"/>
                <w:szCs w:val="18"/>
                <w:u w:val="single" w:color="auto"/>
                <w:color w:val="0000EE"/>
              </w:rPr>
            </w:pPr>
            <w:hyperlink w:anchor="page153">
              <w:r>
                <w:rPr>
                  <w:rFonts w:ascii="Arial" w:cs="Arial" w:eastAsia="Arial" w:hAnsi="Arial"/>
                  <w:sz w:val="18"/>
                  <w:szCs w:val="18"/>
                  <w:u w:val="single" w:color="auto"/>
                  <w:color w:val="0000EE"/>
                </w:rPr>
                <w:t>Balance Sheet as of July 16, 2020</w:t>
              </w:r>
            </w:hyperlink>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F-3</w:t>
            </w:r>
          </w:p>
        </w:tc>
      </w:tr>
      <w:tr>
        <w:trPr>
          <w:trHeight w:val="257"/>
        </w:trPr>
        <w:tc>
          <w:tcPr>
            <w:tcW w:w="7500" w:type="dxa"/>
            <w:vAlign w:val="bottom"/>
            <w:gridSpan w:val="4"/>
          </w:tcPr>
          <w:p>
            <w:pPr>
              <w:spacing w:after="0"/>
              <w:rPr>
                <w:rFonts w:ascii="Arial" w:cs="Arial" w:eastAsia="Arial" w:hAnsi="Arial"/>
                <w:sz w:val="18"/>
                <w:szCs w:val="18"/>
                <w:u w:val="single" w:color="auto"/>
                <w:color w:val="0000EE"/>
              </w:rPr>
            </w:pPr>
            <w:hyperlink w:anchor="page154">
              <w:r>
                <w:rPr>
                  <w:rFonts w:ascii="Arial" w:cs="Arial" w:eastAsia="Arial" w:hAnsi="Arial"/>
                  <w:sz w:val="18"/>
                  <w:szCs w:val="18"/>
                  <w:u w:val="single" w:color="auto"/>
                  <w:color w:val="0000EE"/>
                </w:rPr>
                <w:t>Statement of Operations for the period from July 10, 2020 (inception) through July 16, 2020</w:t>
              </w:r>
            </w:hyperlink>
          </w:p>
        </w:tc>
        <w:tc>
          <w:tcPr>
            <w:tcW w:w="600" w:type="dxa"/>
            <w:vAlign w:val="bottom"/>
          </w:tcPr>
          <w:p>
            <w:pPr>
              <w:jc w:val="center"/>
              <w:spacing w:after="0"/>
              <w:rPr>
                <w:sz w:val="20"/>
                <w:szCs w:val="20"/>
                <w:color w:val="auto"/>
              </w:rPr>
            </w:pPr>
            <w:r>
              <w:rPr>
                <w:rFonts w:ascii="Arial" w:cs="Arial" w:eastAsia="Arial" w:hAnsi="Arial"/>
                <w:sz w:val="18"/>
                <w:szCs w:val="18"/>
                <w:color w:val="auto"/>
              </w:rPr>
              <w:t>F-4</w:t>
            </w:r>
          </w:p>
        </w:tc>
      </w:tr>
      <w:tr>
        <w:trPr>
          <w:trHeight w:val="27"/>
        </w:trPr>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175"/>
        </w:trPr>
        <w:tc>
          <w:tcPr>
            <w:tcW w:w="724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rPr>
            </w:pPr>
            <w:hyperlink w:anchor="page155">
              <w:r>
                <w:rPr>
                  <w:rFonts w:ascii="Arial" w:cs="Arial" w:eastAsia="Arial" w:hAnsi="Arial"/>
                  <w:sz w:val="18"/>
                  <w:szCs w:val="18"/>
                  <w:color w:val="0000EE"/>
                </w:rPr>
                <w:t>Statement of Changes in Stockholder’s Equity for the period from July 10, 2020 (inception)</w:t>
              </w:r>
            </w:hyperlink>
          </w:p>
        </w:tc>
        <w:tc>
          <w:tcPr>
            <w:tcW w:w="2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r>
      <w:tr>
        <w:trPr>
          <w:trHeight w:val="183"/>
        </w:trPr>
        <w:tc>
          <w:tcPr>
            <w:tcW w:w="180" w:type="dxa"/>
            <w:vAlign w:val="bottom"/>
            <w:shd w:val="clear" w:color="auto" w:fill="CCEEFF"/>
          </w:tcPr>
          <w:p>
            <w:pPr>
              <w:spacing w:after="0"/>
              <w:rPr>
                <w:sz w:val="15"/>
                <w:szCs w:val="15"/>
                <w:color w:val="auto"/>
              </w:rPr>
            </w:pPr>
          </w:p>
        </w:tc>
        <w:tc>
          <w:tcPr>
            <w:tcW w:w="7320" w:type="dxa"/>
            <w:vAlign w:val="bottom"/>
            <w:gridSpan w:val="3"/>
            <w:shd w:val="clear" w:color="auto" w:fill="CCEEFF"/>
          </w:tcPr>
          <w:p>
            <w:pPr>
              <w:spacing w:after="0" w:line="182" w:lineRule="exact"/>
              <w:rPr>
                <w:rFonts w:ascii="Arial" w:cs="Arial" w:eastAsia="Arial" w:hAnsi="Arial"/>
                <w:sz w:val="18"/>
                <w:szCs w:val="18"/>
                <w:color w:val="0000EE"/>
              </w:rPr>
            </w:pPr>
            <w:hyperlink w:anchor="page155">
              <w:r>
                <w:rPr>
                  <w:rFonts w:ascii="Arial" w:cs="Arial" w:eastAsia="Arial" w:hAnsi="Arial"/>
                  <w:sz w:val="18"/>
                  <w:szCs w:val="18"/>
                  <w:color w:val="0000EE"/>
                </w:rPr>
                <w:t>through July 16, 2020</w:t>
              </w:r>
            </w:hyperlink>
          </w:p>
        </w:tc>
        <w:tc>
          <w:tcPr>
            <w:tcW w:w="60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rPr>
              <w:t>F-5</w:t>
            </w:r>
          </w:p>
        </w:tc>
      </w:tr>
      <w:tr>
        <w:trPr>
          <w:trHeight w:val="48"/>
        </w:trPr>
        <w:tc>
          <w:tcPr>
            <w:tcW w:w="1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0000EE"/>
            </w:tcBorders>
            <w:shd w:val="clear" w:color="auto" w:fill="CCEEFF"/>
          </w:tcPr>
          <w:p>
            <w:pPr>
              <w:spacing w:after="0"/>
              <w:rPr>
                <w:sz w:val="4"/>
                <w:szCs w:val="4"/>
                <w:color w:val="auto"/>
              </w:rPr>
            </w:pPr>
          </w:p>
        </w:tc>
        <w:tc>
          <w:tcPr>
            <w:tcW w:w="53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r>
      <w:tr>
        <w:trPr>
          <w:trHeight w:val="257"/>
        </w:trPr>
        <w:tc>
          <w:tcPr>
            <w:tcW w:w="7500" w:type="dxa"/>
            <w:vAlign w:val="bottom"/>
            <w:gridSpan w:val="4"/>
          </w:tcPr>
          <w:p>
            <w:pPr>
              <w:spacing w:after="0"/>
              <w:rPr>
                <w:rFonts w:ascii="Arial" w:cs="Arial" w:eastAsia="Arial" w:hAnsi="Arial"/>
                <w:sz w:val="18"/>
                <w:szCs w:val="18"/>
                <w:u w:val="single" w:color="auto"/>
                <w:color w:val="0000EE"/>
              </w:rPr>
            </w:pPr>
            <w:hyperlink w:anchor="page156">
              <w:r>
                <w:rPr>
                  <w:rFonts w:ascii="Arial" w:cs="Arial" w:eastAsia="Arial" w:hAnsi="Arial"/>
                  <w:sz w:val="18"/>
                  <w:szCs w:val="18"/>
                  <w:u w:val="single" w:color="auto"/>
                  <w:color w:val="0000EE"/>
                </w:rPr>
                <w:t>Statement of Cash Flows for the period from July 10, 2020 (inception) through July 16, 2020</w:t>
              </w:r>
            </w:hyperlink>
          </w:p>
        </w:tc>
        <w:tc>
          <w:tcPr>
            <w:tcW w:w="600" w:type="dxa"/>
            <w:vAlign w:val="bottom"/>
          </w:tcPr>
          <w:p>
            <w:pPr>
              <w:jc w:val="center"/>
              <w:spacing w:after="0"/>
              <w:rPr>
                <w:sz w:val="20"/>
                <w:szCs w:val="20"/>
                <w:color w:val="auto"/>
              </w:rPr>
            </w:pPr>
            <w:r>
              <w:rPr>
                <w:rFonts w:ascii="Arial" w:cs="Arial" w:eastAsia="Arial" w:hAnsi="Arial"/>
                <w:sz w:val="18"/>
                <w:szCs w:val="18"/>
                <w:color w:val="auto"/>
              </w:rPr>
              <w:t>F-6</w:t>
            </w:r>
          </w:p>
        </w:tc>
      </w:tr>
      <w:tr>
        <w:trPr>
          <w:trHeight w:val="27"/>
        </w:trPr>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64"/>
        </w:trPr>
        <w:tc>
          <w:tcPr>
            <w:tcW w:w="7500" w:type="dxa"/>
            <w:vAlign w:val="bottom"/>
            <w:tcBorders>
              <w:bottom w:val="single" w:sz="8" w:color="CCEEFF"/>
            </w:tcBorders>
            <w:gridSpan w:val="4"/>
            <w:shd w:val="clear" w:color="auto" w:fill="CCEEFF"/>
          </w:tcPr>
          <w:p>
            <w:pPr>
              <w:spacing w:after="0"/>
              <w:rPr>
                <w:rFonts w:ascii="Arial" w:cs="Arial" w:eastAsia="Arial" w:hAnsi="Arial"/>
                <w:sz w:val="18"/>
                <w:szCs w:val="18"/>
                <w:u w:val="single" w:color="auto"/>
                <w:color w:val="0000EE"/>
              </w:rPr>
            </w:pPr>
            <w:hyperlink w:anchor="page157">
              <w:r>
                <w:rPr>
                  <w:rFonts w:ascii="Arial" w:cs="Arial" w:eastAsia="Arial" w:hAnsi="Arial"/>
                  <w:sz w:val="18"/>
                  <w:szCs w:val="18"/>
                  <w:u w:val="single" w:color="auto"/>
                  <w:color w:val="0000EE"/>
                </w:rPr>
                <w:t>Notes to Financial Statements</w:t>
              </w:r>
            </w:hyperlink>
          </w:p>
        </w:tc>
        <w:tc>
          <w:tcPr>
            <w:tcW w:w="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F-7</w:t>
            </w:r>
          </w:p>
        </w:tc>
      </w:tr>
      <w:tr>
        <w:trPr>
          <w:trHeight w:val="391"/>
        </w:trPr>
        <w:tc>
          <w:tcPr>
            <w:tcW w:w="1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gridSpan w:val="2"/>
          </w:tcPr>
          <w:p>
            <w:pPr>
              <w:ind w:left="2000"/>
              <w:spacing w:after="0"/>
              <w:rPr>
                <w:sz w:val="20"/>
                <w:szCs w:val="20"/>
                <w:color w:val="auto"/>
              </w:rPr>
            </w:pPr>
            <w:r>
              <w:rPr>
                <w:rFonts w:ascii="Arial" w:cs="Arial" w:eastAsia="Arial" w:hAnsi="Arial"/>
                <w:sz w:val="18"/>
                <w:szCs w:val="18"/>
                <w:color w:val="auto"/>
              </w:rPr>
              <w:t>F-1</w:t>
            </w:r>
          </w:p>
        </w:tc>
        <w:tc>
          <w:tcPr>
            <w:tcW w:w="6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33" w:right="1440" w:bottom="1440" w:gutter="0" w:footer="0" w:header="0"/>
        </w:sectPr>
      </w:pPr>
    </w:p>
    <w:bookmarkStart w:id="151" w:name="page152"/>
    <w:bookmarkEnd w:id="151"/>
    <w:p>
      <w:pPr>
        <w:ind w:left="1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Stockholder and the Board of Directors of</w:t>
      </w:r>
    </w:p>
    <w:p>
      <w:pPr>
        <w:ind w:left="460"/>
        <w:spacing w:after="0"/>
        <w:rPr>
          <w:sz w:val="20"/>
          <w:szCs w:val="20"/>
          <w:color w:val="auto"/>
        </w:rPr>
      </w:pPr>
      <w:r>
        <w:rPr>
          <w:rFonts w:ascii="Arial" w:cs="Arial" w:eastAsia="Arial" w:hAnsi="Arial"/>
          <w:sz w:val="18"/>
          <w:szCs w:val="18"/>
          <w:color w:val="auto"/>
        </w:rPr>
        <w:t>CM Life Sciences, Inc.</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53" w:lineRule="exact"/>
        <w:rPr>
          <w:sz w:val="20"/>
          <w:szCs w:val="20"/>
          <w:color w:val="auto"/>
        </w:rPr>
      </w:pPr>
    </w:p>
    <w:p>
      <w:pPr>
        <w:ind w:left="460" w:right="539"/>
        <w:spacing w:after="0" w:line="253" w:lineRule="auto"/>
        <w:rPr>
          <w:sz w:val="20"/>
          <w:szCs w:val="20"/>
          <w:color w:val="auto"/>
        </w:rPr>
      </w:pPr>
      <w:r>
        <w:rPr>
          <w:rFonts w:ascii="Arial" w:cs="Arial" w:eastAsia="Arial" w:hAnsi="Arial"/>
          <w:sz w:val="17"/>
          <w:szCs w:val="17"/>
          <w:color w:val="auto"/>
        </w:rPr>
        <w:t>We have audited the accompanying balance sheet of CM Life Sciences, Inc. (the “Company”) as of July 16, 2020, the related statements of operations, changes in stockholder’s equity and cash flows for the period from July 10, 2020 (inception) through July 16, 2020, and the related notes (collectively referred to as the “financial statements”). In our opinion, the financial statements present fairly, in all material respects, the financial position of the Company as of July 16, 2020, and the results of its operations and its cash flows for the period from July 10, 2020 (inception) through July 16, 2020, in conformity with accounting principles generally accepted in the United States of America.</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Basis for Opinion</w:t>
      </w:r>
    </w:p>
    <w:p>
      <w:pPr>
        <w:spacing w:after="0" w:line="166"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7" w:lineRule="exact"/>
        <w:rPr>
          <w:sz w:val="20"/>
          <w:szCs w:val="20"/>
          <w:color w:val="auto"/>
        </w:rPr>
      </w:pPr>
    </w:p>
    <w:p>
      <w:pPr>
        <w:ind w:left="460" w:right="759"/>
        <w:spacing w:after="0" w:line="253"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10"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2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 WithumSmith+Brown, PC</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served as the Company’s auditor since 2020.</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July 22, 2020</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52" w:name="page153"/>
    <w:bookmarkEnd w:id="152"/>
    <w:tbl>
      <w:tblPr>
        <w:tblLayout w:type="fixed"/>
        <w:tblInd w:w="460" w:type="dxa"/>
        <w:tblCellMar>
          <w:top w:w="0" w:type="dxa"/>
          <w:left w:w="0" w:type="dxa"/>
          <w:bottom w:w="0" w:type="dxa"/>
          <w:right w:w="0" w:type="dxa"/>
        </w:tblCellMar>
      </w:tblPr>
      <w:tr>
        <w:trPr>
          <w:trHeight w:val="207"/>
        </w:trPr>
        <w:tc>
          <w:tcPr>
            <w:tcW w:w="6900" w:type="dxa"/>
            <w:vAlign w:val="bottom"/>
          </w:tcPr>
          <w:p>
            <w:pPr>
              <w:jc w:val="center"/>
              <w:ind w:left="1090"/>
              <w:spacing w:after="0"/>
              <w:rPr>
                <w:sz w:val="20"/>
                <w:szCs w:val="20"/>
                <w:color w:val="auto"/>
              </w:rPr>
            </w:pPr>
            <w:r>
              <w:rPr>
                <w:rFonts w:ascii="Arial" w:cs="Arial" w:eastAsia="Arial" w:hAnsi="Arial"/>
                <w:sz w:val="18"/>
                <w:szCs w:val="18"/>
                <w:b w:val="1"/>
                <w:bCs w:val="1"/>
                <w:color w:val="auto"/>
              </w:rPr>
              <w:t>CM LIFE SCIENCES, INC.</w:t>
            </w: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900" w:type="dxa"/>
            <w:vAlign w:val="bottom"/>
          </w:tcPr>
          <w:p>
            <w:pPr>
              <w:jc w:val="center"/>
              <w:ind w:left="1090"/>
              <w:spacing w:after="0" w:line="202" w:lineRule="exact"/>
              <w:rPr>
                <w:sz w:val="20"/>
                <w:szCs w:val="20"/>
                <w:color w:val="auto"/>
              </w:rPr>
            </w:pPr>
            <w:r>
              <w:rPr>
                <w:rFonts w:ascii="Arial" w:cs="Arial" w:eastAsia="Arial" w:hAnsi="Arial"/>
                <w:sz w:val="18"/>
                <w:szCs w:val="18"/>
                <w:b w:val="1"/>
                <w:bCs w:val="1"/>
                <w:color w:val="auto"/>
                <w:w w:val="99"/>
              </w:rPr>
              <w:t>BALANCE SHEET</w:t>
            </w: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9"/>
        </w:trPr>
        <w:tc>
          <w:tcPr>
            <w:tcW w:w="6900" w:type="dxa"/>
            <w:vAlign w:val="bottom"/>
          </w:tcPr>
          <w:p>
            <w:pPr>
              <w:jc w:val="center"/>
              <w:ind w:left="1090"/>
              <w:spacing w:after="0"/>
              <w:rPr>
                <w:sz w:val="20"/>
                <w:szCs w:val="20"/>
                <w:color w:val="auto"/>
              </w:rPr>
            </w:pPr>
            <w:r>
              <w:rPr>
                <w:rFonts w:ascii="Arial" w:cs="Arial" w:eastAsia="Arial" w:hAnsi="Arial"/>
                <w:sz w:val="18"/>
                <w:szCs w:val="18"/>
                <w:b w:val="1"/>
                <w:bCs w:val="1"/>
                <w:color w:val="auto"/>
                <w:w w:val="99"/>
              </w:rPr>
              <w:t>JULY 16, 2020</w:t>
            </w: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162"/>
        </w:trPr>
        <w:tc>
          <w:tcPr>
            <w:tcW w:w="6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63"/>
        </w:trPr>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r>
      <w:tr>
        <w:trPr>
          <w:trHeight w:val="277"/>
        </w:trPr>
        <w:tc>
          <w:tcPr>
            <w:tcW w:w="69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Deferred offering costs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90,000</w:t>
            </w:r>
          </w:p>
        </w:tc>
        <w:tc>
          <w:tcPr>
            <w:tcW w:w="120" w:type="dxa"/>
            <w:vAlign w:val="bottom"/>
            <w:tcBorders>
              <w:bottom w:val="single" w:sz="8" w:color="CCEEFF"/>
            </w:tcBorders>
          </w:tcPr>
          <w:p>
            <w:pPr>
              <w:spacing w:after="0"/>
              <w:rPr>
                <w:sz w:val="24"/>
                <w:szCs w:val="24"/>
                <w:color w:val="auto"/>
              </w:rPr>
            </w:pPr>
          </w:p>
        </w:tc>
      </w:tr>
      <w:tr>
        <w:trPr>
          <w:trHeight w:val="257"/>
        </w:trPr>
        <w:tc>
          <w:tcPr>
            <w:tcW w:w="69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90,000</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0"/>
        </w:trPr>
        <w:tc>
          <w:tcPr>
            <w:tcW w:w="6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64"/>
        </w:trPr>
        <w:tc>
          <w:tcPr>
            <w:tcW w:w="69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63"/>
        </w:trPr>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r>
      <w:tr>
        <w:trPr>
          <w:trHeight w:val="257"/>
        </w:trPr>
        <w:tc>
          <w:tcPr>
            <w:tcW w:w="6900" w:type="dxa"/>
            <w:vAlign w:val="bottom"/>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7"/>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63"/>
        </w:trPr>
        <w:tc>
          <w:tcPr>
            <w:tcW w:w="6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2,681</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77"/>
        </w:trPr>
        <w:tc>
          <w:tcPr>
            <w:tcW w:w="69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Accrued offering costs</w:t>
            </w: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65,000</w:t>
            </w:r>
          </w:p>
        </w:tc>
        <w:tc>
          <w:tcPr>
            <w:tcW w:w="120" w:type="dxa"/>
            <w:vAlign w:val="bottom"/>
            <w:tcBorders>
              <w:bottom w:val="single" w:sz="8" w:color="CCEEFF"/>
            </w:tcBorders>
          </w:tcPr>
          <w:p>
            <w:pPr>
              <w:spacing w:after="0"/>
              <w:rPr>
                <w:sz w:val="24"/>
                <w:szCs w:val="24"/>
                <w:color w:val="auto"/>
              </w:rPr>
            </w:pPr>
          </w:p>
        </w:tc>
      </w:tr>
      <w:tr>
        <w:trPr>
          <w:trHeight w:val="263"/>
        </w:trPr>
        <w:tc>
          <w:tcPr>
            <w:tcW w:w="69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Current Liabilities</w:t>
            </w:r>
          </w:p>
        </w:tc>
        <w:tc>
          <w:tcPr>
            <w:tcW w:w="32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67,681</w:t>
            </w:r>
          </w:p>
        </w:tc>
        <w:tc>
          <w:tcPr>
            <w:tcW w:w="120" w:type="dxa"/>
            <w:vAlign w:val="bottom"/>
            <w:shd w:val="clear" w:color="auto" w:fill="CCEEFF"/>
          </w:tcPr>
          <w:p>
            <w:pPr>
              <w:spacing w:after="0"/>
              <w:rPr>
                <w:sz w:val="22"/>
                <w:szCs w:val="22"/>
                <w:color w:val="auto"/>
              </w:rPr>
            </w:pPr>
          </w:p>
        </w:tc>
      </w:tr>
      <w:tr>
        <w:trPr>
          <w:trHeight w:val="283"/>
        </w:trPr>
        <w:tc>
          <w:tcPr>
            <w:tcW w:w="6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3"/>
        </w:trPr>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3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r>
      <w:tr>
        <w:trPr>
          <w:trHeight w:val="283"/>
        </w:trPr>
        <w:tc>
          <w:tcPr>
            <w:tcW w:w="6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3"/>
        </w:trPr>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r>
      <w:tr>
        <w:trPr>
          <w:trHeight w:val="202"/>
        </w:trPr>
        <w:tc>
          <w:tcPr>
            <w:tcW w:w="6900" w:type="dxa"/>
            <w:vAlign w:val="bottom"/>
          </w:tcPr>
          <w:p>
            <w:pPr>
              <w:ind w:left="180"/>
              <w:spacing w:after="0" w:line="201" w:lineRule="exact"/>
              <w:rPr>
                <w:sz w:val="20"/>
                <w:szCs w:val="20"/>
                <w:color w:val="auto"/>
              </w:rPr>
            </w:pPr>
            <w:r>
              <w:rPr>
                <w:rFonts w:ascii="Arial" w:cs="Arial" w:eastAsia="Arial" w:hAnsi="Arial"/>
                <w:sz w:val="18"/>
                <w:szCs w:val="18"/>
                <w:color w:val="auto"/>
              </w:rPr>
              <w:t>Preferred stock, $0.0001 par value; 1,000,000 shares authorized; none issued and</w:t>
            </w: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7"/>
        </w:trPr>
        <w:tc>
          <w:tcPr>
            <w:tcW w:w="6900" w:type="dxa"/>
            <w:vAlign w:val="bottom"/>
          </w:tcPr>
          <w:p>
            <w:pPr>
              <w:ind w:left="360"/>
              <w:spacing w:after="0"/>
              <w:rPr>
                <w:sz w:val="20"/>
                <w:szCs w:val="20"/>
                <w:color w:val="auto"/>
              </w:rPr>
            </w:pPr>
            <w:r>
              <w:rPr>
                <w:rFonts w:ascii="Arial" w:cs="Arial" w:eastAsia="Arial" w:hAnsi="Arial"/>
                <w:sz w:val="18"/>
                <w:szCs w:val="18"/>
                <w:color w:val="auto"/>
              </w:rPr>
              <w:t>outstanding</w:t>
            </w:r>
          </w:p>
        </w:tc>
        <w:tc>
          <w:tcPr>
            <w:tcW w:w="3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7"/>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02"/>
        </w:trPr>
        <w:tc>
          <w:tcPr>
            <w:tcW w:w="69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Class A common stock, $0.0001 par value; 380,000,000 shares authorized;</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24"/>
        </w:trPr>
        <w:tc>
          <w:tcPr>
            <w:tcW w:w="6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none issued and outstanding</w:t>
            </w:r>
          </w:p>
        </w:tc>
        <w:tc>
          <w:tcPr>
            <w:tcW w:w="3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02"/>
        </w:trPr>
        <w:tc>
          <w:tcPr>
            <w:tcW w:w="6900" w:type="dxa"/>
            <w:vAlign w:val="bottom"/>
          </w:tcPr>
          <w:p>
            <w:pPr>
              <w:ind w:left="180"/>
              <w:spacing w:after="0" w:line="201" w:lineRule="exact"/>
              <w:rPr>
                <w:sz w:val="20"/>
                <w:szCs w:val="20"/>
                <w:color w:val="auto"/>
              </w:rPr>
            </w:pPr>
            <w:r>
              <w:rPr>
                <w:rFonts w:ascii="Arial" w:cs="Arial" w:eastAsia="Arial" w:hAnsi="Arial"/>
                <w:sz w:val="18"/>
                <w:szCs w:val="18"/>
                <w:color w:val="auto"/>
              </w:rPr>
              <w:t>Class B common stock, $0.0001 par value; 20,000,000 shares authorized;</w:t>
            </w: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44"/>
        </w:trPr>
        <w:tc>
          <w:tcPr>
            <w:tcW w:w="6900" w:type="dxa"/>
            <w:vAlign w:val="bottom"/>
          </w:tcPr>
          <w:p>
            <w:pPr>
              <w:ind w:left="360"/>
              <w:spacing w:after="0"/>
              <w:rPr>
                <w:sz w:val="20"/>
                <w:szCs w:val="20"/>
                <w:color w:val="auto"/>
              </w:rPr>
            </w:pPr>
            <w:r>
              <w:rPr>
                <w:rFonts w:ascii="Arial" w:cs="Arial" w:eastAsia="Arial" w:hAnsi="Arial"/>
                <w:sz w:val="18"/>
                <w:szCs w:val="18"/>
                <w:color w:val="auto"/>
              </w:rPr>
              <w:t>10,062,500 shares issued and outstanding</w:t>
            </w:r>
            <w:r>
              <w:rPr>
                <w:rFonts w:ascii="Arial" w:cs="Arial" w:eastAsia="Arial" w:hAnsi="Arial"/>
                <w:sz w:val="20"/>
                <w:szCs w:val="20"/>
                <w:color w:val="auto"/>
                <w:vertAlign w:val="superscript"/>
              </w:rPr>
              <w:t>(1)</w:t>
            </w: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1,006</w:t>
            </w:r>
          </w:p>
        </w:tc>
        <w:tc>
          <w:tcPr>
            <w:tcW w:w="120" w:type="dxa"/>
            <w:vAlign w:val="bottom"/>
          </w:tcPr>
          <w:p>
            <w:pPr>
              <w:spacing w:after="0"/>
              <w:rPr>
                <w:sz w:val="21"/>
                <w:szCs w:val="21"/>
                <w:color w:val="auto"/>
              </w:rPr>
            </w:pPr>
          </w:p>
        </w:tc>
      </w:tr>
      <w:tr>
        <w:trPr>
          <w:trHeight w:val="263"/>
        </w:trPr>
        <w:tc>
          <w:tcPr>
            <w:tcW w:w="6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3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23,994</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77"/>
        </w:trPr>
        <w:tc>
          <w:tcPr>
            <w:tcW w:w="690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32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(2,681)</w:t>
            </w:r>
          </w:p>
        </w:tc>
      </w:tr>
      <w:tr>
        <w:trPr>
          <w:trHeight w:val="270"/>
        </w:trPr>
        <w:tc>
          <w:tcPr>
            <w:tcW w:w="69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Stockholder’s Equity</w:t>
            </w:r>
          </w:p>
        </w:tc>
        <w:tc>
          <w:tcPr>
            <w:tcW w:w="320" w:type="dxa"/>
            <w:vAlign w:val="bottom"/>
            <w:tcBorders>
              <w:top w:val="single" w:sz="8" w:color="auto"/>
              <w:bottom w:val="single" w:sz="8" w:color="auto"/>
            </w:tcBorders>
            <w:shd w:val="clear" w:color="auto" w:fill="CCEEFF"/>
          </w:tcPr>
          <w:p>
            <w:pPr>
              <w:spacing w:after="0"/>
              <w:rPr>
                <w:sz w:val="23"/>
                <w:szCs w:val="23"/>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22,319</w:t>
            </w:r>
          </w:p>
        </w:tc>
        <w:tc>
          <w:tcPr>
            <w:tcW w:w="120" w:type="dxa"/>
            <w:vAlign w:val="bottom"/>
            <w:tcBorders>
              <w:top w:val="single" w:sz="8" w:color="CCEEFF"/>
            </w:tcBorders>
            <w:shd w:val="clear" w:color="auto" w:fill="CCEEFF"/>
          </w:tcPr>
          <w:p>
            <w:pPr>
              <w:spacing w:after="0"/>
              <w:rPr>
                <w:sz w:val="23"/>
                <w:szCs w:val="23"/>
                <w:color w:val="auto"/>
              </w:rPr>
            </w:pPr>
          </w:p>
        </w:tc>
      </w:tr>
      <w:tr>
        <w:trPr>
          <w:trHeight w:val="250"/>
        </w:trPr>
        <w:tc>
          <w:tcPr>
            <w:tcW w:w="6900" w:type="dxa"/>
            <w:vAlign w:val="bottom"/>
          </w:tcPr>
          <w:p>
            <w:pPr>
              <w:ind w:left="540"/>
              <w:spacing w:after="0"/>
              <w:rPr>
                <w:sz w:val="20"/>
                <w:szCs w:val="20"/>
                <w:color w:val="auto"/>
              </w:rPr>
            </w:pPr>
            <w:r>
              <w:rPr>
                <w:rFonts w:ascii="Arial" w:cs="Arial" w:eastAsia="Arial" w:hAnsi="Arial"/>
                <w:sz w:val="18"/>
                <w:szCs w:val="18"/>
                <w:b w:val="1"/>
                <w:bCs w:val="1"/>
                <w:color w:val="auto"/>
              </w:rPr>
              <w:t>Total Liabilities and Stockholder’s Equity</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90,000</w:t>
            </w:r>
          </w:p>
        </w:tc>
        <w:tc>
          <w:tcPr>
            <w:tcW w:w="120" w:type="dxa"/>
            <w:vAlign w:val="bottom"/>
          </w:tcPr>
          <w:p>
            <w:pPr>
              <w:spacing w:after="0"/>
              <w:rPr>
                <w:sz w:val="21"/>
                <w:szCs w:val="21"/>
                <w:color w:val="auto"/>
              </w:rPr>
            </w:pPr>
          </w:p>
        </w:tc>
      </w:tr>
      <w:tr>
        <w:trPr>
          <w:trHeight w:val="20"/>
        </w:trPr>
        <w:tc>
          <w:tcPr>
            <w:tcW w:w="6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86" w:lineRule="exact"/>
        <w:rPr>
          <w:sz w:val="20"/>
          <w:szCs w:val="20"/>
          <w:color w:val="auto"/>
        </w:rPr>
      </w:pPr>
    </w:p>
    <w:p>
      <w:pPr>
        <w:ind w:left="880" w:right="999" w:hanging="426"/>
        <w:spacing w:after="0" w:line="230" w:lineRule="auto"/>
        <w:tabs>
          <w:tab w:leader="none" w:pos="882" w:val="left"/>
        </w:tabs>
        <w:numPr>
          <w:ilvl w:val="0"/>
          <w:numId w:val="84"/>
        </w:numPr>
        <w:rPr>
          <w:rFonts w:ascii="Arial" w:cs="Arial" w:eastAsia="Arial" w:hAnsi="Arial"/>
          <w:sz w:val="13"/>
          <w:szCs w:val="13"/>
          <w:color w:val="auto"/>
        </w:rPr>
      </w:pPr>
      <w:r>
        <w:rPr>
          <w:rFonts w:ascii="Arial" w:cs="Arial" w:eastAsia="Arial" w:hAnsi="Arial"/>
          <w:sz w:val="13"/>
          <w:szCs w:val="13"/>
          <w:color w:val="auto"/>
        </w:rPr>
        <w:t>Includes an aggregate of up to 1,312,500 shares of Class B common stock subject to forfeiture if the over-allotment option is not exercised in full or in part by the underwriters (see Note 5).</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sectPr>
      </w:pPr>
    </w:p>
    <w:bookmarkStart w:id="153" w:name="page154"/>
    <w:bookmarkEnd w:id="153"/>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OPERATIONS</w:t>
      </w:r>
    </w:p>
    <w:p>
      <w:pPr>
        <w:jc w:val="center"/>
        <w:spacing w:after="0"/>
        <w:rPr>
          <w:sz w:val="20"/>
          <w:szCs w:val="20"/>
          <w:color w:val="auto"/>
        </w:rPr>
      </w:pPr>
      <w:r>
        <w:rPr>
          <w:rFonts w:ascii="Arial" w:cs="Arial" w:eastAsia="Arial" w:hAnsi="Arial"/>
          <w:sz w:val="18"/>
          <w:szCs w:val="18"/>
          <w:b w:val="1"/>
          <w:bCs w:val="1"/>
          <w:color w:val="auto"/>
        </w:rPr>
        <w:t>FOR THE PERIOD FROM JULY 10, 2020 (INCEPTION) THROUGH JULY 16, 2020</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277"/>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Formation costs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2,681</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(2,681)</w:t>
            </w:r>
          </w:p>
        </w:tc>
        <w:tc>
          <w:tcPr>
            <w:tcW w:w="0" w:type="dxa"/>
            <w:vAlign w:val="bottom"/>
          </w:tcPr>
          <w:p>
            <w:pPr>
              <w:spacing w:after="0"/>
              <w:rPr>
                <w:sz w:val="1"/>
                <w:szCs w:val="1"/>
                <w:color w:val="auto"/>
              </w:rPr>
            </w:pPr>
          </w:p>
        </w:tc>
      </w:tr>
      <w:tr>
        <w:trPr>
          <w:trHeight w:val="264"/>
        </w:trPr>
        <w:tc>
          <w:tcPr>
            <w:tcW w:w="69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10"/>
        </w:trPr>
        <w:tc>
          <w:tcPr>
            <w:tcW w:w="6900" w:type="dxa"/>
            <w:vAlign w:val="bottom"/>
          </w:tcPr>
          <w:p>
            <w:pPr>
              <w:spacing w:after="0"/>
              <w:rPr>
                <w:sz w:val="20"/>
                <w:szCs w:val="20"/>
                <w:color w:val="auto"/>
              </w:rPr>
            </w:pPr>
            <w:r>
              <w:rPr>
                <w:rFonts w:ascii="Arial" w:cs="Arial" w:eastAsia="Arial" w:hAnsi="Arial"/>
                <w:sz w:val="18"/>
                <w:szCs w:val="18"/>
                <w:color w:val="auto"/>
              </w:rPr>
              <w:t>Weighted average shares outstanding, basic and diluted</w:t>
            </w:r>
            <w:r>
              <w:rPr>
                <w:rFonts w:ascii="Arial" w:cs="Arial" w:eastAsia="Arial" w:hAnsi="Arial"/>
                <w:sz w:val="20"/>
                <w:szCs w:val="20"/>
                <w:color w:val="auto"/>
                <w:vertAlign w:val="superscript"/>
              </w:rPr>
              <w:t>(1)</w:t>
            </w:r>
          </w:p>
        </w:tc>
        <w:tc>
          <w:tcPr>
            <w:tcW w:w="18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8,750,000</w:t>
            </w:r>
          </w:p>
        </w:tc>
        <w:tc>
          <w:tcPr>
            <w:tcW w:w="0" w:type="dxa"/>
            <w:vAlign w:val="bottom"/>
          </w:tcPr>
          <w:p>
            <w:pPr>
              <w:spacing w:after="0"/>
              <w:rPr>
                <w:sz w:val="1"/>
                <w:szCs w:val="1"/>
                <w:color w:val="auto"/>
              </w:rPr>
            </w:pPr>
          </w:p>
        </w:tc>
      </w:tr>
      <w:tr>
        <w:trPr>
          <w:trHeight w:val="264"/>
        </w:trPr>
        <w:tc>
          <w:tcPr>
            <w:tcW w:w="69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900" w:type="dxa"/>
            <w:vAlign w:val="bottom"/>
          </w:tcPr>
          <w:p>
            <w:pPr>
              <w:spacing w:after="0"/>
              <w:rPr>
                <w:sz w:val="20"/>
                <w:szCs w:val="20"/>
                <w:color w:val="auto"/>
              </w:rPr>
            </w:pPr>
            <w:r>
              <w:rPr>
                <w:rFonts w:ascii="Arial" w:cs="Arial" w:eastAsia="Arial" w:hAnsi="Arial"/>
                <w:sz w:val="18"/>
                <w:szCs w:val="18"/>
                <w:b w:val="1"/>
                <w:bCs w:val="1"/>
                <w:color w:val="auto"/>
              </w:rPr>
              <w:t>Basic and diluted net loss per common share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(0.00</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6"/>
                <w:szCs w:val="16"/>
                <w:color w:val="auto"/>
              </w:rPr>
              <w:t>____________</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9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880" w:right="959" w:hanging="426"/>
        <w:spacing w:after="0" w:line="230" w:lineRule="auto"/>
        <w:tabs>
          <w:tab w:leader="none" w:pos="882" w:val="left"/>
        </w:tabs>
        <w:numPr>
          <w:ilvl w:val="0"/>
          <w:numId w:val="85"/>
        </w:numPr>
        <w:rPr>
          <w:rFonts w:ascii="Arial" w:cs="Arial" w:eastAsia="Arial" w:hAnsi="Arial"/>
          <w:sz w:val="13"/>
          <w:szCs w:val="13"/>
          <w:color w:val="auto"/>
        </w:rPr>
      </w:pPr>
      <w:r>
        <w:rPr>
          <w:rFonts w:ascii="Arial" w:cs="Arial" w:eastAsia="Arial" w:hAnsi="Arial"/>
          <w:sz w:val="13"/>
          <w:szCs w:val="13"/>
          <w:color w:val="auto"/>
        </w:rPr>
        <w:t>Excludes an aggregate of up to 1,312,500 shares of Class B common stock subject to forfeiture if the over-allotment option is not exercised in full or in part by the underwriters (see Note 5).</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54" w:name="page155"/>
    <w:bookmarkEnd w:id="154"/>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STOCKHOLDER’S EQUITY</w:t>
      </w:r>
    </w:p>
    <w:p>
      <w:pPr>
        <w:jc w:val="center"/>
        <w:spacing w:after="0"/>
        <w:rPr>
          <w:sz w:val="20"/>
          <w:szCs w:val="20"/>
          <w:color w:val="auto"/>
        </w:rPr>
      </w:pPr>
      <w:r>
        <w:rPr>
          <w:rFonts w:ascii="Arial" w:cs="Arial" w:eastAsia="Arial" w:hAnsi="Arial"/>
          <w:sz w:val="18"/>
          <w:szCs w:val="18"/>
          <w:b w:val="1"/>
          <w:bCs w:val="1"/>
          <w:color w:val="auto"/>
        </w:rPr>
        <w:t>FOR THE PERIOD FROM JULY 10, 2020 (INCEPTION) THROUGH JULY 16, 2020</w:t>
      </w:r>
    </w:p>
    <w:p>
      <w:pPr>
        <w:spacing w:after="0" w:line="159"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3140" w:type="dxa"/>
            <w:vAlign w:val="bottom"/>
          </w:tcPr>
          <w:p>
            <w:pPr>
              <w:spacing w:after="0"/>
              <w:rPr>
                <w:sz w:val="14"/>
                <w:szCs w:val="14"/>
                <w:color w:val="auto"/>
              </w:rPr>
            </w:pPr>
          </w:p>
        </w:tc>
        <w:tc>
          <w:tcPr>
            <w:tcW w:w="1240" w:type="dxa"/>
            <w:vAlign w:val="bottom"/>
            <w:gridSpan w:val="3"/>
          </w:tcPr>
          <w:p>
            <w:pPr>
              <w:jc w:val="center"/>
              <w:ind w:left="598"/>
              <w:spacing w:after="0"/>
              <w:rPr>
                <w:sz w:val="20"/>
                <w:szCs w:val="20"/>
                <w:color w:val="auto"/>
              </w:rPr>
            </w:pPr>
            <w:r>
              <w:rPr>
                <w:rFonts w:ascii="Arial" w:cs="Arial" w:eastAsia="Arial" w:hAnsi="Arial"/>
                <w:sz w:val="14"/>
                <w:szCs w:val="14"/>
                <w:b w:val="1"/>
                <w:bCs w:val="1"/>
                <w:color w:val="auto"/>
              </w:rPr>
              <w:t>Class B</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2000" w:type="dxa"/>
            <w:vAlign w:val="bottom"/>
            <w:gridSpan w:val="5"/>
          </w:tcPr>
          <w:p>
            <w:pPr>
              <w:jc w:val="center"/>
              <w:ind w:right="40"/>
              <w:spacing w:after="0" w:line="148" w:lineRule="exact"/>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3140" w:type="dxa"/>
            <w:vAlign w:val="bottom"/>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rPr>
              <w:t>Paid-in</w:t>
            </w:r>
          </w:p>
        </w:tc>
        <w:tc>
          <w:tcPr>
            <w:tcW w:w="1000" w:type="dxa"/>
            <w:vAlign w:val="bottom"/>
            <w:gridSpan w:val="4"/>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rPr>
              <w:t>Accumulated</w:t>
            </w:r>
          </w:p>
        </w:tc>
        <w:tc>
          <w:tcPr>
            <w:tcW w:w="96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61"/>
        </w:trPr>
        <w:tc>
          <w:tcPr>
            <w:tcW w:w="31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000" w:type="dxa"/>
            <w:vAlign w:val="bottom"/>
            <w:gridSpan w:val="4"/>
            <w:vMerge w:val="continue"/>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3140" w:type="dxa"/>
            <w:vAlign w:val="bottom"/>
          </w:tcPr>
          <w:p>
            <w:pPr>
              <w:spacing w:after="0"/>
              <w:rPr>
                <w:sz w:val="16"/>
                <w:szCs w:val="16"/>
                <w:color w:val="auto"/>
              </w:rPr>
            </w:pPr>
          </w:p>
        </w:tc>
        <w:tc>
          <w:tcPr>
            <w:tcW w:w="124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Shares</w:t>
            </w: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6"/>
                <w:szCs w:val="16"/>
                <w:color w:val="auto"/>
              </w:rPr>
            </w:pPr>
          </w:p>
        </w:tc>
        <w:tc>
          <w:tcPr>
            <w:tcW w:w="8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6"/>
                <w:szCs w:val="16"/>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6"/>
        </w:trPr>
        <w:tc>
          <w:tcPr>
            <w:tcW w:w="31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July 10, 2020 (inception)</w:t>
            </w:r>
          </w:p>
        </w:tc>
        <w:tc>
          <w:tcPr>
            <w:tcW w:w="12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 $</w:t>
            </w:r>
          </w:p>
        </w:tc>
        <w:tc>
          <w:tcPr>
            <w:tcW w:w="9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 $</w:t>
            </w:r>
          </w:p>
        </w:tc>
        <w:tc>
          <w:tcPr>
            <w:tcW w:w="1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 $</w:t>
            </w:r>
          </w:p>
        </w:tc>
        <w:tc>
          <w:tcPr>
            <w:tcW w:w="8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2"/>
        </w:trPr>
        <w:tc>
          <w:tcPr>
            <w:tcW w:w="3140" w:type="dxa"/>
            <w:vAlign w:val="bottom"/>
          </w:tcPr>
          <w:p>
            <w:pPr>
              <w:ind w:left="180"/>
              <w:spacing w:after="0" w:line="201" w:lineRule="exact"/>
              <w:rPr>
                <w:sz w:val="20"/>
                <w:szCs w:val="20"/>
                <w:color w:val="auto"/>
              </w:rPr>
            </w:pPr>
            <w:r>
              <w:rPr>
                <w:rFonts w:ascii="Arial" w:cs="Arial" w:eastAsia="Arial" w:hAnsi="Arial"/>
                <w:sz w:val="18"/>
                <w:szCs w:val="18"/>
                <w:color w:val="auto"/>
              </w:rPr>
              <w:t>Issuance of Class B common stock</w:t>
            </w: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140" w:type="dxa"/>
            <w:vAlign w:val="bottom"/>
          </w:tcPr>
          <w:p>
            <w:pPr>
              <w:ind w:left="360"/>
              <w:spacing w:after="0"/>
              <w:rPr>
                <w:sz w:val="20"/>
                <w:szCs w:val="20"/>
                <w:color w:val="auto"/>
              </w:rPr>
            </w:pPr>
            <w:r>
              <w:rPr>
                <w:rFonts w:ascii="Arial" w:cs="Arial" w:eastAsia="Arial" w:hAnsi="Arial"/>
                <w:sz w:val="18"/>
                <w:szCs w:val="18"/>
                <w:color w:val="auto"/>
              </w:rPr>
              <w:t>to Sponsor</w:t>
            </w:r>
            <w:r>
              <w:rPr>
                <w:rFonts w:ascii="Arial" w:cs="Arial" w:eastAsia="Arial" w:hAnsi="Arial"/>
                <w:sz w:val="20"/>
                <w:szCs w:val="20"/>
                <w:color w:val="auto"/>
                <w:vertAlign w:val="superscript"/>
              </w:rPr>
              <w:t>(1)</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10,062,500</w:t>
            </w:r>
          </w:p>
        </w:tc>
        <w:tc>
          <w:tcPr>
            <w:tcW w:w="14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1,006</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23,994</w:t>
            </w:r>
          </w:p>
        </w:tc>
        <w:tc>
          <w:tcPr>
            <w:tcW w:w="180" w:type="dxa"/>
            <w:vAlign w:val="bottom"/>
          </w:tcPr>
          <w:p>
            <w:pPr>
              <w:spacing w:after="0"/>
              <w:rPr>
                <w:sz w:val="21"/>
                <w:szCs w:val="21"/>
                <w:color w:val="auto"/>
              </w:rPr>
            </w:pP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3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(2,681)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(2,681)</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3140" w:type="dxa"/>
            <w:vAlign w:val="bottom"/>
          </w:tcPr>
          <w:p>
            <w:pPr>
              <w:spacing w:after="0"/>
              <w:rPr>
                <w:sz w:val="20"/>
                <w:szCs w:val="20"/>
                <w:color w:val="auto"/>
              </w:rPr>
            </w:pPr>
            <w:r>
              <w:rPr>
                <w:rFonts w:ascii="Arial" w:cs="Arial" w:eastAsia="Arial" w:hAnsi="Arial"/>
                <w:sz w:val="18"/>
                <w:szCs w:val="18"/>
                <w:b w:val="1"/>
                <w:bCs w:val="1"/>
                <w:color w:val="auto"/>
              </w:rPr>
              <w:t>Balance, July 16, 2020</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10,062,500 $</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1,006</w:t>
            </w:r>
          </w:p>
        </w:tc>
        <w:tc>
          <w:tcPr>
            <w:tcW w:w="1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23,994</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(2,681)</w:t>
            </w:r>
          </w:p>
        </w:tc>
        <w:tc>
          <w:tcPr>
            <w:tcW w:w="100" w:type="dxa"/>
            <w:vAlign w:val="bottom"/>
          </w:tcPr>
          <w:p>
            <w:pPr>
              <w:spacing w:after="0"/>
              <w:rPr>
                <w:sz w:val="22"/>
                <w:szCs w:val="22"/>
                <w:color w:val="auto"/>
              </w:rPr>
            </w:pP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22,319</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86" w:lineRule="exact"/>
        <w:rPr>
          <w:sz w:val="20"/>
          <w:szCs w:val="20"/>
          <w:color w:val="auto"/>
        </w:rPr>
      </w:pPr>
    </w:p>
    <w:p>
      <w:pPr>
        <w:ind w:left="880" w:right="999" w:hanging="426"/>
        <w:spacing w:after="0" w:line="230" w:lineRule="auto"/>
        <w:tabs>
          <w:tab w:leader="none" w:pos="882" w:val="left"/>
        </w:tabs>
        <w:numPr>
          <w:ilvl w:val="0"/>
          <w:numId w:val="86"/>
        </w:numPr>
        <w:rPr>
          <w:rFonts w:ascii="Arial" w:cs="Arial" w:eastAsia="Arial" w:hAnsi="Arial"/>
          <w:sz w:val="13"/>
          <w:szCs w:val="13"/>
          <w:color w:val="auto"/>
        </w:rPr>
      </w:pPr>
      <w:r>
        <w:rPr>
          <w:rFonts w:ascii="Arial" w:cs="Arial" w:eastAsia="Arial" w:hAnsi="Arial"/>
          <w:sz w:val="13"/>
          <w:szCs w:val="13"/>
          <w:color w:val="auto"/>
        </w:rPr>
        <w:t>Includes an aggregate of up to 1,312,500 shares of Class B common stock subject to forfeiture if the over-allotment option is not exercised in full or in part by the underwriters (see Note 5).</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55" w:name="page156"/>
    <w:bookmarkEnd w:id="155"/>
    <w:p>
      <w:pPr>
        <w:jc w:val="center"/>
        <w:ind w:right="19"/>
        <w:spacing w:after="0"/>
        <w:rPr>
          <w:sz w:val="20"/>
          <w:szCs w:val="20"/>
          <w:color w:val="auto"/>
        </w:rPr>
      </w:pPr>
      <w:r>
        <w:rPr>
          <w:rFonts w:ascii="Arial" w:cs="Arial" w:eastAsia="Arial" w:hAnsi="Arial"/>
          <w:sz w:val="18"/>
          <w:szCs w:val="18"/>
          <w:b w:val="1"/>
          <w:bCs w:val="1"/>
          <w:color w:val="auto"/>
        </w:rPr>
        <w:t>CM LIFE SCIENCES,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 OF CASH FLOWS</w:t>
      </w:r>
    </w:p>
    <w:p>
      <w:pPr>
        <w:jc w:val="center"/>
        <w:ind w:right="19"/>
        <w:spacing w:after="0"/>
        <w:rPr>
          <w:sz w:val="20"/>
          <w:szCs w:val="20"/>
          <w:color w:val="auto"/>
        </w:rPr>
      </w:pPr>
      <w:r>
        <w:rPr>
          <w:rFonts w:ascii="Arial" w:cs="Arial" w:eastAsia="Arial" w:hAnsi="Arial"/>
          <w:sz w:val="18"/>
          <w:szCs w:val="18"/>
          <w:b w:val="1"/>
          <w:bCs w:val="1"/>
          <w:color w:val="auto"/>
        </w:rPr>
        <w:t>FOR THE PERIOD FROM JULY 10, 2020 (INCEPTION) THROUGH JULY 16, 2020</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6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920" w:type="dxa"/>
            <w:vAlign w:val="bottom"/>
          </w:tcPr>
          <w:p>
            <w:pPr>
              <w:ind w:left="180"/>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(2,681)</w:t>
            </w:r>
          </w:p>
        </w:tc>
        <w:tc>
          <w:tcPr>
            <w:tcW w:w="0" w:type="dxa"/>
            <w:vAlign w:val="bottom"/>
          </w:tcPr>
          <w:p>
            <w:pPr>
              <w:spacing w:after="0"/>
              <w:rPr>
                <w:sz w:val="1"/>
                <w:szCs w:val="1"/>
                <w:color w:val="auto"/>
              </w:rPr>
            </w:pPr>
          </w:p>
        </w:tc>
      </w:tr>
      <w:tr>
        <w:trPr>
          <w:trHeight w:val="27"/>
        </w:trPr>
        <w:tc>
          <w:tcPr>
            <w:tcW w:w="6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6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 to reconcile net loss to net cash used in operating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92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6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30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2,681</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920" w:type="dxa"/>
            <w:vAlign w:val="bottom"/>
          </w:tcPr>
          <w:p>
            <w:pPr>
              <w:ind w:left="540"/>
              <w:spacing w:after="0"/>
              <w:rPr>
                <w:sz w:val="20"/>
                <w:szCs w:val="20"/>
                <w:color w:val="auto"/>
              </w:rPr>
            </w:pPr>
            <w:r>
              <w:rPr>
                <w:rFonts w:ascii="Arial" w:cs="Arial" w:eastAsia="Arial" w:hAnsi="Arial"/>
                <w:sz w:val="18"/>
                <w:szCs w:val="18"/>
                <w:b w:val="1"/>
                <w:bCs w:val="1"/>
                <w:color w:val="auto"/>
              </w:rPr>
              <w:t>Net cash used in operating activities</w:t>
            </w:r>
          </w:p>
        </w:tc>
        <w:tc>
          <w:tcPr>
            <w:tcW w:w="300" w:type="dxa"/>
            <w:vAlign w:val="bottom"/>
          </w:tcPr>
          <w:p>
            <w:pPr>
              <w:spacing w:after="0"/>
              <w:rPr>
                <w:sz w:val="22"/>
                <w:szCs w:val="22"/>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83"/>
        </w:trPr>
        <w:tc>
          <w:tcPr>
            <w:tcW w:w="692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760" w:type="dxa"/>
            <w:vAlign w:val="bottom"/>
            <w:tcBorders>
              <w:top w:val="single" w:sz="8" w:color="auto"/>
            </w:tcBorders>
            <w:shd w:val="clear" w:color="auto" w:fill="CCEEFF"/>
          </w:tcPr>
          <w:p>
            <w:pPr>
              <w:spacing w:after="0"/>
              <w:rPr>
                <w:sz w:val="24"/>
                <w:szCs w:val="24"/>
                <w:color w:val="auto"/>
              </w:rPr>
            </w:pPr>
          </w:p>
        </w:tc>
        <w:tc>
          <w:tcPr>
            <w:tcW w:w="2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920" w:type="dxa"/>
            <w:vAlign w:val="bottom"/>
          </w:tcPr>
          <w:p>
            <w:pPr>
              <w:spacing w:after="0"/>
              <w:rPr>
                <w:sz w:val="20"/>
                <w:szCs w:val="20"/>
                <w:color w:val="auto"/>
              </w:rPr>
            </w:pPr>
            <w:r>
              <w:rPr>
                <w:rFonts w:ascii="Arial" w:cs="Arial" w:eastAsia="Arial" w:hAnsi="Arial"/>
                <w:sz w:val="18"/>
                <w:szCs w:val="18"/>
                <w:b w:val="1"/>
                <w:bCs w:val="1"/>
                <w:color w:val="auto"/>
              </w:rPr>
              <w:t>Net change in cash</w:t>
            </w:r>
          </w:p>
        </w:tc>
        <w:tc>
          <w:tcPr>
            <w:tcW w:w="300" w:type="dxa"/>
            <w:vAlign w:val="bottom"/>
          </w:tcPr>
          <w:p>
            <w:pPr>
              <w:spacing w:after="0"/>
              <w:rPr>
                <w:sz w:val="22"/>
                <w:szCs w:val="22"/>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6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Cash at beginning of period</w:t>
            </w:r>
          </w:p>
        </w:tc>
        <w:tc>
          <w:tcPr>
            <w:tcW w:w="30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6920" w:type="dxa"/>
            <w:vAlign w:val="bottom"/>
          </w:tcPr>
          <w:p>
            <w:pPr>
              <w:spacing w:after="0"/>
              <w:rPr>
                <w:sz w:val="20"/>
                <w:szCs w:val="20"/>
                <w:color w:val="auto"/>
              </w:rPr>
            </w:pPr>
            <w:r>
              <w:rPr>
                <w:rFonts w:ascii="Arial" w:cs="Arial" w:eastAsia="Arial" w:hAnsi="Arial"/>
                <w:sz w:val="18"/>
                <w:szCs w:val="18"/>
                <w:b w:val="1"/>
                <w:bCs w:val="1"/>
                <w:color w:val="auto"/>
              </w:rPr>
              <w:t>Cash at end of period</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64"/>
        </w:trPr>
        <w:tc>
          <w:tcPr>
            <w:tcW w:w="69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920" w:type="dxa"/>
            <w:vAlign w:val="bottom"/>
          </w:tcPr>
          <w:p>
            <w:pPr>
              <w:spacing w:after="0"/>
              <w:rPr>
                <w:sz w:val="20"/>
                <w:szCs w:val="20"/>
                <w:color w:val="auto"/>
              </w:rPr>
            </w:pPr>
            <w:r>
              <w:rPr>
                <w:rFonts w:ascii="Arial" w:cs="Arial" w:eastAsia="Arial" w:hAnsi="Arial"/>
                <w:sz w:val="18"/>
                <w:szCs w:val="18"/>
                <w:b w:val="1"/>
                <w:bCs w:val="1"/>
                <w:color w:val="auto"/>
              </w:rPr>
              <w:t>Non-cash financing activities:</w:t>
            </w:r>
          </w:p>
        </w:tc>
        <w:tc>
          <w:tcPr>
            <w:tcW w:w="3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6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Deferred offering costs paid directly by Sponsor in exchange for the issuance of</w:t>
            </w:r>
          </w:p>
        </w:tc>
        <w:tc>
          <w:tcPr>
            <w:tcW w:w="3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Class B common stock</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920" w:type="dxa"/>
            <w:vAlign w:val="bottom"/>
            <w:vMerge w:val="restart"/>
          </w:tcPr>
          <w:p>
            <w:pPr>
              <w:spacing w:after="0"/>
              <w:rPr>
                <w:sz w:val="20"/>
                <w:szCs w:val="20"/>
                <w:color w:val="auto"/>
              </w:rPr>
            </w:pPr>
            <w:r>
              <w:rPr>
                <w:rFonts w:ascii="Arial" w:cs="Arial" w:eastAsia="Arial" w:hAnsi="Arial"/>
                <w:sz w:val="18"/>
                <w:szCs w:val="18"/>
                <w:color w:val="auto"/>
              </w:rPr>
              <w:t>Deferred offering costs included in accrued offering costs</w:t>
            </w: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920" w:type="dxa"/>
            <w:vAlign w:val="bottom"/>
            <w:vMerge w:val="continue"/>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56" w:name="page157"/>
    <w:bookmarkEnd w:id="156"/>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 — DESCRIPTION OF ORGANIZATION AND BUSINESS OPERATIONS</w:t>
      </w:r>
    </w:p>
    <w:p>
      <w:pPr>
        <w:spacing w:after="0" w:line="166" w:lineRule="exact"/>
        <w:rPr>
          <w:sz w:val="20"/>
          <w:szCs w:val="20"/>
          <w:color w:val="auto"/>
        </w:rPr>
      </w:pPr>
    </w:p>
    <w:p>
      <w:pPr>
        <w:ind w:left="460" w:right="459"/>
        <w:spacing w:after="0" w:line="237" w:lineRule="auto"/>
        <w:rPr>
          <w:sz w:val="20"/>
          <w:szCs w:val="20"/>
          <w:color w:val="auto"/>
        </w:rPr>
      </w:pPr>
      <w:r>
        <w:rPr>
          <w:rFonts w:ascii="Arial" w:cs="Arial" w:eastAsia="Arial" w:hAnsi="Arial"/>
          <w:sz w:val="18"/>
          <w:szCs w:val="18"/>
          <w:color w:val="auto"/>
        </w:rPr>
        <w:t>CM Life Sciences, Inc. (the “Company”) was incorporated in Delaware on July 10, 2020. The Company was formed for the purpose of effecting a merger, capital stock exchange, asset acquisition, stock purchase, reorganization or similar business combination with one or more businesses (the “Business Combination”). The Company is not limited to a particular industry or sector for purposes of consummating a Business Combination. The Company is an early stage and emerging growth company and, as such, the Company is subject to all of the risks associated with early stage and emerging growth companies.</w:t>
      </w:r>
    </w:p>
    <w:p>
      <w:pPr>
        <w:spacing w:after="0" w:line="122" w:lineRule="exact"/>
        <w:rPr>
          <w:sz w:val="20"/>
          <w:szCs w:val="20"/>
          <w:color w:val="auto"/>
        </w:rPr>
      </w:pPr>
    </w:p>
    <w:p>
      <w:pPr>
        <w:ind w:left="460" w:right="539"/>
        <w:spacing w:after="0" w:line="237" w:lineRule="auto"/>
        <w:rPr>
          <w:sz w:val="20"/>
          <w:szCs w:val="20"/>
          <w:color w:val="auto"/>
        </w:rPr>
      </w:pPr>
      <w:r>
        <w:rPr>
          <w:rFonts w:ascii="Arial" w:cs="Arial" w:eastAsia="Arial" w:hAnsi="Arial"/>
          <w:sz w:val="18"/>
          <w:szCs w:val="18"/>
          <w:color w:val="auto"/>
        </w:rPr>
        <w:t>As of July 16, 2020, the Company had not commenced any operations. All activity for the period from July 10, 2020 (inception) through July 16, 2020 relates to the Company’s formation and the proposed initial public offering (“Proposed Public Offering”), which is described below. The Company will not generate any operating revenues until after the completion of its initial Business Combination, at the earliest. The Company will generate non-operating income in the form of interest income from the proceeds derived from the Proposed Public Offering. The Company has selected December 31 as its fiscal year end.</w:t>
      </w:r>
    </w:p>
    <w:p>
      <w:pPr>
        <w:spacing w:after="0" w:line="135"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The Company’s ability to commence operations is contingent upon obtaining adequate financial resources through a Proposed Public Offering of 35,000,000 units (the “Units” and, with respect to the Class A common stock included in the Units being offered, the “Public Shares”) at $10.00 per Unit (or 40,250,000 Units if the underwriters’ over-allotment option is exercised in full), which is discussed in Note 3, and the sale of 6,000,000 warrants (or 6,700,000 warrants if the underwriters’ over-allotment option is exercised on full) (the “Private Placement Warrants”) at a price of $1.50 per Private Placement Warrant in a private placement to CMLS Holdings LLC (the “Sponsor”), that will close simultaneously with the Proposed Public Offering.</w:t>
      </w:r>
    </w:p>
    <w:p>
      <w:pPr>
        <w:spacing w:after="0" w:line="140"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The Company’s management has broad discretion with respect to the specific application of the net proceeds of the Proposed Public Offering and the sale of Private Placement Warrants,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with one or more operating businesses or assets with a fair market value equal to at least 80% of the net assets held in the Trust Account (as defined below) (excluding the deferred underwriting commissions and taxes payable on the interest earned on the Trust Account). The Company will only complete a Business Combination if the post-transaction company owns or acquires 50% or more of the outstanding voting securities of the target or otherwise acquires a controlling interest in the target business sufficient for it not to be required to register as an investment company under the Investment Company Act of 1940, as amended (the “Investment Company Act”). Upon the closing of the Proposed Public Offering, management has agreed that an amount equal to at least $10.00 per Unit sold in the Proposed Public Offering, including proceeds of the Private Placement Warrants, will be held in a trust account (“Trust Account”), located in the United States and invested only in U.S. government securities, within the meaning set forth in Section 2(a)(16) of the Investment Company Act, with a maturity of 185 days or less or in any open-ended investment company that holds itself out as a money market fund selected by the Company meeting certain conditions of Rule 2a-7 of the Investment Company Act, as determined by the Company, until the earlier of: (i) the completion of a Business Combination and (ii) the distribution of the funds held in the Trust Account, as described below.</w:t>
      </w:r>
    </w:p>
    <w:p>
      <w:pPr>
        <w:spacing w:after="0" w:line="131"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The Company will provide the holders of the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The Public Stockholders will be entitled to redeem their Public Shares for a pro rata portion of the amount then in the Trust Account (initially anticipated to be $10.00 per Public Share, plus any pro rata interest then in the Trust Account, net of taxes payable). There will be no redemption rights upon the completion of a Business Combination with respect to the Company’s warrants. The Public Shares subject to redemption will be recorded at a redemption value and classified as temporary equity upon the completion of the Proposed Public Offering in accordance with the Accounting Standards Codification (“ASC”) Topic 480 “Distinguishing Liabilities from Equity.”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57" w:name="page158"/>
    <w:bookmarkEnd w:id="157"/>
    <w:p>
      <w:pPr>
        <w:jc w:val="center"/>
        <w:ind w:right="19"/>
        <w:spacing w:after="0"/>
        <w:rPr>
          <w:sz w:val="20"/>
          <w:szCs w:val="20"/>
          <w:color w:val="auto"/>
        </w:rPr>
      </w:pPr>
      <w:r>
        <w:rPr>
          <w:rFonts w:ascii="Arial" w:cs="Arial" w:eastAsia="Arial" w:hAnsi="Arial"/>
          <w:sz w:val="18"/>
          <w:szCs w:val="18"/>
          <w:b w:val="1"/>
          <w:bCs w:val="1"/>
          <w:color w:val="auto"/>
        </w:rPr>
        <w:t>CM LIFE SCIENCES,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 — DESCRIPTION OF ORGANIZATION AND BUSINESS OPERATIONS </w:t>
      </w:r>
      <w:r>
        <w:rPr>
          <w:rFonts w:ascii="Arial" w:cs="Arial" w:eastAsia="Arial" w:hAnsi="Arial"/>
          <w:sz w:val="18"/>
          <w:szCs w:val="18"/>
          <w:color w:val="auto"/>
        </w:rPr>
        <w:t>(cont.)</w:t>
      </w:r>
    </w:p>
    <w:p>
      <w:pPr>
        <w:spacing w:after="0" w:line="193"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The Company will only proceed with a Business Combination if the Company has net tangible assets of at least $ 5,000,001 following any related redemptions and, if the Company seeks stockholder approval, a majority of the shares voted are voted in favor of the Business Combination. If a stockholder vote is not required by applicable law or stock exchange listing requirements and the Company does not decide to hold a stockholder vote for business or other reasons, the Company will, pursuant to its Amended and Restated Certificate of Incorporation (the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applicable law or stock exchange listing requirements, or the Company decides to obtain stockholder approval for business or other reasons, the Company will offer to redeem shares in conjunction with a proxy solicitation pursuant to the proxy rules and not pursuant to the tender offer rules. If the Company seeks stockholder approval in connection with a Business Combination, the Company’s Sponsor and any other holders of the Company’s common stock prior to the Proposed Public Offering (the “initial stockholders”) have agreed to vote their Founder Shares (as defined in Note 5) and any Public Shares purchased during or after the Proposed Public Offering in favor of approving a Business Combination. Additionally, each Public Stockholder may elect to redeem their Public Shares without voting, and if they do vote, irrespective of whether they vote for or against the proposed transaction.</w:t>
      </w:r>
    </w:p>
    <w:p>
      <w:pPr>
        <w:spacing w:after="0" w:line="145" w:lineRule="exact"/>
        <w:rPr>
          <w:sz w:val="20"/>
          <w:szCs w:val="20"/>
          <w:color w:val="auto"/>
        </w:rPr>
      </w:pPr>
    </w:p>
    <w:p>
      <w:pPr>
        <w:ind w:left="460" w:right="539"/>
        <w:spacing w:after="0" w:line="237" w:lineRule="auto"/>
        <w:rPr>
          <w:sz w:val="20"/>
          <w:szCs w:val="20"/>
          <w:color w:val="auto"/>
        </w:rPr>
      </w:pPr>
      <w:r>
        <w:rPr>
          <w:rFonts w:ascii="Arial" w:cs="Arial" w:eastAsia="Arial" w:hAnsi="Arial"/>
          <w:sz w:val="18"/>
          <w:szCs w:val="18"/>
          <w:color w:val="auto"/>
        </w:rPr>
        <w:t>Notwithstanding the foregoing, if the Company seeks stockholder approval of a Business Combination and it does not conduct redemptions pursuant to the tender offer rules, the Certificate of Incorporation will provide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20% of the Public Shares, without the prior consent of the Company.</w:t>
      </w:r>
    </w:p>
    <w:p>
      <w:pPr>
        <w:spacing w:after="0" w:line="135" w:lineRule="exact"/>
        <w:rPr>
          <w:sz w:val="20"/>
          <w:szCs w:val="20"/>
          <w:color w:val="auto"/>
        </w:rPr>
      </w:pPr>
    </w:p>
    <w:p>
      <w:pPr>
        <w:ind w:left="460" w:right="599"/>
        <w:spacing w:after="0" w:line="236" w:lineRule="auto"/>
        <w:rPr>
          <w:sz w:val="20"/>
          <w:szCs w:val="20"/>
          <w:color w:val="auto"/>
        </w:rPr>
      </w:pPr>
      <w:r>
        <w:rPr>
          <w:rFonts w:ascii="Arial" w:cs="Arial" w:eastAsia="Arial" w:hAnsi="Arial"/>
          <w:sz w:val="18"/>
          <w:szCs w:val="18"/>
          <w:color w:val="auto"/>
        </w:rPr>
        <w:t>The Sponsor has agreed (a) to waive its redemption rights with respect to the Founder Shares and Public Shares held by it in connection with the completion of a Business Combination and (b) not to propose an amendment to the Certificate of Incorporation (i) to modify the substance or timing of the Company’s obligation to allow redemptions in connection with a Business Combination or to redeem 100% of its Public Shares if the Company does not complete a Business Combination within the Combination Period (as defined below) or (ii) with respect to any other provision relating to stockholders’ rights or pre-business combination activity, unless the Company provides the Public Stockholders with the opportunity to redeem their Public Shares in conjunction with any such amendment.</w:t>
      </w:r>
    </w:p>
    <w:p>
      <w:pPr>
        <w:spacing w:after="0" w:line="126"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If the Company has not completed a Business Combination within 24 months from the closing of the Proposed Public Offering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pay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the Company’s remaining stockholders and the Company’s board of directors, dissolve and liquidate, subject in each case to the Company’s obligations under Delaware law to provide for claims of creditors and the requirements of other applicable law. There will be no redemption rights or liquidating distributions with respect to the Company’s warrants, which will expire worthless if the Company fails to complete a Business Combination within the Combination Period.</w:t>
      </w:r>
    </w:p>
    <w:p>
      <w:pPr>
        <w:spacing w:after="0" w:line="146" w:lineRule="exact"/>
        <w:rPr>
          <w:sz w:val="20"/>
          <w:szCs w:val="20"/>
          <w:color w:val="auto"/>
        </w:rPr>
      </w:pPr>
    </w:p>
    <w:p>
      <w:pPr>
        <w:ind w:left="460" w:right="519"/>
        <w:spacing w:after="0" w:line="253" w:lineRule="auto"/>
        <w:rPr>
          <w:sz w:val="20"/>
          <w:szCs w:val="20"/>
          <w:color w:val="auto"/>
        </w:rPr>
      </w:pPr>
      <w:r>
        <w:rPr>
          <w:rFonts w:ascii="Arial" w:cs="Arial" w:eastAsia="Arial" w:hAnsi="Arial"/>
          <w:sz w:val="17"/>
          <w:szCs w:val="17"/>
          <w:color w:val="auto"/>
        </w:rPr>
        <w:t>The Sponsor has agreed to waive its liquidation rights with respect to the Founder Shares if the Company fails to complete a Business Combination within the Combination Period. However, if the Sponsor acquires Public Shares in or after the Proposed Public Offering, such Public Shares will be entitled to liquidating distributions from the Trust Account if the Company fails to complete a Business Combination within the Combination Period. The underwriters have agreed to waive their rights to their deferred underwriting commission (see Note 6) held in the Trust Account in the event the Company does not complete a Business Combination within the Combination Period and, in such</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58" w:name="page159"/>
    <w:bookmarkEnd w:id="158"/>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 — DESCRIPTION OF ORGANIZATION AND BUSINESS OPERATIONS </w:t>
      </w:r>
      <w:r>
        <w:rPr>
          <w:rFonts w:ascii="Arial" w:cs="Arial" w:eastAsia="Arial" w:hAnsi="Arial"/>
          <w:sz w:val="18"/>
          <w:szCs w:val="18"/>
          <w:color w:val="auto"/>
        </w:rPr>
        <w:t>(cont.)</w:t>
      </w:r>
    </w:p>
    <w:p>
      <w:pPr>
        <w:spacing w:after="0" w:line="193" w:lineRule="exact"/>
        <w:rPr>
          <w:sz w:val="20"/>
          <w:szCs w:val="20"/>
          <w:color w:val="auto"/>
        </w:rPr>
      </w:pPr>
    </w:p>
    <w:p>
      <w:pPr>
        <w:ind w:left="460" w:right="679"/>
        <w:spacing w:after="0" w:line="238" w:lineRule="auto"/>
        <w:rPr>
          <w:sz w:val="20"/>
          <w:szCs w:val="20"/>
          <w:color w:val="auto"/>
        </w:rPr>
      </w:pPr>
      <w:r>
        <w:rPr>
          <w:rFonts w:ascii="Arial" w:cs="Arial" w:eastAsia="Arial" w:hAnsi="Arial"/>
          <w:sz w:val="18"/>
          <w:szCs w:val="18"/>
          <w:color w:val="auto"/>
        </w:rPr>
        <w:t>event, such amounts will be included with the other funds held in the Trust Account that will be available to fund the redemption of the Public Shares. In the event of such distribution, it is possible that the per share value of the assets remaining available for distribution will be less than the Proposed Public Offering price per Unit ($10.00).</w:t>
      </w:r>
    </w:p>
    <w:p>
      <w:pPr>
        <w:spacing w:after="0" w:line="137" w:lineRule="exact"/>
        <w:rPr>
          <w:sz w:val="20"/>
          <w:szCs w:val="20"/>
          <w:color w:val="auto"/>
        </w:rPr>
      </w:pPr>
    </w:p>
    <w:p>
      <w:pPr>
        <w:ind w:left="460" w:right="519"/>
        <w:spacing w:after="0" w:line="235" w:lineRule="auto"/>
        <w:rPr>
          <w:sz w:val="20"/>
          <w:szCs w:val="20"/>
          <w:color w:val="auto"/>
        </w:rPr>
      </w:pPr>
      <w:r>
        <w:rPr>
          <w:rFonts w:ascii="Arial" w:cs="Arial" w:eastAsia="Arial" w:hAnsi="Arial"/>
          <w:sz w:val="18"/>
          <w:szCs w:val="18"/>
          <w:color w:val="auto"/>
        </w:rPr>
        <w:t>In order to protect the amounts held in the Trust Account, the Sponsor has agreed to be liable to the Company if and to the extent any claims by a third party for services rendered or products sold to the Company, or a prospective target business with which the Company has discussed entering into a transaction agreement, reduce the amount of funds in the Trust Account to below the lesser of (i) $10.00 per Public Share and (ii) the actual amount per Public Share held in the Trust Account as of the date of the liquidation of the Trust Account, if less than $ 10.00 per public Share due to reductions in the value of the trust assets, less taxes payable, provided that such liability will not apply to any claims by a third party or prospective target business who executed a waiver of any and all rights to monies held in the Trust Account nor will it apply to any claims under the Company’s indemnity of the underwriters of the Proposed Public Offering against certain liabilities, including liabilities under the Securities Act of 1933, as amended (the “Securities Act”). Moreover,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(except for the Company’s independent registered accounting firm), prospective target businesses and other entities with which the Company does business, execute agreements with the Company waiving any right, title, interest or claim of any kind in or to monies held in the Trust Account.</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66" w:lineRule="exact"/>
        <w:rPr>
          <w:sz w:val="20"/>
          <w:szCs w:val="20"/>
          <w:color w:val="auto"/>
        </w:rPr>
      </w:pPr>
    </w:p>
    <w:p>
      <w:pPr>
        <w:ind w:left="460" w:right="539"/>
        <w:spacing w:after="0"/>
        <w:rPr>
          <w:sz w:val="20"/>
          <w:szCs w:val="20"/>
          <w:color w:val="auto"/>
        </w:rPr>
      </w:pPr>
      <w:r>
        <w:rPr>
          <w:rFonts w:ascii="Arial" w:cs="Arial" w:eastAsia="Arial" w:hAnsi="Arial"/>
          <w:sz w:val="18"/>
          <w:szCs w:val="18"/>
          <w:color w:val="auto"/>
        </w:rPr>
        <w:t>The accompanying audited financial statements are presented in conformity with accounting principles generally accepted in the United States of America (“GAAP”) and pursuant to the rules and regulations of the SEC.</w:t>
      </w:r>
    </w:p>
    <w:p>
      <w:pPr>
        <w:spacing w:after="0" w:line="122" w:lineRule="exact"/>
        <w:rPr>
          <w:sz w:val="20"/>
          <w:szCs w:val="20"/>
          <w:color w:val="auto"/>
        </w:rPr>
      </w:pPr>
    </w:p>
    <w:p>
      <w:pPr>
        <w:ind w:left="460" w:right="499"/>
        <w:spacing w:after="0" w:line="253" w:lineRule="auto"/>
        <w:rPr>
          <w:sz w:val="20"/>
          <w:szCs w:val="20"/>
          <w:color w:val="auto"/>
        </w:rPr>
      </w:pPr>
      <w:r>
        <w:rPr>
          <w:rFonts w:ascii="Arial" w:cs="Arial" w:eastAsia="Arial" w:hAnsi="Arial"/>
          <w:sz w:val="17"/>
          <w:szCs w:val="17"/>
          <w:color w:val="auto"/>
        </w:rPr>
        <w:t>The Company does not have sufficient liquidity to meet its anticipated obligations over the next year from the date of issuance of these financial statements. In connection with the Company’s assessment of going concern considerations in accordance with Accounting Standards Update (“ASU”) 2014-15, “Disclosures of Uncertainties about an Entity’s Ability to Continue as a Going Concern,” management has determined that the Company has access to funds from the Sponsor that are sufficient to fund the working capital needs of the Company until the earlier of the consummation of the Proposed Public Offering or one year from the date of issuance of these financial statements.</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66" w:lineRule="exact"/>
        <w:rPr>
          <w:sz w:val="20"/>
          <w:szCs w:val="20"/>
          <w:color w:val="auto"/>
        </w:rPr>
      </w:pPr>
    </w:p>
    <w:p>
      <w:pPr>
        <w:ind w:left="460" w:right="519"/>
        <w:spacing w:after="0" w:line="251" w:lineRule="auto"/>
        <w:rPr>
          <w:sz w:val="20"/>
          <w:szCs w:val="20"/>
          <w:color w:val="auto"/>
        </w:rPr>
      </w:pPr>
      <w:r>
        <w:rPr>
          <w:rFonts w:ascii="Arial" w:cs="Arial" w:eastAsia="Arial" w:hAnsi="Arial"/>
          <w:sz w:val="17"/>
          <w:szCs w:val="17"/>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31"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59" w:name="page160"/>
    <w:bookmarkEnd w:id="159"/>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93" w:lineRule="exact"/>
        <w:rPr>
          <w:sz w:val="20"/>
          <w:szCs w:val="20"/>
          <w:color w:val="auto"/>
        </w:rPr>
      </w:pPr>
    </w:p>
    <w:p>
      <w:pPr>
        <w:ind w:left="460" w:right="559"/>
        <w:spacing w:after="0" w:line="236" w:lineRule="auto"/>
        <w:rPr>
          <w:sz w:val="20"/>
          <w:szCs w:val="20"/>
          <w:color w:val="auto"/>
        </w:rPr>
      </w:pPr>
      <w:r>
        <w:rPr>
          <w:rFonts w:ascii="Arial" w:cs="Arial" w:eastAsia="Arial" w:hAnsi="Arial"/>
          <w:sz w:val="18"/>
          <w:szCs w:val="18"/>
          <w:color w:val="auto"/>
        </w:rPr>
        <w:t>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66" w:lineRule="exact"/>
        <w:rPr>
          <w:sz w:val="20"/>
          <w:szCs w:val="20"/>
          <w:color w:val="auto"/>
        </w:rPr>
      </w:pPr>
    </w:p>
    <w:p>
      <w:pPr>
        <w:ind w:left="460" w:right="559"/>
        <w:spacing w:after="0" w:line="238" w:lineRule="auto"/>
        <w:rPr>
          <w:sz w:val="20"/>
          <w:szCs w:val="20"/>
          <w:color w:val="auto"/>
        </w:rPr>
      </w:pPr>
      <w:r>
        <w:rPr>
          <w:rFonts w:ascii="Arial" w:cs="Arial" w:eastAsia="Arial" w:hAnsi="Arial"/>
          <w:sz w:val="18"/>
          <w:szCs w:val="18"/>
          <w:color w:val="auto"/>
        </w:rPr>
        <w:t>The preparation of financial statements in conformity with GAAP requires the Company’s management to make estimates and assumptions that affect the reported amounts of assets and liabilities and disclosure of contingent assets and liabilities at the date of the financial statements and the reported amounts of revenues and expenses during the reporting period.</w:t>
      </w:r>
    </w:p>
    <w:p>
      <w:pPr>
        <w:spacing w:after="0" w:line="137" w:lineRule="exact"/>
        <w:rPr>
          <w:sz w:val="20"/>
          <w:szCs w:val="20"/>
          <w:color w:val="auto"/>
        </w:rPr>
      </w:pPr>
    </w:p>
    <w:p>
      <w:pPr>
        <w:ind w:left="460" w:right="559"/>
        <w:spacing w:after="0" w:line="238" w:lineRule="auto"/>
        <w:rPr>
          <w:sz w:val="20"/>
          <w:szCs w:val="20"/>
          <w:color w:val="auto"/>
        </w:rPr>
      </w:pPr>
      <w:r>
        <w:rPr>
          <w:rFonts w:ascii="Arial" w:cs="Arial" w:eastAsia="Arial" w:hAnsi="Arial"/>
          <w:sz w:val="18"/>
          <w:szCs w:val="18"/>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53" w:lineRule="exact"/>
        <w:rPr>
          <w:sz w:val="20"/>
          <w:szCs w:val="20"/>
          <w:color w:val="auto"/>
        </w:rPr>
      </w:pPr>
    </w:p>
    <w:p>
      <w:pPr>
        <w:ind w:left="460" w:right="639"/>
        <w:spacing w:after="0" w:line="238" w:lineRule="auto"/>
        <w:rPr>
          <w:sz w:val="20"/>
          <w:szCs w:val="20"/>
          <w:color w:val="auto"/>
        </w:rPr>
      </w:pPr>
      <w:r>
        <w:rPr>
          <w:rFonts w:ascii="Arial" w:cs="Arial" w:eastAsia="Arial" w:hAnsi="Arial"/>
          <w:sz w:val="18"/>
          <w:szCs w:val="18"/>
          <w:color w:val="auto"/>
        </w:rPr>
        <w:t>Deferred offering costs consist of legal, accounting and other costs incurred through the balance sheet date that are directly related to the Proposed Public Offering and that will be charged to stockholder’s equity upon the completion of the Proposed Public Offering. Should the Proposed Public Offering prove to be unsuccessful, these deferred costs, as well as additional expenses to be incurred, will be charged to operations.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Taxes</w:t>
      </w:r>
    </w:p>
    <w:p>
      <w:pPr>
        <w:spacing w:after="0" w:line="166" w:lineRule="exact"/>
        <w:rPr>
          <w:sz w:val="20"/>
          <w:szCs w:val="20"/>
          <w:color w:val="auto"/>
        </w:rPr>
      </w:pPr>
    </w:p>
    <w:p>
      <w:pPr>
        <w:ind w:left="460" w:right="579"/>
        <w:spacing w:after="0" w:line="236" w:lineRule="auto"/>
        <w:rPr>
          <w:sz w:val="20"/>
          <w:szCs w:val="20"/>
          <w:color w:val="auto"/>
        </w:rPr>
      </w:pPr>
      <w:r>
        <w:rPr>
          <w:rFonts w:ascii="Arial" w:cs="Arial" w:eastAsia="Arial" w:hAnsi="Arial"/>
          <w:sz w:val="18"/>
          <w:szCs w:val="18"/>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39"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July 16, 2020.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26" w:lineRule="exact"/>
        <w:rPr>
          <w:sz w:val="20"/>
          <w:szCs w:val="20"/>
          <w:color w:val="auto"/>
        </w:rPr>
      </w:pPr>
    </w:p>
    <w:p>
      <w:pPr>
        <w:ind w:left="460" w:right="499"/>
        <w:spacing w:after="0"/>
        <w:rPr>
          <w:sz w:val="20"/>
          <w:szCs w:val="20"/>
          <w:color w:val="auto"/>
        </w:rPr>
      </w:pPr>
      <w:r>
        <w:rPr>
          <w:rFonts w:ascii="Arial" w:cs="Arial" w:eastAsia="Arial" w:hAnsi="Arial"/>
          <w:sz w:val="18"/>
          <w:szCs w:val="18"/>
          <w:color w:val="auto"/>
        </w:rPr>
        <w:t>The provision for income taxes was deemed to be de minimis for the period from July 10, 2020 (inception) through July 16, 2020. The Company’s deferred tax assets were deemed to be de minimis as of July 16, 2020.</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60" w:name="page161"/>
    <w:bookmarkEnd w:id="160"/>
    <w:p>
      <w:pPr>
        <w:jc w:val="center"/>
        <w:ind w:right="19"/>
        <w:spacing w:after="0"/>
        <w:rPr>
          <w:sz w:val="20"/>
          <w:szCs w:val="20"/>
          <w:color w:val="auto"/>
        </w:rPr>
      </w:pPr>
      <w:r>
        <w:rPr>
          <w:rFonts w:ascii="Arial" w:cs="Arial" w:eastAsia="Arial" w:hAnsi="Arial"/>
          <w:sz w:val="18"/>
          <w:szCs w:val="18"/>
          <w:b w:val="1"/>
          <w:bCs w:val="1"/>
          <w:color w:val="auto"/>
        </w:rPr>
        <w:t>CM LIFE SCIENCES,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166" w:lineRule="exact"/>
        <w:rPr>
          <w:sz w:val="20"/>
          <w:szCs w:val="20"/>
          <w:color w:val="auto"/>
        </w:rPr>
      </w:pPr>
    </w:p>
    <w:p>
      <w:pPr>
        <w:ind w:left="460" w:right="579"/>
        <w:spacing w:after="0" w:line="236" w:lineRule="auto"/>
        <w:rPr>
          <w:sz w:val="20"/>
          <w:szCs w:val="20"/>
          <w:color w:val="auto"/>
        </w:rPr>
      </w:pPr>
      <w:r>
        <w:rPr>
          <w:rFonts w:ascii="Arial" w:cs="Arial" w:eastAsia="Arial" w:hAnsi="Arial"/>
          <w:sz w:val="18"/>
          <w:szCs w:val="18"/>
          <w:color w:val="auto"/>
        </w:rPr>
        <w:t>Net loss per share is computed by dividing net loss by the weighted average number of shares of common stock outstanding during the period, excluding shares of common stock subject to forfeiture by the Sponsor. Weighted average shares were reduced for the effect of an aggregate of 1,312,500 shares of Class B common stock that are subject to forfeiture if the over-allotment option is not exercised by the underwriters (see Note 5). At July 16, 2020, the Company did not have any dilutive securities and other contracts that could, potentially, be exercised or converted into shares of common stock and then share in the earnings of the Company. As a result, diluted loss per share is the same as basic loss per share for the period presented.</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53" w:lineRule="exact"/>
        <w:rPr>
          <w:sz w:val="20"/>
          <w:szCs w:val="20"/>
          <w:color w:val="auto"/>
        </w:rPr>
      </w:pPr>
    </w:p>
    <w:p>
      <w:pPr>
        <w:ind w:left="460" w:right="519"/>
        <w:spacing w:after="0" w:line="238"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a cash account in a financial institution, which, at times, may exceed the Federal Depository Insurance Coverage of $250,000. The Company has not experienced losses on this account and management believes the Company is not exposed to significant risks on such account.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66" w:lineRule="exact"/>
        <w:rPr>
          <w:sz w:val="20"/>
          <w:szCs w:val="20"/>
          <w:color w:val="auto"/>
        </w:rPr>
      </w:pPr>
    </w:p>
    <w:p>
      <w:pPr>
        <w:ind w:left="460" w:right="579"/>
        <w:spacing w:after="0"/>
        <w:rPr>
          <w:sz w:val="20"/>
          <w:szCs w:val="20"/>
          <w:color w:val="auto"/>
        </w:rPr>
      </w:pPr>
      <w:r>
        <w:rPr>
          <w:rFonts w:ascii="Arial" w:cs="Arial" w:eastAsia="Arial" w:hAnsi="Arial"/>
          <w:sz w:val="18"/>
          <w:szCs w:val="18"/>
          <w:color w:val="auto"/>
        </w:rPr>
        <w:t>The fair value of the Company’s assets and liabilities, which qualify as financial instruments under ASC 820, “Fair Value Measurement,” approximates the carrying amounts represented in the balance sheet, primarily due to their short-term nature.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66" w:lineRule="exact"/>
        <w:rPr>
          <w:sz w:val="20"/>
          <w:szCs w:val="20"/>
          <w:color w:val="auto"/>
        </w:rPr>
      </w:pPr>
    </w:p>
    <w:p>
      <w:pPr>
        <w:ind w:left="460" w:right="1059"/>
        <w:spacing w:after="0"/>
        <w:rPr>
          <w:sz w:val="20"/>
          <w:szCs w:val="20"/>
          <w:color w:val="auto"/>
        </w:rPr>
      </w:pPr>
      <w:r>
        <w:rPr>
          <w:rFonts w:ascii="Arial" w:cs="Arial" w:eastAsia="Arial" w:hAnsi="Arial"/>
          <w:sz w:val="18"/>
          <w:szCs w:val="18"/>
          <w:color w:val="auto"/>
        </w:rPr>
        <w:t>Management does not believe that any recently issued, but not yet effective, accounting pronouncements, if currently adopted, would have a material effect on the Company’s financial statements.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3 — PROPOSED PUBLIC OFFERING</w:t>
      </w:r>
    </w:p>
    <w:p>
      <w:pPr>
        <w:spacing w:after="0" w:line="153" w:lineRule="exact"/>
        <w:rPr>
          <w:sz w:val="20"/>
          <w:szCs w:val="20"/>
          <w:color w:val="auto"/>
        </w:rPr>
      </w:pPr>
    </w:p>
    <w:p>
      <w:pPr>
        <w:ind w:left="460" w:right="519"/>
        <w:spacing w:after="0" w:line="255" w:lineRule="auto"/>
        <w:rPr>
          <w:sz w:val="20"/>
          <w:szCs w:val="20"/>
          <w:color w:val="auto"/>
        </w:rPr>
      </w:pPr>
      <w:r>
        <w:rPr>
          <w:rFonts w:ascii="Arial" w:cs="Arial" w:eastAsia="Arial" w:hAnsi="Arial"/>
          <w:sz w:val="17"/>
          <w:szCs w:val="17"/>
          <w:color w:val="auto"/>
        </w:rPr>
        <w:t>Pursuant to the Proposed Public Offering, the Company intends to offer for sale 35,000,000 Units (or 40,250,000 Units if the underwriters’ over-allotment option is exercised in full) at a price of $10.00 per Unit. Each Unit will consist of one share of Class A common stock and one-third of one redeemable warrant (“Public Warrant”). Each whole Public Warrant will entitle the holder to purchase one share of Class A common stock at a price of $11.50 per share, subject to adjustment (see Note 7).</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4 — PRIVATE PLACEMENT</w:t>
      </w:r>
    </w:p>
    <w:p>
      <w:pPr>
        <w:spacing w:after="0" w:line="166" w:lineRule="exact"/>
        <w:rPr>
          <w:sz w:val="20"/>
          <w:szCs w:val="20"/>
          <w:color w:val="auto"/>
        </w:rPr>
      </w:pPr>
    </w:p>
    <w:p>
      <w:pPr>
        <w:ind w:left="460" w:right="599"/>
        <w:spacing w:after="0" w:line="236" w:lineRule="auto"/>
        <w:rPr>
          <w:sz w:val="20"/>
          <w:szCs w:val="20"/>
          <w:color w:val="auto"/>
        </w:rPr>
      </w:pPr>
      <w:r>
        <w:rPr>
          <w:rFonts w:ascii="Arial" w:cs="Arial" w:eastAsia="Arial" w:hAnsi="Arial"/>
          <w:sz w:val="18"/>
          <w:szCs w:val="18"/>
          <w:color w:val="auto"/>
        </w:rPr>
        <w:t>The Sponsor has agreed to purchase an aggregate of 6,000,000 Private Placement Warrants (or 6,700,000 Private Placement Warrants if the underwriters’ over-allotment is exercised in full) at a price of $1.50 per Private Placement Warrant ($9,000,000, or an aggregate of $10,050,000 if the underwriters’ over-allotment is exercised in full) from the Company in a private placement that will occur simultaneously with the closing of the Proposed Public Offering. Each Private Placement Warrant is exercisable to purchase one share of Class A common stock at a price of $11.50 per share, subject to adjustment (see Note 7). The proceeds from the sale of the Private Placement Warrants will be added to the net proceeds from the Proposed Public Offering held in the Trust Account. If the Company does not complete a Business Combination within the Combination Period, the proceeds from the sale of the Private Placement Warrants held in the Trust Account will be used to fund the redemption of the Public Shares (subject to the requirements of applicable law) and the Private Placement Warrants will expire worthless.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61" w:name="page162"/>
    <w:bookmarkEnd w:id="161"/>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5 — RELATED PARTY TRANSACTIONS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Founder Shares</w:t>
      </w:r>
    </w:p>
    <w:p>
      <w:pPr>
        <w:spacing w:after="0" w:line="153" w:lineRule="exact"/>
        <w:rPr>
          <w:sz w:val="20"/>
          <w:szCs w:val="20"/>
          <w:color w:val="auto"/>
        </w:rPr>
      </w:pPr>
    </w:p>
    <w:p>
      <w:pPr>
        <w:ind w:left="460" w:right="519"/>
        <w:spacing w:after="0" w:line="237" w:lineRule="auto"/>
        <w:rPr>
          <w:sz w:val="20"/>
          <w:szCs w:val="20"/>
          <w:color w:val="auto"/>
        </w:rPr>
      </w:pPr>
      <w:r>
        <w:rPr>
          <w:rFonts w:ascii="Arial" w:cs="Arial" w:eastAsia="Arial" w:hAnsi="Arial"/>
          <w:sz w:val="18"/>
          <w:szCs w:val="18"/>
          <w:color w:val="auto"/>
        </w:rPr>
        <w:t>During the period ended July 16, 2020, the Sponsor paid $25,000 to cover certain offering costs of the Company in consideration for 10,062,500 shares of Class B common stock (the “Founder Shares”). The Founder Shares include an aggregate of up to 1,312,500 shares subject to forfeiture to the extent that the underwriters’ over-allotment is not exercised in full or in part, so that the number of Founder Shares will equal, on an as-converted basis, approximately 20% of the Company’s issued and outstanding ordinary shares after the Proposed Public Offering.</w:t>
      </w:r>
    </w:p>
    <w:p>
      <w:pPr>
        <w:spacing w:after="0" w:line="137" w:lineRule="exact"/>
        <w:rPr>
          <w:sz w:val="20"/>
          <w:szCs w:val="20"/>
          <w:color w:val="auto"/>
        </w:rPr>
      </w:pPr>
    </w:p>
    <w:p>
      <w:pPr>
        <w:ind w:left="460" w:right="619"/>
        <w:spacing w:after="0" w:line="236" w:lineRule="auto"/>
        <w:rPr>
          <w:sz w:val="20"/>
          <w:szCs w:val="20"/>
          <w:color w:val="auto"/>
        </w:rPr>
      </w:pPr>
      <w:r>
        <w:rPr>
          <w:rFonts w:ascii="Arial" w:cs="Arial" w:eastAsia="Arial" w:hAnsi="Arial"/>
          <w:sz w:val="18"/>
          <w:szCs w:val="18"/>
          <w:color w:val="auto"/>
        </w:rPr>
        <w:t>The Sponsor has agreed, subject to limited exceptions, not to transfer, assign or sell any of the Founder Shares until the earlier to occur of: (A) one year after the completion of a Business Combination and (B) subsequent to a Business Combination, (x) if the last reported sale price of the Class A common stock equals or exceeds $12.00 per share (as adjusted for stock splits, stock capitalizations, reorganizations, recapitalizations and the like) for any 20 trading days within any 30-trading day period commencing at least 150 days after a Business Combination, or (y) the date on which the Company completes a liquidation, merger, capital stock exchange or other similar transaction that results in all of the Public Stockholders having the right to exchange their shares of common stock for cash, securities or other property.</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Promissory Note — Related Party</w:t>
      </w:r>
    </w:p>
    <w:p>
      <w:pPr>
        <w:spacing w:after="0" w:line="166" w:lineRule="exact"/>
        <w:rPr>
          <w:sz w:val="20"/>
          <w:szCs w:val="20"/>
          <w:color w:val="auto"/>
        </w:rPr>
      </w:pPr>
    </w:p>
    <w:p>
      <w:pPr>
        <w:ind w:left="460" w:right="499"/>
        <w:spacing w:after="0" w:line="238" w:lineRule="auto"/>
        <w:rPr>
          <w:sz w:val="20"/>
          <w:szCs w:val="20"/>
          <w:color w:val="auto"/>
        </w:rPr>
      </w:pPr>
      <w:r>
        <w:rPr>
          <w:rFonts w:ascii="Arial" w:cs="Arial" w:eastAsia="Arial" w:hAnsi="Arial"/>
          <w:sz w:val="18"/>
          <w:szCs w:val="18"/>
          <w:color w:val="auto"/>
        </w:rPr>
        <w:t>On July 16, 2020, the Sponsor issued an unsecured promissory note to the Company (the “Promissory Note”), pursuant to which the Company may borrow up to an aggregate principal amount of $ 300,000. The Promissory Note is non-interest bearing and payable on the earlier of (i) December 31, 2020 or (ii) the consummation of the Proposed Public Offering. As of July 16, 2020, there were no amounts outstanding under the Promissory Note.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153"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In order to finance transaction costs in connection with a Business Combination, the Sponsor or an affiliate of the Sponsor, or certain of the Company’s officers and directors may, but are not obligated to, loan the Company funds as may be required (“Working Capital Loans”). Such Working Capital Loans would be evidenced by promissory notes. The notes may be repaid upon completion of a Business Combination, without interest, or, at the lender’s discretion, up to $1,500,000 of the notes may be converted upon completion of a Business Combination into warrants at a price of $1.50 per warrant. Such warrants would be identical to the Private Placement Warrants. In the event that a Business Combination does not close, the Company may use a portion of proceeds held outside the Trust Account to repay the Working Capital Loans but no proceeds held in the Trust Account would be used to repay the Working Capital Loans. As of July 16, 2020, there were no amounts outstanding under the Working Capital Loans.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6 — COMMITMENTS AND CONTINGENCIES</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66" w:lineRule="exact"/>
        <w:rPr>
          <w:sz w:val="20"/>
          <w:szCs w:val="20"/>
          <w:color w:val="auto"/>
        </w:rPr>
      </w:pPr>
    </w:p>
    <w:p>
      <w:pPr>
        <w:ind w:left="460" w:right="659"/>
        <w:spacing w:after="0" w:line="237" w:lineRule="auto"/>
        <w:rPr>
          <w:sz w:val="20"/>
          <w:szCs w:val="20"/>
          <w:color w:val="auto"/>
        </w:rPr>
      </w:pPr>
      <w:r>
        <w:rPr>
          <w:rFonts w:ascii="Arial" w:cs="Arial" w:eastAsia="Arial" w:hAnsi="Arial"/>
          <w:sz w:val="18"/>
          <w:szCs w:val="18"/>
          <w:color w:val="auto"/>
        </w:rPr>
        <w:t>Management is currently evaluating the impact of the COVID-19 pandemic on the industry and has concluded that while it is reasonably possible that the virus could have a negative effect on the Company’s financial position, results of its operations, close of the Proposed Public Offering and/or search for a target company, the specific impact is not readily determinable as of the date of these financial statements. The financial statements do not include any adjustments that might result from the outcome of this uncertainty.</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66"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The holders of the Founder Shares, Private Placement Warrants and securities that may be issued upon conversion of Working Capital Loans and forward purchase shares will be entitled to registration rights pursuant to a registration rights agreement to be signed prior to or on the effective date of Proposed Public Offering. The holders of these securities will be entitled to make up to three demands, excluding short form demands, that the Company register</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62" w:name="page163"/>
    <w:bookmarkEnd w:id="162"/>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6 — COMMITMENTS AND CONTINGENCIES </w:t>
      </w:r>
      <w:r>
        <w:rPr>
          <w:rFonts w:ascii="Arial" w:cs="Arial" w:eastAsia="Arial" w:hAnsi="Arial"/>
          <w:sz w:val="18"/>
          <w:szCs w:val="18"/>
          <w:color w:val="auto"/>
        </w:rPr>
        <w:t>(cont.)</w:t>
      </w:r>
    </w:p>
    <w:p>
      <w:pPr>
        <w:spacing w:after="0" w:line="193" w:lineRule="exact"/>
        <w:rPr>
          <w:sz w:val="20"/>
          <w:szCs w:val="20"/>
          <w:color w:val="auto"/>
        </w:rPr>
      </w:pPr>
    </w:p>
    <w:p>
      <w:pPr>
        <w:ind w:left="460" w:right="539"/>
        <w:spacing w:after="0" w:line="261" w:lineRule="auto"/>
        <w:rPr>
          <w:sz w:val="20"/>
          <w:szCs w:val="20"/>
          <w:color w:val="auto"/>
        </w:rPr>
      </w:pPr>
      <w:r>
        <w:rPr>
          <w:rFonts w:ascii="Arial" w:cs="Arial" w:eastAsia="Arial" w:hAnsi="Arial"/>
          <w:sz w:val="17"/>
          <w:szCs w:val="17"/>
          <w:color w:val="auto"/>
        </w:rPr>
        <w:t>such securities. In addition, the holders have certain “piggy-back” registration rights with respect to registration statements filed subsequent to the completion of a Business Combination. The Company will bear the expenses incurred in connection with the filing of any such registration statements.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66" w:lineRule="exact"/>
        <w:rPr>
          <w:sz w:val="20"/>
          <w:szCs w:val="20"/>
          <w:color w:val="auto"/>
        </w:rPr>
      </w:pPr>
    </w:p>
    <w:p>
      <w:pPr>
        <w:ind w:left="460" w:right="479"/>
        <w:spacing w:after="0"/>
        <w:rPr>
          <w:sz w:val="20"/>
          <w:szCs w:val="20"/>
          <w:color w:val="auto"/>
        </w:rPr>
      </w:pPr>
      <w:r>
        <w:rPr>
          <w:rFonts w:ascii="Arial" w:cs="Arial" w:eastAsia="Arial" w:hAnsi="Arial"/>
          <w:sz w:val="18"/>
          <w:szCs w:val="18"/>
          <w:color w:val="auto"/>
        </w:rPr>
        <w:t>The Company will grant the underwriters a 45-day option from the date of Proposed Public Offering to purchase up to 5,250,000 additional Units to cover over-allotments, if any, at the Proposed Public Offering price less the underwriting discounts and commissions.</w:t>
      </w:r>
    </w:p>
    <w:p>
      <w:pPr>
        <w:spacing w:after="0" w:line="135" w:lineRule="exact"/>
        <w:rPr>
          <w:sz w:val="20"/>
          <w:szCs w:val="20"/>
          <w:color w:val="auto"/>
        </w:rPr>
      </w:pPr>
    </w:p>
    <w:p>
      <w:pPr>
        <w:ind w:left="460" w:right="559"/>
        <w:spacing w:after="0" w:line="253" w:lineRule="auto"/>
        <w:rPr>
          <w:sz w:val="20"/>
          <w:szCs w:val="20"/>
          <w:color w:val="auto"/>
        </w:rPr>
      </w:pPr>
      <w:r>
        <w:rPr>
          <w:rFonts w:ascii="Arial" w:cs="Arial" w:eastAsia="Arial" w:hAnsi="Arial"/>
          <w:sz w:val="17"/>
          <w:szCs w:val="17"/>
          <w:color w:val="auto"/>
        </w:rPr>
        <w:t>The underwriters will be entitled to a cash underwriting discount of $0.20 per Unit, or $7,000,000 in the aggregate (or $8,050,000 in the aggregate if the underwriters’ over-allotment option is exercised in full), payable upon the closing of the Proposed Public Offering. In addition, the underwriters will be entitled to a deferred fee of $0.35 per Unit, or $12,250,000 in the aggregate (or $14,087,500 in the aggregate if the underwriters’ over-allotment option is exercised in full). The deferred fee will become payable to the underwriters from the amounts held in the Trust Account solely in the event that the Company completes a Business Combination, subject to the terms of the underwriting agreement.</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Forward Purchase Agreement</w:t>
      </w:r>
    </w:p>
    <w:p>
      <w:pPr>
        <w:spacing w:after="0" w:line="153" w:lineRule="exact"/>
        <w:rPr>
          <w:sz w:val="20"/>
          <w:szCs w:val="20"/>
          <w:color w:val="auto"/>
        </w:rPr>
      </w:pPr>
    </w:p>
    <w:p>
      <w:pPr>
        <w:ind w:left="460" w:right="459"/>
        <w:spacing w:after="0" w:line="235" w:lineRule="auto"/>
        <w:rPr>
          <w:sz w:val="20"/>
          <w:szCs w:val="20"/>
          <w:color w:val="auto"/>
        </w:rPr>
      </w:pPr>
      <w:r>
        <w:rPr>
          <w:rFonts w:ascii="Arial" w:cs="Arial" w:eastAsia="Arial" w:hAnsi="Arial"/>
          <w:sz w:val="18"/>
          <w:szCs w:val="18"/>
          <w:color w:val="auto"/>
        </w:rPr>
        <w:t>The Company intends to enter into separate forward purchase agreements with affiliates of the Sponsor, Casdin Capital, LLC (“Casdin”) and Corvex Management LP (“Corvex”), in their capacities as investment advisors on behalf of one or more investment funds, clients or accounts managed by each of Casdin and Corvex, respectively (collectively, their “Clients”), pursuant to which, subject to the conditions described below, they will cause the Clients to purchase from the Company up to an aggregate amount of 15,000,000 shares of Class A common stock, or the forward purchase shares, for $10.00 per forward purchase share, or an aggregate amount of up to $150,000,000, in a private placement that will close concurrently with the closing of a Business Combination. The amount of forward purchase shares sold pursuant to the forward purchase agreements will be determined in the Company’s discretion based on the Company’s need for additional capital to consummate a Business Combination. Under each forward purchase agreement, the Company is required to approach Casdin and Corvex if it proposes to raise additional capital by issuing any equity, or securities convertible into, exchangeable or exercisable for equity securities in connection with a Business Combination. The respective obligations of Casdin and Corvex to purchase forward purchase shares will, among other things, be conditioned on the Company completing a Business Combination with a company engaged in a business that is within the investment objectives of the Clients purchasing forward purchase shares and on the Business Combination (including the target assets or business, and the terms of the Business Combination) being reasonably acceptable to such Clients as determined by Casdin or Corvex, as relevant, as investment advisors on behalf of such Clients. Each of Casdin and Corvex will have the right to transfer a portion of its purchase obligation under the forward purchase agreement to third parties, subject to compliance with applicable securities laws. To the extent that we obtain alternative financing to fund the initial business combination and the Clients participate in such financing, the aggregate commitment under the forward purchase agreement will be reduced by the amount of such alternative financing.</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7 — STOCKHOLDERS’ EQUITY</w:t>
      </w:r>
    </w:p>
    <w:p>
      <w:pPr>
        <w:spacing w:after="0" w:line="144" w:lineRule="exact"/>
        <w:rPr>
          <w:sz w:val="20"/>
          <w:szCs w:val="20"/>
          <w:color w:val="auto"/>
        </w:rPr>
      </w:pPr>
    </w:p>
    <w:p>
      <w:pPr>
        <w:ind w:left="460" w:right="659"/>
        <w:spacing w:after="0" w:line="247" w:lineRule="auto"/>
        <w:rPr>
          <w:sz w:val="20"/>
          <w:szCs w:val="20"/>
          <w:color w:val="auto"/>
        </w:rPr>
      </w:pPr>
      <w:r>
        <w:rPr>
          <w:rFonts w:ascii="Arial" w:cs="Arial" w:eastAsia="Arial" w:hAnsi="Arial"/>
          <w:sz w:val="18"/>
          <w:szCs w:val="18"/>
          <w:b w:val="1"/>
          <w:bCs w:val="1"/>
          <w:i w:val="1"/>
          <w:iCs w:val="1"/>
          <w:color w:val="auto"/>
        </w:rPr>
        <w:t xml:space="preserve">Preferred Stock </w:t>
      </w:r>
      <w:r>
        <w:rPr>
          <w:rFonts w:ascii="Arial" w:cs="Arial" w:eastAsia="Arial" w:hAnsi="Arial"/>
          <w:sz w:val="18"/>
          <w:szCs w:val="18"/>
          <w:color w:val="auto"/>
        </w:rPr>
        <w:t>— The Company is authorized to issue 1,000,000 shares of preferred stock with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 value of $0.0001 per share with such designations, voting and other rights and preferences as may be determined from time to time by the Company’s board of directors. At July 16, 2020, there were no shares of preferred stock issued or outstanding.</w:t>
      </w:r>
    </w:p>
    <w:p>
      <w:pPr>
        <w:spacing w:after="0" w:line="106" w:lineRule="exact"/>
        <w:rPr>
          <w:sz w:val="20"/>
          <w:szCs w:val="20"/>
          <w:color w:val="auto"/>
        </w:rPr>
      </w:pPr>
    </w:p>
    <w:p>
      <w:pPr>
        <w:ind w:left="460" w:right="659"/>
        <w:spacing w:after="0" w:line="247" w:lineRule="auto"/>
        <w:rPr>
          <w:sz w:val="20"/>
          <w:szCs w:val="20"/>
          <w:color w:val="auto"/>
        </w:rPr>
      </w:pPr>
      <w:r>
        <w:rPr>
          <w:rFonts w:ascii="Arial" w:cs="Arial" w:eastAsia="Arial" w:hAnsi="Arial"/>
          <w:sz w:val="18"/>
          <w:szCs w:val="18"/>
          <w:b w:val="1"/>
          <w:bCs w:val="1"/>
          <w:i w:val="1"/>
          <w:iCs w:val="1"/>
          <w:color w:val="auto"/>
        </w:rPr>
        <w:t xml:space="preserve">Class A Common Stock </w:t>
      </w:r>
      <w:r>
        <w:rPr>
          <w:rFonts w:ascii="Arial" w:cs="Arial" w:eastAsia="Arial" w:hAnsi="Arial"/>
          <w:sz w:val="18"/>
          <w:szCs w:val="18"/>
          <w:color w:val="auto"/>
        </w:rPr>
        <w:t>— The Company is authorized to issue 380,000,000 shares of Class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with a par value of $0.0001 per share. Holders of Class A common stock are entitled to one vote for each share. At July 16, 2020, there were no shares of Class A common stock issued or outstanding.</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63" w:name="page164"/>
    <w:bookmarkEnd w:id="163"/>
    <w:p>
      <w:pPr>
        <w:jc w:val="center"/>
        <w:spacing w:after="0"/>
        <w:rPr>
          <w:sz w:val="20"/>
          <w:szCs w:val="20"/>
          <w:color w:val="auto"/>
        </w:rPr>
      </w:pPr>
      <w:r>
        <w:rPr>
          <w:rFonts w:ascii="Arial" w:cs="Arial" w:eastAsia="Arial" w:hAnsi="Arial"/>
          <w:sz w:val="18"/>
          <w:szCs w:val="18"/>
          <w:b w:val="1"/>
          <w:bCs w:val="1"/>
          <w:color w:val="auto"/>
        </w:rPr>
        <w:t>CM LIFE SCIENCES,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7 — STOCKHOLDERS’ EQUITY </w:t>
      </w:r>
      <w:r>
        <w:rPr>
          <w:rFonts w:ascii="Arial" w:cs="Arial" w:eastAsia="Arial" w:hAnsi="Arial"/>
          <w:sz w:val="18"/>
          <w:szCs w:val="18"/>
          <w:color w:val="auto"/>
        </w:rPr>
        <w:t>(cont.)</w:t>
      </w:r>
    </w:p>
    <w:p>
      <w:pPr>
        <w:spacing w:after="0" w:line="171" w:lineRule="exact"/>
        <w:rPr>
          <w:sz w:val="20"/>
          <w:szCs w:val="20"/>
          <w:color w:val="auto"/>
        </w:rPr>
      </w:pPr>
    </w:p>
    <w:p>
      <w:pPr>
        <w:ind w:left="460" w:right="519"/>
        <w:spacing w:after="0"/>
        <w:rPr>
          <w:sz w:val="20"/>
          <w:szCs w:val="20"/>
          <w:color w:val="auto"/>
        </w:rPr>
      </w:pPr>
      <w:r>
        <w:rPr>
          <w:rFonts w:ascii="Arial" w:cs="Arial" w:eastAsia="Arial" w:hAnsi="Arial"/>
          <w:sz w:val="18"/>
          <w:szCs w:val="18"/>
          <w:b w:val="1"/>
          <w:bCs w:val="1"/>
          <w:i w:val="1"/>
          <w:iCs w:val="1"/>
          <w:color w:val="auto"/>
        </w:rPr>
        <w:t xml:space="preserve">Class B Common Stock </w:t>
      </w:r>
      <w:r>
        <w:rPr>
          <w:rFonts w:ascii="Arial" w:cs="Arial" w:eastAsia="Arial" w:hAnsi="Arial"/>
          <w:sz w:val="18"/>
          <w:szCs w:val="18"/>
          <w:color w:val="auto"/>
        </w:rPr>
        <w:t>— The Company is authorized to issue 20,000,000 shares of Class B</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with a par value of $0.0001 per share. Holders of Class B common stock are entitled to one vote for each share. At July 16, 2020, there were 10,062,500 shares of Class B common stock issued and outstanding, of which an aggregate of up to 1,312,5000 shares of Class B common stock are subject to forfeiture to the extent that the underwriters’ over-allotment option is not exercised in full or in part so that the number of Founder Shares will equal 20% of the Company’s issued and outstanding common stock after the Proposed Public Offering.</w:t>
      </w:r>
    </w:p>
    <w:p>
      <w:pPr>
        <w:spacing w:after="0" w:line="139" w:lineRule="exact"/>
        <w:rPr>
          <w:sz w:val="20"/>
          <w:szCs w:val="20"/>
          <w:color w:val="auto"/>
        </w:rPr>
      </w:pPr>
    </w:p>
    <w:p>
      <w:pPr>
        <w:ind w:left="460" w:right="499"/>
        <w:spacing w:after="0" w:line="238" w:lineRule="auto"/>
        <w:rPr>
          <w:sz w:val="20"/>
          <w:szCs w:val="20"/>
          <w:color w:val="auto"/>
        </w:rPr>
      </w:pPr>
      <w:r>
        <w:rPr>
          <w:rFonts w:ascii="Arial" w:cs="Arial" w:eastAsia="Arial" w:hAnsi="Arial"/>
          <w:sz w:val="18"/>
          <w:szCs w:val="18"/>
          <w:color w:val="auto"/>
        </w:rPr>
        <w:t>Only holders of the Class B common stock will have the right to vote on the election of directors prior to the Business Combination. Holders of Class A common stock and holders of Class B common stock will vote together as a single class on all matters submitted to a vote of our shareholders except as otherwise required by law.</w:t>
      </w:r>
    </w:p>
    <w:p>
      <w:pPr>
        <w:spacing w:after="0" w:line="137"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The shares of Class B common stock will automatically convert into Class A common stock concurrently with or immediately following the consummation of the Business Combination, on a one-for-one basis, subject to adjustment. In the case that additional shares of Class A common stock, or equity-linked securities, are issued or deemed issued in connection with a Business Combination, the number of shares of Class A common stock issuable upon conversion of all Founder Shares will equal, in the aggregate, on an as-converted basis, 20% of the total number of shares of Class A common stock outstanding after such conversion (after giving effect to any redemptions of shares of Class A common stock by public stockholders), including the total number of shares of Class A common stock issued, or deemed issued or issuable upon conversion or exercise of any equity-linked securities or rights issued or deemed issued, by the Company in connection with or in relation to the consummation of a Business Combination (including the forward purchase shares), excluding any shares of Class A common stock or equity-linked securities or rights exercisable for or convertible into shares of Class A common stock issued, or to be issued, to any seller in a Business Combination and any Private Placement Warrants issued to the Sponsor, officers or directors upon conversion of Working Capital Loans, provided that such conversion of Founder Shares will never occur on a less than one-for-one basis.</w:t>
      </w:r>
    </w:p>
    <w:p>
      <w:pPr>
        <w:spacing w:after="0" w:line="110" w:lineRule="exact"/>
        <w:rPr>
          <w:sz w:val="20"/>
          <w:szCs w:val="20"/>
          <w:color w:val="auto"/>
        </w:rPr>
      </w:pPr>
    </w:p>
    <w:p>
      <w:pPr>
        <w:ind w:left="460" w:right="759"/>
        <w:spacing w:after="0" w:line="242" w:lineRule="auto"/>
        <w:rPr>
          <w:sz w:val="20"/>
          <w:szCs w:val="20"/>
          <w:color w:val="auto"/>
        </w:rPr>
      </w:pPr>
      <w:r>
        <w:rPr>
          <w:rFonts w:ascii="Arial" w:cs="Arial" w:eastAsia="Arial" w:hAnsi="Arial"/>
          <w:sz w:val="18"/>
          <w:szCs w:val="18"/>
          <w:b w:val="1"/>
          <w:bCs w:val="1"/>
          <w:i w:val="1"/>
          <w:iCs w:val="1"/>
          <w:color w:val="auto"/>
        </w:rPr>
        <w:t xml:space="preserve">Warrants </w:t>
      </w:r>
      <w:r>
        <w:rPr>
          <w:rFonts w:ascii="Arial" w:cs="Arial" w:eastAsia="Arial" w:hAnsi="Arial"/>
          <w:sz w:val="18"/>
          <w:szCs w:val="18"/>
          <w:color w:val="auto"/>
        </w:rPr>
        <w:t>— Public Warrants may only be exercised for a whole number of shares. No fractional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warrants will be issued upon separation of the Units and only whole warrants will trade. The Public Warrants will become exercisable on the later of (a) 30 days after the completion of a Business Combination and (b) 12 months from the closing of the Proposed Public Offering. The Public Warrants will expire five years after the completion of a Business Combination or earlier upon redemption or liquidation.</w:t>
      </w:r>
    </w:p>
    <w:p>
      <w:pPr>
        <w:spacing w:after="0" w:line="133"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The Company will not be obligated to deliver any shares of Class A common stock pursuant to the exercise of a warrant and will have no obligation to settle such warrant exercise unless a registration statement under the Securities Act with respect to the Class A common stock underlying the warrants is then effective and a prospectus relating thereto is current, subject to the Company satisfying its obligations with respect to registration. No warrant will be exercisable and the Company will not be obligated to issue shares of Class A common stock upon exercise of a warrant unless the share of Class A common stock issuable upon such warrant exercise has been registered, qualified or deemed to be exempt under the securities laws of the state of residence of the registered holder of the warrants.</w:t>
      </w:r>
    </w:p>
    <w:p>
      <w:pPr>
        <w:spacing w:after="0" w:line="139" w:lineRule="exact"/>
        <w:rPr>
          <w:sz w:val="20"/>
          <w:szCs w:val="20"/>
          <w:color w:val="auto"/>
        </w:rPr>
      </w:pPr>
    </w:p>
    <w:p>
      <w:pPr>
        <w:ind w:left="460" w:right="579"/>
        <w:spacing w:after="0" w:line="235" w:lineRule="auto"/>
        <w:rPr>
          <w:sz w:val="20"/>
          <w:szCs w:val="20"/>
          <w:color w:val="auto"/>
        </w:rPr>
      </w:pPr>
      <w:r>
        <w:rPr>
          <w:rFonts w:ascii="Arial" w:cs="Arial" w:eastAsia="Arial" w:hAnsi="Arial"/>
          <w:sz w:val="18"/>
          <w:szCs w:val="18"/>
          <w:color w:val="auto"/>
        </w:rPr>
        <w:t>The Company has agreed that as soon as practicable, but in no event later than 15 business days, after the closing of a Business Combination, it will use its best efforts to file with the SEC a registration statement for the registration, under the Securities Act, of the Class A common stock issuable upon exercise of the Public Warrants. The Company will use its best efforts to cause the same to become effective and to maintain the effectiveness of such registration statement, and a current prospectus relating thereto, until the expiration of the Public Warrants in accordance with the provisions of the warrant agreement. If a registration statement covering the shares of Class A common stock issuable upon exercise of the warrants is not effective by the sixtieth (60th) business day after the closing of a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common stock are, at the time of any exercise of a Public Warrant, not listed on a national securities exchange such that they satisfy the definition of a “covered security” under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64" w:name="page165"/>
    <w:bookmarkEnd w:id="164"/>
    <w:p>
      <w:pPr>
        <w:jc w:val="center"/>
        <w:ind w:right="19"/>
        <w:spacing w:after="0"/>
        <w:rPr>
          <w:sz w:val="20"/>
          <w:szCs w:val="20"/>
          <w:color w:val="auto"/>
        </w:rPr>
      </w:pPr>
      <w:r>
        <w:rPr>
          <w:rFonts w:ascii="Arial" w:cs="Arial" w:eastAsia="Arial" w:hAnsi="Arial"/>
          <w:sz w:val="18"/>
          <w:szCs w:val="18"/>
          <w:b w:val="1"/>
          <w:bCs w:val="1"/>
          <w:color w:val="auto"/>
        </w:rPr>
        <w:t>CM LIFE SCIENCES,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7 — STOCKHOLDERS’ EQUITY </w:t>
      </w:r>
      <w:r>
        <w:rPr>
          <w:rFonts w:ascii="Arial" w:cs="Arial" w:eastAsia="Arial" w:hAnsi="Arial"/>
          <w:sz w:val="18"/>
          <w:szCs w:val="18"/>
          <w:color w:val="auto"/>
        </w:rPr>
        <w:t>(cont.)</w:t>
      </w:r>
    </w:p>
    <w:p>
      <w:pPr>
        <w:spacing w:after="0" w:line="193" w:lineRule="exact"/>
        <w:rPr>
          <w:sz w:val="20"/>
          <w:szCs w:val="20"/>
          <w:color w:val="auto"/>
        </w:rPr>
      </w:pPr>
    </w:p>
    <w:p>
      <w:pPr>
        <w:ind w:left="460" w:right="639"/>
        <w:spacing w:after="0" w:line="237" w:lineRule="auto"/>
        <w:rPr>
          <w:sz w:val="20"/>
          <w:szCs w:val="20"/>
          <w:color w:val="auto"/>
        </w:rPr>
      </w:pPr>
      <w:r>
        <w:rPr>
          <w:rFonts w:ascii="Arial" w:cs="Arial" w:eastAsia="Arial" w:hAnsi="Arial"/>
          <w:sz w:val="18"/>
          <w:szCs w:val="18"/>
          <w:color w:val="auto"/>
        </w:rPr>
        <w:t>Section 18(b)(1) of the Securities Act, the Company may, at its option, require holders of Public Warrants who exercise their Public Warrants to do so on a “cashless basis” in accordance with Section 3(a)(9) of the Securities Act and, in the event the Company so elects, the Company will not be required to file or maintain in effect a registration statement, and in the event the Company does not so elect, it will use its best efforts to register or qualify the shares under applicable blue sky laws to the extent an exemption is not available.</w:t>
      </w:r>
    </w:p>
    <w:p>
      <w:pPr>
        <w:spacing w:after="0" w:line="119" w:lineRule="exact"/>
        <w:rPr>
          <w:sz w:val="20"/>
          <w:szCs w:val="20"/>
          <w:color w:val="auto"/>
        </w:rPr>
      </w:pPr>
    </w:p>
    <w:p>
      <w:pPr>
        <w:ind w:left="460" w:right="579"/>
        <w:spacing w:after="0" w:line="250" w:lineRule="auto"/>
        <w:rPr>
          <w:sz w:val="20"/>
          <w:szCs w:val="20"/>
          <w:color w:val="auto"/>
        </w:rPr>
      </w:pPr>
      <w:r>
        <w:rPr>
          <w:rFonts w:ascii="Arial" w:cs="Arial" w:eastAsia="Arial" w:hAnsi="Arial"/>
          <w:sz w:val="18"/>
          <w:szCs w:val="18"/>
          <w:i w:val="1"/>
          <w:iCs w:val="1"/>
          <w:color w:val="auto"/>
        </w:rPr>
        <w:t xml:space="preserve">Redemption of Warrants When the Price per Share of Class A Common Stock Equals or Exceeds $18.00 — </w:t>
      </w:r>
      <w:r>
        <w:rPr>
          <w:rFonts w:ascii="Arial" w:cs="Arial" w:eastAsia="Arial" w:hAnsi="Arial"/>
          <w:sz w:val="18"/>
          <w:szCs w:val="18"/>
          <w:color w:val="auto"/>
        </w:rPr>
        <w:t>Once the warrants become exercisable, the Company may redeem the outstanding Public</w:t>
      </w:r>
      <w:r>
        <w:rPr>
          <w:rFonts w:ascii="Arial" w:cs="Arial" w:eastAsia="Arial" w:hAnsi="Arial"/>
          <w:sz w:val="18"/>
          <w:szCs w:val="18"/>
          <w:i w:val="1"/>
          <w:iCs w:val="1"/>
          <w:color w:val="auto"/>
        </w:rPr>
        <w:t xml:space="preserve"> </w:t>
      </w:r>
      <w:r>
        <w:rPr>
          <w:rFonts w:ascii="Arial" w:cs="Arial" w:eastAsia="Arial" w:hAnsi="Arial"/>
          <w:sz w:val="18"/>
          <w:szCs w:val="18"/>
          <w:color w:val="auto"/>
        </w:rPr>
        <w:t>Warrants:</w:t>
      </w:r>
    </w:p>
    <w:p>
      <w:pPr>
        <w:spacing w:after="0" w:line="19" w:lineRule="exact"/>
        <w:rPr>
          <w:sz w:val="20"/>
          <w:szCs w:val="20"/>
          <w:color w:val="auto"/>
        </w:rPr>
      </w:pPr>
    </w:p>
    <w:p>
      <w:pPr>
        <w:ind w:left="1100" w:hanging="322"/>
        <w:spacing w:after="0"/>
        <w:tabs>
          <w:tab w:leader="none" w:pos="11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 w:lineRule="exact"/>
        <w:rPr>
          <w:rFonts w:ascii="Arial" w:cs="Arial" w:eastAsia="Arial" w:hAnsi="Arial"/>
          <w:sz w:val="18"/>
          <w:szCs w:val="18"/>
          <w:color w:val="auto"/>
        </w:rPr>
      </w:pPr>
    </w:p>
    <w:p>
      <w:pPr>
        <w:ind w:left="1100" w:hanging="322"/>
        <w:spacing w:after="0"/>
        <w:tabs>
          <w:tab w:leader="none" w:pos="11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at a price of $0.01 per Public Warrant;</w:t>
      </w:r>
    </w:p>
    <w:p>
      <w:pPr>
        <w:spacing w:after="0" w:line="36" w:lineRule="exact"/>
        <w:rPr>
          <w:rFonts w:ascii="Arial" w:cs="Arial" w:eastAsia="Arial" w:hAnsi="Arial"/>
          <w:sz w:val="18"/>
          <w:szCs w:val="18"/>
          <w:color w:val="auto"/>
        </w:rPr>
      </w:pPr>
    </w:p>
    <w:p>
      <w:pPr>
        <w:ind w:left="1100" w:hanging="322"/>
        <w:spacing w:after="0"/>
        <w:tabs>
          <w:tab w:leader="none" w:pos="11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and</w:t>
      </w:r>
    </w:p>
    <w:p>
      <w:pPr>
        <w:spacing w:after="0" w:line="36" w:lineRule="exact"/>
        <w:rPr>
          <w:rFonts w:ascii="Arial" w:cs="Arial" w:eastAsia="Arial" w:hAnsi="Arial"/>
          <w:sz w:val="18"/>
          <w:szCs w:val="18"/>
          <w:color w:val="auto"/>
        </w:rPr>
      </w:pPr>
    </w:p>
    <w:p>
      <w:pPr>
        <w:ind w:left="1100" w:right="719" w:hanging="322"/>
        <w:spacing w:after="0" w:line="238" w:lineRule="auto"/>
        <w:tabs>
          <w:tab w:leader="none" w:pos="1089" w:val="left"/>
        </w:tabs>
        <w:numPr>
          <w:ilvl w:val="0"/>
          <w:numId w:val="87"/>
        </w:numPr>
        <w:rPr>
          <w:rFonts w:ascii="Arial" w:cs="Arial" w:eastAsia="Arial" w:hAnsi="Arial"/>
          <w:sz w:val="18"/>
          <w:szCs w:val="18"/>
          <w:color w:val="auto"/>
        </w:rPr>
      </w:pPr>
      <w:r>
        <w:rPr>
          <w:rFonts w:ascii="Arial" w:cs="Arial" w:eastAsia="Arial" w:hAnsi="Arial"/>
          <w:sz w:val="18"/>
          <w:szCs w:val="18"/>
          <w:color w:val="auto"/>
        </w:rPr>
        <w:t>if, and only if, the closing price of the Class A common stock equals or exceeds $18.00 per share (as adjusted) for any 20 trading days within a 30-trading day period ending three trading days before sending the notice of redemption to warrant holders (the “Reference Value”)</w:t>
      </w:r>
    </w:p>
    <w:p>
      <w:pPr>
        <w:spacing w:after="0" w:line="124" w:lineRule="exact"/>
        <w:rPr>
          <w:sz w:val="20"/>
          <w:szCs w:val="20"/>
          <w:color w:val="auto"/>
        </w:rPr>
      </w:pPr>
    </w:p>
    <w:p>
      <w:pPr>
        <w:ind w:left="460" w:right="779"/>
        <w:spacing w:after="0"/>
        <w:rPr>
          <w:sz w:val="20"/>
          <w:szCs w:val="20"/>
          <w:color w:val="auto"/>
        </w:rPr>
      </w:pPr>
      <w:r>
        <w:rPr>
          <w:rFonts w:ascii="Arial" w:cs="Arial" w:eastAsia="Arial" w:hAnsi="Arial"/>
          <w:sz w:val="18"/>
          <w:szCs w:val="18"/>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117" w:lineRule="exact"/>
        <w:rPr>
          <w:sz w:val="20"/>
          <w:szCs w:val="20"/>
          <w:color w:val="auto"/>
        </w:rPr>
      </w:pPr>
    </w:p>
    <w:p>
      <w:pPr>
        <w:ind w:left="460" w:right="799"/>
        <w:spacing w:after="0" w:line="250" w:lineRule="auto"/>
        <w:rPr>
          <w:sz w:val="20"/>
          <w:szCs w:val="20"/>
          <w:color w:val="auto"/>
        </w:rPr>
      </w:pPr>
      <w:r>
        <w:rPr>
          <w:rFonts w:ascii="Arial" w:cs="Arial" w:eastAsia="Arial" w:hAnsi="Arial"/>
          <w:sz w:val="18"/>
          <w:szCs w:val="18"/>
          <w:i w:val="1"/>
          <w:iCs w:val="1"/>
          <w:color w:val="auto"/>
        </w:rPr>
        <w:t xml:space="preserve">Redemption of Warrants When the Price per Share of Class A Common Stock Equals or Exceeds $10.00 — </w:t>
      </w:r>
      <w:r>
        <w:rPr>
          <w:rFonts w:ascii="Arial" w:cs="Arial" w:eastAsia="Arial" w:hAnsi="Arial"/>
          <w:sz w:val="18"/>
          <w:szCs w:val="18"/>
          <w:color w:val="auto"/>
        </w:rPr>
        <w:t>Once the warrants become exercisable, the Company may redeem the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warrants:</w:t>
      </w:r>
    </w:p>
    <w:p>
      <w:pPr>
        <w:spacing w:after="0" w:line="19" w:lineRule="exact"/>
        <w:rPr>
          <w:sz w:val="20"/>
          <w:szCs w:val="20"/>
          <w:color w:val="auto"/>
        </w:rPr>
      </w:pPr>
    </w:p>
    <w:p>
      <w:pPr>
        <w:ind w:left="1100" w:hanging="322"/>
        <w:spacing w:after="0"/>
        <w:tabs>
          <w:tab w:leader="none" w:pos="11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 w:lineRule="exact"/>
        <w:rPr>
          <w:rFonts w:ascii="Arial" w:cs="Arial" w:eastAsia="Arial" w:hAnsi="Arial"/>
          <w:sz w:val="18"/>
          <w:szCs w:val="18"/>
          <w:color w:val="auto"/>
        </w:rPr>
      </w:pPr>
    </w:p>
    <w:p>
      <w:pPr>
        <w:ind w:left="1100" w:right="519" w:hanging="322"/>
        <w:spacing w:after="0" w:line="238" w:lineRule="auto"/>
        <w:tabs>
          <w:tab w:leader="none" w:pos="1089" w:val="left"/>
        </w:tabs>
        <w:numPr>
          <w:ilvl w:val="0"/>
          <w:numId w:val="88"/>
        </w:numPr>
        <w:rPr>
          <w:rFonts w:ascii="Arial" w:cs="Arial" w:eastAsia="Arial" w:hAnsi="Arial"/>
          <w:sz w:val="18"/>
          <w:szCs w:val="18"/>
          <w:color w:val="auto"/>
        </w:rPr>
      </w:pPr>
      <w:r>
        <w:rPr>
          <w:rFonts w:ascii="Arial" w:cs="Arial" w:eastAsia="Arial" w:hAnsi="Arial"/>
          <w:sz w:val="18"/>
          <w:szCs w:val="18"/>
          <w:color w:val="auto"/>
        </w:rPr>
        <w:t>at $0.10 per warrant upon a minimum of 30 days’ prior written notice of redemption provided that holders will be able to exercise their warrants on a cashless basis prior to redemption and receive that number of shares based on the redemption date and the fair market value of the Class A common stock;</w:t>
      </w:r>
    </w:p>
    <w:p>
      <w:pPr>
        <w:spacing w:after="0" w:line="29" w:lineRule="exact"/>
        <w:rPr>
          <w:rFonts w:ascii="Arial" w:cs="Arial" w:eastAsia="Arial" w:hAnsi="Arial"/>
          <w:sz w:val="18"/>
          <w:szCs w:val="18"/>
          <w:color w:val="auto"/>
        </w:rPr>
      </w:pPr>
    </w:p>
    <w:p>
      <w:pPr>
        <w:ind w:left="1100" w:right="599" w:hanging="322"/>
        <w:spacing w:after="0"/>
        <w:tabs>
          <w:tab w:leader="none" w:pos="1089" w:val="left"/>
        </w:tabs>
        <w:numPr>
          <w:ilvl w:val="0"/>
          <w:numId w:val="88"/>
        </w:numPr>
        <w:rPr>
          <w:rFonts w:ascii="Arial" w:cs="Arial" w:eastAsia="Arial" w:hAnsi="Arial"/>
          <w:sz w:val="18"/>
          <w:szCs w:val="18"/>
          <w:color w:val="auto"/>
        </w:rPr>
      </w:pPr>
      <w:r>
        <w:rPr>
          <w:rFonts w:ascii="Arial" w:cs="Arial" w:eastAsia="Arial" w:hAnsi="Arial"/>
          <w:sz w:val="18"/>
          <w:szCs w:val="18"/>
          <w:color w:val="auto"/>
        </w:rPr>
        <w:t>if, and only if, the closing price of the Class A common stock equals or exceeds $10.00 per share (as adjusted) for any 20 trading days within the 30-trading day period ending three trading days before the Company sends the notice of redemption to the warrant holders and</w:t>
      </w:r>
    </w:p>
    <w:p>
      <w:pPr>
        <w:spacing w:after="0" w:line="27" w:lineRule="exact"/>
        <w:rPr>
          <w:rFonts w:ascii="Arial" w:cs="Arial" w:eastAsia="Arial" w:hAnsi="Arial"/>
          <w:sz w:val="18"/>
          <w:szCs w:val="18"/>
          <w:color w:val="auto"/>
        </w:rPr>
      </w:pPr>
    </w:p>
    <w:p>
      <w:pPr>
        <w:ind w:left="1100" w:right="539" w:hanging="322"/>
        <w:spacing w:after="0" w:line="238" w:lineRule="auto"/>
        <w:tabs>
          <w:tab w:leader="none" w:pos="1089" w:val="left"/>
        </w:tabs>
        <w:numPr>
          <w:ilvl w:val="0"/>
          <w:numId w:val="88"/>
        </w:numPr>
        <w:rPr>
          <w:rFonts w:ascii="Arial" w:cs="Arial" w:eastAsia="Arial" w:hAnsi="Arial"/>
          <w:sz w:val="18"/>
          <w:szCs w:val="18"/>
          <w:color w:val="auto"/>
        </w:rPr>
      </w:pPr>
      <w:r>
        <w:rPr>
          <w:rFonts w:ascii="Arial" w:cs="Arial" w:eastAsia="Arial" w:hAnsi="Arial"/>
          <w:sz w:val="18"/>
          <w:szCs w:val="18"/>
          <w:color w:val="auto"/>
        </w:rPr>
        <w:t>if the closing price of the Class A common stock for any 20 trading days within a 30-trading day period ending three trading days before the Company sends notice of redemption to the warrant holders is less than $18.00 per share (as adjusted), the Private Placement Warrants must also be concurrently called for redemption on the same terms as the outstanding Public Warrants, as described above.</w:t>
      </w:r>
    </w:p>
    <w:p>
      <w:pPr>
        <w:spacing w:after="0" w:line="121"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In addition, if (x) the Company issues additional shares of Class A common stock or equity-linked securities for capital raising purposes in connection with the closing of a Business Combination at an issue price or effective issue price of less than $9.20 per share of Class A common stock (with such issue price or effective issue price to be determined in good faith by the Company’s board of directors, and, in the case of any such issuance to the Sponsor or its affiliates, without taking into account any Founder Shares held by the Sponsor or its affiliates, as applicable, prior to such issuance) (the “Newly Issued Price”), (y) the aggregate gross proceeds from such issuances represent more than 60% of the total equity proceeds, and interest thereon, available for the funding of a Business Combination on the date of the completion of a Business Combination (net of redemptions), and (z) the volume weighted average trading price of the Company’s Class A common stock during the 20 trading day period starting on the trading day after the day on which the Company completes a Business Combination (such price, the “Market Value”) is below $9.20 per share, the exercise price of the warrants will be adjusted (to the nearest cent) to be equal to 115% of the higher of the Market Value and the Newly Issued Price, the $18.00 per share redemption trigger price will be adjusted (to the nearest cent) to be equal to 180% of the higher of the Market Value and the Newly Issued Price, and the $10.00 per share redemption trigger price will be adjusted (to the nearest cent) to be equal to the higher of the Market Value and the Newly Issued Price.</w:t>
      </w:r>
    </w:p>
    <w:p>
      <w:pPr>
        <w:spacing w:after="0" w:line="146" w:lineRule="exact"/>
        <w:rPr>
          <w:sz w:val="20"/>
          <w:szCs w:val="20"/>
          <w:color w:val="auto"/>
        </w:rPr>
      </w:pPr>
    </w:p>
    <w:p>
      <w:pPr>
        <w:ind w:left="460" w:right="539"/>
        <w:spacing w:after="0" w:line="238" w:lineRule="auto"/>
        <w:rPr>
          <w:sz w:val="20"/>
          <w:szCs w:val="20"/>
          <w:color w:val="auto"/>
        </w:rPr>
      </w:pPr>
      <w:r>
        <w:rPr>
          <w:rFonts w:ascii="Arial" w:cs="Arial" w:eastAsia="Arial" w:hAnsi="Arial"/>
          <w:sz w:val="18"/>
          <w:szCs w:val="18"/>
          <w:color w:val="auto"/>
        </w:rPr>
        <w:t>The Private Placement Warrants will be identical to the Public Warrants underlying the Units being sold in the Proposed Public Offering, except that (1) the Private Placement Warrants and the Class A common stock issuable upon the exercise of the Private Placement Warrants will not be transferable, assignable or saleable until 30 days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65" w:name="page166"/>
    <w:bookmarkEnd w:id="165"/>
    <w:p>
      <w:pPr>
        <w:jc w:val="center"/>
        <w:ind w:right="19"/>
        <w:spacing w:after="0"/>
        <w:rPr>
          <w:sz w:val="20"/>
          <w:szCs w:val="20"/>
          <w:color w:val="auto"/>
        </w:rPr>
      </w:pPr>
      <w:r>
        <w:rPr>
          <w:rFonts w:ascii="Arial" w:cs="Arial" w:eastAsia="Arial" w:hAnsi="Arial"/>
          <w:sz w:val="18"/>
          <w:szCs w:val="18"/>
          <w:b w:val="1"/>
          <w:bCs w:val="1"/>
          <w:color w:val="auto"/>
        </w:rPr>
        <w:t>CM LIFE SCIENCES, INC.</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7 — STOCKHOLDERS’ EQUITY </w:t>
      </w:r>
      <w:r>
        <w:rPr>
          <w:rFonts w:ascii="Arial" w:cs="Arial" w:eastAsia="Arial" w:hAnsi="Arial"/>
          <w:sz w:val="18"/>
          <w:szCs w:val="18"/>
          <w:color w:val="auto"/>
        </w:rPr>
        <w:t>(cont.)</w:t>
      </w:r>
    </w:p>
    <w:p>
      <w:pPr>
        <w:spacing w:after="0" w:line="193" w:lineRule="exact"/>
        <w:rPr>
          <w:sz w:val="20"/>
          <w:szCs w:val="20"/>
          <w:color w:val="auto"/>
        </w:rPr>
      </w:pPr>
    </w:p>
    <w:p>
      <w:pPr>
        <w:ind w:left="460" w:right="579"/>
        <w:spacing w:after="0" w:line="236" w:lineRule="auto"/>
        <w:rPr>
          <w:sz w:val="20"/>
          <w:szCs w:val="20"/>
          <w:color w:val="auto"/>
        </w:rPr>
      </w:pPr>
      <w:r>
        <w:rPr>
          <w:rFonts w:ascii="Arial" w:cs="Arial" w:eastAsia="Arial" w:hAnsi="Arial"/>
          <w:sz w:val="18"/>
          <w:szCs w:val="18"/>
          <w:color w:val="auto"/>
        </w:rPr>
        <w:t>after the completion of a Business Combination, subject to certain limited exceptions, (2) the Private Placement Warrants will be exercisable on a cashless basis, (3) the Private Placement Warrants will be non-redeemable so long as they are held by the initial purchasers or their permitted transferees, and (4) the holders of the Private Placement Warrants and the Class A common stock issuable upon the exercise of the Private Placement Warrants will have certain registration rights.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8 — SUBSEQUENT EVENTS</w:t>
      </w:r>
    </w:p>
    <w:p>
      <w:pPr>
        <w:spacing w:after="0" w:line="166" w:lineRule="exact"/>
        <w:rPr>
          <w:sz w:val="20"/>
          <w:szCs w:val="20"/>
          <w:color w:val="auto"/>
        </w:rPr>
      </w:pPr>
    </w:p>
    <w:p>
      <w:pPr>
        <w:ind w:left="460" w:right="699"/>
        <w:spacing w:after="0" w:line="238"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July 22, 2020, the date that the financial statements were available to be issued. Based upon this review, the Company did not identify any subsequent events that would have required adjustment or disclosure in the financial statements.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66" w:name="page167"/>
    <w:bookmarkEnd w:id="166"/>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1202690</wp:posOffset>
            </wp:positionH>
            <wp:positionV relativeFrom="page">
              <wp:posOffset>132080</wp:posOffset>
            </wp:positionV>
            <wp:extent cx="5143500"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page">
              <wp:posOffset>1202690</wp:posOffset>
            </wp:positionH>
            <wp:positionV relativeFrom="page">
              <wp:posOffset>174625</wp:posOffset>
            </wp:positionV>
            <wp:extent cx="5143500"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00" cy="26035"/>
                    </a:xfrm>
                    <a:prstGeom prst="rect">
                      <a:avLst/>
                    </a:prstGeom>
                    <a:noFill/>
                  </pic:spPr>
                </pic:pic>
              </a:graphicData>
            </a:graphic>
          </wp:anchor>
        </w:drawing>
        <w:t>35,000,000 Units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36"/>
          <w:szCs w:val="36"/>
          <w:b w:val="1"/>
          <w:bCs w:val="1"/>
          <w:color w:val="auto"/>
        </w:rPr>
        <w:t>CM Life Sciences,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____________________________________</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PRELIMINARY PROSPECTUS</w:t>
      </w:r>
    </w:p>
    <w:p>
      <w:pPr>
        <w:spacing w:after="0" w:line="31"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Jefferies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Until (25 days after the date of this prospectus), all dealers that buy, sell or trade our common stock,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115" w:lineRule="exact"/>
        <w:rPr>
          <w:sz w:val="20"/>
          <w:szCs w:val="20"/>
          <w:color w:val="auto"/>
        </w:rPr>
      </w:pPr>
    </w:p>
    <w:p>
      <w:pPr>
        <w:ind w:left="460" w:right="599"/>
        <w:spacing w:after="0" w:line="259" w:lineRule="auto"/>
        <w:rPr>
          <w:sz w:val="20"/>
          <w:szCs w:val="20"/>
          <w:color w:val="auto"/>
        </w:rPr>
      </w:pPr>
      <w:r>
        <w:rPr>
          <w:rFonts w:ascii="Arial" w:cs="Arial" w:eastAsia="Arial" w:hAnsi="Arial"/>
          <w:sz w:val="17"/>
          <w:szCs w:val="17"/>
          <w:b w:val="1"/>
          <w:bCs w:val="1"/>
          <w:color w:val="auto"/>
        </w:rPr>
        <w:t>You should rely only on the information contained in this prospectus. We have not, and the underwriters have not, authorized anyone to provide you with different information. If anyone provides you with different or inconsistent information, you should not rely on it. We are not, and the underwriters are not, making an offer to sell securities in any jurisdiction where the offer or sale is not permitted. You should not assume that the information contained in this prospectus is accurate as of any date other than the date on the front of this prospectus.</w:t>
      </w:r>
    </w:p>
    <w:p>
      <w:pPr>
        <w:spacing w:after="0" w:line="84" w:lineRule="exact"/>
        <w:rPr>
          <w:sz w:val="20"/>
          <w:szCs w:val="20"/>
          <w:color w:val="auto"/>
        </w:rPr>
      </w:pPr>
    </w:p>
    <w:p>
      <w:pPr>
        <w:ind w:left="460" w:right="499"/>
        <w:spacing w:after="0"/>
        <w:rPr>
          <w:sz w:val="20"/>
          <w:szCs w:val="20"/>
          <w:color w:val="auto"/>
        </w:rPr>
      </w:pPr>
      <w:r>
        <w:rPr>
          <w:rFonts w:ascii="Arial" w:cs="Arial" w:eastAsia="Arial" w:hAnsi="Arial"/>
          <w:sz w:val="18"/>
          <w:szCs w:val="18"/>
          <w:b w:val="1"/>
          <w:bCs w:val="1"/>
          <w:color w:val="auto"/>
        </w:rPr>
        <w:t>No dealer, salesperson or any other person is authorized to give any information or make any representations in connection with this offering other than those contained in this prospectus and, if given or made, the information or representations must not be relied upon as having been authorized by us. This prospectus does not constitute an offer to sell or a solicitation of an offer to buy any security other than the securities offered by this prospectus, or an offer to sell or a solicitation of an offer to buy any securities by anyone in any jurisdiction in which the offer or solicitation is not authorized or is unlawful.</w:t>
      </w:r>
    </w:p>
    <w:p>
      <w:pPr>
        <w:spacing w:after="0" w:line="117"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414655</wp:posOffset>
            </wp:positionV>
            <wp:extent cx="5143500"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457200</wp:posOffset>
            </wp:positionV>
            <wp:extent cx="5143500"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723265</wp:posOffset>
            </wp:positionV>
            <wp:extent cx="51435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707" w:right="1440" w:bottom="1440" w:gutter="0" w:footer="0" w:header="0"/>
        </w:sectPr>
      </w:pPr>
    </w:p>
    <w:bookmarkStart w:id="167" w:name="page168"/>
    <w:bookmarkEnd w:id="167"/>
    <w:p>
      <w:pPr>
        <w:jc w:val="center"/>
        <w:spacing w:after="0"/>
        <w:rPr>
          <w:sz w:val="20"/>
          <w:szCs w:val="20"/>
          <w:color w:val="auto"/>
        </w:rPr>
      </w:pPr>
      <w:r>
        <w:rPr>
          <w:rFonts w:ascii="Arial" w:cs="Arial" w:eastAsia="Arial" w:hAnsi="Arial"/>
          <w:sz w:val="18"/>
          <w:szCs w:val="18"/>
          <w:b w:val="1"/>
          <w:bCs w:val="1"/>
          <w:color w:val="auto"/>
        </w:rPr>
        <w:t>PART II</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66" w:lineRule="exact"/>
        <w:rPr>
          <w:sz w:val="20"/>
          <w:szCs w:val="20"/>
          <w:color w:val="auto"/>
        </w:rPr>
      </w:pPr>
    </w:p>
    <w:p>
      <w:pPr>
        <w:ind w:left="460" w:right="719"/>
        <w:spacing w:after="0" w:line="246" w:lineRule="auto"/>
        <w:rPr>
          <w:sz w:val="20"/>
          <w:szCs w:val="20"/>
          <w:color w:val="auto"/>
        </w:rPr>
      </w:pPr>
      <w:r>
        <w:rPr>
          <w:rFonts w:ascii="Arial" w:cs="Arial" w:eastAsia="Arial" w:hAnsi="Arial"/>
          <w:sz w:val="18"/>
          <w:szCs w:val="18"/>
          <w:color w:val="auto"/>
        </w:rPr>
        <w:t>The estimated expenses payable by us in connection with the offering described in this registration statement (other than the underwriting discount and commissions) will be as follows:</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264"/>
        </w:trPr>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expenses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52,245</w:t>
            </w:r>
          </w:p>
        </w:tc>
      </w:tr>
      <w:tr>
        <w:trPr>
          <w:trHeight w:val="257"/>
        </w:trPr>
        <w:tc>
          <w:tcPr>
            <w:tcW w:w="6900" w:type="dxa"/>
            <w:vAlign w:val="bottom"/>
          </w:tcPr>
          <w:p>
            <w:pPr>
              <w:spacing w:after="0"/>
              <w:rPr>
                <w:sz w:val="20"/>
                <w:szCs w:val="20"/>
                <w:color w:val="auto"/>
              </w:rPr>
            </w:pPr>
            <w:r>
              <w:rPr>
                <w:rFonts w:ascii="Arial" w:cs="Arial" w:eastAsia="Arial" w:hAnsi="Arial"/>
                <w:sz w:val="18"/>
                <w:szCs w:val="18"/>
                <w:color w:val="auto"/>
              </w:rPr>
              <w:t>FINRA expenses</w:t>
            </w: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60,875</w:t>
            </w:r>
          </w:p>
        </w:tc>
      </w:tr>
      <w:tr>
        <w:trPr>
          <w:trHeight w:val="27"/>
        </w:trPr>
        <w:tc>
          <w:tcPr>
            <w:tcW w:w="6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63"/>
        </w:trPr>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60,000</w:t>
            </w:r>
          </w:p>
        </w:tc>
      </w:tr>
      <w:tr>
        <w:trPr>
          <w:trHeight w:val="257"/>
        </w:trPr>
        <w:tc>
          <w:tcPr>
            <w:tcW w:w="690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35,000</w:t>
            </w:r>
          </w:p>
        </w:tc>
      </w:tr>
      <w:tr>
        <w:trPr>
          <w:trHeight w:val="27"/>
        </w:trPr>
        <w:tc>
          <w:tcPr>
            <w:tcW w:w="6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63"/>
        </w:trPr>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Road show expenses</w:t>
            </w: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r>
      <w:tr>
        <w:trPr>
          <w:trHeight w:val="257"/>
        </w:trPr>
        <w:tc>
          <w:tcPr>
            <w:tcW w:w="690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325,000</w:t>
            </w:r>
          </w:p>
        </w:tc>
      </w:tr>
      <w:tr>
        <w:trPr>
          <w:trHeight w:val="27"/>
        </w:trPr>
        <w:tc>
          <w:tcPr>
            <w:tcW w:w="6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63"/>
        </w:trPr>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Nasdaq listing and filing fees</w:t>
            </w: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75,000</w:t>
            </w:r>
          </w:p>
        </w:tc>
      </w:tr>
      <w:tr>
        <w:trPr>
          <w:trHeight w:val="283"/>
        </w:trPr>
        <w:tc>
          <w:tcPr>
            <w:tcW w:w="6900" w:type="dxa"/>
            <w:vAlign w:val="bottom"/>
          </w:tcPr>
          <w:p>
            <w:pPr>
              <w:spacing w:after="0"/>
              <w:rPr>
                <w:sz w:val="20"/>
                <w:szCs w:val="20"/>
                <w:color w:val="auto"/>
              </w:rPr>
            </w:pPr>
            <w:r>
              <w:rPr>
                <w:rFonts w:ascii="Arial" w:cs="Arial" w:eastAsia="Arial" w:hAnsi="Arial"/>
                <w:sz w:val="18"/>
                <w:szCs w:val="18"/>
                <w:color w:val="auto"/>
              </w:rPr>
              <w:t>Director &amp; Officers liability insurance premiums</w:t>
            </w:r>
            <w:r>
              <w:rPr>
                <w:rFonts w:ascii="Arial" w:cs="Arial" w:eastAsia="Arial" w:hAnsi="Arial"/>
                <w:sz w:val="21"/>
                <w:szCs w:val="21"/>
                <w:color w:val="auto"/>
                <w:vertAlign w:val="superscript"/>
              </w:rPr>
              <w:t>(1)</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125,000</w:t>
            </w:r>
          </w:p>
        </w:tc>
      </w:tr>
      <w:tr>
        <w:trPr>
          <w:trHeight w:val="283"/>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4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246,880</w:t>
            </w:r>
          </w:p>
        </w:tc>
      </w:tr>
      <w:tr>
        <w:trPr>
          <w:trHeight w:val="250"/>
        </w:trPr>
        <w:tc>
          <w:tcPr>
            <w:tcW w:w="690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1,000,000</w:t>
            </w:r>
          </w:p>
        </w:tc>
      </w:tr>
      <w:tr>
        <w:trPr>
          <w:trHeight w:val="20"/>
        </w:trPr>
        <w:tc>
          <w:tcPr>
            <w:tcW w:w="6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73" w:lineRule="exact"/>
        <w:rPr>
          <w:sz w:val="20"/>
          <w:szCs w:val="20"/>
          <w:color w:val="auto"/>
        </w:rPr>
      </w:pPr>
    </w:p>
    <w:p>
      <w:pPr>
        <w:ind w:left="880" w:right="799" w:hanging="426"/>
        <w:spacing w:after="0" w:line="230" w:lineRule="auto"/>
        <w:tabs>
          <w:tab w:leader="none" w:pos="880" w:val="left"/>
        </w:tabs>
        <w:numPr>
          <w:ilvl w:val="0"/>
          <w:numId w:val="89"/>
        </w:numPr>
        <w:rPr>
          <w:rFonts w:ascii="Arial" w:cs="Arial" w:eastAsia="Arial" w:hAnsi="Arial"/>
          <w:sz w:val="13"/>
          <w:szCs w:val="13"/>
          <w:color w:val="auto"/>
        </w:rPr>
      </w:pPr>
      <w:r>
        <w:rPr>
          <w:rFonts w:ascii="Arial" w:cs="Arial" w:eastAsia="Arial" w:hAnsi="Arial"/>
          <w:sz w:val="13"/>
          <w:szCs w:val="13"/>
          <w:color w:val="auto"/>
        </w:rPr>
        <w:t>This amount represents the approximate amount of annual director and officer liability insurance premiums the registrant anticipates paying following the completion of its initial public offering and until it completes an initial business combination.</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66" w:lineRule="exact"/>
        <w:rPr>
          <w:sz w:val="20"/>
          <w:szCs w:val="20"/>
          <w:color w:val="auto"/>
        </w:rPr>
      </w:pPr>
    </w:p>
    <w:p>
      <w:pPr>
        <w:ind w:left="460" w:right="659"/>
        <w:spacing w:after="0" w:line="238" w:lineRule="auto"/>
        <w:rPr>
          <w:sz w:val="20"/>
          <w:szCs w:val="20"/>
          <w:color w:val="auto"/>
        </w:rPr>
      </w:pPr>
      <w:r>
        <w:rPr>
          <w:rFonts w:ascii="Arial" w:cs="Arial" w:eastAsia="Arial" w:hAnsi="Arial"/>
          <w:sz w:val="18"/>
          <w:szCs w:val="18"/>
          <w:color w:val="auto"/>
        </w:rPr>
        <w:t>Our amended and restated certificate of incorporation will provide that all of our directors, officers, employees and agents shall be entitled to be indemnified by us to the fullest extent permitted by Section 145 of the Delaware General Corporation Law (“DGCL”). Section 145 of the Delaware General Corporation Law concerning indemnification of officers, directors, employees and agents is set forth below.</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145. Indemnification of officers, directors, employees and agents; insurance.</w:t>
      </w:r>
    </w:p>
    <w:p>
      <w:pPr>
        <w:spacing w:after="0" w:line="23" w:lineRule="exact"/>
        <w:rPr>
          <w:sz w:val="20"/>
          <w:szCs w:val="20"/>
          <w:color w:val="auto"/>
        </w:rPr>
      </w:pPr>
    </w:p>
    <w:p>
      <w:pPr>
        <w:ind w:left="1100" w:right="479" w:hanging="322"/>
        <w:spacing w:after="0" w:line="235" w:lineRule="auto"/>
        <w:tabs>
          <w:tab w:leader="none" w:pos="1086"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corporation shall have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spacing w:after="0" w:line="37" w:lineRule="exact"/>
        <w:rPr>
          <w:rFonts w:ascii="Arial" w:cs="Arial" w:eastAsia="Arial" w:hAnsi="Arial"/>
          <w:sz w:val="18"/>
          <w:szCs w:val="18"/>
          <w:color w:val="auto"/>
        </w:rPr>
      </w:pPr>
    </w:p>
    <w:p>
      <w:pPr>
        <w:ind w:left="1100" w:right="499" w:hanging="322"/>
        <w:spacing w:after="0" w:line="236" w:lineRule="auto"/>
        <w:tabs>
          <w:tab w:leader="none" w:pos="1086"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corporation shall have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68" w:name="page169"/>
    <w:bookmarkEnd w:id="168"/>
    <w:p>
      <w:pPr>
        <w:ind w:left="1100" w:right="459"/>
        <w:spacing w:after="0" w:line="238" w:lineRule="auto"/>
        <w:rPr>
          <w:sz w:val="20"/>
          <w:szCs w:val="20"/>
          <w:color w:val="auto"/>
        </w:rPr>
      </w:pPr>
      <w:r>
        <w:rPr>
          <w:rFonts w:ascii="Arial" w:cs="Arial" w:eastAsia="Arial" w:hAnsi="Arial"/>
          <w:sz w:val="18"/>
          <w:szCs w:val="18"/>
          <w:color w:val="auto"/>
        </w:rPr>
        <w:t>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3" w:lineRule="exact"/>
        <w:rPr>
          <w:sz w:val="20"/>
          <w:szCs w:val="20"/>
          <w:color w:val="auto"/>
        </w:rPr>
      </w:pPr>
    </w:p>
    <w:p>
      <w:pPr>
        <w:ind w:left="1100" w:right="599" w:hanging="322"/>
        <w:spacing w:after="0" w:line="238" w:lineRule="auto"/>
        <w:tabs>
          <w:tab w:leader="none" w:pos="1083" w:val="left"/>
        </w:tabs>
        <w:numPr>
          <w:ilvl w:val="0"/>
          <w:numId w:val="91"/>
        </w:numPr>
        <w:rPr>
          <w:rFonts w:ascii="Arial" w:cs="Arial" w:eastAsia="Arial" w:hAnsi="Arial"/>
          <w:sz w:val="18"/>
          <w:szCs w:val="18"/>
          <w:color w:val="auto"/>
        </w:rPr>
      </w:pPr>
      <w:r>
        <w:rPr>
          <w:rFonts w:ascii="Arial" w:cs="Arial" w:eastAsia="Arial" w:hAnsi="Arial"/>
          <w:sz w:val="18"/>
          <w:szCs w:val="18"/>
          <w:color w:val="auto"/>
        </w:rPr>
        <w:t>To the extent that a present or former director or officer of a corporation has been successful on the merits or otherwise in defense of any action, suit or proceeding referred to in subsections (a) and (b) of this section, or in defense of any claim, issue or matter therein, such person shall be indemnified against expenses (including attorneys’ fees) actually and reasonably incurred by such person in connection therewith.</w:t>
      </w:r>
    </w:p>
    <w:p>
      <w:pPr>
        <w:spacing w:after="0" w:line="26" w:lineRule="exact"/>
        <w:rPr>
          <w:rFonts w:ascii="Arial" w:cs="Arial" w:eastAsia="Arial" w:hAnsi="Arial"/>
          <w:sz w:val="18"/>
          <w:szCs w:val="18"/>
          <w:color w:val="auto"/>
        </w:rPr>
      </w:pPr>
    </w:p>
    <w:p>
      <w:pPr>
        <w:ind w:left="1100" w:right="459" w:hanging="322"/>
        <w:spacing w:after="0" w:line="236" w:lineRule="auto"/>
        <w:tabs>
          <w:tab w:leader="none" w:pos="1086"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indemnification under subsections (a) and (b) of this section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 (a) and (b) of this section. Such determination shall be made, with respect to a person who is a director or officer at the time of such determination, (1) by a majority vote of the directors who are not parties to such action, suit or proceeding, even though less than a quorum, or (2) by a committee of such directors designated by majority vote of such directors, even though less than a quorum, or (3) if there are no such directors, or if such directors so direct, by independent legal counsel in a written opinion, or (4) by the stockholders.</w:t>
      </w:r>
    </w:p>
    <w:p>
      <w:pPr>
        <w:spacing w:after="0" w:line="30" w:lineRule="exact"/>
        <w:rPr>
          <w:rFonts w:ascii="Arial" w:cs="Arial" w:eastAsia="Arial" w:hAnsi="Arial"/>
          <w:sz w:val="18"/>
          <w:szCs w:val="18"/>
          <w:color w:val="auto"/>
        </w:rPr>
      </w:pPr>
    </w:p>
    <w:p>
      <w:pPr>
        <w:ind w:left="1100" w:right="559" w:hanging="322"/>
        <w:spacing w:after="0" w:line="236" w:lineRule="auto"/>
        <w:tabs>
          <w:tab w:leader="none" w:pos="1096" w:val="left"/>
        </w:tabs>
        <w:numPr>
          <w:ilvl w:val="0"/>
          <w:numId w:val="91"/>
        </w:numPr>
        <w:rPr>
          <w:rFonts w:ascii="Arial" w:cs="Arial" w:eastAsia="Arial" w:hAnsi="Arial"/>
          <w:sz w:val="18"/>
          <w:szCs w:val="18"/>
          <w:color w:val="auto"/>
        </w:rPr>
      </w:pPr>
      <w:r>
        <w:rPr>
          <w:rFonts w:ascii="Arial" w:cs="Arial" w:eastAsia="Arial" w:hAnsi="Arial"/>
          <w:sz w:val="18"/>
          <w:szCs w:val="18"/>
          <w:color w:val="auto"/>
        </w:rPr>
        <w:t>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section. Such expenses (including attorneys’ fees) incurred by former officers and directors or other employees and agents may be so paid upon such terms and conditions, if any, as the corporation deems appropriate.</w:t>
      </w:r>
    </w:p>
    <w:p>
      <w:pPr>
        <w:spacing w:after="0" w:line="18" w:lineRule="exact"/>
        <w:rPr>
          <w:rFonts w:ascii="Arial" w:cs="Arial" w:eastAsia="Arial" w:hAnsi="Arial"/>
          <w:sz w:val="18"/>
          <w:szCs w:val="18"/>
          <w:color w:val="auto"/>
        </w:rPr>
      </w:pPr>
    </w:p>
    <w:p>
      <w:pPr>
        <w:ind w:left="1100" w:right="499" w:hanging="322"/>
        <w:spacing w:after="0" w:line="236" w:lineRule="auto"/>
        <w:tabs>
          <w:tab w:leader="none" w:pos="1043"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indemnification and advancement of expenses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 A right to indemnification or to advancement of expenses arising under a provision of the certificate of incorporation or a bylaw shall not be eliminated or impaired by an amendment to such provision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28" w:lineRule="exact"/>
        <w:rPr>
          <w:rFonts w:ascii="Arial" w:cs="Arial" w:eastAsia="Arial" w:hAnsi="Arial"/>
          <w:sz w:val="18"/>
          <w:szCs w:val="18"/>
          <w:color w:val="auto"/>
        </w:rPr>
      </w:pPr>
    </w:p>
    <w:p>
      <w:pPr>
        <w:ind w:left="1100" w:right="499" w:hanging="322"/>
        <w:spacing w:after="0" w:line="237" w:lineRule="auto"/>
        <w:tabs>
          <w:tab w:leader="none" w:pos="1086"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this section.</w:t>
      </w:r>
    </w:p>
    <w:p>
      <w:pPr>
        <w:spacing w:after="0" w:line="27" w:lineRule="exact"/>
        <w:rPr>
          <w:rFonts w:ascii="Arial" w:cs="Arial" w:eastAsia="Arial" w:hAnsi="Arial"/>
          <w:sz w:val="18"/>
          <w:szCs w:val="18"/>
          <w:color w:val="auto"/>
        </w:rPr>
      </w:pPr>
    </w:p>
    <w:p>
      <w:pPr>
        <w:ind w:left="1100" w:right="479" w:hanging="322"/>
        <w:spacing w:after="0" w:line="236" w:lineRule="auto"/>
        <w:tabs>
          <w:tab w:leader="none" w:pos="1096" w:val="left"/>
        </w:tabs>
        <w:numPr>
          <w:ilvl w:val="0"/>
          <w:numId w:val="91"/>
        </w:numPr>
        <w:rPr>
          <w:rFonts w:ascii="Arial" w:cs="Arial" w:eastAsia="Arial" w:hAnsi="Arial"/>
          <w:sz w:val="18"/>
          <w:szCs w:val="18"/>
          <w:color w:val="auto"/>
        </w:rPr>
      </w:pPr>
      <w:r>
        <w:rPr>
          <w:rFonts w:ascii="Arial" w:cs="Arial" w:eastAsia="Arial" w:hAnsi="Arial"/>
          <w:sz w:val="18"/>
          <w:szCs w:val="18"/>
          <w:color w:val="auto"/>
        </w:rPr>
        <w:t>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section with respect to the resulting or surviving corporation as such person would have with respect to such constituent corporation if its separate existence had continued.</w:t>
      </w:r>
    </w:p>
    <w:p>
      <w:pPr>
        <w:spacing w:after="0" w:line="16" w:lineRule="exact"/>
        <w:rPr>
          <w:rFonts w:ascii="Arial" w:cs="Arial" w:eastAsia="Arial" w:hAnsi="Arial"/>
          <w:sz w:val="18"/>
          <w:szCs w:val="18"/>
          <w:color w:val="auto"/>
        </w:rPr>
      </w:pPr>
    </w:p>
    <w:p>
      <w:pPr>
        <w:ind w:left="1100" w:right="539" w:hanging="322"/>
        <w:spacing w:after="0" w:line="238" w:lineRule="auto"/>
        <w:tabs>
          <w:tab w:leader="none" w:pos="1086" w:val="left"/>
        </w:tabs>
        <w:numPr>
          <w:ilvl w:val="0"/>
          <w:numId w:val="91"/>
        </w:numPr>
        <w:rPr>
          <w:rFonts w:ascii="Arial" w:cs="Arial" w:eastAsia="Arial" w:hAnsi="Arial"/>
          <w:sz w:val="18"/>
          <w:szCs w:val="18"/>
          <w:color w:val="auto"/>
        </w:rPr>
      </w:pPr>
      <w:r>
        <w:rPr>
          <w:rFonts w:ascii="Arial" w:cs="Arial" w:eastAsia="Arial" w:hAnsi="Arial"/>
          <w:sz w:val="18"/>
          <w:szCs w:val="18"/>
          <w:color w:val="auto"/>
        </w:rPr>
        <w:t>For purposes of this section, references to “other enterprises” shall include employee benefit plans;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79" w:right="1440" w:bottom="1440" w:gutter="0" w:footer="0" w:header="0"/>
        </w:sectPr>
      </w:pPr>
    </w:p>
    <w:bookmarkStart w:id="169" w:name="page170"/>
    <w:bookmarkEnd w:id="169"/>
    <w:p>
      <w:pPr>
        <w:ind w:left="1100" w:right="659"/>
        <w:spacing w:after="0" w:line="238" w:lineRule="auto"/>
        <w:rPr>
          <w:sz w:val="20"/>
          <w:szCs w:val="20"/>
          <w:color w:val="auto"/>
        </w:rPr>
      </w:pPr>
      <w:r>
        <w:rPr>
          <w:rFonts w:ascii="Arial" w:cs="Arial" w:eastAsia="Arial" w:hAnsi="Arial"/>
          <w:sz w:val="18"/>
          <w:szCs w:val="18"/>
          <w:color w:val="auto"/>
        </w:rPr>
        <w:t>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w:t>
      </w:r>
    </w:p>
    <w:p>
      <w:pPr>
        <w:spacing w:after="0" w:line="13" w:lineRule="exact"/>
        <w:rPr>
          <w:sz w:val="20"/>
          <w:szCs w:val="20"/>
          <w:color w:val="auto"/>
        </w:rPr>
      </w:pPr>
    </w:p>
    <w:p>
      <w:pPr>
        <w:ind w:left="1100" w:right="599" w:hanging="322"/>
        <w:spacing w:after="0" w:line="238" w:lineRule="auto"/>
        <w:tabs>
          <w:tab w:leader="none" w:pos="1083"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indemnification and advancement of expenses provided by, or granted pursuant to, this section shall, unless otherwise provided when authorized or ratified, continue as to a person who has ceased to be a director, officer, employee or agent and shall inure to the benefit of the heirs, executors and administrators of such a person.</w:t>
      </w:r>
    </w:p>
    <w:p>
      <w:pPr>
        <w:spacing w:after="0" w:line="29" w:lineRule="exact"/>
        <w:rPr>
          <w:rFonts w:ascii="Arial" w:cs="Arial" w:eastAsia="Arial" w:hAnsi="Arial"/>
          <w:sz w:val="18"/>
          <w:szCs w:val="18"/>
          <w:color w:val="auto"/>
        </w:rPr>
      </w:pPr>
    </w:p>
    <w:p>
      <w:pPr>
        <w:ind w:left="1100" w:right="559" w:hanging="322"/>
        <w:spacing w:after="0" w:line="238" w:lineRule="auto"/>
        <w:tabs>
          <w:tab w:leader="none" w:pos="1083"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Court of Chancery is hereby vested with exclusive jurisdiction to hear and determine all actions for advancement of expenses or indemnification brought under this section or under any by law, agreement, vote of stockholders or disinterested directors, or otherwise. The Court of Chancery may summarily determine a corporation’s obligation to advance expenses (including attorneys’ fees).</w:t>
      </w:r>
    </w:p>
    <w:p>
      <w:pPr>
        <w:spacing w:after="0" w:line="135"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we will, unless in the opinion of its counsel the matter has been settled by controlling precedent, submit to the court of appropriate jurisdiction the question whether such indemnification by it is against public policy as expressed in the Securities Act and will be governed by the final adjudication of such issue.</w:t>
      </w:r>
    </w:p>
    <w:p>
      <w:pPr>
        <w:spacing w:after="0" w:line="124"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In accordance with Section 102(b)(7) of the DGCL, our amended and restated certificate of incorporation, will provide that no director shall be personally liable to us or any of our stockholders for monetary damages resulting from breaches of their fiduciary duty as directors, except to the extent such limitation on or exemption from liability is not permitted under the DGCL. The effect of this provision of our amended and restated certificate of incorporation is to eliminate our rights and those of our stockholders (through stockholders’ derivative suits on our behalf) to recover monetary damages against a director for breach of the fiduciary duty of care as a director, including breaches resulting from negligent or grossly negligent behavior, except, as restricted by Section 102(b)(7) of the DGCL. However, this provision does not limit or eliminate our rights or the rights of any stockholder to seek non-monetary relief, such as an injunction or rescission, in the event of a breach of a director’s duty of care.</w:t>
      </w:r>
    </w:p>
    <w:p>
      <w:pPr>
        <w:spacing w:after="0" w:line="137" w:lineRule="exact"/>
        <w:rPr>
          <w:sz w:val="20"/>
          <w:szCs w:val="20"/>
          <w:color w:val="auto"/>
        </w:rPr>
      </w:pPr>
    </w:p>
    <w:p>
      <w:pPr>
        <w:ind w:left="460" w:right="599"/>
        <w:spacing w:after="0" w:line="236" w:lineRule="auto"/>
        <w:rPr>
          <w:sz w:val="20"/>
          <w:szCs w:val="20"/>
          <w:color w:val="auto"/>
        </w:rPr>
      </w:pPr>
      <w:r>
        <w:rPr>
          <w:rFonts w:ascii="Arial" w:cs="Arial" w:eastAsia="Arial" w:hAnsi="Arial"/>
          <w:sz w:val="18"/>
          <w:szCs w:val="18"/>
          <w:color w:val="auto"/>
        </w:rPr>
        <w:t>If the DGCL is amended to authorize corporate action further eliminating or limiting the liability of directors, then, in accordance with our amended and restated certificate of incorporation, the liability of our directors to us or our stockholders will be eliminated or limited to the fullest extent authorized by the DGCL, as so amended. Any repeal or amendment of provisions of our amended and restated certificate of incorporation limiting or eliminating the liability of directors, whether by our stockholders or by changes in law, or the adoption of any other provisions inconsistent therewith, will (unless otherwise required by law) be prospective only, except to the extent such amendment or change in law permits us to further limit or eliminate the liability of directors on a retroactive basis.</w:t>
      </w:r>
    </w:p>
    <w:p>
      <w:pPr>
        <w:spacing w:after="0" w:line="140" w:lineRule="exact"/>
        <w:rPr>
          <w:sz w:val="20"/>
          <w:szCs w:val="20"/>
          <w:color w:val="auto"/>
        </w:rPr>
      </w:pPr>
    </w:p>
    <w:p>
      <w:pPr>
        <w:ind w:left="460" w:right="719"/>
        <w:spacing w:after="0" w:line="236" w:lineRule="auto"/>
        <w:rPr>
          <w:sz w:val="20"/>
          <w:szCs w:val="20"/>
          <w:color w:val="auto"/>
        </w:rPr>
      </w:pPr>
      <w:r>
        <w:rPr>
          <w:rFonts w:ascii="Arial" w:cs="Arial" w:eastAsia="Arial" w:hAnsi="Arial"/>
          <w:sz w:val="18"/>
          <w:szCs w:val="18"/>
          <w:color w:val="auto"/>
        </w:rPr>
        <w:t>Our amended and restated certificate of incorporation will also provide that we will, to the fullest extent authorized or permitted by applicable law, indemnify our current and former officers and directors, as well as those persons who, while directors or officers of our corporation, are or were serving as directors, officers, employees or agents of another entity, trust or other enterprise, including service with respect to an employee benefit plan, in connection with any threatened, pending or completed proceeding, whether civil, criminal, administrative or investigative, against all expense, liability and loss (including, without limitation, attorney’s fees, judgments, fines, ERISA excise taxes and penalties and amounts paid in settlement) reasonably incurred or suffered by any such person in connection with any such proceeding.</w:t>
      </w:r>
    </w:p>
    <w:p>
      <w:pPr>
        <w:spacing w:after="0" w:line="126" w:lineRule="exact"/>
        <w:rPr>
          <w:sz w:val="20"/>
          <w:szCs w:val="20"/>
          <w:color w:val="auto"/>
        </w:rPr>
      </w:pPr>
    </w:p>
    <w:p>
      <w:pPr>
        <w:ind w:left="460" w:right="559"/>
        <w:spacing w:after="0" w:line="238" w:lineRule="auto"/>
        <w:rPr>
          <w:sz w:val="20"/>
          <w:szCs w:val="20"/>
          <w:color w:val="auto"/>
        </w:rPr>
      </w:pPr>
      <w:r>
        <w:rPr>
          <w:rFonts w:ascii="Arial" w:cs="Arial" w:eastAsia="Arial" w:hAnsi="Arial"/>
          <w:sz w:val="18"/>
          <w:szCs w:val="18"/>
          <w:color w:val="auto"/>
        </w:rPr>
        <w:t>Notwithstanding the foregoing, a person eligible for indemnification pursuant to our amended and restated certificate of incorporation will be indemnified by us in connection with a proceeding initiated by such person only if such proceeding was authorized by our board of directors, except for proceedings to enforce rights to indemnification.</w:t>
      </w:r>
    </w:p>
    <w:p>
      <w:pPr>
        <w:spacing w:after="0" w:line="137" w:lineRule="exact"/>
        <w:rPr>
          <w:sz w:val="20"/>
          <w:szCs w:val="20"/>
          <w:color w:val="auto"/>
        </w:rPr>
      </w:pPr>
    </w:p>
    <w:p>
      <w:pPr>
        <w:ind w:left="460" w:right="1019"/>
        <w:spacing w:after="0" w:line="238" w:lineRule="auto"/>
        <w:rPr>
          <w:sz w:val="20"/>
          <w:szCs w:val="20"/>
          <w:color w:val="auto"/>
        </w:rPr>
      </w:pPr>
      <w:r>
        <w:rPr>
          <w:rFonts w:ascii="Arial" w:cs="Arial" w:eastAsia="Arial" w:hAnsi="Arial"/>
          <w:sz w:val="18"/>
          <w:szCs w:val="18"/>
          <w:color w:val="auto"/>
        </w:rPr>
        <w:t>The right to indemnification which will be conferred by our amended and restated certificate of incorporation is a contract right that includes the right to be paid by us the expenses incurred in defending or otherwise participating in any proceeding referenced above in advance of its final disposition, provided, however, that if the DGCL requires,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79" w:right="1440" w:bottom="1440" w:gutter="0" w:footer="0" w:header="0"/>
        </w:sectPr>
      </w:pPr>
    </w:p>
    <w:bookmarkStart w:id="170" w:name="page171"/>
    <w:bookmarkEnd w:id="170"/>
    <w:p>
      <w:pPr>
        <w:ind w:left="460" w:right="479"/>
        <w:spacing w:after="0" w:line="238" w:lineRule="auto"/>
        <w:rPr>
          <w:sz w:val="20"/>
          <w:szCs w:val="20"/>
          <w:color w:val="auto"/>
        </w:rPr>
      </w:pPr>
      <w:r>
        <w:rPr>
          <w:rFonts w:ascii="Arial" w:cs="Arial" w:eastAsia="Arial" w:hAnsi="Arial"/>
          <w:sz w:val="18"/>
          <w:szCs w:val="18"/>
          <w:color w:val="auto"/>
        </w:rPr>
        <w:t>an advancement of expenses incurred by our officer or director (solely in the capacity as an officer or director of our corporation) will be made only upon delivery to us of an undertaking, by or on behalf of such officer or director, to repay all amounts so advanced if it is ultimately determined that such person is not entitled to be indemnified for such expenses under our amended and restated certificate of incorporation or otherwise.</w:t>
      </w:r>
    </w:p>
    <w:p>
      <w:pPr>
        <w:spacing w:after="0" w:line="121"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The rights to indemnification and advancement of expenses will not be deemed exclusive of any other rights which any person covered by our amended and restated certificate of incorporation may have or hereafter acquire under law, our amended and restated certificate of incorporation, our bylaws, an agreement, vote of stockholders or disinterested directors, or otherwise.</w:t>
      </w:r>
    </w:p>
    <w:p>
      <w:pPr>
        <w:spacing w:after="0" w:line="137"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Any repeal or amendment of provisions of our amended and restated certificate of incorporation affecting indemnification rights, whether by our stockholders or by changes in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at the time of such repeal or amendment or adoption of such inconsistent provision with respect to any act or omission occurring prior to such repeal or amendment or adoption of such inconsistent provision. Our amended and restated certificate of incorporation will also permit us, to the extent and in the manner authorized or permitted by law, to indemnify and to advance expenses to persons other that those specifically covered by our amended and restated certificate of incorporation.</w:t>
      </w:r>
    </w:p>
    <w:p>
      <w:pPr>
        <w:spacing w:after="0" w:line="137"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Our bylaws, which we intend to adopt immediately prior to the closing of this offering, include the provisions relating to advancement of expenses and indemnification rights consistent with those which will be set forth in our amended and restated certificate of incorporation. In addition, our bylaws provide for a right of indemnity to bring a suit in the event a claim for indemnification or advancement of expenses is not paid in full by us within a specified period of time. Our bylaws also permit us to purchase and maintain insurance, at our expense, to protect us and/or any director, officer, employee or agent of our corporation or another entity, trust or other enterprise against any expense, liability or loss, whether or not we would have the power to indemnify such person against such expense, liability or loss under the DGCL.</w:t>
      </w:r>
    </w:p>
    <w:p>
      <w:pPr>
        <w:spacing w:after="0" w:line="126" w:lineRule="exact"/>
        <w:rPr>
          <w:sz w:val="20"/>
          <w:szCs w:val="20"/>
          <w:color w:val="auto"/>
        </w:rPr>
      </w:pPr>
    </w:p>
    <w:p>
      <w:pPr>
        <w:ind w:left="460" w:right="559"/>
        <w:spacing w:after="0" w:line="237" w:lineRule="auto"/>
        <w:rPr>
          <w:sz w:val="20"/>
          <w:szCs w:val="20"/>
          <w:color w:val="auto"/>
        </w:rPr>
      </w:pPr>
      <w:r>
        <w:rPr>
          <w:rFonts w:ascii="Arial" w:cs="Arial" w:eastAsia="Arial" w:hAnsi="Arial"/>
          <w:sz w:val="18"/>
          <w:szCs w:val="18"/>
          <w:color w:val="auto"/>
        </w:rPr>
        <w:t>Any repeal or amendment of provisions of our bylaws affecting indemnification rights, whether by our board of directors, stockholders or by changes in applicable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thereunder with respect to any act or omission occurring prior to such repeal or amendment or adoption of such inconsistent provision.</w:t>
      </w:r>
    </w:p>
    <w:p>
      <w:pPr>
        <w:spacing w:after="0" w:line="135" w:lineRule="exact"/>
        <w:rPr>
          <w:sz w:val="20"/>
          <w:szCs w:val="20"/>
          <w:color w:val="auto"/>
        </w:rPr>
      </w:pPr>
    </w:p>
    <w:p>
      <w:pPr>
        <w:ind w:left="460" w:right="639"/>
        <w:spacing w:after="0" w:line="238" w:lineRule="auto"/>
        <w:rPr>
          <w:sz w:val="20"/>
          <w:szCs w:val="20"/>
          <w:color w:val="auto"/>
        </w:rPr>
      </w:pPr>
      <w:r>
        <w:rPr>
          <w:rFonts w:ascii="Arial" w:cs="Arial" w:eastAsia="Arial" w:hAnsi="Arial"/>
          <w:sz w:val="18"/>
          <w:szCs w:val="18"/>
          <w:color w:val="auto"/>
        </w:rPr>
        <w:t>We will enter into indemnification agreements with each of our officers and directors a form of which is to be filed as an exhibit to this Registration Statement. These agreements will require us to indemnify these individuals to the fullest extent permitted under Delaware law against liabilities that may arise by reason of their service to us, and to advance expenses incurred as a result of any proceeding against them as to which they could be indemnified.</w:t>
      </w:r>
    </w:p>
    <w:p>
      <w:pPr>
        <w:spacing w:after="0" w:line="135" w:lineRule="exact"/>
        <w:rPr>
          <w:sz w:val="20"/>
          <w:szCs w:val="20"/>
          <w:color w:val="auto"/>
        </w:rPr>
      </w:pPr>
    </w:p>
    <w:p>
      <w:pPr>
        <w:jc w:val="both"/>
        <w:ind w:left="460" w:right="579"/>
        <w:spacing w:after="0" w:line="238" w:lineRule="auto"/>
        <w:rPr>
          <w:sz w:val="20"/>
          <w:szCs w:val="20"/>
          <w:color w:val="auto"/>
        </w:rPr>
      </w:pPr>
      <w:r>
        <w:rPr>
          <w:rFonts w:ascii="Arial" w:cs="Arial" w:eastAsia="Arial" w:hAnsi="Arial"/>
          <w:sz w:val="18"/>
          <w:szCs w:val="18"/>
          <w:color w:val="auto"/>
        </w:rPr>
        <w:t>Pursuant to the Underwriting Agreement to be filed as Exhibit 1.1 to this Registration Statement, we have agreed to indemnify the underwriters and the underwriters have agreed to indemnify us against certain civil liabilities that may be incurred in connection with this offering, including certain liabilities under the Securities Act.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53" w:lineRule="exact"/>
        <w:rPr>
          <w:sz w:val="20"/>
          <w:szCs w:val="20"/>
          <w:color w:val="auto"/>
        </w:rPr>
      </w:pPr>
    </w:p>
    <w:p>
      <w:pPr>
        <w:ind w:left="460" w:right="499"/>
        <w:spacing w:after="0" w:line="252" w:lineRule="auto"/>
        <w:rPr>
          <w:sz w:val="20"/>
          <w:szCs w:val="20"/>
          <w:color w:val="auto"/>
        </w:rPr>
      </w:pPr>
      <w:r>
        <w:rPr>
          <w:rFonts w:ascii="Arial" w:cs="Arial" w:eastAsia="Arial" w:hAnsi="Arial"/>
          <w:sz w:val="17"/>
          <w:szCs w:val="17"/>
          <w:color w:val="auto"/>
        </w:rPr>
        <w:t>On July 16, 2020, CMLS Holdings LLC, our sponsor, purchased an aggregate 10,062,500 founder shares for a total purchase price of $25,000, or approximately $0.002 per share. Such securities were issued in connection with our organization pursuant to the exemption from registration contained in Section 4(a)(2) of the Securities Act. The number of founder shares outstanding was determined based on the expectation that the total size of this offering would be a maximum of 40,250,000 units if the underwriters’ over-allotment option is exercised in full and therefore that such founder shares would represent 20% of the outstanding shares after this offering. Up to 1,312,500 of these shares will be forfeited depending on the extent to which the underwriters’ over-allotment is exercised.</w:t>
      </w:r>
    </w:p>
    <w:p>
      <w:pPr>
        <w:spacing w:after="0" w:line="127"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C-LSH LLC (an entity affiliated with Eli Casdin) and M-LSH LLC (an entity affiliated with Keith Meister) are the managing members of our sponsor. Our sponsor is an accredited investor for purposes of Rule 501 of Regulation D. Each of the equity holders in our sponsor is an accredited investor under Rule 501 of Regulation D. The sole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71" w:name="page172"/>
    <w:bookmarkEnd w:id="171"/>
    <w:p>
      <w:pPr>
        <w:ind w:left="460" w:right="559"/>
        <w:spacing w:after="0" w:line="238" w:lineRule="auto"/>
        <w:rPr>
          <w:sz w:val="20"/>
          <w:szCs w:val="20"/>
          <w:color w:val="auto"/>
        </w:rPr>
      </w:pPr>
      <w:r>
        <w:rPr>
          <w:rFonts w:ascii="Arial" w:cs="Arial" w:eastAsia="Arial" w:hAnsi="Arial"/>
          <w:sz w:val="18"/>
          <w:szCs w:val="18"/>
          <w:color w:val="auto"/>
        </w:rPr>
        <w:t>business of our sponsor is to act as the company’s sponsor in connection with this offering. The limited liability company agreement of our sponsor provides that its membership interests may only be transferred to our officers or directors or other persons affiliated with our sponsor, or in connection with estate planning transfers.</w:t>
      </w:r>
    </w:p>
    <w:p>
      <w:pPr>
        <w:spacing w:after="0" w:line="124" w:lineRule="exact"/>
        <w:rPr>
          <w:sz w:val="20"/>
          <w:szCs w:val="20"/>
          <w:color w:val="auto"/>
        </w:rPr>
      </w:pPr>
    </w:p>
    <w:p>
      <w:pPr>
        <w:ind w:left="460" w:right="559"/>
        <w:spacing w:after="0" w:line="237" w:lineRule="auto"/>
        <w:rPr>
          <w:sz w:val="20"/>
          <w:szCs w:val="20"/>
          <w:color w:val="auto"/>
        </w:rPr>
      </w:pPr>
      <w:r>
        <w:rPr>
          <w:rFonts w:ascii="Arial" w:cs="Arial" w:eastAsia="Arial" w:hAnsi="Arial"/>
          <w:sz w:val="18"/>
          <w:szCs w:val="18"/>
          <w:color w:val="auto"/>
        </w:rPr>
        <w:t>Our sponsor has committed, pursuant to a written agreement, to purchase from us an aggregate of 6,000,000 private placement warrants (or 6,700,000 warrants if the underwriters’ over-allotment option is exercised in full) at $1.50 per warrant (for an aggregate purchase price of $9,000,000 (or $10,050,000 warrants if the underwriters’ over-allotment option is exercised in full)). This purchase will take place on a private placement basis simultaneously with the completion of our initial public offering. This issuance will be made pursuant to the exemption from registration contained in Section 4(a)(2) of the Securities Act.</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underwriting discounts or commissions were paid with respect to such sales.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40" w:lineRule="exact"/>
        <w:rPr>
          <w:sz w:val="20"/>
          <w:szCs w:val="20"/>
          <w:color w:val="auto"/>
        </w:rPr>
      </w:pPr>
    </w:p>
    <w:p>
      <w:pPr>
        <w:ind w:left="1100" w:hanging="322"/>
        <w:spacing w:after="0"/>
        <w:tabs>
          <w:tab w:leader="none" w:pos="1100" w:val="left"/>
        </w:tabs>
        <w:numPr>
          <w:ilvl w:val="0"/>
          <w:numId w:val="93"/>
        </w:numPr>
        <w:rPr>
          <w:rFonts w:ascii="Arial" w:cs="Arial" w:eastAsia="Arial" w:hAnsi="Arial"/>
          <w:sz w:val="18"/>
          <w:szCs w:val="18"/>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  The following exhibits are being filed herewith:</w:t>
      </w:r>
    </w:p>
    <w:p>
      <w:pPr>
        <w:spacing w:after="0" w:line="207" w:lineRule="exact"/>
        <w:rPr>
          <w:rFonts w:ascii="Arial" w:cs="Arial" w:eastAsia="Arial" w:hAnsi="Arial"/>
          <w:sz w:val="18"/>
          <w:szCs w:val="18"/>
          <w:color w:val="auto"/>
        </w:rPr>
      </w:pPr>
    </w:p>
    <w:p>
      <w:pPr>
        <w:ind w:left="3840"/>
        <w:spacing w:after="0"/>
        <w:rPr>
          <w:rFonts w:ascii="Arial" w:cs="Arial" w:eastAsia="Arial" w:hAnsi="Arial"/>
          <w:sz w:val="18"/>
          <w:szCs w:val="18"/>
          <w:color w:val="auto"/>
        </w:rPr>
      </w:pPr>
      <w:r>
        <w:rPr>
          <w:rFonts w:ascii="Arial" w:cs="Arial" w:eastAsia="Arial" w:hAnsi="Arial"/>
          <w:sz w:val="18"/>
          <w:szCs w:val="18"/>
          <w:b w:val="1"/>
          <w:bCs w:val="1"/>
          <w:color w:val="auto"/>
        </w:rPr>
        <w:t>EXHIBIT INDEX</w:t>
      </w:r>
    </w:p>
    <w:p>
      <w:pPr>
        <w:spacing w:after="0" w:line="262" w:lineRule="exact"/>
        <w:rPr>
          <w:sz w:val="20"/>
          <w:szCs w:val="20"/>
          <w:color w:val="auto"/>
        </w:rPr>
      </w:pPr>
    </w:p>
    <w:p>
      <w:pPr>
        <w:ind w:left="460"/>
        <w:spacing w:after="0"/>
        <w:tabs>
          <w:tab w:leader="none" w:pos="452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34925</wp:posOffset>
            </wp:positionV>
            <wp:extent cx="5143500" cy="1803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47" w:lineRule="exact"/>
        <w:rPr>
          <w:sz w:val="20"/>
          <w:szCs w:val="20"/>
          <w:color w:val="auto"/>
        </w:rPr>
      </w:pPr>
    </w:p>
    <w:p>
      <w:pPr>
        <w:ind w:left="720"/>
        <w:spacing w:after="0"/>
        <w:tabs>
          <w:tab w:leader="none" w:pos="12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Form of Underwriting Agreement.*</w:t>
      </w:r>
    </w:p>
    <w:p>
      <w:pPr>
        <w:spacing w:after="0" w:line="63" w:lineRule="exact"/>
        <w:rPr>
          <w:sz w:val="20"/>
          <w:szCs w:val="20"/>
          <w:color w:val="auto"/>
        </w:rPr>
      </w:pPr>
    </w:p>
    <w:p>
      <w:pPr>
        <w:ind w:left="720"/>
        <w:spacing w:after="0"/>
        <w:tabs>
          <w:tab w:leader="none" w:pos="12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Amended and Restated Certificate of Incorporation.*</w:t>
      </w:r>
    </w:p>
    <w:p>
      <w:pPr>
        <w:spacing w:after="0" w:line="77" w:lineRule="exact"/>
        <w:rPr>
          <w:sz w:val="20"/>
          <w:szCs w:val="20"/>
          <w:color w:val="auto"/>
        </w:rPr>
      </w:pPr>
    </w:p>
    <w:p>
      <w:pPr>
        <w:ind w:left="720"/>
        <w:spacing w:after="0"/>
        <w:tabs>
          <w:tab w:leader="none" w:pos="12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Second Amended and Restated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-130175</wp:posOffset>
            </wp:positionV>
            <wp:extent cx="5143500" cy="1797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720"/>
        <w:spacing w:after="0"/>
        <w:tabs>
          <w:tab w:leader="none" w:pos="12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color w:val="auto"/>
        </w:rPr>
        <w:t>Bylaws*</w:t>
      </w:r>
    </w:p>
    <w:p>
      <w:pPr>
        <w:spacing w:after="0" w:line="77" w:lineRule="exact"/>
        <w:rPr>
          <w:sz w:val="20"/>
          <w:szCs w:val="20"/>
          <w:color w:val="auto"/>
        </w:rPr>
      </w:pPr>
    </w:p>
    <w:p>
      <w:pPr>
        <w:ind w:left="720"/>
        <w:spacing w:after="0"/>
        <w:tabs>
          <w:tab w:leader="none" w:pos="12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Specimen Unit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-130175</wp:posOffset>
            </wp:positionV>
            <wp:extent cx="5143500" cy="1797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720"/>
        <w:spacing w:after="0"/>
        <w:tabs>
          <w:tab w:leader="none" w:pos="12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Specimen Class A Common Stock Certificate.*</w:t>
      </w:r>
    </w:p>
    <w:p>
      <w:pPr>
        <w:spacing w:after="0" w:line="77" w:lineRule="exact"/>
        <w:rPr>
          <w:sz w:val="20"/>
          <w:szCs w:val="20"/>
          <w:color w:val="auto"/>
        </w:rPr>
      </w:pPr>
    </w:p>
    <w:p>
      <w:pPr>
        <w:ind w:left="720"/>
        <w:spacing w:after="0"/>
        <w:tabs>
          <w:tab w:leader="none" w:pos="12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color w:val="auto"/>
        </w:rPr>
        <w:t>Specimen Warrant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-130175</wp:posOffset>
            </wp:positionV>
            <wp:extent cx="5143500" cy="1803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1300" w:right="479" w:hanging="590"/>
        <w:spacing w:after="0" w:line="246" w:lineRule="auto"/>
        <w:tabs>
          <w:tab w:leader="none" w:pos="128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Form of Warrant Agreement between Continental Stock Transfer &amp; Trust Company and the Registrant.*</w:t>
      </w:r>
    </w:p>
    <w:p>
      <w:pPr>
        <w:spacing w:after="0" w:line="21" w:lineRule="exact"/>
        <w:rPr>
          <w:sz w:val="20"/>
          <w:szCs w:val="20"/>
          <w:color w:val="auto"/>
        </w:rPr>
      </w:pPr>
    </w:p>
    <w:p>
      <w:pPr>
        <w:ind w:left="720"/>
        <w:spacing w:after="0"/>
        <w:tabs>
          <w:tab w:leader="none" w:pos="12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color w:val="auto"/>
        </w:rPr>
        <w:t>Opinion of White &amp; Case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-130175</wp:posOffset>
            </wp:positionV>
            <wp:extent cx="5143500" cy="1803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1300" w:right="859" w:hanging="640"/>
        <w:spacing w:after="0" w:line="246" w:lineRule="auto"/>
        <w:tabs>
          <w:tab w:leader="none" w:pos="1280" w:val="left"/>
        </w:tabs>
        <w:rPr>
          <w:sz w:val="20"/>
          <w:szCs w:val="20"/>
          <w:color w:val="auto"/>
        </w:rPr>
      </w:pPr>
      <w:r>
        <w:rPr>
          <w:rFonts w:ascii="Arial" w:cs="Arial" w:eastAsia="Arial" w:hAnsi="Arial"/>
          <w:sz w:val="18"/>
          <w:szCs w:val="18"/>
          <w:color w:val="auto"/>
        </w:rPr>
        <w:t>10.1</w:t>
        <w:tab/>
        <w:t>Form of Letter Agreement among the Registrant, CMLS Holdings LLC and each of the executive officers and directors of the Registrant.*</w:t>
      </w:r>
    </w:p>
    <w:p>
      <w:pPr>
        <w:spacing w:after="0" w:line="21" w:lineRule="exact"/>
        <w:rPr>
          <w:sz w:val="20"/>
          <w:szCs w:val="20"/>
          <w:color w:val="auto"/>
        </w:rPr>
      </w:pPr>
    </w:p>
    <w:p>
      <w:pPr>
        <w:ind w:left="1300" w:right="599" w:hanging="640"/>
        <w:spacing w:after="0" w:line="246" w:lineRule="auto"/>
        <w:tabs>
          <w:tab w:leader="none" w:pos="1280" w:val="left"/>
        </w:tabs>
        <w:rPr>
          <w:sz w:val="20"/>
          <w:szCs w:val="20"/>
          <w:color w:val="auto"/>
        </w:rPr>
      </w:pPr>
      <w:r>
        <w:rPr>
          <w:rFonts w:ascii="Arial" w:cs="Arial" w:eastAsia="Arial" w:hAnsi="Arial"/>
          <w:sz w:val="18"/>
          <w:szCs w:val="18"/>
          <w:color w:val="auto"/>
        </w:rPr>
        <w:t>10.2</w:t>
        <w:tab/>
        <w:t>Form of Investment Management Trust Agreement between Continental Stock Transfer &amp; Trust Company and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-267970</wp:posOffset>
            </wp:positionV>
            <wp:extent cx="5143500" cy="28257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43500" cy="282575"/>
                    </a:xfrm>
                    <a:prstGeom prst="rect">
                      <a:avLst/>
                    </a:prstGeom>
                    <a:noFill/>
                  </pic:spPr>
                </pic:pic>
              </a:graphicData>
            </a:graphic>
          </wp:anchor>
        </w:drawing>
      </w:r>
    </w:p>
    <w:p>
      <w:pPr>
        <w:spacing w:after="0" w:line="1" w:lineRule="exact"/>
        <w:rPr>
          <w:sz w:val="20"/>
          <w:szCs w:val="20"/>
          <w:color w:val="auto"/>
        </w:rPr>
      </w:pPr>
    </w:p>
    <w:p>
      <w:pPr>
        <w:ind w:left="1300" w:right="739" w:hanging="640"/>
        <w:spacing w:after="0" w:line="246" w:lineRule="auto"/>
        <w:tabs>
          <w:tab w:leader="none" w:pos="1280" w:val="left"/>
        </w:tabs>
        <w:rPr>
          <w:sz w:val="20"/>
          <w:szCs w:val="20"/>
          <w:color w:val="auto"/>
        </w:rPr>
      </w:pPr>
      <w:r>
        <w:rPr>
          <w:rFonts w:ascii="Arial" w:cs="Arial" w:eastAsia="Arial" w:hAnsi="Arial"/>
          <w:sz w:val="18"/>
          <w:szCs w:val="18"/>
          <w:color w:val="auto"/>
        </w:rPr>
        <w:t>10.3</w:t>
        <w:tab/>
        <w:t>Form of Registration Rights Agreement among the Registrant, CMLS Holdings LLC and the Holders signatory thereto.*</w:t>
      </w:r>
    </w:p>
    <w:p>
      <w:pPr>
        <w:spacing w:after="0" w:line="21" w:lineRule="exact"/>
        <w:rPr>
          <w:sz w:val="20"/>
          <w:szCs w:val="20"/>
          <w:color w:val="auto"/>
        </w:rPr>
      </w:pPr>
    </w:p>
    <w:p>
      <w:pPr>
        <w:ind w:left="1300" w:right="619" w:hanging="640"/>
        <w:spacing w:after="0" w:line="246" w:lineRule="auto"/>
        <w:tabs>
          <w:tab w:leader="none" w:pos="1280" w:val="left"/>
        </w:tabs>
        <w:rPr>
          <w:sz w:val="20"/>
          <w:szCs w:val="20"/>
          <w:color w:val="auto"/>
        </w:rPr>
      </w:pPr>
      <w:r>
        <w:rPr>
          <w:rFonts w:ascii="Arial" w:cs="Arial" w:eastAsia="Arial" w:hAnsi="Arial"/>
          <w:sz w:val="18"/>
          <w:szCs w:val="18"/>
          <w:color w:val="auto"/>
        </w:rPr>
        <w:t>10.4</w:t>
        <w:tab/>
        <w:t>Form of Private Placement Warrants Purchase Agreement between the Registrant CMLS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-267970</wp:posOffset>
            </wp:positionV>
            <wp:extent cx="5143500" cy="28257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143500" cy="282575"/>
                    </a:xfrm>
                    <a:prstGeom prst="rect">
                      <a:avLst/>
                    </a:prstGeom>
                    <a:noFill/>
                  </pic:spPr>
                </pic:pic>
              </a:graphicData>
            </a:graphic>
          </wp:anchor>
        </w:drawing>
      </w:r>
    </w:p>
    <w:p>
      <w:pPr>
        <w:spacing w:after="0" w:line="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7"/>
          <w:szCs w:val="17"/>
          <w:color w:val="auto"/>
        </w:rPr>
        <w:t>Form of Indemnity Agreement.*</w:t>
      </w:r>
    </w:p>
    <w:p>
      <w:pPr>
        <w:spacing w:after="0" w:line="7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7"/>
          <w:szCs w:val="17"/>
          <w:color w:val="auto"/>
        </w:rPr>
        <w:t>Promissory Note issued to CMLS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-130175</wp:posOffset>
            </wp:positionV>
            <wp:extent cx="5143500" cy="1803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10.7</w:t>
        <w:tab/>
        <w:t>Securities Subscription Agreement between the Registrant and CMLS Holdings LLC.*</w:t>
      </w:r>
    </w:p>
    <w:p>
      <w:pPr>
        <w:spacing w:after="0" w:line="7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10.8</w:t>
        <w:tab/>
        <w:t>Form of Forward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-130175</wp:posOffset>
            </wp:positionV>
            <wp:extent cx="5143500" cy="1803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740"/>
        <w:spacing w:after="0"/>
        <w:tabs>
          <w:tab w:leader="none" w:pos="128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Form of Code of Ethics.*</w:t>
      </w:r>
    </w:p>
    <w:p>
      <w:pPr>
        <w:spacing w:after="0" w:line="7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23.1</w:t>
        <w:tab/>
        <w:t>Consent of WithumSmith+Brown,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-130175</wp:posOffset>
            </wp:positionV>
            <wp:extent cx="5143500" cy="1797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23.2</w:t>
        <w:tab/>
        <w:t>Consent of White &amp; Case LLP (included on Exhibit 5.1).*</w:t>
      </w:r>
    </w:p>
    <w:p>
      <w:pPr>
        <w:spacing w:after="0" w:line="77" w:lineRule="exact"/>
        <w:rPr>
          <w:sz w:val="20"/>
          <w:szCs w:val="20"/>
          <w:color w:val="auto"/>
        </w:rPr>
      </w:pPr>
    </w:p>
    <w:p>
      <w:pPr>
        <w:ind w:left="660" w:right="3959" w:firstLine="79"/>
        <w:spacing w:after="0" w:line="328" w:lineRule="auto"/>
        <w:tabs>
          <w:tab w:leader="none" w:pos="1301" w:val="left"/>
        </w:tabs>
        <w:numPr>
          <w:ilvl w:val="0"/>
          <w:numId w:val="94"/>
        </w:numPr>
        <w:rPr>
          <w:rFonts w:ascii="Arial" w:cs="Arial" w:eastAsia="Arial" w:hAnsi="Arial"/>
          <w:sz w:val="18"/>
          <w:szCs w:val="18"/>
          <w:u w:val="single" w:color="auto"/>
          <w:color w:val="0000EE"/>
        </w:rPr>
      </w:pPr>
      <w:hyperlink w:anchor="page174">
        <w:r>
          <w:rPr>
            <w:rFonts w:ascii="Arial" w:cs="Arial" w:eastAsia="Arial" w:hAnsi="Arial"/>
            <w:sz w:val="18"/>
            <w:szCs w:val="18"/>
            <w:u w:val="single" w:color="auto"/>
            <w:color w:val="0000EE"/>
          </w:rPr>
          <w:t>Power of Attorney (included on signature page)</w:t>
        </w:r>
      </w:hyperlink>
      <w:r>
        <w:rPr>
          <w:rFonts w:ascii="Arial" w:cs="Arial" w:eastAsia="Arial" w:hAnsi="Arial"/>
          <w:sz w:val="18"/>
          <w:szCs w:val="18"/>
          <w:u w:val="single" w:color="auto"/>
          <w:color w:val="0000EE"/>
        </w:rPr>
        <w:t xml:space="preserve"> </w:t>
      </w:r>
      <w:r>
        <w:rPr>
          <w:rFonts w:ascii="Arial" w:cs="Arial" w:eastAsia="Arial" w:hAnsi="Arial"/>
          <w:sz w:val="18"/>
          <w:szCs w:val="18"/>
          <w:color w:val="000000"/>
        </w:rPr>
        <w:t>99.1 Form of Audit Committee Charter.*</w:t>
      </w:r>
    </w:p>
    <w:p>
      <w:pPr>
        <w:spacing w:after="0" w:line="1" w:lineRule="exact"/>
        <w:rPr>
          <w:rFonts w:ascii="Arial" w:cs="Arial" w:eastAsia="Arial" w:hAnsi="Arial"/>
          <w:sz w:val="18"/>
          <w:szCs w:val="18"/>
          <w:u w:val="single" w:color="auto"/>
          <w:color w:val="0000EE"/>
        </w:rPr>
      </w:pPr>
    </w:p>
    <w:p>
      <w:pPr>
        <w:ind w:left="660"/>
        <w:spacing w:after="0"/>
        <w:rPr>
          <w:rFonts w:ascii="Arial" w:cs="Arial" w:eastAsia="Arial" w:hAnsi="Arial"/>
          <w:sz w:val="18"/>
          <w:szCs w:val="18"/>
          <w:u w:val="single" w:color="auto"/>
          <w:color w:val="0000EE"/>
        </w:rPr>
      </w:pPr>
      <w:r>
        <w:rPr>
          <w:rFonts w:ascii="Arial" w:cs="Arial" w:eastAsia="Arial" w:hAnsi="Arial"/>
          <w:sz w:val="18"/>
          <w:szCs w:val="18"/>
          <w:color w:val="auto"/>
        </w:rPr>
        <w:t>99.2   Form of Compensation Committee Charter.*</w:t>
      </w:r>
    </w:p>
    <w:p>
      <w:pPr>
        <w:spacing w:after="0" w:line="76" w:lineRule="exact"/>
        <w:rPr>
          <w:rFonts w:ascii="Arial" w:cs="Arial" w:eastAsia="Arial" w:hAnsi="Arial"/>
          <w:sz w:val="18"/>
          <w:szCs w:val="18"/>
          <w:u w:val="single" w:color="auto"/>
          <w:color w:val="0000EE"/>
        </w:rPr>
      </w:pPr>
    </w:p>
    <w:p>
      <w:pPr>
        <w:ind w:left="660"/>
        <w:spacing w:after="0"/>
        <w:rPr>
          <w:rFonts w:ascii="Arial" w:cs="Arial" w:eastAsia="Arial" w:hAnsi="Arial"/>
          <w:sz w:val="18"/>
          <w:szCs w:val="18"/>
          <w:u w:val="single" w:color="auto"/>
          <w:color w:val="0000EE"/>
        </w:rPr>
      </w:pPr>
      <w:r>
        <w:rPr>
          <w:rFonts w:ascii="Arial" w:cs="Arial" w:eastAsia="Arial" w:hAnsi="Arial"/>
          <w:sz w:val="18"/>
          <w:szCs w:val="18"/>
          <w:color w:val="auto"/>
        </w:rPr>
        <w:t>99.3   Form of Nominating &amp; Corporate Governance Committee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-670560</wp:posOffset>
            </wp:positionV>
            <wp:extent cx="5143500" cy="1797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-310515</wp:posOffset>
            </wp:positionV>
            <wp:extent cx="5143500" cy="1803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73" w:lineRule="exact"/>
        <w:rPr>
          <w:sz w:val="20"/>
          <w:szCs w:val="20"/>
          <w:color w:val="auto"/>
        </w:rPr>
      </w:pPr>
    </w:p>
    <w:p>
      <w:pPr>
        <w:ind w:left="860" w:hanging="406"/>
        <w:spacing w:after="0"/>
        <w:tabs>
          <w:tab w:leader="none" w:pos="860" w:val="left"/>
        </w:tabs>
        <w:numPr>
          <w:ilvl w:val="0"/>
          <w:numId w:val="95"/>
        </w:numPr>
        <w:rPr>
          <w:rFonts w:ascii="Arial" w:cs="Arial" w:eastAsia="Arial" w:hAnsi="Arial"/>
          <w:sz w:val="13"/>
          <w:szCs w:val="13"/>
          <w:color w:val="auto"/>
        </w:rPr>
      </w:pPr>
      <w:r>
        <w:rPr>
          <w:rFonts w:ascii="Arial" w:cs="Arial" w:eastAsia="Arial" w:hAnsi="Arial"/>
          <w:sz w:val="13"/>
          <w:szCs w:val="13"/>
          <w:color w:val="auto"/>
        </w:rPr>
        <w:t>To be filed by amendment.</w:t>
      </w:r>
    </w:p>
    <w:p>
      <w:pPr>
        <w:spacing w:after="0" w:line="121" w:lineRule="exact"/>
        <w:rPr>
          <w:rFonts w:ascii="Arial" w:cs="Arial" w:eastAsia="Arial" w:hAnsi="Arial"/>
          <w:sz w:val="13"/>
          <w:szCs w:val="13"/>
          <w:color w:val="auto"/>
        </w:rPr>
      </w:pPr>
    </w:p>
    <w:p>
      <w:pPr>
        <w:ind w:left="1100" w:right="559" w:hanging="322"/>
        <w:spacing w:after="0" w:line="267" w:lineRule="auto"/>
        <w:tabs>
          <w:tab w:leader="none" w:pos="1096" w:val="left"/>
        </w:tabs>
        <w:numPr>
          <w:ilvl w:val="1"/>
          <w:numId w:val="95"/>
        </w:numPr>
        <w:rPr>
          <w:rFonts w:ascii="Arial" w:cs="Arial" w:eastAsia="Arial" w:hAnsi="Arial"/>
          <w:sz w:val="18"/>
          <w:szCs w:val="18"/>
          <w:color w:val="auto"/>
        </w:rPr>
      </w:pPr>
      <w:r>
        <w:rPr>
          <w:rFonts w:ascii="Arial" w:cs="Arial" w:eastAsia="Arial" w:hAnsi="Arial"/>
          <w:sz w:val="18"/>
          <w:szCs w:val="18"/>
          <w:i w:val="1"/>
          <w:iCs w:val="1"/>
          <w:color w:val="auto"/>
        </w:rPr>
        <w:t>Financial Statements</w:t>
      </w:r>
      <w:r>
        <w:rPr>
          <w:rFonts w:ascii="Arial" w:cs="Arial" w:eastAsia="Arial" w:hAnsi="Arial"/>
          <w:sz w:val="18"/>
          <w:szCs w:val="18"/>
          <w:color w:val="auto"/>
        </w:rPr>
        <w:t>. See page F-1 for an index to the financial statements and schedules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in the registration statement.</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72" w:name="page173"/>
    <w:bookmarkEnd w:id="172"/>
    <w:p>
      <w:pPr>
        <w:ind w:left="460"/>
        <w:spacing w:after="0"/>
        <w:rPr>
          <w:sz w:val="20"/>
          <w:szCs w:val="20"/>
          <w:color w:val="auto"/>
        </w:rPr>
      </w:pPr>
      <w:r>
        <w:rPr>
          <w:rFonts w:ascii="Arial" w:cs="Arial" w:eastAsia="Arial" w:hAnsi="Arial"/>
          <w:sz w:val="18"/>
          <w:szCs w:val="18"/>
          <w:b w:val="1"/>
          <w:bCs w:val="1"/>
          <w:color w:val="auto"/>
        </w:rPr>
        <w:t>Item 17. Undertakings.</w:t>
      </w:r>
    </w:p>
    <w:p>
      <w:pPr>
        <w:spacing w:after="0" w:line="58" w:lineRule="exact"/>
        <w:rPr>
          <w:sz w:val="20"/>
          <w:szCs w:val="20"/>
          <w:color w:val="auto"/>
        </w:rPr>
      </w:pPr>
    </w:p>
    <w:p>
      <w:pPr>
        <w:ind w:left="1100" w:right="499" w:hanging="322"/>
        <w:spacing w:after="0"/>
        <w:tabs>
          <w:tab w:leader="none" w:pos="1093"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13" w:lineRule="exact"/>
        <w:rPr>
          <w:rFonts w:ascii="Arial" w:cs="Arial" w:eastAsia="Arial" w:hAnsi="Arial"/>
          <w:sz w:val="18"/>
          <w:szCs w:val="18"/>
          <w:color w:val="auto"/>
        </w:rPr>
      </w:pPr>
    </w:p>
    <w:p>
      <w:pPr>
        <w:ind w:left="1100" w:right="479" w:hanging="322"/>
        <w:spacing w:after="0" w:line="236" w:lineRule="auto"/>
        <w:tabs>
          <w:tab w:leader="none" w:pos="1096"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8" w:lineRule="exact"/>
        <w:rPr>
          <w:rFonts w:ascii="Arial" w:cs="Arial" w:eastAsia="Arial" w:hAnsi="Arial"/>
          <w:sz w:val="18"/>
          <w:szCs w:val="18"/>
          <w:color w:val="auto"/>
        </w:rPr>
      </w:pPr>
    </w:p>
    <w:p>
      <w:pPr>
        <w:ind w:left="1080" w:hanging="302"/>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36" w:lineRule="exact"/>
        <w:rPr>
          <w:rFonts w:ascii="Arial" w:cs="Arial" w:eastAsia="Arial" w:hAnsi="Arial"/>
          <w:sz w:val="18"/>
          <w:szCs w:val="18"/>
          <w:color w:val="auto"/>
        </w:rPr>
      </w:pPr>
    </w:p>
    <w:p>
      <w:pPr>
        <w:ind w:left="1420" w:right="519" w:hanging="318"/>
        <w:spacing w:after="0" w:line="238" w:lineRule="auto"/>
        <w:tabs>
          <w:tab w:leader="none" w:pos="1416" w:val="left"/>
        </w:tabs>
        <w:numPr>
          <w:ilvl w:val="1"/>
          <w:numId w:val="96"/>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3" w:lineRule="exact"/>
        <w:rPr>
          <w:rFonts w:ascii="Arial" w:cs="Arial" w:eastAsia="Arial" w:hAnsi="Arial"/>
          <w:sz w:val="18"/>
          <w:szCs w:val="18"/>
          <w:color w:val="auto"/>
        </w:rPr>
      </w:pPr>
    </w:p>
    <w:p>
      <w:pPr>
        <w:ind w:left="1420" w:right="599" w:hanging="318"/>
        <w:spacing w:after="0" w:line="238" w:lineRule="auto"/>
        <w:tabs>
          <w:tab w:leader="none" w:pos="1416" w:val="left"/>
        </w:tabs>
        <w:numPr>
          <w:ilvl w:val="1"/>
          <w:numId w:val="96"/>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73" w:name="page174"/>
    <w:bookmarkEnd w:id="173"/>
    <w:p>
      <w:pPr>
        <w:jc w:val="center"/>
        <w:spacing w:after="0"/>
        <w:rPr>
          <w:sz w:val="20"/>
          <w:szCs w:val="20"/>
          <w:color w:val="auto"/>
        </w:rPr>
      </w:pPr>
      <w:r>
        <w:rPr>
          <w:rFonts w:ascii="Arial" w:cs="Arial" w:eastAsia="Arial" w:hAnsi="Arial"/>
          <w:sz w:val="18"/>
          <w:szCs w:val="18"/>
          <w:b w:val="1"/>
          <w:bCs w:val="1"/>
          <w:color w:val="auto"/>
        </w:rPr>
        <w:t>SIGNATURES</w:t>
      </w:r>
    </w:p>
    <w:p>
      <w:pPr>
        <w:spacing w:after="0" w:line="166" w:lineRule="exact"/>
        <w:rPr>
          <w:sz w:val="20"/>
          <w:szCs w:val="20"/>
          <w:color w:val="auto"/>
        </w:rPr>
      </w:pPr>
    </w:p>
    <w:p>
      <w:pPr>
        <w:ind w:left="460" w:right="899"/>
        <w:spacing w:after="0" w:line="248" w:lineRule="auto"/>
        <w:rPr>
          <w:sz w:val="20"/>
          <w:szCs w:val="20"/>
          <w:color w:val="auto"/>
        </w:rPr>
      </w:pPr>
      <w:r>
        <w:rPr>
          <w:rFonts w:ascii="Arial" w:cs="Arial" w:eastAsia="Arial" w:hAnsi="Arial"/>
          <w:sz w:val="17"/>
          <w:szCs w:val="17"/>
          <w:color w:val="auto"/>
        </w:rPr>
        <w:t>Pursuant to the requirements of the Securities Act of 1933, as amended, the registrant has duly caused this Registration Statement to be signed on its behalf by the undersigned, thereunto duly</w:t>
      </w:r>
    </w:p>
    <w:p>
      <w:pPr>
        <w:spacing w:after="0" w:line="1" w:lineRule="exact"/>
        <w:rPr>
          <w:sz w:val="20"/>
          <w:szCs w:val="20"/>
          <w:color w:val="auto"/>
        </w:rPr>
      </w:pPr>
    </w:p>
    <w:p>
      <w:pPr>
        <w:ind w:left="460"/>
        <w:spacing w:after="0"/>
        <w:tabs>
          <w:tab w:leader="none" w:pos="4620" w:val="left"/>
          <w:tab w:leader="none" w:pos="5660" w:val="left"/>
        </w:tabs>
        <w:rPr>
          <w:sz w:val="20"/>
          <w:szCs w:val="20"/>
          <w:color w:val="auto"/>
        </w:rPr>
      </w:pPr>
      <w:r>
        <w:rPr>
          <w:rFonts w:ascii="Arial" w:cs="Arial" w:eastAsia="Arial" w:hAnsi="Arial"/>
          <w:sz w:val="18"/>
          <w:szCs w:val="18"/>
          <w:color w:val="auto"/>
        </w:rPr>
        <w:t>authorized, in the City of New York, NY, on the</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7"/>
          <w:szCs w:val="17"/>
          <w:color w:val="auto"/>
        </w:rPr>
        <w:t>, 2020.</w:t>
      </w:r>
    </w:p>
    <w:p>
      <w:pPr>
        <w:spacing w:after="0" w:line="19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CM LIFE SCIENCES, INC.</w:t>
      </w:r>
    </w:p>
    <w:p>
      <w:pPr>
        <w:spacing w:after="0" w:line="20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3134360</wp:posOffset>
            </wp:positionH>
            <wp:positionV relativeFrom="paragraph">
              <wp:posOffset>23495</wp:posOffset>
            </wp:positionV>
            <wp:extent cx="229743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57"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Eli Casdin</w:t>
      </w:r>
    </w:p>
    <w:p>
      <w:pPr>
        <w:spacing w:after="0" w:line="77"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Chief Executive Officer and Director</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66"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KNOW ALL MEN BY THESE PRESENTS, that each person whose signature appears below constitutes and appoints each of Eli Casdin and Brian Emes his true and lawful attorney-in-fact, with full power of substitution and resubstitution for him and in his name, place and stead, in any and all capacities to sign any and all amendments including post-effective amendments to this registration statement and any and all registration statements filed pursuant to Rule 462 under the Securities Act of 1933, as amended, and to file the same, with all exhibits thereto, and other documents in connection therewith, with the SEC, hereby ratifying and confirming all that said attorney-in-fact or his substitute, each acting alone, may lawfully do or cause to be done by virtue thereof.</w:t>
      </w:r>
    </w:p>
    <w:p>
      <w:pPr>
        <w:spacing w:after="0" w:line="127" w:lineRule="exact"/>
        <w:rPr>
          <w:sz w:val="20"/>
          <w:szCs w:val="20"/>
          <w:color w:val="auto"/>
        </w:rPr>
      </w:pPr>
    </w:p>
    <w:p>
      <w:pPr>
        <w:ind w:left="460" w:right="599"/>
        <w:spacing w:after="0" w:line="274" w:lineRule="auto"/>
        <w:rPr>
          <w:sz w:val="20"/>
          <w:szCs w:val="20"/>
          <w:color w:val="auto"/>
        </w:rPr>
      </w:pPr>
      <w:r>
        <w:rPr>
          <w:rFonts w:ascii="Arial" w:cs="Arial" w:eastAsia="Arial" w:hAnsi="Arial"/>
          <w:sz w:val="17"/>
          <w:szCs w:val="17"/>
          <w:color w:val="auto"/>
        </w:rPr>
        <w:t>Pursuant to the requirements of the Securities Act of 1933, as amended, this Registration Statement has been signed below by the following persons in the capacities and on the dates indicated.</w:t>
      </w:r>
    </w:p>
    <w:p>
      <w:pPr>
        <w:spacing w:after="0" w:line="216"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246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80" w:type="dxa"/>
            <w:vAlign w:val="bottom"/>
          </w:tcPr>
          <w:p>
            <w:pPr>
              <w:spacing w:after="0"/>
              <w:rPr>
                <w:sz w:val="16"/>
                <w:szCs w:val="16"/>
                <w:color w:val="auto"/>
              </w:rPr>
            </w:pPr>
          </w:p>
        </w:tc>
        <w:tc>
          <w:tcPr>
            <w:tcW w:w="4000" w:type="dxa"/>
            <w:vAlign w:val="bottom"/>
            <w:gridSpan w:val="2"/>
          </w:tcPr>
          <w:p>
            <w:pPr>
              <w:ind w:left="1680"/>
              <w:spacing w:after="0"/>
              <w:rPr>
                <w:sz w:val="20"/>
                <w:szCs w:val="20"/>
                <w:color w:val="auto"/>
              </w:rPr>
            </w:pPr>
            <w:r>
              <w:rPr>
                <w:rFonts w:ascii="Arial" w:cs="Arial" w:eastAsia="Arial" w:hAnsi="Arial"/>
                <w:sz w:val="14"/>
                <w:szCs w:val="14"/>
                <w:b w:val="1"/>
                <w:bCs w:val="1"/>
                <w:color w:val="auto"/>
              </w:rPr>
              <w:t>Position</w:t>
            </w:r>
          </w:p>
        </w:tc>
        <w:tc>
          <w:tcPr>
            <w:tcW w:w="1560" w:type="dxa"/>
            <w:vAlign w:val="bottom"/>
          </w:tcPr>
          <w:p>
            <w:pPr>
              <w:jc w:val="right"/>
              <w:ind w:right="535"/>
              <w:spacing w:after="0"/>
              <w:rPr>
                <w:sz w:val="20"/>
                <w:szCs w:val="20"/>
                <w:color w:val="auto"/>
              </w:rPr>
            </w:pPr>
            <w:r>
              <w:rPr>
                <w:rFonts w:ascii="Arial" w:cs="Arial" w:eastAsia="Arial" w:hAnsi="Arial"/>
                <w:sz w:val="14"/>
                <w:szCs w:val="14"/>
                <w:b w:val="1"/>
                <w:bCs w:val="1"/>
                <w:color w:val="auto"/>
              </w:rPr>
              <w:t>Date</w:t>
            </w:r>
          </w:p>
        </w:tc>
      </w:tr>
      <w:tr>
        <w:trPr>
          <w:trHeight w:val="26"/>
        </w:trPr>
        <w:tc>
          <w:tcPr>
            <w:tcW w:w="2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344"/>
        </w:trPr>
        <w:tc>
          <w:tcPr>
            <w:tcW w:w="2460" w:type="dxa"/>
            <w:vAlign w:val="bottom"/>
          </w:tcPr>
          <w:p>
            <w:pPr>
              <w:spacing w:after="0"/>
              <w:rPr>
                <w:sz w:val="24"/>
                <w:szCs w:val="24"/>
                <w:color w:val="auto"/>
              </w:rPr>
            </w:pPr>
          </w:p>
        </w:tc>
        <w:tc>
          <w:tcPr>
            <w:tcW w:w="4080" w:type="dxa"/>
            <w:vAlign w:val="bottom"/>
            <w:gridSpan w:val="3"/>
          </w:tcPr>
          <w:p>
            <w:pPr>
              <w:ind w:left="80"/>
              <w:spacing w:after="0"/>
              <w:rPr>
                <w:sz w:val="20"/>
                <w:szCs w:val="20"/>
                <w:color w:val="auto"/>
              </w:rPr>
            </w:pPr>
            <w:r>
              <w:rPr>
                <w:rFonts w:ascii="Arial" w:cs="Arial" w:eastAsia="Arial" w:hAnsi="Arial"/>
                <w:sz w:val="18"/>
                <w:szCs w:val="18"/>
                <w:color w:val="auto"/>
              </w:rPr>
              <w:t>Chief Executive Officer and Director</w:t>
            </w:r>
          </w:p>
        </w:tc>
        <w:tc>
          <w:tcPr>
            <w:tcW w:w="1560" w:type="dxa"/>
            <w:vAlign w:val="bottom"/>
          </w:tcPr>
          <w:p>
            <w:pPr>
              <w:jc w:val="right"/>
              <w:ind w:right="195"/>
              <w:spacing w:after="0"/>
              <w:rPr>
                <w:sz w:val="20"/>
                <w:szCs w:val="20"/>
                <w:color w:val="auto"/>
              </w:rPr>
            </w:pPr>
            <w:r>
              <w:rPr>
                <w:rFonts w:ascii="Arial" w:cs="Arial" w:eastAsia="Arial" w:hAnsi="Arial"/>
                <w:sz w:val="18"/>
                <w:szCs w:val="18"/>
                <w:color w:val="auto"/>
              </w:rPr>
              <w:t>, 2020</w:t>
            </w:r>
          </w:p>
        </w:tc>
      </w:tr>
      <w:tr>
        <w:trPr>
          <w:trHeight w:val="41"/>
        </w:trPr>
        <w:tc>
          <w:tcPr>
            <w:tcW w:w="24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60" w:type="dxa"/>
            <w:vAlign w:val="bottom"/>
          </w:tcPr>
          <w:p>
            <w:pPr>
              <w:spacing w:after="0"/>
              <w:rPr>
                <w:sz w:val="3"/>
                <w:szCs w:val="3"/>
                <w:color w:val="auto"/>
              </w:rPr>
            </w:pPr>
          </w:p>
        </w:tc>
      </w:tr>
      <w:tr>
        <w:trPr>
          <w:trHeight w:val="237"/>
        </w:trPr>
        <w:tc>
          <w:tcPr>
            <w:tcW w:w="2460" w:type="dxa"/>
            <w:vAlign w:val="bottom"/>
          </w:tcPr>
          <w:p>
            <w:pPr>
              <w:spacing w:after="0"/>
              <w:rPr>
                <w:sz w:val="20"/>
                <w:szCs w:val="20"/>
                <w:color w:val="auto"/>
              </w:rPr>
            </w:pPr>
            <w:r>
              <w:rPr>
                <w:rFonts w:ascii="Arial" w:cs="Arial" w:eastAsia="Arial" w:hAnsi="Arial"/>
                <w:sz w:val="18"/>
                <w:szCs w:val="18"/>
                <w:color w:val="auto"/>
              </w:rPr>
              <w:t>Eli Casdin</w:t>
            </w:r>
          </w:p>
        </w:tc>
        <w:tc>
          <w:tcPr>
            <w:tcW w:w="4080" w:type="dxa"/>
            <w:vAlign w:val="bottom"/>
            <w:gridSpan w:val="3"/>
          </w:tcPr>
          <w:p>
            <w:pPr>
              <w:ind w:left="80"/>
              <w:spacing w:after="0"/>
              <w:rPr>
                <w:sz w:val="20"/>
                <w:szCs w:val="20"/>
                <w:color w:val="auto"/>
              </w:rPr>
            </w:pPr>
            <w:r>
              <w:rPr>
                <w:rFonts w:ascii="Arial" w:cs="Arial" w:eastAsia="Arial" w:hAnsi="Arial"/>
                <w:sz w:val="18"/>
                <w:szCs w:val="18"/>
                <w:color w:val="auto"/>
              </w:rPr>
              <w:t>(Principal Executive Officer)</w:t>
            </w:r>
          </w:p>
        </w:tc>
        <w:tc>
          <w:tcPr>
            <w:tcW w:w="1560" w:type="dxa"/>
            <w:vAlign w:val="bottom"/>
          </w:tcPr>
          <w:p>
            <w:pPr>
              <w:spacing w:after="0"/>
              <w:rPr>
                <w:sz w:val="20"/>
                <w:szCs w:val="20"/>
                <w:color w:val="auto"/>
              </w:rPr>
            </w:pPr>
          </w:p>
        </w:tc>
      </w:tr>
      <w:tr>
        <w:trPr>
          <w:trHeight w:val="378"/>
        </w:trPr>
        <w:tc>
          <w:tcPr>
            <w:tcW w:w="2460" w:type="dxa"/>
            <w:vAlign w:val="bottom"/>
          </w:tcPr>
          <w:p>
            <w:pPr>
              <w:spacing w:after="0"/>
              <w:rPr>
                <w:sz w:val="24"/>
                <w:szCs w:val="24"/>
                <w:color w:val="auto"/>
              </w:rPr>
            </w:pPr>
          </w:p>
        </w:tc>
        <w:tc>
          <w:tcPr>
            <w:tcW w:w="4080" w:type="dxa"/>
            <w:vAlign w:val="bottom"/>
            <w:gridSpan w:val="3"/>
          </w:tcPr>
          <w:p>
            <w:pPr>
              <w:ind w:left="80"/>
              <w:spacing w:after="0"/>
              <w:rPr>
                <w:sz w:val="20"/>
                <w:szCs w:val="20"/>
                <w:color w:val="auto"/>
              </w:rPr>
            </w:pPr>
            <w:r>
              <w:rPr>
                <w:rFonts w:ascii="Arial" w:cs="Arial" w:eastAsia="Arial" w:hAnsi="Arial"/>
                <w:sz w:val="18"/>
                <w:szCs w:val="18"/>
                <w:color w:val="auto"/>
              </w:rPr>
              <w:t>Chief Financial Officer and Secretary</w:t>
            </w:r>
          </w:p>
        </w:tc>
        <w:tc>
          <w:tcPr>
            <w:tcW w:w="1560" w:type="dxa"/>
            <w:vAlign w:val="bottom"/>
          </w:tcPr>
          <w:p>
            <w:pPr>
              <w:jc w:val="right"/>
              <w:ind w:right="195"/>
              <w:spacing w:after="0"/>
              <w:rPr>
                <w:sz w:val="20"/>
                <w:szCs w:val="20"/>
                <w:color w:val="auto"/>
              </w:rPr>
            </w:pPr>
            <w:r>
              <w:rPr>
                <w:rFonts w:ascii="Arial" w:cs="Arial" w:eastAsia="Arial" w:hAnsi="Arial"/>
                <w:sz w:val="18"/>
                <w:szCs w:val="18"/>
                <w:color w:val="auto"/>
              </w:rPr>
              <w:t>, 2020</w:t>
            </w:r>
          </w:p>
        </w:tc>
      </w:tr>
      <w:tr>
        <w:trPr>
          <w:trHeight w:val="40"/>
        </w:trPr>
        <w:tc>
          <w:tcPr>
            <w:tcW w:w="24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60" w:type="dxa"/>
            <w:vAlign w:val="bottom"/>
          </w:tcPr>
          <w:p>
            <w:pPr>
              <w:spacing w:after="0"/>
              <w:rPr>
                <w:sz w:val="3"/>
                <w:szCs w:val="3"/>
                <w:color w:val="auto"/>
              </w:rPr>
            </w:pPr>
          </w:p>
        </w:tc>
      </w:tr>
      <w:tr>
        <w:trPr>
          <w:trHeight w:val="237"/>
        </w:trPr>
        <w:tc>
          <w:tcPr>
            <w:tcW w:w="2460" w:type="dxa"/>
            <w:vAlign w:val="bottom"/>
          </w:tcPr>
          <w:p>
            <w:pPr>
              <w:spacing w:after="0"/>
              <w:rPr>
                <w:sz w:val="20"/>
                <w:szCs w:val="20"/>
                <w:color w:val="auto"/>
              </w:rPr>
            </w:pPr>
            <w:r>
              <w:rPr>
                <w:rFonts w:ascii="Arial" w:cs="Arial" w:eastAsia="Arial" w:hAnsi="Arial"/>
                <w:sz w:val="18"/>
                <w:szCs w:val="18"/>
                <w:color w:val="auto"/>
              </w:rPr>
              <w:t>Brian Emes</w:t>
            </w:r>
          </w:p>
        </w:tc>
        <w:tc>
          <w:tcPr>
            <w:tcW w:w="4080" w:type="dxa"/>
            <w:vAlign w:val="bottom"/>
            <w:gridSpan w:val="3"/>
          </w:tcPr>
          <w:p>
            <w:pPr>
              <w:ind w:left="80"/>
              <w:spacing w:after="0"/>
              <w:rPr>
                <w:sz w:val="20"/>
                <w:szCs w:val="20"/>
                <w:color w:val="auto"/>
              </w:rPr>
            </w:pPr>
            <w:r>
              <w:rPr>
                <w:rFonts w:ascii="Arial" w:cs="Arial" w:eastAsia="Arial" w:hAnsi="Arial"/>
                <w:sz w:val="18"/>
                <w:szCs w:val="18"/>
                <w:color w:val="auto"/>
              </w:rPr>
              <w:t>(Principal Financial and Accounting Officer)</w:t>
            </w:r>
          </w:p>
        </w:tc>
        <w:tc>
          <w:tcPr>
            <w:tcW w:w="1560" w:type="dxa"/>
            <w:vAlign w:val="bottom"/>
          </w:tcPr>
          <w:p>
            <w:pPr>
              <w:spacing w:after="0"/>
              <w:rPr>
                <w:sz w:val="20"/>
                <w:szCs w:val="20"/>
                <w:color w:val="auto"/>
              </w:rPr>
            </w:pPr>
          </w:p>
        </w:tc>
      </w:tr>
      <w:tr>
        <w:trPr>
          <w:trHeight w:val="378"/>
        </w:trPr>
        <w:tc>
          <w:tcPr>
            <w:tcW w:w="2460" w:type="dxa"/>
            <w:vAlign w:val="bottom"/>
          </w:tcPr>
          <w:p>
            <w:pPr>
              <w:spacing w:after="0"/>
              <w:rPr>
                <w:sz w:val="24"/>
                <w:szCs w:val="24"/>
                <w:color w:val="auto"/>
              </w:rPr>
            </w:pPr>
          </w:p>
        </w:tc>
        <w:tc>
          <w:tcPr>
            <w:tcW w:w="4080" w:type="dxa"/>
            <w:vAlign w:val="bottom"/>
            <w:gridSpan w:val="3"/>
          </w:tcPr>
          <w:p>
            <w:pPr>
              <w:ind w:left="80"/>
              <w:spacing w:after="0"/>
              <w:rPr>
                <w:sz w:val="20"/>
                <w:szCs w:val="20"/>
                <w:color w:val="auto"/>
              </w:rPr>
            </w:pPr>
            <w:r>
              <w:rPr>
                <w:rFonts w:ascii="Arial" w:cs="Arial" w:eastAsia="Arial" w:hAnsi="Arial"/>
                <w:sz w:val="18"/>
                <w:szCs w:val="18"/>
                <w:color w:val="auto"/>
              </w:rPr>
              <w:t>Chairman of the Board</w:t>
            </w:r>
          </w:p>
        </w:tc>
        <w:tc>
          <w:tcPr>
            <w:tcW w:w="1560" w:type="dxa"/>
            <w:vAlign w:val="bottom"/>
          </w:tcPr>
          <w:p>
            <w:pPr>
              <w:jc w:val="right"/>
              <w:ind w:right="195"/>
              <w:spacing w:after="0"/>
              <w:rPr>
                <w:sz w:val="20"/>
                <w:szCs w:val="20"/>
                <w:color w:val="auto"/>
              </w:rPr>
            </w:pPr>
            <w:r>
              <w:rPr>
                <w:rFonts w:ascii="Arial" w:cs="Arial" w:eastAsia="Arial" w:hAnsi="Arial"/>
                <w:sz w:val="18"/>
                <w:szCs w:val="18"/>
                <w:color w:val="auto"/>
              </w:rPr>
              <w:t>, 2020</w:t>
            </w:r>
          </w:p>
        </w:tc>
      </w:tr>
      <w:tr>
        <w:trPr>
          <w:trHeight w:val="40"/>
        </w:trPr>
        <w:tc>
          <w:tcPr>
            <w:tcW w:w="24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60" w:type="dxa"/>
            <w:vAlign w:val="bottom"/>
          </w:tcPr>
          <w:p>
            <w:pPr>
              <w:spacing w:after="0"/>
              <w:rPr>
                <w:sz w:val="3"/>
                <w:szCs w:val="3"/>
                <w:color w:val="auto"/>
              </w:rPr>
            </w:pPr>
          </w:p>
        </w:tc>
      </w:tr>
      <w:tr>
        <w:trPr>
          <w:trHeight w:val="236"/>
        </w:trPr>
        <w:tc>
          <w:tcPr>
            <w:tcW w:w="2460" w:type="dxa"/>
            <w:vAlign w:val="bottom"/>
          </w:tcPr>
          <w:p>
            <w:pPr>
              <w:spacing w:after="0"/>
              <w:rPr>
                <w:sz w:val="20"/>
                <w:szCs w:val="20"/>
                <w:color w:val="auto"/>
              </w:rPr>
            </w:pPr>
            <w:r>
              <w:rPr>
                <w:rFonts w:ascii="Arial" w:cs="Arial" w:eastAsia="Arial" w:hAnsi="Arial"/>
                <w:sz w:val="18"/>
                <w:szCs w:val="18"/>
                <w:color w:val="auto"/>
              </w:rPr>
              <w:t>Keith Meister</w:t>
            </w:r>
          </w:p>
        </w:tc>
        <w:tc>
          <w:tcPr>
            <w:tcW w:w="8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sectPr>
      <w:pgSz w:w="11900" w:h="16838" w:orient="portrait"/>
      <w:cols w:equalWidth="0" w:num="1">
        <w:col w:w="9019"/>
      </w:cols>
      <w:pgMar w:left="1440" w:top="33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FFF902"/>
    <w:multiLevelType w:val="hybridMultilevel"/>
    <w:lvl w:ilvl="0">
      <w:lvlJc w:val="left"/>
      <w:lvlText w:val="(%1)"/>
      <w:numFmt w:val="decimal"/>
      <w:start w:val="1"/>
    </w:lvl>
  </w:abstractNum>
  <w:abstractNum w:abstractNumId="1">
    <w:nsid w:val="684A481A"/>
    <w:multiLevelType w:val="hybridMultilevel"/>
    <w:lvl w:ilvl="0">
      <w:lvlJc w:val="left"/>
      <w:lvlText w:val="(%1)"/>
      <w:numFmt w:val="decimal"/>
      <w:start w:val="1"/>
    </w:lvl>
  </w:abstractNum>
  <w:abstractNum w:abstractNumId="2">
    <w:nsid w:val="579478FE"/>
    <w:multiLevelType w:val="hybridMultilevel"/>
    <w:lvl w:ilvl="0">
      <w:lvlJc w:val="left"/>
      <w:lvlText w:val="•"/>
      <w:numFmt w:val="bullet"/>
      <w:start w:val="1"/>
    </w:lvl>
  </w:abstractNum>
  <w:abstractNum w:abstractNumId="3">
    <w:nsid w:val="749ABB43"/>
    <w:multiLevelType w:val="hybridMultilevel"/>
    <w:lvl w:ilvl="0">
      <w:lvlJc w:val="left"/>
      <w:lvlText w:val="•"/>
      <w:numFmt w:val="bullet"/>
      <w:start w:val="1"/>
    </w:lvl>
  </w:abstractNum>
  <w:abstractNum w:abstractNumId="4">
    <w:nsid w:val="3DC240FB"/>
    <w:multiLevelType w:val="hybridMultilevel"/>
    <w:lvl w:ilvl="0">
      <w:lvlJc w:val="left"/>
      <w:lvlText w:val="•"/>
      <w:numFmt w:val="bullet"/>
      <w:start w:val="1"/>
    </w:lvl>
  </w:abstractNum>
  <w:abstractNum w:abstractNumId="5">
    <w:nsid w:val="1BA026FA"/>
    <w:multiLevelType w:val="hybridMultilevel"/>
    <w:lvl w:ilvl="0">
      <w:lvlJc w:val="left"/>
      <w:lvlText w:val="(%1)"/>
      <w:numFmt w:val="lowerLetter"/>
      <w:start w:val="1"/>
    </w:lvl>
  </w:abstractNum>
  <w:abstractNum w:abstractNumId="6">
    <w:nsid w:val="79A1DEAA"/>
    <w:multiLevelType w:val="hybridMultilevel"/>
    <w:lvl w:ilvl="0">
      <w:lvlJc w:val="left"/>
      <w:lvlText w:val="(%1)"/>
      <w:numFmt w:val="decimal"/>
      <w:start w:val="2"/>
    </w:lvl>
  </w:abstractNum>
  <w:abstractNum w:abstractNumId="7">
    <w:nsid w:val="75C6C33A"/>
    <w:multiLevelType w:val="hybridMultilevel"/>
    <w:lvl w:ilvl="0">
      <w:lvlJc w:val="left"/>
      <w:lvlText w:val="•"/>
      <w:numFmt w:val="bullet"/>
      <w:start w:val="1"/>
    </w:lvl>
  </w:abstractNum>
  <w:abstractNum w:abstractNumId="8">
    <w:nsid w:val="12E685FB"/>
    <w:multiLevelType w:val="hybridMultilevel"/>
    <w:lvl w:ilvl="0">
      <w:lvlJc w:val="left"/>
      <w:lvlText w:val="(%1)"/>
      <w:numFmt w:val="decimal"/>
      <w:start w:val="1"/>
    </w:lvl>
  </w:abstractNum>
  <w:abstractNum w:abstractNumId="9">
    <w:nsid w:val="70C6A529"/>
    <w:multiLevelType w:val="hybridMultilevel"/>
    <w:lvl w:ilvl="0">
      <w:lvlJc w:val="left"/>
      <w:lvlText w:val="•"/>
      <w:numFmt w:val="bullet"/>
      <w:start w:val="1"/>
    </w:lvl>
  </w:abstractNum>
  <w:abstractNum w:abstractNumId="10">
    <w:nsid w:val="520EEDD1"/>
    <w:multiLevelType w:val="hybridMultilevel"/>
    <w:lvl w:ilvl="0">
      <w:lvlJc w:val="left"/>
      <w:lvlText w:val="•"/>
      <w:numFmt w:val="bullet"/>
      <w:start w:val="1"/>
    </w:lvl>
  </w:abstractNum>
  <w:abstractNum w:abstractNumId="11">
    <w:nsid w:val="374A3FE6"/>
    <w:multiLevelType w:val="hybridMultilevel"/>
    <w:lvl w:ilvl="0">
      <w:lvlJc w:val="left"/>
      <w:lvlText w:val="•"/>
      <w:numFmt w:val="bullet"/>
      <w:start w:val="1"/>
    </w:lvl>
  </w:abstractNum>
  <w:abstractNum w:abstractNumId="12">
    <w:nsid w:val="4F4EF005"/>
    <w:multiLevelType w:val="hybridMultilevel"/>
    <w:lvl w:ilvl="0">
      <w:lvlJc w:val="left"/>
      <w:lvlText w:val="•"/>
      <w:numFmt w:val="bullet"/>
      <w:start w:val="1"/>
    </w:lvl>
  </w:abstractNum>
  <w:abstractNum w:abstractNumId="13">
    <w:nsid w:val="23F9C13C"/>
    <w:multiLevelType w:val="hybridMultilevel"/>
    <w:lvl w:ilvl="0">
      <w:lvlJc w:val="left"/>
      <w:lvlText w:val="•"/>
      <w:numFmt w:val="bullet"/>
      <w:start w:val="1"/>
    </w:lvl>
  </w:abstractNum>
  <w:abstractNum w:abstractNumId="14">
    <w:nsid w:val="649BB77C"/>
    <w:multiLevelType w:val="hybridMultilevel"/>
    <w:lvl w:ilvl="0">
      <w:lvlJc w:val="left"/>
      <w:lvlText w:val="(%1)"/>
      <w:numFmt w:val="lowerRoman"/>
      <w:start w:val="3"/>
    </w:lvl>
  </w:abstractNum>
  <w:abstractNum w:abstractNumId="15">
    <w:nsid w:val="275AC794"/>
    <w:multiLevelType w:val="hybridMultilevel"/>
    <w:lvl w:ilvl="0">
      <w:lvlJc w:val="left"/>
      <w:lvlText w:val="•"/>
      <w:numFmt w:val="bullet"/>
      <w:start w:val="1"/>
    </w:lvl>
  </w:abstractNum>
  <w:abstractNum w:abstractNumId="16">
    <w:nsid w:val="39386575"/>
    <w:multiLevelType w:val="hybridMultilevel"/>
    <w:lvl w:ilvl="0">
      <w:lvlJc w:val="left"/>
      <w:lvlText w:val="•"/>
      <w:numFmt w:val="bullet"/>
      <w:start w:val="1"/>
    </w:lvl>
  </w:abstractNum>
  <w:abstractNum w:abstractNumId="17">
    <w:nsid w:val="1CF10FD8"/>
    <w:multiLevelType w:val="hybridMultilevel"/>
    <w:lvl w:ilvl="0">
      <w:lvlJc w:val="left"/>
      <w:lvlText w:val="(%1)"/>
      <w:numFmt w:val="lowerRoman"/>
      <w:start w:val="1"/>
    </w:lvl>
  </w:abstractNum>
  <w:abstractNum w:abstractNumId="18">
    <w:nsid w:val="180115BE"/>
    <w:multiLevelType w:val="hybridMultilevel"/>
    <w:lvl w:ilvl="0">
      <w:lvlJc w:val="left"/>
      <w:lvlText w:val="•"/>
      <w:numFmt w:val="bullet"/>
      <w:start w:val="1"/>
    </w:lvl>
  </w:abstractNum>
  <w:abstractNum w:abstractNumId="19">
    <w:nsid w:val="235BA861"/>
    <w:multiLevelType w:val="hybridMultilevel"/>
    <w:lvl w:ilvl="0">
      <w:lvlJc w:val="left"/>
      <w:lvlText w:val="•"/>
      <w:numFmt w:val="bullet"/>
      <w:start w:val="1"/>
    </w:lvl>
  </w:abstractNum>
  <w:abstractNum w:abstractNumId="20">
    <w:nsid w:val="47398C89"/>
    <w:multiLevelType w:val="hybridMultilevel"/>
    <w:lvl w:ilvl="0">
      <w:lvlJc w:val="left"/>
      <w:lvlText w:val="(%1)"/>
      <w:numFmt w:val="lowerRoman"/>
      <w:start w:val="2"/>
    </w:lvl>
  </w:abstractNum>
  <w:abstractNum w:abstractNumId="21">
    <w:nsid w:val="354FE9F9"/>
    <w:multiLevelType w:val="hybridMultilevel"/>
    <w:lvl w:ilvl="0">
      <w:lvlJc w:val="left"/>
      <w:lvlText w:val="•"/>
      <w:numFmt w:val="bullet"/>
      <w:start w:val="1"/>
    </w:lvl>
  </w:abstractNum>
  <w:abstractNum w:abstractNumId="22">
    <w:nsid w:val="15B5AF5C"/>
    <w:multiLevelType w:val="hybridMultilevel"/>
    <w:lvl w:ilvl="0">
      <w:lvlJc w:val="left"/>
      <w:lvlText w:val="•"/>
      <w:numFmt w:val="bullet"/>
      <w:start w:val="1"/>
    </w:lvl>
  </w:abstractNum>
  <w:abstractNum w:abstractNumId="23">
    <w:nsid w:val="741226BB"/>
    <w:multiLevelType w:val="hybridMultilevel"/>
    <w:lvl w:ilvl="0">
      <w:lvlJc w:val="left"/>
      <w:lvlText w:val="•"/>
      <w:numFmt w:val="bullet"/>
      <w:start w:val="1"/>
    </w:lvl>
  </w:abstractNum>
  <w:abstractNum w:abstractNumId="24">
    <w:nsid w:val="D34B6A8"/>
    <w:multiLevelType w:val="hybridMultilevel"/>
    <w:lvl w:ilvl="0">
      <w:lvlJc w:val="left"/>
      <w:lvlText w:val="(%1)"/>
      <w:numFmt w:val="lowerRoman"/>
      <w:start w:val="2"/>
    </w:lvl>
  </w:abstractNum>
  <w:abstractNum w:abstractNumId="25">
    <w:nsid w:val="10233C99"/>
    <w:multiLevelType w:val="hybridMultilevel"/>
    <w:lvl w:ilvl="0">
      <w:lvlJc w:val="left"/>
      <w:lvlText w:val="•"/>
      <w:numFmt w:val="bullet"/>
      <w:start w:val="1"/>
    </w:lvl>
  </w:abstractNum>
  <w:abstractNum w:abstractNumId="26">
    <w:nsid w:val="3F6AB60F"/>
    <w:multiLevelType w:val="hybridMultilevel"/>
    <w:lvl w:ilvl="0">
      <w:lvlJc w:val="left"/>
      <w:lvlText w:val="(%1)"/>
      <w:numFmt w:val="lowerRoman"/>
      <w:start w:val="2"/>
    </w:lvl>
  </w:abstractNum>
  <w:abstractNum w:abstractNumId="27">
    <w:nsid w:val="61574095"/>
    <w:multiLevelType w:val="hybridMultilevel"/>
    <w:lvl w:ilvl="0">
      <w:lvlJc w:val="left"/>
      <w:lvlText w:val="•"/>
      <w:numFmt w:val="bullet"/>
      <w:start w:val="1"/>
    </w:lvl>
  </w:abstractNum>
  <w:abstractNum w:abstractNumId="28">
    <w:nsid w:val="7E0C57B1"/>
    <w:multiLevelType w:val="hybridMultilevel"/>
    <w:lvl w:ilvl="0">
      <w:lvlJc w:val="left"/>
      <w:lvlText w:val="•"/>
      <w:numFmt w:val="bullet"/>
      <w:start w:val="1"/>
    </w:lvl>
  </w:abstractNum>
  <w:abstractNum w:abstractNumId="29">
    <w:nsid w:val="77AE35EB"/>
    <w:multiLevelType w:val="hybridMultilevel"/>
    <w:lvl w:ilvl="0">
      <w:lvlJc w:val="left"/>
      <w:lvlText w:val="(%1)"/>
      <w:numFmt w:val="decimal"/>
      <w:start w:val="1"/>
    </w:lvl>
  </w:abstractNum>
  <w:abstractNum w:abstractNumId="30">
    <w:nsid w:val="579BE4F1"/>
    <w:multiLevelType w:val="hybridMultilevel"/>
    <w:lvl w:ilvl="0">
      <w:lvlJc w:val="left"/>
      <w:lvlText w:val="(%1)"/>
      <w:numFmt w:val="decimal"/>
      <w:start w:val="3"/>
    </w:lvl>
  </w:abstractNum>
  <w:abstractNum w:abstractNumId="31">
    <w:nsid w:val="310C50B3"/>
    <w:multiLevelType w:val="hybridMultilevel"/>
    <w:lvl w:ilvl="0">
      <w:lvlJc w:val="left"/>
      <w:lvlText w:val="(%1)"/>
      <w:numFmt w:val="lowerLetter"/>
      <w:start w:val="1"/>
    </w:lvl>
  </w:abstractNum>
  <w:abstractNum w:abstractNumId="32">
    <w:nsid w:val="5FF87E05"/>
    <w:multiLevelType w:val="hybridMultilevel"/>
    <w:lvl w:ilvl="0">
      <w:lvlJc w:val="left"/>
      <w:lvlText w:val="(%1)"/>
      <w:numFmt w:val="decimal"/>
      <w:start w:val="1"/>
    </w:lvl>
  </w:abstractNum>
  <w:abstractNum w:abstractNumId="33">
    <w:nsid w:val="2F305DEF"/>
    <w:multiLevelType w:val="hybridMultilevel"/>
    <w:lvl w:ilvl="0">
      <w:lvlJc w:val="left"/>
      <w:lvlText w:val="(%1)"/>
      <w:numFmt w:val="decimal"/>
      <w:start w:val="1"/>
    </w:lvl>
  </w:abstractNum>
  <w:abstractNum w:abstractNumId="34">
    <w:nsid w:val="25A70BF7"/>
    <w:multiLevelType w:val="hybridMultilevel"/>
    <w:lvl w:ilvl="0">
      <w:lvlJc w:val="left"/>
      <w:lvlText w:val="(%1)"/>
      <w:numFmt w:val="decimal"/>
      <w:start w:val="1"/>
    </w:lvl>
  </w:abstractNum>
  <w:abstractNum w:abstractNumId="35">
    <w:nsid w:val="1DBABF00"/>
    <w:multiLevelType w:val="hybridMultilevel"/>
    <w:lvl w:ilvl="0">
      <w:lvlJc w:val="left"/>
      <w:lvlText w:val="•"/>
      <w:numFmt w:val="bullet"/>
      <w:start w:val="1"/>
    </w:lvl>
  </w:abstractNum>
  <w:abstractNum w:abstractNumId="36">
    <w:nsid w:val="4AD084E9"/>
    <w:multiLevelType w:val="hybridMultilevel"/>
    <w:lvl w:ilvl="0">
      <w:lvlJc w:val="left"/>
      <w:lvlText w:val="•"/>
      <w:numFmt w:val="bullet"/>
      <w:start w:val="1"/>
    </w:lvl>
  </w:abstractNum>
  <w:abstractNum w:abstractNumId="37">
    <w:nsid w:val="1F48EAA1"/>
    <w:multiLevelType w:val="hybridMultilevel"/>
    <w:lvl w:ilvl="0">
      <w:lvlJc w:val="left"/>
      <w:lvlText w:val="•"/>
      <w:numFmt w:val="bullet"/>
      <w:start w:val="1"/>
    </w:lvl>
  </w:abstractNum>
  <w:abstractNum w:abstractNumId="38">
    <w:nsid w:val="1381823A"/>
    <w:multiLevelType w:val="hybridMultilevel"/>
    <w:lvl w:ilvl="0">
      <w:lvlJc w:val="left"/>
      <w:lvlText w:val="(%1)"/>
      <w:numFmt w:val="lowerRoman"/>
      <w:start w:val="2"/>
    </w:lvl>
  </w:abstractNum>
  <w:abstractNum w:abstractNumId="39">
    <w:nsid w:val="5DB70AE5"/>
    <w:multiLevelType w:val="hybridMultilevel"/>
    <w:lvl w:ilvl="0">
      <w:lvlJc w:val="left"/>
      <w:lvlText w:val="•"/>
      <w:numFmt w:val="bullet"/>
      <w:start w:val="1"/>
    </w:lvl>
  </w:abstractNum>
  <w:abstractNum w:abstractNumId="40">
    <w:nsid w:val="100F8FCA"/>
    <w:multiLevelType w:val="hybridMultilevel"/>
    <w:lvl w:ilvl="0">
      <w:lvlJc w:val="left"/>
      <w:lvlText w:val="•"/>
      <w:numFmt w:val="bullet"/>
      <w:start w:val="1"/>
    </w:lvl>
  </w:abstractNum>
  <w:abstractNum w:abstractNumId="41">
    <w:nsid w:val="6590700B"/>
    <w:multiLevelType w:val="hybridMultilevel"/>
    <w:lvl w:ilvl="0">
      <w:lvlJc w:val="left"/>
      <w:lvlText w:val="•"/>
      <w:numFmt w:val="bullet"/>
      <w:start w:val="1"/>
    </w:lvl>
  </w:abstractNum>
  <w:abstractNum w:abstractNumId="42">
    <w:nsid w:val="15014ACB"/>
    <w:multiLevelType w:val="hybridMultilevel"/>
    <w:lvl w:ilvl="0">
      <w:lvlJc w:val="left"/>
      <w:lvlText w:val="•"/>
      <w:numFmt w:val="bullet"/>
      <w:start w:val="1"/>
    </w:lvl>
  </w:abstractNum>
  <w:abstractNum w:abstractNumId="43">
    <w:nsid w:val="5F5E7FD0"/>
    <w:multiLevelType w:val="hybridMultilevel"/>
    <w:lvl w:ilvl="0">
      <w:lvlJc w:val="left"/>
      <w:lvlText w:val="•"/>
      <w:numFmt w:val="bullet"/>
      <w:start w:val="1"/>
    </w:lvl>
  </w:abstractNum>
  <w:abstractNum w:abstractNumId="44">
    <w:nsid w:val="98A3148"/>
    <w:multiLevelType w:val="hybridMultilevel"/>
    <w:lvl w:ilvl="0">
      <w:lvlJc w:val="left"/>
      <w:lvlText w:val="•"/>
      <w:numFmt w:val="bullet"/>
      <w:start w:val="1"/>
    </w:lvl>
  </w:abstractNum>
  <w:abstractNum w:abstractNumId="45">
    <w:nsid w:val="799D0247"/>
    <w:multiLevelType w:val="hybridMultilevel"/>
    <w:lvl w:ilvl="0">
      <w:lvlJc w:val="left"/>
      <w:lvlText w:val="•"/>
      <w:numFmt w:val="bullet"/>
      <w:start w:val="1"/>
    </w:lvl>
  </w:abstractNum>
  <w:abstractNum w:abstractNumId="46">
    <w:nsid w:val="6B94764"/>
    <w:multiLevelType w:val="hybridMultilevel"/>
    <w:lvl w:ilvl="0">
      <w:lvlJc w:val="left"/>
      <w:lvlText w:val="["/>
      <w:numFmt w:val="bullet"/>
      <w:start w:val="1"/>
    </w:lvl>
  </w:abstractNum>
  <w:abstractNum w:abstractNumId="47">
    <w:nsid w:val="42C296BD"/>
    <w:multiLevelType w:val="hybridMultilevel"/>
    <w:lvl w:ilvl="0">
      <w:lvlJc w:val="left"/>
      <w:lvlText w:val="•"/>
      <w:numFmt w:val="bullet"/>
      <w:start w:val="1"/>
    </w:lvl>
  </w:abstractNum>
  <w:abstractNum w:abstractNumId="48">
    <w:nsid w:val="168E121F"/>
    <w:multiLevelType w:val="hybridMultilevel"/>
    <w:lvl w:ilvl="0">
      <w:lvlJc w:val="left"/>
      <w:lvlText w:val="•"/>
      <w:numFmt w:val="bullet"/>
      <w:start w:val="1"/>
    </w:lvl>
  </w:abstractNum>
  <w:abstractNum w:abstractNumId="49">
    <w:nsid w:val="1EBA5D23"/>
    <w:multiLevelType w:val="hybridMultilevel"/>
    <w:lvl w:ilvl="0">
      <w:lvlJc w:val="left"/>
      <w:lvlText w:val="•"/>
      <w:numFmt w:val="bullet"/>
      <w:start w:val="1"/>
    </w:lvl>
  </w:abstractNum>
  <w:abstractNum w:abstractNumId="50">
    <w:nsid w:val="661E3F1E"/>
    <w:multiLevelType w:val="hybridMultilevel"/>
    <w:lvl w:ilvl="0">
      <w:lvlJc w:val="left"/>
      <w:lvlText w:val="•"/>
      <w:numFmt w:val="bullet"/>
      <w:start w:val="1"/>
    </w:lvl>
  </w:abstractNum>
  <w:abstractNum w:abstractNumId="51">
    <w:nsid w:val="5DC79EA8"/>
    <w:multiLevelType w:val="hybridMultilevel"/>
    <w:lvl w:ilvl="0">
      <w:lvlJc w:val="left"/>
      <w:lvlText w:val="(%1)"/>
      <w:numFmt w:val="decimal"/>
      <w:start w:val="1"/>
    </w:lvl>
  </w:abstractNum>
  <w:abstractNum w:abstractNumId="52">
    <w:nsid w:val="540A471C"/>
    <w:multiLevelType w:val="hybridMultilevel"/>
    <w:lvl w:ilvl="0">
      <w:lvlJc w:val="left"/>
      <w:lvlText w:val="•"/>
      <w:numFmt w:val="bullet"/>
      <w:start w:val="1"/>
    </w:lvl>
  </w:abstractNum>
  <w:abstractNum w:abstractNumId="53">
    <w:nsid w:val="7BD3EE7B"/>
    <w:multiLevelType w:val="hybridMultilevel"/>
    <w:lvl w:ilvl="0">
      <w:lvlJc w:val="left"/>
      <w:lvlText w:val="•"/>
      <w:numFmt w:val="bullet"/>
      <w:start w:val="1"/>
    </w:lvl>
  </w:abstractNum>
  <w:abstractNum w:abstractNumId="54">
    <w:nsid w:val="51D9C564"/>
    <w:multiLevelType w:val="hybridMultilevel"/>
    <w:lvl w:ilvl="0">
      <w:lvlJc w:val="left"/>
      <w:lvlText w:val="•"/>
      <w:numFmt w:val="bullet"/>
      <w:start w:val="1"/>
    </w:lvl>
  </w:abstractNum>
  <w:abstractNum w:abstractNumId="55">
    <w:nsid w:val="613EFDC5"/>
    <w:multiLevelType w:val="hybridMultilevel"/>
    <w:lvl w:ilvl="0">
      <w:lvlJc w:val="left"/>
      <w:lvlText w:val="(%1)"/>
      <w:numFmt w:val="decimal"/>
      <w:start w:val="1"/>
    </w:lvl>
  </w:abstractNum>
  <w:abstractNum w:abstractNumId="56">
    <w:nsid w:val="BF72B14"/>
    <w:multiLevelType w:val="hybridMultilevel"/>
    <w:lvl w:ilvl="0">
      <w:lvlJc w:val="left"/>
      <w:lvlText w:val="(%1)"/>
      <w:numFmt w:val="lowerRoman"/>
      <w:start w:val="1"/>
    </w:lvl>
  </w:abstractNum>
  <w:abstractNum w:abstractNumId="57">
    <w:nsid w:val="11447B73"/>
    <w:multiLevelType w:val="hybridMultilevel"/>
    <w:lvl w:ilvl="0">
      <w:lvlJc w:val="left"/>
      <w:lvlText w:val="•"/>
      <w:numFmt w:val="bullet"/>
      <w:start w:val="1"/>
    </w:lvl>
  </w:abstractNum>
  <w:abstractNum w:abstractNumId="58">
    <w:nsid w:val="42963E5A"/>
    <w:multiLevelType w:val="hybridMultilevel"/>
    <w:lvl w:ilvl="0">
      <w:lvlJc w:val="left"/>
      <w:lvlText w:val="(%1)"/>
      <w:numFmt w:val="upperLetter"/>
      <w:start w:val="1"/>
    </w:lvl>
  </w:abstractNum>
  <w:abstractNum w:abstractNumId="59">
    <w:nsid w:val="A0382C5"/>
    <w:multiLevelType w:val="hybridMultilevel"/>
    <w:lvl w:ilvl="0">
      <w:lvlJc w:val="left"/>
      <w:lvlText w:val="•"/>
      <w:numFmt w:val="bullet"/>
      <w:start w:val="1"/>
    </w:lvl>
  </w:abstractNum>
  <w:abstractNum w:abstractNumId="60">
    <w:nsid w:val="8F2B15E"/>
    <w:multiLevelType w:val="hybridMultilevel"/>
    <w:lvl w:ilvl="0">
      <w:lvlJc w:val="left"/>
      <w:lvlText w:val="•"/>
      <w:numFmt w:val="bullet"/>
      <w:start w:val="1"/>
    </w:lvl>
  </w:abstractNum>
  <w:abstractNum w:abstractNumId="61">
    <w:nsid w:val="1A32234B"/>
    <w:multiLevelType w:val="hybridMultilevel"/>
    <w:lvl w:ilvl="0">
      <w:lvlJc w:val="left"/>
      <w:lvlText w:val="•"/>
      <w:numFmt w:val="bullet"/>
      <w:start w:val="1"/>
    </w:lvl>
    <w:lvl w:ilvl="1">
      <w:lvlJc w:val="left"/>
      <w:lvlText w:val="(%2)"/>
      <w:numFmt w:val="lowerLetter"/>
      <w:start w:val="35"/>
    </w:lvl>
  </w:abstractNum>
  <w:abstractNum w:abstractNumId="62">
    <w:nsid w:val="3B0FD379"/>
    <w:multiLevelType w:val="hybridMultilevel"/>
    <w:lvl w:ilvl="0">
      <w:lvlJc w:val="left"/>
      <w:lvlText w:val="•"/>
      <w:numFmt w:val="bullet"/>
      <w:start w:val="1"/>
    </w:lvl>
    <w:lvl w:ilvl="1">
      <w:lvlJc w:val="left"/>
      <w:lvlText w:val="(%2)"/>
      <w:numFmt w:val="lowerLetter"/>
      <w:start w:val="25"/>
    </w:lvl>
  </w:abstractNum>
  <w:abstractNum w:abstractNumId="63">
    <w:nsid w:val="68EB2F63"/>
    <w:multiLevelType w:val="hybridMultilevel"/>
    <w:lvl w:ilvl="0">
      <w:lvlJc w:val="left"/>
      <w:lvlText w:val="•"/>
      <w:numFmt w:val="bullet"/>
      <w:start w:val="1"/>
    </w:lvl>
  </w:abstractNum>
  <w:abstractNum w:abstractNumId="64">
    <w:nsid w:val="4962813B"/>
    <w:multiLevelType w:val="hybridMultilevel"/>
    <w:lvl w:ilvl="0">
      <w:lvlJc w:val="left"/>
      <w:lvlText w:val="•"/>
      <w:numFmt w:val="bullet"/>
      <w:start w:val="1"/>
    </w:lvl>
  </w:abstractNum>
  <w:abstractNum w:abstractNumId="65">
    <w:nsid w:val="60B6DF70"/>
    <w:multiLevelType w:val="hybridMultilevel"/>
    <w:lvl w:ilvl="0">
      <w:lvlJc w:val="left"/>
      <w:lvlText w:val="•"/>
      <w:numFmt w:val="bullet"/>
      <w:start w:val="1"/>
    </w:lvl>
  </w:abstractNum>
  <w:abstractNum w:abstractNumId="66">
    <w:nsid w:val="6A5EE64"/>
    <w:multiLevelType w:val="hybridMultilevel"/>
    <w:lvl w:ilvl="0">
      <w:lvlJc w:val="left"/>
      <w:lvlText w:val="(%1)"/>
      <w:numFmt w:val="lowerRoman"/>
      <w:start w:val="2"/>
    </w:lvl>
  </w:abstractNum>
  <w:abstractNum w:abstractNumId="67">
    <w:nsid w:val="14330624"/>
    <w:multiLevelType w:val="hybridMultilevel"/>
    <w:lvl w:ilvl="0">
      <w:lvlJc w:val="left"/>
      <w:lvlText w:val="•"/>
      <w:numFmt w:val="bullet"/>
      <w:start w:val="1"/>
    </w:lvl>
  </w:abstractNum>
  <w:abstractNum w:abstractNumId="68">
    <w:nsid w:val="7FFFCA11"/>
    <w:multiLevelType w:val="hybridMultilevel"/>
    <w:lvl w:ilvl="0">
      <w:lvlJc w:val="left"/>
      <w:lvlText w:val="•"/>
      <w:numFmt w:val="bullet"/>
      <w:start w:val="1"/>
    </w:lvl>
  </w:abstractNum>
  <w:abstractNum w:abstractNumId="69">
    <w:nsid w:val="1A27709E"/>
    <w:multiLevelType w:val="hybridMultilevel"/>
    <w:lvl w:ilvl="0">
      <w:lvlJc w:val="left"/>
      <w:lvlText w:val="•"/>
      <w:numFmt w:val="bullet"/>
      <w:start w:val="1"/>
    </w:lvl>
  </w:abstractNum>
  <w:abstractNum w:abstractNumId="70">
    <w:nsid w:val="71EA1109"/>
    <w:multiLevelType w:val="hybridMultilevel"/>
    <w:lvl w:ilvl="0">
      <w:lvlJc w:val="left"/>
      <w:lvlText w:val="•"/>
      <w:numFmt w:val="bullet"/>
      <w:start w:val="1"/>
    </w:lvl>
  </w:abstractNum>
  <w:abstractNum w:abstractNumId="71">
    <w:nsid w:val="100F59DC"/>
    <w:multiLevelType w:val="hybridMultilevel"/>
    <w:lvl w:ilvl="0">
      <w:lvlJc w:val="left"/>
      <w:lvlText w:val="(%1)"/>
      <w:numFmt w:val="lowerRoman"/>
      <w:start w:val="2"/>
    </w:lvl>
  </w:abstractNum>
  <w:abstractNum w:abstractNumId="72">
    <w:nsid w:val="7FB7E0AA"/>
    <w:multiLevelType w:val="hybridMultilevel"/>
    <w:lvl w:ilvl="0">
      <w:lvlJc w:val="left"/>
      <w:lvlText w:val="•"/>
      <w:numFmt w:val="bullet"/>
      <w:start w:val="1"/>
    </w:lvl>
  </w:abstractNum>
  <w:abstractNum w:abstractNumId="73">
    <w:nsid w:val="6EB5BD4"/>
    <w:multiLevelType w:val="hybridMultilevel"/>
    <w:lvl w:ilvl="0">
      <w:lvlJc w:val="left"/>
      <w:lvlText w:val="•"/>
      <w:numFmt w:val="bullet"/>
      <w:start w:val="1"/>
    </w:lvl>
  </w:abstractNum>
  <w:abstractNum w:abstractNumId="74">
    <w:nsid w:val="6F6DD9AC"/>
    <w:multiLevelType w:val="hybridMultilevel"/>
    <w:lvl w:ilvl="0">
      <w:lvlJc w:val="left"/>
      <w:lvlText w:val="\emdash "/>
      <w:numFmt w:val="bullet"/>
      <w:start w:val="1"/>
    </w:lvl>
  </w:abstractNum>
  <w:abstractNum w:abstractNumId="75">
    <w:nsid w:val="94211F2"/>
    <w:multiLevelType w:val="hybridMultilevel"/>
    <w:lvl w:ilvl="0">
      <w:lvlJc w:val="left"/>
      <w:lvlText w:val="(%1)"/>
      <w:numFmt w:val="decimal"/>
      <w:start w:val="1"/>
    </w:lvl>
  </w:abstractNum>
  <w:abstractNum w:abstractNumId="76">
    <w:nsid w:val="885E1B"/>
    <w:multiLevelType w:val="hybridMultilevel"/>
    <w:lvl w:ilvl="0">
      <w:lvlJc w:val="left"/>
      <w:lvlText w:val="(%1)"/>
      <w:numFmt w:val="upperLetter"/>
      <w:start w:val="2"/>
    </w:lvl>
  </w:abstractNum>
  <w:abstractNum w:abstractNumId="77">
    <w:nsid w:val="76272110"/>
    <w:multiLevelType w:val="hybridMultilevel"/>
    <w:lvl w:ilvl="0">
      <w:lvlJc w:val="left"/>
      <w:lvlText w:val="(%1)"/>
      <w:numFmt w:val="lowerLetter"/>
      <w:start w:val="25"/>
    </w:lvl>
  </w:abstractNum>
  <w:abstractNum w:abstractNumId="78">
    <w:nsid w:val="4C04A8AF"/>
    <w:multiLevelType w:val="hybridMultilevel"/>
    <w:lvl w:ilvl="0">
      <w:lvlJc w:val="left"/>
      <w:lvlText w:val="(%1)"/>
      <w:numFmt w:val="lowerLetter"/>
      <w:start w:val="1"/>
    </w:lvl>
  </w:abstractNum>
  <w:abstractNum w:abstractNumId="79">
    <w:nsid w:val="1716703B"/>
    <w:multiLevelType w:val="hybridMultilevel"/>
    <w:lvl w:ilvl="0">
      <w:lvlJc w:val="left"/>
      <w:lvlText w:val="(%1)"/>
      <w:numFmt w:val="lowerLetter"/>
      <w:start w:val="1"/>
    </w:lvl>
  </w:abstractNum>
  <w:abstractNum w:abstractNumId="80">
    <w:nsid w:val="14E17E33"/>
    <w:multiLevelType w:val="hybridMultilevel"/>
    <w:lvl w:ilvl="0">
      <w:lvlJc w:val="left"/>
      <w:lvlText w:val="(%1)"/>
      <w:numFmt w:val="lowerRoman"/>
      <w:start w:val="2"/>
    </w:lvl>
  </w:abstractNum>
  <w:abstractNum w:abstractNumId="81">
    <w:nsid w:val="3222E7CD"/>
    <w:multiLevelType w:val="hybridMultilevel"/>
    <w:lvl w:ilvl="0">
      <w:lvlJc w:val="left"/>
      <w:lvlText w:val="(%1)"/>
      <w:numFmt w:val="lowerRoman"/>
      <w:start w:val="3"/>
    </w:lvl>
  </w:abstractNum>
  <w:abstractNum w:abstractNumId="82">
    <w:nsid w:val="74DE0EE3"/>
    <w:multiLevelType w:val="hybridMultilevel"/>
    <w:lvl w:ilvl="0">
      <w:lvlJc w:val="left"/>
      <w:lvlText w:val="(%1)"/>
      <w:numFmt w:val="lowerLetter"/>
      <w:start w:val="1"/>
    </w:lvl>
    <w:lvl w:ilvl="1">
      <w:lvlJc w:val="left"/>
      <w:lvlText w:val="•"/>
      <w:numFmt w:val="bullet"/>
      <w:start w:val="1"/>
    </w:lvl>
  </w:abstractNum>
  <w:abstractNum w:abstractNumId="83">
    <w:nsid w:val="68EBC550"/>
    <w:multiLevelType w:val="hybridMultilevel"/>
    <w:lvl w:ilvl="0">
      <w:lvlJc w:val="left"/>
      <w:lvlText w:val="(%1)"/>
      <w:numFmt w:val="decimal"/>
      <w:start w:val="1"/>
    </w:lvl>
  </w:abstractNum>
  <w:abstractNum w:abstractNumId="84">
    <w:nsid w:val="2DF6D648"/>
    <w:multiLevelType w:val="hybridMultilevel"/>
    <w:lvl w:ilvl="0">
      <w:lvlJc w:val="left"/>
      <w:lvlText w:val="(%1)"/>
      <w:numFmt w:val="decimal"/>
      <w:start w:val="1"/>
    </w:lvl>
  </w:abstractNum>
  <w:abstractNum w:abstractNumId="85">
    <w:nsid w:val="46B7D447"/>
    <w:multiLevelType w:val="hybridMultilevel"/>
    <w:lvl w:ilvl="0">
      <w:lvlJc w:val="left"/>
      <w:lvlText w:val="(%1)"/>
      <w:numFmt w:val="decimal"/>
      <w:start w:val="1"/>
    </w:lvl>
  </w:abstractNum>
  <w:abstractNum w:abstractNumId="86">
    <w:nsid w:val="4A2AC315"/>
    <w:multiLevelType w:val="hybridMultilevel"/>
    <w:lvl w:ilvl="0">
      <w:lvlJc w:val="left"/>
      <w:lvlText w:val="•"/>
      <w:numFmt w:val="bullet"/>
      <w:start w:val="1"/>
    </w:lvl>
  </w:abstractNum>
  <w:abstractNum w:abstractNumId="87">
    <w:nsid w:val="39EE015C"/>
    <w:multiLevelType w:val="hybridMultilevel"/>
    <w:lvl w:ilvl="0">
      <w:lvlJc w:val="left"/>
      <w:lvlText w:val="•"/>
      <w:numFmt w:val="bullet"/>
      <w:start w:val="1"/>
    </w:lvl>
  </w:abstractNum>
  <w:abstractNum w:abstractNumId="88">
    <w:nsid w:val="57FC4FBB"/>
    <w:multiLevelType w:val="hybridMultilevel"/>
    <w:lvl w:ilvl="0">
      <w:lvlJc w:val="left"/>
      <w:lvlText w:val="(%1)"/>
      <w:numFmt w:val="decimal"/>
      <w:start w:val="1"/>
    </w:lvl>
  </w:abstractNum>
  <w:abstractNum w:abstractNumId="89">
    <w:nsid w:val="CC1016F"/>
    <w:multiLevelType w:val="hybridMultilevel"/>
    <w:lvl w:ilvl="0">
      <w:lvlJc w:val="left"/>
      <w:lvlText w:val="(%1)"/>
      <w:numFmt w:val="lowerLetter"/>
      <w:start w:val="1"/>
    </w:lvl>
  </w:abstractNum>
  <w:abstractNum w:abstractNumId="90">
    <w:nsid w:val="43F18422"/>
    <w:multiLevelType w:val="hybridMultilevel"/>
    <w:lvl w:ilvl="0">
      <w:lvlJc w:val="left"/>
      <w:lvlText w:val="(%1)"/>
      <w:numFmt w:val="lowerLetter"/>
      <w:start w:val="3"/>
    </w:lvl>
  </w:abstractNum>
  <w:abstractNum w:abstractNumId="91">
    <w:nsid w:val="60EF0119"/>
    <w:multiLevelType w:val="hybridMultilevel"/>
    <w:lvl w:ilvl="0">
      <w:lvlJc w:val="left"/>
      <w:lvlText w:val="(%1)"/>
      <w:numFmt w:val="lowerLetter"/>
      <w:start w:val="10"/>
    </w:lvl>
  </w:abstractNum>
  <w:abstractNum w:abstractNumId="92">
    <w:nsid w:val="26F324BA"/>
    <w:multiLevelType w:val="hybridMultilevel"/>
    <w:lvl w:ilvl="0">
      <w:lvlJc w:val="left"/>
      <w:lvlText w:val="(%1)"/>
      <w:numFmt w:val="lowerLetter"/>
      <w:start w:val="1"/>
    </w:lvl>
  </w:abstractNum>
  <w:abstractNum w:abstractNumId="93">
    <w:nsid w:val="7F01579B"/>
    <w:multiLevelType w:val="hybridMultilevel"/>
    <w:lvl w:ilvl="0">
      <w:lvlJc w:val="left"/>
      <w:lvlText w:val="%1"/>
      <w:numFmt w:val="decimal"/>
      <w:start w:val="24"/>
    </w:lvl>
  </w:abstractNum>
  <w:abstractNum w:abstractNumId="94">
    <w:nsid w:val="49DA307D"/>
    <w:multiLevelType w:val="hybridMultilevel"/>
    <w:lvl w:ilvl="0">
      <w:lvlJc w:val="left"/>
      <w:lvlText w:val="*"/>
      <w:numFmt w:val="bullet"/>
      <w:start w:val="1"/>
    </w:lvl>
    <w:lvl w:ilvl="1">
      <w:lvlJc w:val="left"/>
      <w:lvlText w:val="(%2)"/>
      <w:numFmt w:val="lowerLetter"/>
      <w:start w:val="2"/>
    </w:lvl>
  </w:abstractNum>
  <w:abstractNum w:abstractNumId="95">
    <w:nsid w:val="7055A5F5"/>
    <w:multiLevelType w:val="hybridMultilevel"/>
    <w:lvl w:ilvl="0">
      <w:lvlJc w:val="left"/>
      <w:lvlText w:val="(%1)"/>
      <w:numFmt w:val="lowerLetter"/>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2020-08-14T23:05:53Z</dcterms:created>
  <dcterms:modified xsi:type="dcterms:W3CDTF">2020-08-14T23:05:53Z</dcterms:modified>
</cp:coreProperties>
</file>