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12026_080333.xml.htm"/>
      <w:bookmarkStart w:id="1" w:name="ksform403112026_080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48,633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86.748</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44,955</w:t>
            </w:r>
            <w:r>
              <w:rPr>
                <w:rFonts w:ascii="Times;serif" w:hAnsi="Times;serif"/>
                <w:color w:val="008000"/>
                <w:position w:val="7"/>
                <w:sz w:val="16"/>
                <w:sz w:val="20"/>
                <w:shd w:fill="FFFFFF" w:val="clear"/>
              </w:rPr>
              <w:t>(4)</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$86.5585 to $86.75 per share,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reported sale undertaken to satisfy tax withholding liabilities, in addition to the 44,955 shares of Class A Common Stock beneficially owned by the Reporting Person, the Reporting Person beneficially owned RSUs representing contingent rights to receive up to an aggregate of 445,366 shares of Class A Common Stock and options to purchase up to an aggregate of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885</Words>
  <Characters>4693</Characters>
  <CharactersWithSpaces>5500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