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CURRENT REPORT</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18, 2026</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276860</wp:posOffset>
            </wp:positionV>
            <wp:extent cx="164592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GeneDx Holdings Corp.</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262" w:right="359" w:bottom="1440" w:gutter="0" w:footer="0" w:header="0"/>
        </w:sectPr>
      </w:pPr>
    </w:p>
    <w:p>
      <w:pPr>
        <w:spacing w:after="0" w:line="140"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85-1966622</w:t>
      </w:r>
    </w:p>
    <w:p>
      <w:pPr>
        <w:spacing w:after="0" w:line="54" w:lineRule="exact"/>
        <w:rPr>
          <w:sz w:val="24"/>
          <w:szCs w:val="24"/>
          <w:color w:val="auto"/>
        </w:rPr>
      </w:pPr>
    </w:p>
    <w:p>
      <w:pPr>
        <w:sectPr>
          <w:pgSz w:w="11900" w:h="16838" w:orient="portrait"/>
          <w:cols w:equalWidth="0" w:num="2">
            <w:col w:w="7260" w:space="720"/>
            <w:col w:w="3240"/>
          </w:cols>
          <w:pgMar w:left="320" w:top="1262" w:right="35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11" w:lineRule="exact"/>
        <w:rPr>
          <w:sz w:val="24"/>
          <w:szCs w:val="24"/>
          <w:color w:val="auto"/>
        </w:rPr>
      </w:pPr>
    </w:p>
    <w:p>
      <w:pPr>
        <w:sectPr>
          <w:pgSz w:w="11900" w:h="16838" w:orient="portrait"/>
          <w:cols w:equalWidth="0" w:num="2">
            <w:col w:w="6400" w:space="720"/>
            <w:col w:w="4100"/>
          </w:cols>
          <w:pgMar w:left="320" w:top="1262" w:right="35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333 Ludlow Street, North Tower; 6th Floor</w:t>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729-1206</w:t>
      </w:r>
    </w:p>
    <w:p>
      <w:pPr>
        <w:spacing w:after="0" w:line="337"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10"/>
        </w:trPr>
        <w:tc>
          <w:tcPr>
            <w:tcW w:w="40" w:type="dxa"/>
            <w:vAlign w:val="bottom"/>
          </w:tcPr>
          <w:p>
            <w:pPr>
              <w:spacing w:after="0"/>
              <w:rPr>
                <w:sz w:val="24"/>
                <w:szCs w:val="24"/>
                <w:color w:val="auto"/>
              </w:rPr>
            </w:pPr>
          </w:p>
        </w:tc>
        <w:tc>
          <w:tcPr>
            <w:tcW w:w="548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40" w:type="dxa"/>
            <w:vAlign w:val="bottom"/>
          </w:tcPr>
          <w:p>
            <w:pPr>
              <w:spacing w:after="0"/>
              <w:rPr>
                <w:sz w:val="18"/>
                <w:szCs w:val="18"/>
                <w:color w:val="auto"/>
              </w:rPr>
            </w:pPr>
          </w:p>
        </w:tc>
        <w:tc>
          <w:tcPr>
            <w:tcW w:w="5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8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WGS</w:t>
            </w:r>
          </w:p>
        </w:tc>
        <w:tc>
          <w:tcPr>
            <w:tcW w:w="80" w:type="dxa"/>
            <w:vAlign w:val="bottom"/>
          </w:tcPr>
          <w:p>
            <w:pPr>
              <w:spacing w:after="0"/>
              <w:rPr>
                <w:sz w:val="18"/>
                <w:szCs w:val="18"/>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80"/>
        </w:trPr>
        <w:tc>
          <w:tcPr>
            <w:tcW w:w="40" w:type="dxa"/>
            <w:vAlign w:val="bottom"/>
          </w:tcPr>
          <w:p>
            <w:pPr>
              <w:spacing w:after="0"/>
              <w:rPr>
                <w:sz w:val="15"/>
                <w:szCs w:val="15"/>
                <w:color w:val="auto"/>
              </w:rPr>
            </w:pPr>
          </w:p>
        </w:tc>
        <w:tc>
          <w:tcPr>
            <w:tcW w:w="54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Warrants to purchase one share of Class A common stock, each at an</w:t>
            </w:r>
          </w:p>
        </w:tc>
        <w:tc>
          <w:tcPr>
            <w:tcW w:w="166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9"/>
              </w:rPr>
              <w:t>WGSWW</w:t>
            </w:r>
          </w:p>
        </w:tc>
        <w:tc>
          <w:tcPr>
            <w:tcW w:w="40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0" w:type="dxa"/>
            <w:vAlign w:val="bottom"/>
          </w:tcPr>
          <w:p>
            <w:pPr>
              <w:spacing w:after="0"/>
              <w:rPr>
                <w:sz w:val="20"/>
                <w:szCs w:val="20"/>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 of $379.50 per share</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40" w:type="dxa"/>
            <w:vAlign w:val="bottom"/>
          </w:tcPr>
          <w:p>
            <w:pPr>
              <w:spacing w:after="0"/>
              <w:rPr>
                <w:sz w:val="20"/>
                <w:szCs w:val="20"/>
                <w:color w:val="auto"/>
              </w:rPr>
            </w:pPr>
          </w:p>
        </w:tc>
      </w:tr>
    </w:tbl>
    <w:p>
      <w:pPr>
        <w:spacing w:after="0" w:line="247"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2"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2026, GeneDx Holdings Corp., a Delaware corporation (the “Company”), held its Annual Meeting of Stockholders (the “Annual Meeting”). At the Annual Meeting, the Company’s stockholders (the “Stockholders”) considered and voted on the matters listed below. The proposals are described in detail in the Company’s Definitive Proxy Statement on Schedule 14A filed with the Securities and Exchange Commission on April 30, 2026.</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29,675,547 shares of the Class A common stock issued and outstanding on April 20, 2026, the record date for the Annual Meeting. The Stockholders voted on the following proposals at the Annual Meeting, each of which was approved.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voting results from the Annual Meeting are set forth below.</w:t>
      </w:r>
    </w:p>
    <w:p>
      <w:pPr>
        <w:spacing w:after="0" w:line="167" w:lineRule="exact"/>
        <w:rPr>
          <w:sz w:val="20"/>
          <w:szCs w:val="20"/>
          <w:color w:val="auto"/>
        </w:rPr>
      </w:pPr>
    </w:p>
    <w:p>
      <w:pPr>
        <w:jc w:val="both"/>
        <w:ind w:left="660" w:hanging="328"/>
        <w:spacing w:after="0" w:line="268" w:lineRule="auto"/>
        <w:tabs>
          <w:tab w:leader="none" w:pos="65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The Class II Director Election Proposal </w:t>
      </w:r>
      <w:r>
        <w:rPr>
          <w:rFonts w:ascii="Times New Roman" w:cs="Times New Roman" w:eastAsia="Times New Roman" w:hAnsi="Times New Roman"/>
          <w:sz w:val="18"/>
          <w:szCs w:val="18"/>
          <w:color w:val="auto"/>
        </w:rPr>
        <w:t>— To elect one Class II director of the Company, to serve a three-year term expiring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Company’s 2029 annual meeting of stockholders and until such director’s successor is duly elected and qualified or until such director’s earlier death, resignation, disqualification or removal:</w:t>
      </w:r>
    </w:p>
    <w:p>
      <w:pPr>
        <w:spacing w:after="0" w:line="157" w:lineRule="exact"/>
        <w:rPr>
          <w:sz w:val="20"/>
          <w:szCs w:val="20"/>
          <w:color w:val="auto"/>
        </w:rPr>
      </w:pPr>
    </w:p>
    <w:tbl>
      <w:tblPr>
        <w:tblLayout w:type="fixed"/>
        <w:tblInd w:w="1620" w:type="dxa"/>
        <w:tblCellMar>
          <w:top w:w="0" w:type="dxa"/>
          <w:left w:w="0" w:type="dxa"/>
          <w:bottom w:w="0" w:type="dxa"/>
          <w:right w:w="0" w:type="dxa"/>
        </w:tblCellMar>
      </w:tblPr>
      <w:tr>
        <w:trPr>
          <w:trHeight w:val="238"/>
        </w:trPr>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Katherine Stueland</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18,325,894</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5,893,466</w:t>
            </w:r>
          </w:p>
        </w:tc>
        <w:tc>
          <w:tcPr>
            <w:tcW w:w="8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3,409,327</w:t>
            </w:r>
          </w:p>
        </w:tc>
      </w:tr>
    </w:tbl>
    <w:p>
      <w:pPr>
        <w:spacing w:after="0" w:line="234" w:lineRule="exact"/>
        <w:rPr>
          <w:sz w:val="20"/>
          <w:szCs w:val="20"/>
          <w:color w:val="auto"/>
        </w:rPr>
      </w:pPr>
    </w:p>
    <w:p>
      <w:pPr>
        <w:ind w:left="660" w:hanging="328"/>
        <w:spacing w:after="0" w:line="286" w:lineRule="auto"/>
        <w:tabs>
          <w:tab w:leader="none" w:pos="65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Auditor Ratification Proposal </w:t>
      </w:r>
      <w:r>
        <w:rPr>
          <w:rFonts w:ascii="Times New Roman" w:cs="Times New Roman" w:eastAsia="Times New Roman" w:hAnsi="Times New Roman"/>
          <w:sz w:val="18"/>
          <w:szCs w:val="18"/>
          <w:color w:val="auto"/>
        </w:rPr>
        <w:t>— To ratify the appointment of Ernst &amp; Young LLP as the Company’s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public accounting firm for the fiscal year ending December 31, 2026:</w:t>
      </w:r>
    </w:p>
    <w:p>
      <w:pPr>
        <w:spacing w:after="0" w:line="141" w:lineRule="exact"/>
        <w:rPr>
          <w:sz w:val="20"/>
          <w:szCs w:val="20"/>
          <w:color w:val="auto"/>
        </w:rPr>
      </w:pPr>
    </w:p>
    <w:tbl>
      <w:tblPr>
        <w:tblLayout w:type="fixed"/>
        <w:tblInd w:w="2640" w:type="dxa"/>
        <w:tblCellMar>
          <w:top w:w="0" w:type="dxa"/>
          <w:left w:w="0" w:type="dxa"/>
          <w:bottom w:w="0" w:type="dxa"/>
          <w:right w:w="0" w:type="dxa"/>
        </w:tblCellMar>
      </w:tblPr>
      <w:tr>
        <w:trPr>
          <w:trHeight w:val="238"/>
        </w:trPr>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23"/>
        </w:trPr>
        <w:tc>
          <w:tcPr>
            <w:tcW w:w="192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27,466,639</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158,884</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3,164</w:t>
            </w:r>
          </w:p>
        </w:tc>
      </w:tr>
    </w:tbl>
    <w:p>
      <w:pPr>
        <w:spacing w:after="0" w:line="302" w:lineRule="exact"/>
        <w:rPr>
          <w:sz w:val="20"/>
          <w:szCs w:val="20"/>
          <w:color w:val="auto"/>
        </w:rPr>
      </w:pPr>
    </w:p>
    <w:p>
      <w:pPr>
        <w:ind w:left="660" w:hanging="328"/>
        <w:spacing w:after="0" w:line="286" w:lineRule="auto"/>
        <w:tabs>
          <w:tab w:leader="none" w:pos="65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Advisory Vote on Executive Compensation of Named Executive Officers Proposal </w:t>
      </w:r>
      <w:r>
        <w:rPr>
          <w:rFonts w:ascii="Times New Roman" w:cs="Times New Roman" w:eastAsia="Times New Roman" w:hAnsi="Times New Roman"/>
          <w:sz w:val="18"/>
          <w:szCs w:val="18"/>
          <w:color w:val="auto"/>
        </w:rPr>
        <w:t>— To approve, on an advisory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the compensation of the Company’s named executive officers, as disclosed in the Company’s definitive proxy statement:</w:t>
      </w:r>
    </w:p>
    <w:p>
      <w:pPr>
        <w:spacing w:after="0" w:line="141" w:lineRule="exact"/>
        <w:rPr>
          <w:sz w:val="20"/>
          <w:szCs w:val="20"/>
          <w:color w:val="auto"/>
        </w:rPr>
      </w:pPr>
    </w:p>
    <w:tbl>
      <w:tblPr>
        <w:tblLayout w:type="fixed"/>
        <w:tblInd w:w="2640" w:type="dxa"/>
        <w:tblCellMar>
          <w:top w:w="0" w:type="dxa"/>
          <w:left w:w="0" w:type="dxa"/>
          <w:bottom w:w="0" w:type="dxa"/>
          <w:right w:w="0" w:type="dxa"/>
        </w:tblCellMar>
      </w:tblPr>
      <w:tr>
        <w:trPr>
          <w:trHeight w:val="238"/>
        </w:trPr>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23"/>
        </w:trPr>
        <w:tc>
          <w:tcPr>
            <w:tcW w:w="192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22,705,946</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1,471,593</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41,821</w:t>
            </w:r>
          </w:p>
        </w:tc>
      </w:tr>
    </w:tbl>
    <w:p>
      <w:pPr>
        <w:spacing w:after="0" w:line="234"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Proposal No.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Advisory Vote on Frequency of Future Advisory Votes on the Compensation of Named Executive Officers Proposal</w:t>
      </w:r>
    </w:p>
    <w:p>
      <w:pPr>
        <w:spacing w:after="0" w:line="31" w:lineRule="exact"/>
        <w:rPr>
          <w:rFonts w:ascii="Times New Roman" w:cs="Times New Roman" w:eastAsia="Times New Roman" w:hAnsi="Times New Roman"/>
          <w:sz w:val="18"/>
          <w:szCs w:val="18"/>
          <w:b w:val="1"/>
          <w:bCs w:val="1"/>
          <w:color w:val="auto"/>
        </w:rPr>
      </w:pPr>
    </w:p>
    <w:p>
      <w:pPr>
        <w:ind w:left="660" w:right="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To indicate, on a non-binding advisory basis, whether future advisory votes on the compensation paid by us to our named executive officers should be held every one, two, or three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2 Years</w:t>
            </w:r>
          </w:p>
        </w:tc>
        <w:tc>
          <w:tcPr>
            <w:tcW w:w="20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35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r>
      <w:tr>
        <w:trPr>
          <w:trHeight w:val="223"/>
        </w:trPr>
        <w:tc>
          <w:tcPr>
            <w:tcW w:w="1620" w:type="dxa"/>
            <w:vAlign w:val="bottom"/>
          </w:tcPr>
          <w:p>
            <w:pPr>
              <w:spacing w:after="0"/>
              <w:rPr>
                <w:sz w:val="19"/>
                <w:szCs w:val="19"/>
                <w:color w:val="auto"/>
              </w:rPr>
            </w:pPr>
          </w:p>
        </w:tc>
        <w:tc>
          <w:tcPr>
            <w:tcW w:w="192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23,816,121</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24,246</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358,017</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20,976</w:t>
            </w:r>
          </w:p>
        </w:tc>
        <w:tc>
          <w:tcPr>
            <w:tcW w:w="1620" w:type="dxa"/>
            <w:vAlign w:val="bottom"/>
          </w:tcPr>
          <w:p>
            <w:pPr>
              <w:spacing w:after="0"/>
              <w:rPr>
                <w:sz w:val="19"/>
                <w:szCs w:val="19"/>
                <w:color w:val="auto"/>
              </w:rPr>
            </w:pPr>
          </w:p>
        </w:tc>
      </w:tr>
      <w:tr>
        <w:trPr>
          <w:trHeight w:val="1586"/>
        </w:trPr>
        <w:tc>
          <w:tcPr>
            <w:tcW w:w="16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684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GENEDX HOLDINGS CORP.</w:t>
            </w:r>
          </w:p>
        </w:tc>
      </w:tr>
      <w:tr>
        <w:trPr>
          <w:trHeight w:val="48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2026</w:t>
            </w:r>
          </w:p>
        </w:tc>
        <w:tc>
          <w:tcPr>
            <w:tcW w:w="26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Katherine Stueland</w:t>
            </w:r>
          </w:p>
        </w:tc>
      </w:tr>
      <w:tr>
        <w:trPr>
          <w:trHeight w:val="218"/>
        </w:trPr>
        <w:tc>
          <w:tcPr>
            <w:tcW w:w="3300" w:type="dxa"/>
            <w:vAlign w:val="bottom"/>
          </w:tcPr>
          <w:p>
            <w:pPr>
              <w:spacing w:after="0"/>
              <w:rPr>
                <w:sz w:val="18"/>
                <w:szCs w:val="18"/>
                <w:color w:val="auto"/>
              </w:rPr>
            </w:pPr>
          </w:p>
        </w:tc>
        <w:tc>
          <w:tcPr>
            <w:tcW w:w="26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Name:</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Katherine Stueland</w:t>
            </w:r>
          </w:p>
        </w:tc>
      </w:tr>
      <w:tr>
        <w:trPr>
          <w:trHeight w:val="234"/>
        </w:trPr>
        <w:tc>
          <w:tcPr>
            <w:tcW w:w="3300" w:type="dxa"/>
            <w:vAlign w:val="bottom"/>
          </w:tcPr>
          <w:p>
            <w:pPr>
              <w:spacing w:after="0"/>
              <w:rPr>
                <w:sz w:val="20"/>
                <w:szCs w:val="20"/>
                <w:color w:val="auto"/>
              </w:rPr>
            </w:pPr>
          </w:p>
        </w:tc>
        <w:tc>
          <w:tcPr>
            <w:tcW w:w="26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2026-06-23T07:38:50Z</dcterms:created>
  <dcterms:modified xsi:type="dcterms:W3CDTF">2026-06-23T07:38:50Z</dcterms:modified>
</cp:coreProperties>
</file>