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Capital,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138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tcBorders>
              <w:top w:val="single" w:sz="8" w:color="2C2C2C"/>
            </w:tcBorders>
          </w:tcPr>
          <w:p>
            <w:pPr>
              <w:spacing w:after="0"/>
              <w:rPr>
                <w:sz w:val="7"/>
                <w:szCs w:val="7"/>
                <w:color w:val="auto"/>
              </w:rPr>
            </w:pPr>
          </w:p>
        </w:tc>
        <w:tc>
          <w:tcPr>
            <w:tcW w:w="6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jc w:val="right"/>
              <w:ind w:right="51"/>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05/29/2024</w:t>
            </w: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7"/>
                <w:szCs w:val="17"/>
                <w:color w:val="0000FF"/>
              </w:rPr>
              <w:t>40,000</w:t>
            </w:r>
          </w:p>
        </w:tc>
        <w:tc>
          <w:tcPr>
            <w:tcW w:w="3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10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21.0651</w:t>
            </w:r>
            <w:r>
              <w:rPr>
                <w:rFonts w:ascii="Times New Roman" w:cs="Times New Roman" w:eastAsia="Times New Roman" w:hAnsi="Times New Roman"/>
                <w:sz w:val="22"/>
                <w:szCs w:val="22"/>
                <w:color w:val="008000"/>
                <w:w w:val="97"/>
                <w:vertAlign w:val="superscript"/>
              </w:rPr>
              <w:t>(1)</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2,963,509</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26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3,142</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26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432,902</w:t>
            </w:r>
          </w:p>
        </w:tc>
        <w:tc>
          <w:tcPr>
            <w:tcW w:w="260" w:type="dxa"/>
            <w:vAlign w:val="bottom"/>
          </w:tcPr>
          <w:p>
            <w:pPr>
              <w:spacing w:after="0"/>
              <w:rPr>
                <w:sz w:val="21"/>
                <w:szCs w:val="21"/>
                <w:color w:val="auto"/>
              </w:rPr>
            </w:pPr>
          </w:p>
        </w:tc>
        <w:tc>
          <w:tcPr>
            <w:tcW w:w="620" w:type="dxa"/>
            <w:vAlign w:val="bottom"/>
            <w:vMerge w:val="restart"/>
          </w:tcPr>
          <w:p>
            <w:pPr>
              <w:jc w:val="center"/>
              <w:ind w:right="26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(4)</w:t>
            </w:r>
          </w:p>
        </w:tc>
        <w:tc>
          <w:tcPr>
            <w:tcW w:w="3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333,144</w:t>
            </w:r>
          </w:p>
        </w:tc>
        <w:tc>
          <w:tcPr>
            <w:tcW w:w="260" w:type="dxa"/>
            <w:vAlign w:val="bottom"/>
          </w:tcPr>
          <w:p>
            <w:pPr>
              <w:spacing w:after="0"/>
              <w:rPr>
                <w:sz w:val="21"/>
                <w:szCs w:val="21"/>
                <w:color w:val="auto"/>
              </w:rPr>
            </w:pPr>
          </w:p>
        </w:tc>
        <w:tc>
          <w:tcPr>
            <w:tcW w:w="620" w:type="dxa"/>
            <w:vAlign w:val="bottom"/>
            <w:vMerge w:val="restart"/>
          </w:tcPr>
          <w:p>
            <w:pPr>
              <w:jc w:val="center"/>
              <w:ind w:right="26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(5)</w:t>
            </w:r>
          </w:p>
        </w:tc>
        <w:tc>
          <w:tcPr>
            <w:tcW w:w="3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footnote(5).</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gridSpan w:val="2"/>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8"/>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60" w:type="dxa"/>
            <w:vAlign w:val="bottom"/>
            <w:gridSpan w:val="14"/>
          </w:tcPr>
          <w:p>
            <w:pPr>
              <w:jc w:val="center"/>
              <w:ind w:left="4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6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right"/>
              <w:ind w:right="51"/>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Capital, LLC</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Casdin Eli</w:t>
              </w:r>
            </w:hyperlink>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10019</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42"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-85090</wp:posOffset>
            </wp:positionV>
            <wp:extent cx="2809240" cy="5537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5537835"/>
                    </a:xfrm>
                    <a:prstGeom prst="rect">
                      <a:avLst/>
                    </a:prstGeom>
                    <a:noFill/>
                  </pic:spPr>
                </pic:pic>
              </a:graphicData>
            </a:graphic>
          </wp:anchor>
        </w:drawing>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FO1-MSV,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CASDIN PARTNERS GP,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$20.9752 to $21.1876.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FO1-MSV, LP ("Casdin FO1") and may be deemed to be indirectly beneficially owned by (i) Casdin, the investment adviser to Casdin FO1, (ii) the GP, the general partner of Casdin FO1,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LLC ("CMLS Holdings"). The Board of Managers of CMLS Holdings includes Eli Casdin, who, as a member of the Board of Managers of CMLS Holdings, shares voting and investment discretion with respect to the common stock held by CMLS Holdings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80"/>
        <w:spacing w:after="0" w:line="272"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Eli Casdin, Managing</w:t>
      </w:r>
      <w:r>
        <w:rPr>
          <w:sz w:val="20"/>
          <w:szCs w:val="20"/>
          <w:color w:val="auto"/>
        </w:rPr>
        <w:tab/>
      </w:r>
      <w:r>
        <w:rPr>
          <w:rFonts w:ascii="Times New Roman" w:cs="Times New Roman" w:eastAsia="Times New Roman" w:hAnsi="Times New Roman"/>
          <w:sz w:val="17"/>
          <w:szCs w:val="17"/>
          <w:color w:val="0000FF"/>
        </w:rPr>
        <w:t>05/31/2024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ectPr>
          <w:pgSz w:w="11900" w:h="16880" w:orient="portrait"/>
          <w:cols w:equalWidth="0" w:num="1">
            <w:col w:w="10920"/>
          </w:cols>
          <w:pgMar w:left="480" w:top="125" w:right="499" w:bottom="0" w:gutter="0" w:footer="0" w:header="0"/>
        </w:sectPr>
      </w:pPr>
    </w:p>
    <w:p>
      <w:pPr>
        <w:spacing w:after="0" w:line="5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9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Eli Casdin,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9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05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FO1-MSV,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52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80" w:orient="portrait"/>
          <w:cols w:equalWidth="0" w:num="2">
            <w:col w:w="8640" w:space="120"/>
            <w:col w:w="2160"/>
          </w:cols>
          <w:pgMar w:left="480" w:top="125" w:right="499" w:bottom="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0920"/>
          </w:cols>
          <w:pgMar w:left="480" w:top="125" w:right="49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2" Type="http://schemas.openxmlformats.org/officeDocument/2006/relationships/hyperlink" Target="http://www.sec.gov/cgi-bin/browse-edgar?action=getcompany&amp;CIK=0001534261" TargetMode="External"/><Relationship Id="rId13" Type="http://schemas.openxmlformats.org/officeDocument/2006/relationships/hyperlink" Target="http://www.sec.gov/cgi-bin/browse-edgar?action=getcompany&amp;CIK=0001818331" TargetMode="External"/><Relationship Id="rId14" Type="http://schemas.openxmlformats.org/officeDocument/2006/relationships/hyperlink" Target="http://www.sec.gov/cgi-bin/browse-edgar?action=getcompany&amp;CIK=0001534264" TargetMode="External"/><Relationship Id="rId17" Type="http://schemas.openxmlformats.org/officeDocument/2006/relationships/hyperlink" Target="http://www.sec.gov/cgi-bin/browse-edgar?action=getcompany&amp;CIK=0001534265" TargetMode="External"/><Relationship Id="rId18" Type="http://schemas.openxmlformats.org/officeDocument/2006/relationships/hyperlink" Target="http://www.sec.gov/cgi-bin/browse-edgar?action=getcompany&amp;CIK=0001534260" TargetMode="External"/><Relationship Id="rId19" Type="http://schemas.openxmlformats.org/officeDocument/2006/relationships/hyperlink" Target="http://www.sec.gov/cgi-bin/browse-edgar?action=getcompany&amp;CIK=00019387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2024-05-31T16:53:52Z</dcterms:created>
  <dcterms:modified xsi:type="dcterms:W3CDTF">2024-05-31T16:53:52Z</dcterms:modified>
</cp:coreProperties>
</file>