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Ryan Jason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904"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9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8,818</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125.0729</w:t>
            </w:r>
            <w:r>
              <w:rPr>
                <w:rFonts w:ascii="Times New Roman" w:cs="Times New Roman" w:eastAsia="Times New Roman" w:hAnsi="Times New Roman"/>
                <w:sz w:val="22"/>
                <w:szCs w:val="22"/>
                <w:color w:val="008000"/>
                <w:vertAlign w:val="superscript"/>
              </w:rPr>
              <w:t>(1)</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132,538</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8,969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126.1536</w:t>
            </w:r>
            <w:r>
              <w:rPr>
                <w:rFonts w:ascii="Times New Roman" w:cs="Times New Roman" w:eastAsia="Times New Roman" w:hAnsi="Times New Roman"/>
                <w:sz w:val="22"/>
                <w:szCs w:val="22"/>
                <w:color w:val="008000"/>
                <w:vertAlign w:val="superscript"/>
              </w:rPr>
              <w:t>(3)</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123,569</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5,443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127.4373</w:t>
            </w:r>
            <w:r>
              <w:rPr>
                <w:rFonts w:ascii="Times New Roman" w:cs="Times New Roman" w:eastAsia="Times New Roman" w:hAnsi="Times New Roman"/>
                <w:sz w:val="22"/>
                <w:szCs w:val="22"/>
                <w:color w:val="008000"/>
                <w:vertAlign w:val="superscript"/>
              </w:rPr>
              <w:t>(4)</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118,126</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3,452</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128.0408</w:t>
            </w:r>
            <w:r>
              <w:rPr>
                <w:rFonts w:ascii="Times New Roman" w:cs="Times New Roman" w:eastAsia="Times New Roman" w:hAnsi="Times New Roman"/>
                <w:sz w:val="22"/>
                <w:szCs w:val="22"/>
                <w:color w:val="008000"/>
                <w:vertAlign w:val="superscript"/>
              </w:rPr>
              <w:t>(5)</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114,674</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9,890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129.5945</w:t>
            </w:r>
            <w:r>
              <w:rPr>
                <w:rFonts w:ascii="Times New Roman" w:cs="Times New Roman" w:eastAsia="Times New Roman" w:hAnsi="Times New Roman"/>
                <w:sz w:val="22"/>
                <w:szCs w:val="22"/>
                <w:color w:val="008000"/>
                <w:vertAlign w:val="superscript"/>
              </w:rPr>
              <w:t>(6)</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104,784</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1,500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130.0103</w:t>
            </w:r>
            <w:r>
              <w:rPr>
                <w:rFonts w:ascii="Times New Roman" w:cs="Times New Roman" w:eastAsia="Times New Roman" w:hAnsi="Times New Roman"/>
                <w:sz w:val="22"/>
                <w:szCs w:val="22"/>
                <w:color w:val="008000"/>
                <w:vertAlign w:val="superscript"/>
              </w:rPr>
              <w:t>(7)</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103,284</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08/27/2025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61"/>
              <w:spacing w:after="0"/>
              <w:rPr>
                <w:sz w:val="20"/>
                <w:szCs w:val="20"/>
                <w:color w:val="auto"/>
              </w:rPr>
            </w:pPr>
            <w:r>
              <w:rPr>
                <w:rFonts w:ascii="Times New Roman" w:cs="Times New Roman" w:eastAsia="Times New Roman" w:hAnsi="Times New Roman"/>
                <w:sz w:val="17"/>
                <w:szCs w:val="17"/>
                <w:color w:val="0000FF"/>
              </w:rPr>
              <w:t>1,150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129.6461</w:t>
            </w:r>
            <w:r>
              <w:rPr>
                <w:rFonts w:ascii="Times New Roman" w:cs="Times New Roman" w:eastAsia="Times New Roman" w:hAnsi="Times New Roman"/>
                <w:sz w:val="22"/>
                <w:szCs w:val="22"/>
                <w:color w:val="008000"/>
                <w:vertAlign w:val="superscript"/>
              </w:rPr>
              <w:t>(8)</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11,904</w:t>
            </w:r>
          </w:p>
        </w:tc>
        <w:tc>
          <w:tcPr>
            <w:tcW w:w="98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90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1"/>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2"/>
          </w:tcPr>
          <w:p>
            <w:pPr>
              <w:ind w:left="460"/>
              <w:spacing w:after="0"/>
              <w:rPr>
                <w:sz w:val="20"/>
                <w:szCs w:val="20"/>
                <w:color w:val="auto"/>
              </w:rPr>
            </w:pPr>
            <w:r>
              <w:rPr>
                <w:rFonts w:ascii="Arial" w:cs="Arial" w:eastAsia="Arial" w:hAnsi="Arial"/>
                <w:sz w:val="12"/>
                <w:szCs w:val="12"/>
                <w:b w:val="1"/>
                <w:bCs w:val="1"/>
                <w:color w:val="auto"/>
              </w:rPr>
              <w:t>or</w:t>
            </w:r>
          </w:p>
        </w:tc>
        <w:tc>
          <w:tcPr>
            <w:tcW w:w="6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74"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7. Title and</w:t>
            </w: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4"/>
                <w:szCs w:val="4"/>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Date</w:t>
            </w: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Expiration</w:t>
            </w: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1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1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1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1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4"/>
                <w:szCs w:val="4"/>
                <w:color w:val="auto"/>
              </w:rPr>
            </w:pPr>
          </w:p>
        </w:tc>
        <w:tc>
          <w:tcPr>
            <w:tcW w:w="82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Code  V</w:t>
            </w: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(D)</w:t>
            </w:r>
          </w:p>
        </w:tc>
        <w:tc>
          <w:tcPr>
            <w:tcW w:w="80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Exercisable</w:t>
            </w: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Date</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Title  Shares</w:t>
            </w:r>
          </w:p>
        </w:tc>
        <w:tc>
          <w:tcPr>
            <w:tcW w:w="640" w:type="dxa"/>
            <w:vAlign w:val="bottom"/>
            <w:vMerge w:val="restart"/>
          </w:tcPr>
          <w:p>
            <w:pPr>
              <w:spacing w:after="0" w:line="11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1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1120" w:type="dxa"/>
            <w:vAlign w:val="bottom"/>
            <w:tcBorders>
              <w:bottom w:val="single" w:sz="8" w:color="2C2C2C"/>
            </w:tcBorders>
            <w:gridSpan w:val="2"/>
            <w:vMerge w:val="continue"/>
          </w:tcPr>
          <w:p>
            <w:pPr>
              <w:spacing w:after="0"/>
              <w:rPr>
                <w:sz w:val="7"/>
                <w:szCs w:val="7"/>
                <w:color w:val="auto"/>
              </w:rPr>
            </w:pPr>
          </w:p>
        </w:tc>
        <w:tc>
          <w:tcPr>
            <w:tcW w:w="440" w:type="dxa"/>
            <w:vAlign w:val="bottom"/>
            <w:tcBorders>
              <w:bottom w:val="single" w:sz="8" w:color="2C2C2C"/>
            </w:tcBorders>
            <w:vMerge w:val="continue"/>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ind w:left="60"/>
              <w:spacing w:after="0" w:line="60" w:lineRule="exact"/>
              <w:rPr>
                <w:sz w:val="20"/>
                <w:szCs w:val="20"/>
                <w:color w:val="auto"/>
              </w:rPr>
            </w:pPr>
            <w:r>
              <w:rPr>
                <w:rFonts w:ascii="Arial" w:cs="Arial" w:eastAsia="Arial" w:hAnsi="Arial"/>
                <w:sz w:val="6"/>
                <w:szCs w:val="6"/>
                <w:b w:val="1"/>
                <w:bCs w:val="1"/>
                <w:color w:val="auto"/>
              </w:rPr>
              <w:t>Code (Instr.</w:t>
            </w:r>
          </w:p>
        </w:tc>
        <w:tc>
          <w:tcPr>
            <w:tcW w:w="740" w:type="dxa"/>
            <w:vAlign w:val="bottom"/>
            <w:tcBorders>
              <w:bottom w:val="single" w:sz="8" w:color="2C2C2C"/>
            </w:tcBorders>
          </w:tcPr>
          <w:p>
            <w:pPr>
              <w:ind w:left="80"/>
              <w:spacing w:after="0" w:line="60" w:lineRule="exact"/>
              <w:rPr>
                <w:sz w:val="20"/>
                <w:szCs w:val="20"/>
                <w:color w:val="auto"/>
              </w:rPr>
            </w:pPr>
            <w:r>
              <w:rPr>
                <w:rFonts w:ascii="Arial" w:cs="Arial" w:eastAsia="Arial" w:hAnsi="Arial"/>
                <w:sz w:val="6"/>
                <w:szCs w:val="6"/>
                <w:b w:val="1"/>
                <w:bCs w:val="1"/>
                <w:color w:val="auto"/>
              </w:rPr>
              <w:t>Derivative</w:t>
            </w:r>
          </w:p>
        </w:tc>
        <w:tc>
          <w:tcPr>
            <w:tcW w:w="1540" w:type="dxa"/>
            <w:vAlign w:val="bottom"/>
            <w:tcBorders>
              <w:bottom w:val="single" w:sz="8" w:color="2C2C2C"/>
            </w:tcBorders>
            <w:gridSpan w:val="2"/>
          </w:tcPr>
          <w:p>
            <w:pPr>
              <w:ind w:left="60"/>
              <w:spacing w:after="0" w:line="60" w:lineRule="exact"/>
              <w:rPr>
                <w:sz w:val="20"/>
                <w:szCs w:val="20"/>
                <w:color w:val="auto"/>
              </w:rPr>
            </w:pPr>
            <w:r>
              <w:rPr>
                <w:rFonts w:ascii="Arial" w:cs="Arial" w:eastAsia="Arial" w:hAnsi="Arial"/>
                <w:sz w:val="6"/>
                <w:szCs w:val="6"/>
                <w:b w:val="1"/>
                <w:bCs w:val="1"/>
                <w:color w:val="auto"/>
              </w:rPr>
              <w:t>(Month/Day/Year)</w:t>
            </w:r>
          </w:p>
        </w:tc>
        <w:tc>
          <w:tcPr>
            <w:tcW w:w="1060" w:type="dxa"/>
            <w:vAlign w:val="bottom"/>
            <w:tcBorders>
              <w:bottom w:val="single" w:sz="8" w:color="2C2C2C"/>
            </w:tcBorders>
            <w:gridSpan w:val="2"/>
          </w:tcPr>
          <w:p>
            <w:pPr>
              <w:ind w:left="60"/>
              <w:spacing w:after="0" w:line="60" w:lineRule="exact"/>
              <w:rPr>
                <w:sz w:val="20"/>
                <w:szCs w:val="20"/>
                <w:color w:val="auto"/>
              </w:rPr>
            </w:pPr>
            <w:r>
              <w:rPr>
                <w:rFonts w:ascii="Arial" w:cs="Arial" w:eastAsia="Arial" w:hAnsi="Arial"/>
                <w:sz w:val="6"/>
                <w:szCs w:val="6"/>
                <w:b w:val="1"/>
                <w:bCs w:val="1"/>
                <w:color w:val="auto"/>
              </w:rPr>
              <w:t>Securities</w:t>
            </w:r>
          </w:p>
        </w:tc>
        <w:tc>
          <w:tcPr>
            <w:tcW w:w="640" w:type="dxa"/>
            <w:vAlign w:val="bottom"/>
            <w:tcBorders>
              <w:bottom w:val="single" w:sz="8" w:color="2C2C2C"/>
            </w:tcBorders>
            <w:vMerge w:val="continue"/>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07"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0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Explanation of Responses:</w:t>
            </w: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4"/>
                <w:szCs w:val="4"/>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Derivative</w:t>
            </w: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right="380" w:firstLine="7"/>
        <w:spacing w:after="0" w:line="275" w:lineRule="auto"/>
        <w:tabs>
          <w:tab w:leader="none" w:pos="173"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733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733040"/>
                    </a:xfrm>
                    <a:prstGeom prst="rect">
                      <a:avLst/>
                    </a:prstGeom>
                    <a:noFill/>
                  </pic:spPr>
                </pic:pic>
              </a:graphicData>
            </a:graphic>
          </wp:anchor>
        </w:drawing>
        <w:t>The reported</w:t>
      </w:r>
      <w:r>
        <w:rPr>
          <w:rFonts w:ascii="Arial" w:cs="Arial" w:eastAsia="Arial" w:hAnsi="Arial"/>
          <w:sz w:val="9"/>
          <w:szCs w:val="9"/>
          <w:b w:val="1"/>
          <w:bCs w:val="1"/>
          <w:color w:val="000000"/>
        </w:rPr>
        <w:t>Security</w:t>
      </w:r>
      <w:r>
        <w:rPr>
          <w:rFonts w:ascii="Times New Roman" w:cs="Times New Roman" w:eastAsia="Times New Roman" w:hAnsi="Times New Roman"/>
          <w:sz w:val="11"/>
          <w:szCs w:val="11"/>
          <w:color w:val="008000"/>
        </w:rPr>
        <w:t>pricein Column 4 is a weighted average price. These shares were sold in</w:t>
      </w:r>
      <w:r>
        <w:rPr>
          <w:rFonts w:ascii="Arial" w:cs="Arial" w:eastAsia="Arial" w:hAnsi="Arial"/>
          <w:sz w:val="9"/>
          <w:szCs w:val="9"/>
          <w:b w:val="1"/>
          <w:bCs w:val="1"/>
          <w:color w:val="000000"/>
        </w:rPr>
        <w:t>(A)</w:t>
      </w:r>
      <w:r>
        <w:rPr>
          <w:rFonts w:ascii="Times New Roman" w:cs="Times New Roman" w:eastAsia="Times New Roman" w:hAnsi="Times New Roman"/>
          <w:sz w:val="11"/>
          <w:szCs w:val="11"/>
          <w:color w:val="008000"/>
        </w:rPr>
        <w:t>multiple</w:t>
      </w:r>
      <w:r>
        <w:rPr>
          <w:rFonts w:ascii="Arial" w:cs="Arial" w:eastAsia="Arial" w:hAnsi="Arial"/>
          <w:sz w:val="9"/>
          <w:szCs w:val="9"/>
          <w:b w:val="1"/>
          <w:bCs w:val="1"/>
          <w:color w:val="000000"/>
        </w:rPr>
        <w:t>or</w:t>
      </w:r>
      <w:r>
        <w:rPr>
          <w:rFonts w:ascii="Times New Roman" w:cs="Times New Roman" w:eastAsia="Times New Roman" w:hAnsi="Times New Roman"/>
          <w:sz w:val="11"/>
          <w:szCs w:val="11"/>
          <w:color w:val="008000"/>
        </w:rPr>
        <w:t xml:space="preserve"> transactions at prices ranging from</w:t>
      </w:r>
      <w:r>
        <w:rPr>
          <w:rFonts w:ascii="Arial" w:cs="Arial" w:eastAsia="Arial" w:hAnsi="Arial"/>
          <w:sz w:val="9"/>
          <w:szCs w:val="9"/>
          <w:b w:val="1"/>
          <w:bCs w:val="1"/>
          <w:color w:val="000000"/>
        </w:rPr>
        <w:t>Security</w:t>
      </w:r>
      <w:r>
        <w:rPr>
          <w:rFonts w:ascii="Times New Roman" w:cs="Times New Roman" w:eastAsia="Times New Roman" w:hAnsi="Times New Roman"/>
          <w:sz w:val="11"/>
          <w:szCs w:val="11"/>
          <w:color w:val="008000"/>
        </w:rPr>
        <w:t>$124.</w:t>
      </w:r>
      <w:r>
        <w:rPr>
          <w:rFonts w:ascii="Arial" w:cs="Arial" w:eastAsia="Arial" w:hAnsi="Arial"/>
          <w:sz w:val="9"/>
          <w:szCs w:val="9"/>
          <w:b w:val="1"/>
          <w:bCs w:val="1"/>
          <w:color w:val="000000"/>
        </w:rPr>
        <w:t>(Instr</w:t>
      </w:r>
      <w:r>
        <w:rPr>
          <w:rFonts w:ascii="Times New Roman" w:cs="Times New Roman" w:eastAsia="Times New Roman" w:hAnsi="Times New Roman"/>
          <w:sz w:val="11"/>
          <w:szCs w:val="11"/>
          <w:color w:val="008000"/>
        </w:rPr>
        <w:t>50to</w:t>
      </w:r>
      <w:r>
        <w:rPr>
          <w:rFonts w:ascii="Arial" w:cs="Arial" w:eastAsia="Arial" w:hAnsi="Arial"/>
          <w:sz w:val="9"/>
          <w:szCs w:val="9"/>
          <w:b w:val="1"/>
          <w:bCs w:val="1"/>
          <w:color w:val="000000"/>
        </w:rPr>
        <w:t>.</w:t>
      </w:r>
      <w:r>
        <w:rPr>
          <w:rFonts w:ascii="Times New Roman" w:cs="Times New Roman" w:eastAsia="Times New Roman" w:hAnsi="Times New Roman"/>
          <w:sz w:val="11"/>
          <w:szCs w:val="11"/>
          <w:color w:val="008000"/>
        </w:rPr>
        <w:t>$125.44 per share,</w:t>
      </w:r>
      <w:r>
        <w:rPr>
          <w:rFonts w:ascii="Arial" w:cs="Arial" w:eastAsia="Arial" w:hAnsi="Arial"/>
          <w:sz w:val="9"/>
          <w:szCs w:val="9"/>
          <w:b w:val="1"/>
          <w:bCs w:val="1"/>
          <w:color w:val="000000"/>
        </w:rPr>
        <w:t>Following</w:t>
      </w:r>
      <w:r>
        <w:rPr>
          <w:rFonts w:ascii="Times New Roman" w:cs="Times New Roman" w:eastAsia="Times New Roman" w:hAnsi="Times New Roman"/>
          <w:sz w:val="11"/>
          <w:szCs w:val="11"/>
          <w:color w:val="008000"/>
        </w:rPr>
        <w:t>inclusive. The Reporting</w:t>
      </w:r>
      <w:r>
        <w:rPr>
          <w:rFonts w:ascii="Arial" w:cs="Arial" w:eastAsia="Arial" w:hAnsi="Arial"/>
          <w:sz w:val="9"/>
          <w:szCs w:val="9"/>
          <w:b w:val="1"/>
          <w:bCs w:val="1"/>
          <w:color w:val="000000"/>
        </w:rPr>
        <w:t>(I)(Instr.4)</w:t>
      </w:r>
      <w:r>
        <w:rPr>
          <w:rFonts w:ascii="Times New Roman" w:cs="Times New Roman" w:eastAsia="Times New Roman" w:hAnsi="Times New Roman"/>
          <w:sz w:val="11"/>
          <w:szCs w:val="11"/>
          <w:color w:val="008000"/>
        </w:rPr>
        <w:t>Person undertakes to provide to the Issuer, any security holder of the Issuer, or the staff of the Securities</w:t>
      </w:r>
      <w:r>
        <w:rPr>
          <w:rFonts w:ascii="Arial" w:cs="Arial" w:eastAsia="Arial" w:hAnsi="Arial"/>
          <w:sz w:val="9"/>
          <w:szCs w:val="9"/>
          <w:b w:val="1"/>
          <w:bCs w:val="1"/>
          <w:color w:val="000000"/>
        </w:rPr>
        <w:t>Disposd</w:t>
      </w:r>
      <w:r>
        <w:rPr>
          <w:rFonts w:ascii="Times New Roman" w:cs="Times New Roman" w:eastAsia="Times New Roman" w:hAnsi="Times New Roman"/>
          <w:sz w:val="11"/>
          <w:szCs w:val="11"/>
          <w:color w:val="008000"/>
        </w:rPr>
        <w:t xml:space="preserve"> and Exchange Commission, upon</w:t>
      </w:r>
      <w:r>
        <w:rPr>
          <w:rFonts w:ascii="Arial" w:cs="Arial" w:eastAsia="Arial" w:hAnsi="Arial"/>
          <w:sz w:val="9"/>
          <w:szCs w:val="9"/>
          <w:b w:val="1"/>
          <w:bCs w:val="1"/>
          <w:color w:val="000000"/>
        </w:rPr>
        <w:t>3 and</w:t>
      </w:r>
      <w:r>
        <w:rPr>
          <w:rFonts w:ascii="Times New Roman" w:cs="Times New Roman" w:eastAsia="Times New Roman" w:hAnsi="Times New Roman"/>
          <w:sz w:val="11"/>
          <w:szCs w:val="11"/>
          <w:color w:val="008000"/>
        </w:rPr>
        <w:t>request,</w:t>
      </w:r>
      <w:r>
        <w:rPr>
          <w:rFonts w:ascii="Arial" w:cs="Arial" w:eastAsia="Arial" w:hAnsi="Arial"/>
          <w:sz w:val="9"/>
          <w:szCs w:val="9"/>
          <w:b w:val="1"/>
          <w:bCs w:val="1"/>
          <w:color w:val="000000"/>
        </w:rPr>
        <w:t>4)</w:t>
      </w:r>
      <w:r>
        <w:rPr>
          <w:rFonts w:ascii="Times New Roman" w:cs="Times New Roman" w:eastAsia="Times New Roman" w:hAnsi="Times New Roman"/>
          <w:sz w:val="11"/>
          <w:szCs w:val="11"/>
          <w:color w:val="008000"/>
        </w:rPr>
        <w:t xml:space="preserve"> full information regarding</w:t>
      </w:r>
      <w:r>
        <w:rPr>
          <w:rFonts w:ascii="Arial" w:cs="Arial" w:eastAsia="Arial" w:hAnsi="Arial"/>
          <w:sz w:val="9"/>
          <w:szCs w:val="9"/>
          <w:b w:val="1"/>
          <w:bCs w:val="1"/>
          <w:color w:val="000000"/>
        </w:rPr>
        <w:t>Report</w:t>
      </w:r>
      <w:r>
        <w:rPr>
          <w:rFonts w:ascii="Times New Roman" w:cs="Times New Roman" w:eastAsia="Times New Roman" w:hAnsi="Times New Roman"/>
          <w:sz w:val="11"/>
          <w:szCs w:val="11"/>
          <w:color w:val="008000"/>
        </w:rPr>
        <w:t>the</w:t>
      </w:r>
      <w:r>
        <w:rPr>
          <w:rFonts w:ascii="Arial" w:cs="Arial" w:eastAsia="Arial" w:hAnsi="Arial"/>
          <w:sz w:val="9"/>
          <w:szCs w:val="9"/>
          <w:b w:val="1"/>
          <w:bCs w:val="1"/>
          <w:color w:val="000000"/>
        </w:rPr>
        <w:t>d</w:t>
      </w:r>
      <w:r>
        <w:rPr>
          <w:rFonts w:ascii="Times New Roman" w:cs="Times New Roman" w:eastAsia="Times New Roman" w:hAnsi="Times New Roman"/>
          <w:sz w:val="11"/>
          <w:szCs w:val="11"/>
          <w:color w:val="008000"/>
        </w:rPr>
        <w:t>number of shares sold at each</w:t>
      </w:r>
    </w:p>
    <w:tbl>
      <w:tblPr>
        <w:tblLayout w:type="fixed"/>
        <w:tblInd w:w="40" w:type="dxa"/>
        <w:tblCellMar>
          <w:top w:w="0" w:type="dxa"/>
          <w:left w:w="0" w:type="dxa"/>
          <w:bottom w:w="0" w:type="dxa"/>
          <w:right w:w="0" w:type="dxa"/>
        </w:tblCellMar>
      </w:tblP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008000"/>
              </w:rPr>
              <w:t>separate price within the range set forth in this footnote.</w:t>
            </w:r>
          </w:p>
        </w:tc>
        <w:tc>
          <w:tcPr>
            <w:tcW w:w="2080" w:type="dxa"/>
            <w:vAlign w:val="bottom"/>
          </w:tcPr>
          <w:p>
            <w:pPr>
              <w:ind w:left="820"/>
              <w:spacing w:after="0" w:line="122" w:lineRule="exact"/>
              <w:rPr>
                <w:sz w:val="20"/>
                <w:szCs w:val="20"/>
                <w:color w:val="auto"/>
              </w:rPr>
            </w:pPr>
            <w:r>
              <w:rPr>
                <w:rFonts w:ascii="Arial" w:cs="Arial" w:eastAsia="Arial" w:hAnsi="Arial"/>
                <w:sz w:val="12"/>
                <w:szCs w:val="12"/>
                <w:b w:val="1"/>
                <w:bCs w:val="1"/>
                <w:color w:val="auto"/>
              </w:rPr>
              <w:t>of (D)</w:t>
            </w:r>
          </w:p>
        </w:tc>
        <w:tc>
          <w:tcPr>
            <w:tcW w:w="1120" w:type="dxa"/>
            <w:vAlign w:val="bottom"/>
          </w:tcPr>
          <w:p>
            <w:pPr>
              <w:spacing w:after="0"/>
              <w:rPr>
                <w:sz w:val="10"/>
                <w:szCs w:val="10"/>
                <w:color w:val="auto"/>
              </w:rPr>
            </w:pPr>
          </w:p>
        </w:tc>
        <w:tc>
          <w:tcPr>
            <w:tcW w:w="3840" w:type="dxa"/>
            <w:vAlign w:val="bottom"/>
          </w:tcPr>
          <w:p>
            <w:pPr>
              <w:ind w:left="1600"/>
              <w:spacing w:after="0" w:line="122" w:lineRule="exact"/>
              <w:rPr>
                <w:sz w:val="20"/>
                <w:szCs w:val="20"/>
                <w:color w:val="auto"/>
              </w:rPr>
            </w:pPr>
            <w:r>
              <w:rPr>
                <w:rFonts w:ascii="Arial" w:cs="Arial" w:eastAsia="Arial" w:hAnsi="Arial"/>
                <w:sz w:val="12"/>
                <w:szCs w:val="12"/>
                <w:b w:val="1"/>
                <w:bCs w:val="1"/>
                <w:color w:val="auto"/>
              </w:rPr>
              <w:t>Transaction(s)</w:t>
            </w: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2080" w:type="dxa"/>
            <w:vAlign w:val="bottom"/>
          </w:tcPr>
          <w:p>
            <w:pPr>
              <w:ind w:left="820"/>
              <w:spacing w:after="0" w:line="120" w:lineRule="exact"/>
              <w:rPr>
                <w:sz w:val="20"/>
                <w:szCs w:val="20"/>
                <w:color w:val="auto"/>
              </w:rPr>
            </w:pPr>
            <w:r>
              <w:rPr>
                <w:rFonts w:ascii="Arial" w:cs="Arial" w:eastAsia="Arial" w:hAnsi="Arial"/>
                <w:sz w:val="12"/>
                <w:szCs w:val="12"/>
                <w:b w:val="1"/>
                <w:bCs w:val="1"/>
                <w:color w:val="auto"/>
              </w:rPr>
              <w:t>(Instr. 3, 4</w:t>
            </w:r>
          </w:p>
        </w:tc>
        <w:tc>
          <w:tcPr>
            <w:tcW w:w="1120" w:type="dxa"/>
            <w:vAlign w:val="bottom"/>
          </w:tcPr>
          <w:p>
            <w:pPr>
              <w:spacing w:after="0"/>
              <w:rPr>
                <w:sz w:val="10"/>
                <w:szCs w:val="10"/>
                <w:color w:val="auto"/>
              </w:rPr>
            </w:pPr>
          </w:p>
        </w:tc>
        <w:tc>
          <w:tcPr>
            <w:tcW w:w="3840" w:type="dxa"/>
            <w:vAlign w:val="bottom"/>
          </w:tcPr>
          <w:p>
            <w:pPr>
              <w:ind w:left="1600"/>
              <w:spacing w:after="0" w:line="12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0"/>
        </w:trPr>
        <w:tc>
          <w:tcPr>
            <w:tcW w:w="10860" w:type="dxa"/>
            <w:vAlign w:val="bottom"/>
            <w:gridSpan w:val="4"/>
          </w:tcPr>
          <w:p>
            <w:pPr>
              <w:spacing w:after="0" w:line="80" w:lineRule="exact"/>
              <w:rPr>
                <w:sz w:val="20"/>
                <w:szCs w:val="20"/>
                <w:color w:val="auto"/>
              </w:rPr>
            </w:pPr>
            <w:r>
              <w:rPr>
                <w:rFonts w:ascii="Times New Roman" w:cs="Times New Roman" w:eastAsia="Times New Roman" w:hAnsi="Times New Roman"/>
                <w:sz w:val="9"/>
                <w:szCs w:val="9"/>
                <w:color w:val="008000"/>
              </w:rPr>
              <w:t>2. The reporting person is the trustee of the Jason Ryan 2024 GRAT Trust U/A DTD 11/7/2024 (the "GRAT"), and the reporting person is the sole annuitant of the GRAT. The reporting person remains the</w:t>
            </w:r>
          </w:p>
        </w:tc>
        <w:tc>
          <w:tcPr>
            <w:tcW w:w="0" w:type="dxa"/>
            <w:vAlign w:val="bottom"/>
          </w:tcPr>
          <w:p>
            <w:pPr>
              <w:spacing w:after="0"/>
              <w:rPr>
                <w:sz w:val="1"/>
                <w:szCs w:val="1"/>
                <w:color w:val="auto"/>
              </w:rPr>
            </w:pPr>
          </w:p>
        </w:tc>
      </w:tr>
      <w:tr>
        <w:trPr>
          <w:trHeight w:val="147"/>
        </w:trPr>
        <w:tc>
          <w:tcPr>
            <w:tcW w:w="38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beneficial owner of the securities held by the GRAT.</w:t>
            </w:r>
          </w:p>
        </w:tc>
        <w:tc>
          <w:tcPr>
            <w:tcW w:w="2080" w:type="dxa"/>
            <w:vAlign w:val="bottom"/>
          </w:tcPr>
          <w:p>
            <w:pPr>
              <w:ind w:left="820"/>
              <w:spacing w:after="0"/>
              <w:rPr>
                <w:sz w:val="20"/>
                <w:szCs w:val="20"/>
                <w:color w:val="auto"/>
              </w:rPr>
            </w:pPr>
            <w:r>
              <w:rPr>
                <w:rFonts w:ascii="Arial" w:cs="Arial" w:eastAsia="Arial" w:hAnsi="Arial"/>
                <w:sz w:val="12"/>
                <w:szCs w:val="12"/>
                <w:b w:val="1"/>
                <w:bCs w:val="1"/>
                <w:color w:val="auto"/>
              </w:rPr>
              <w:t>and 5)</w:t>
            </w:r>
          </w:p>
        </w:tc>
        <w:tc>
          <w:tcPr>
            <w:tcW w:w="1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vMerge w:val="continue"/>
          </w:tcPr>
          <w:p>
            <w:pPr>
              <w:spacing w:after="0"/>
              <w:rPr>
                <w:sz w:val="3"/>
                <w:szCs w:val="3"/>
                <w:color w:val="auto"/>
              </w:rPr>
            </w:pPr>
          </w:p>
        </w:tc>
        <w:tc>
          <w:tcPr>
            <w:tcW w:w="2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38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27"/>
        </w:trPr>
        <w:tc>
          <w:tcPr>
            <w:tcW w:w="10860" w:type="dxa"/>
            <w:vAlign w:val="bottom"/>
            <w:gridSpan w:val="4"/>
          </w:tcPr>
          <w:p>
            <w:pPr>
              <w:spacing w:after="0" w:line="27" w:lineRule="exact"/>
              <w:rPr>
                <w:sz w:val="20"/>
                <w:szCs w:val="20"/>
                <w:color w:val="auto"/>
              </w:rPr>
            </w:pPr>
            <w:r>
              <w:rPr>
                <w:rFonts w:ascii="Times New Roman" w:cs="Times New Roman" w:eastAsia="Times New Roman" w:hAnsi="Times New Roman"/>
                <w:sz w:val="3"/>
                <w:szCs w:val="3"/>
                <w:color w:val="008000"/>
              </w:rPr>
              <w:t>3. The reported price in Column 4 is a weighted average price. These shares were sold in multiple transactions at prices ranging from $125.655 to $126.62 per share, inclusive. The Reporting Person</w:t>
            </w:r>
          </w:p>
        </w:tc>
        <w:tc>
          <w:tcPr>
            <w:tcW w:w="0" w:type="dxa"/>
            <w:vAlign w:val="bottom"/>
          </w:tcPr>
          <w:p>
            <w:pPr>
              <w:spacing w:after="0" w:line="20" w:lineRule="exact"/>
              <w:rPr>
                <w:sz w:val="1"/>
                <w:szCs w:val="1"/>
                <w:color w:val="auto"/>
              </w:rPr>
            </w:pPr>
          </w:p>
        </w:tc>
      </w:tr>
      <w:tr>
        <w:trPr>
          <w:trHeight w:val="107"/>
        </w:trPr>
        <w:tc>
          <w:tcPr>
            <w:tcW w:w="38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40" w:type="dxa"/>
            <w:vAlign w:val="bottom"/>
          </w:tcPr>
          <w:p>
            <w:pPr>
              <w:ind w:left="280"/>
              <w:spacing w:after="0" w:line="107"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40"/>
        </w:trPr>
        <w:tc>
          <w:tcPr>
            <w:tcW w:w="10860" w:type="dxa"/>
            <w:vAlign w:val="bottom"/>
            <w:gridSpan w:val="4"/>
          </w:tcPr>
          <w:p>
            <w:pPr>
              <w:spacing w:after="0" w:line="40" w:lineRule="exact"/>
              <w:rPr>
                <w:sz w:val="20"/>
                <w:szCs w:val="20"/>
                <w:color w:val="auto"/>
              </w:rPr>
            </w:pPr>
            <w:r>
              <w:rPr>
                <w:rFonts w:ascii="Times New Roman" w:cs="Times New Roman" w:eastAsia="Times New Roman" w:hAnsi="Times New Roman"/>
                <w:sz w:val="4"/>
                <w:szCs w:val="4"/>
                <w:color w:val="008000"/>
              </w:rPr>
              <w:t>undertakes to provide to the Issuer, any security holder of the Issuer, or the staff of the Securities and Exchange Commission, upon request, full information regarding the number of shares sold at each</w:t>
            </w:r>
          </w:p>
        </w:tc>
        <w:tc>
          <w:tcPr>
            <w:tcW w:w="0" w:type="dxa"/>
            <w:vAlign w:val="bottom"/>
          </w:tcPr>
          <w:p>
            <w:pPr>
              <w:spacing w:after="0" w:line="20" w:lineRule="exact"/>
              <w:rPr>
                <w:sz w:val="1"/>
                <w:szCs w:val="1"/>
                <w:color w:val="auto"/>
              </w:rPr>
            </w:pPr>
          </w:p>
        </w:tc>
      </w:tr>
      <w:tr>
        <w:trPr>
          <w:trHeight w:val="147"/>
        </w:trPr>
        <w:tc>
          <w:tcPr>
            <w:tcW w:w="38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008000"/>
              </w:rPr>
              <w:t>separate price within the range set forth in this footnote.</w:t>
            </w:r>
          </w:p>
        </w:tc>
        <w:tc>
          <w:tcPr>
            <w:tcW w:w="2080" w:type="dxa"/>
            <w:vAlign w:val="bottom"/>
            <w:vMerge w:val="restart"/>
          </w:tcPr>
          <w:p>
            <w:pPr>
              <w:ind w:left="1540"/>
              <w:spacing w:after="0"/>
              <w:rPr>
                <w:sz w:val="20"/>
                <w:szCs w:val="20"/>
                <w:color w:val="auto"/>
              </w:rPr>
            </w:pPr>
            <w:r>
              <w:rPr>
                <w:rFonts w:ascii="Arial" w:cs="Arial" w:eastAsia="Arial" w:hAnsi="Arial"/>
                <w:sz w:val="12"/>
                <w:szCs w:val="12"/>
                <w:b w:val="1"/>
                <w:bCs w:val="1"/>
                <w:color w:val="auto"/>
              </w:rPr>
              <w:t>Date</w:t>
            </w:r>
          </w:p>
        </w:tc>
        <w:tc>
          <w:tcPr>
            <w:tcW w:w="11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Expiration</w:t>
            </w:r>
          </w:p>
        </w:tc>
        <w:tc>
          <w:tcPr>
            <w:tcW w:w="3840" w:type="dxa"/>
            <w:vAlign w:val="bottom"/>
          </w:tcPr>
          <w:p>
            <w:pPr>
              <w:ind w:left="280"/>
              <w:spacing w:after="0"/>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3840" w:type="dxa"/>
            <w:vAlign w:val="bottom"/>
          </w:tcPr>
          <w:p>
            <w:pPr>
              <w:ind w:left="280"/>
              <w:spacing w:after="0" w:line="81" w:lineRule="exact"/>
              <w:rPr>
                <w:sz w:val="20"/>
                <w:szCs w:val="20"/>
                <w:color w:val="auto"/>
              </w:rPr>
            </w:pPr>
            <w:r>
              <w:rPr>
                <w:rFonts w:ascii="Arial" w:cs="Arial" w:eastAsia="Arial" w:hAnsi="Arial"/>
                <w:sz w:val="8"/>
                <w:szCs w:val="8"/>
                <w:b w:val="1"/>
                <w:bCs w:val="1"/>
                <w:color w:val="auto"/>
              </w:rPr>
              <w:t>of</w:t>
            </w:r>
          </w:p>
        </w:tc>
        <w:tc>
          <w:tcPr>
            <w:tcW w:w="0" w:type="dxa"/>
            <w:vAlign w:val="bottom"/>
          </w:tcPr>
          <w:p>
            <w:pPr>
              <w:spacing w:after="0"/>
              <w:rPr>
                <w:sz w:val="1"/>
                <w:szCs w:val="1"/>
                <w:color w:val="auto"/>
              </w:rPr>
            </w:pPr>
          </w:p>
        </w:tc>
      </w:tr>
    </w:tbl>
    <w:p>
      <w:pPr>
        <w:ind w:left="40" w:right="380" w:firstLine="7"/>
        <w:spacing w:after="0" w:line="24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w:t>
      </w:r>
      <w:r>
        <w:rPr>
          <w:rFonts w:ascii="Arial" w:cs="Arial" w:eastAsia="Arial" w:hAnsi="Arial"/>
          <w:sz w:val="11"/>
          <w:szCs w:val="11"/>
          <w:b w:val="1"/>
          <w:bCs w:val="1"/>
          <w:color w:val="000000"/>
        </w:rPr>
        <w:t>Code</w:t>
      </w:r>
      <w:r>
        <w:rPr>
          <w:rFonts w:ascii="Times New Roman" w:cs="Times New Roman" w:eastAsia="Times New Roman" w:hAnsi="Times New Roman"/>
          <w:sz w:val="13"/>
          <w:szCs w:val="13"/>
          <w:color w:val="008000"/>
        </w:rPr>
        <w:t>were</w:t>
      </w:r>
      <w:r>
        <w:rPr>
          <w:rFonts w:ascii="Arial" w:cs="Arial" w:eastAsia="Arial" w:hAnsi="Arial"/>
          <w:sz w:val="11"/>
          <w:szCs w:val="11"/>
          <w:b w:val="1"/>
          <w:bCs w:val="1"/>
          <w:color w:val="000000"/>
        </w:rPr>
        <w:t>V</w:t>
      </w:r>
      <w:r>
        <w:rPr>
          <w:rFonts w:ascii="Times New Roman" w:cs="Times New Roman" w:eastAsia="Times New Roman" w:hAnsi="Times New Roman"/>
          <w:sz w:val="13"/>
          <w:szCs w:val="13"/>
          <w:color w:val="008000"/>
        </w:rPr>
        <w:t xml:space="preserve"> sold in</w:t>
      </w:r>
      <w:r>
        <w:rPr>
          <w:rFonts w:ascii="Arial" w:cs="Arial" w:eastAsia="Arial" w:hAnsi="Arial"/>
          <w:sz w:val="11"/>
          <w:szCs w:val="11"/>
          <w:b w:val="1"/>
          <w:bCs w:val="1"/>
          <w:color w:val="000000"/>
        </w:rPr>
        <w:t>(A)</w:t>
      </w:r>
      <w:r>
        <w:rPr>
          <w:rFonts w:ascii="Times New Roman" w:cs="Times New Roman" w:eastAsia="Times New Roman" w:hAnsi="Times New Roman"/>
          <w:sz w:val="13"/>
          <w:szCs w:val="13"/>
          <w:color w:val="008000"/>
        </w:rPr>
        <w:t>multiple</w:t>
      </w:r>
      <w:r>
        <w:rPr>
          <w:rFonts w:ascii="Arial" w:cs="Arial" w:eastAsia="Arial" w:hAnsi="Arial"/>
          <w:sz w:val="11"/>
          <w:szCs w:val="11"/>
          <w:b w:val="1"/>
          <w:bCs w:val="1"/>
          <w:color w:val="000000"/>
        </w:rPr>
        <w:t>(D)</w:t>
      </w:r>
      <w:r>
        <w:rPr>
          <w:rFonts w:ascii="Times New Roman" w:cs="Times New Roman" w:eastAsia="Times New Roman" w:hAnsi="Times New Roman"/>
          <w:sz w:val="13"/>
          <w:szCs w:val="13"/>
          <w:color w:val="008000"/>
        </w:rPr>
        <w:t xml:space="preserve"> transactions</w:t>
      </w:r>
      <w:r>
        <w:rPr>
          <w:rFonts w:ascii="Arial" w:cs="Arial" w:eastAsia="Arial" w:hAnsi="Arial"/>
          <w:sz w:val="11"/>
          <w:szCs w:val="11"/>
          <w:b w:val="1"/>
          <w:bCs w:val="1"/>
          <w:color w:val="000000"/>
        </w:rPr>
        <w:t>Exercisable</w:t>
      </w:r>
      <w:r>
        <w:rPr>
          <w:rFonts w:ascii="Times New Roman" w:cs="Times New Roman" w:eastAsia="Times New Roman" w:hAnsi="Times New Roman"/>
          <w:sz w:val="13"/>
          <w:szCs w:val="13"/>
          <w:color w:val="008000"/>
        </w:rPr>
        <w:t>at prices</w:t>
      </w:r>
      <w:r>
        <w:rPr>
          <w:rFonts w:ascii="Arial" w:cs="Arial" w:eastAsia="Arial" w:hAnsi="Arial"/>
          <w:sz w:val="11"/>
          <w:szCs w:val="11"/>
          <w:b w:val="1"/>
          <w:bCs w:val="1"/>
          <w:color w:val="000000"/>
        </w:rPr>
        <w:t>Date</w:t>
      </w:r>
      <w:r>
        <w:rPr>
          <w:rFonts w:ascii="Times New Roman" w:cs="Times New Roman" w:eastAsia="Times New Roman" w:hAnsi="Times New Roman"/>
          <w:sz w:val="13"/>
          <w:szCs w:val="13"/>
          <w:color w:val="008000"/>
        </w:rPr>
        <w:t>ranging from</w:t>
      </w:r>
      <w:r>
        <w:rPr>
          <w:rFonts w:ascii="Arial" w:cs="Arial" w:eastAsia="Arial" w:hAnsi="Arial"/>
          <w:sz w:val="11"/>
          <w:szCs w:val="11"/>
          <w:b w:val="1"/>
          <w:bCs w:val="1"/>
          <w:color w:val="000000"/>
        </w:rPr>
        <w:t>Title</w:t>
      </w:r>
      <w:r>
        <w:rPr>
          <w:rFonts w:ascii="Times New Roman" w:cs="Times New Roman" w:eastAsia="Times New Roman" w:hAnsi="Times New Roman"/>
          <w:sz w:val="13"/>
          <w:szCs w:val="13"/>
          <w:color w:val="008000"/>
        </w:rPr>
        <w:t>$126</w:t>
      </w:r>
      <w:r>
        <w:rPr>
          <w:rFonts w:ascii="Arial" w:cs="Arial" w:eastAsia="Arial" w:hAnsi="Arial"/>
          <w:sz w:val="11"/>
          <w:szCs w:val="11"/>
          <w:b w:val="1"/>
          <w:bCs w:val="1"/>
          <w:color w:val="000000"/>
        </w:rPr>
        <w:t>Shares</w:t>
      </w:r>
      <w:r>
        <w:rPr>
          <w:rFonts w:ascii="Times New Roman" w:cs="Times New Roman" w:eastAsia="Times New Roman" w:hAnsi="Times New Roman"/>
          <w:sz w:val="13"/>
          <w:szCs w:val="13"/>
          <w:color w:val="008000"/>
        </w:rPr>
        <w:t>.76to $127.75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$127.76 to $128.75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$128.89 to $129.88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$129.91 to $130.19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$129.50 to $129.76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08/27/2025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5017"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2025-08-27T20:11:11Z</dcterms:created>
  <dcterms:modified xsi:type="dcterms:W3CDTF">2025-08-27T20:11:11Z</dcterms:modified>
</cp:coreProperties>
</file>