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Meister Keith A.</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20" w:type="dxa"/>
            <w:vAlign w:val="bottom"/>
            <w:tcBorders>
              <w:top w:val="single" w:sz="8" w:color="0000EE"/>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01/14/2022</w:t>
            </w:r>
          </w:p>
        </w:tc>
        <w:tc>
          <w:tcPr>
            <w:tcW w:w="0" w:type="dxa"/>
            <w:vAlign w:val="bottom"/>
          </w:tcPr>
          <w:p>
            <w:pPr>
              <w:spacing w:after="0"/>
              <w:rPr>
                <w:sz w:val="1"/>
                <w:szCs w:val="1"/>
                <w:color w:val="auto"/>
              </w:rPr>
            </w:pPr>
          </w:p>
        </w:tc>
      </w:tr>
    </w:tbl>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9"/>
              </w:rPr>
              <w:t>C/O CORVEX MANAGEMENT LP</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667 MADISON AVENUE</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820" w:type="dxa"/>
            <w:vAlign w:val="bottom"/>
          </w:tcPr>
          <w:p>
            <w:pPr>
              <w:ind w:left="40"/>
              <w:spacing w:after="0"/>
              <w:rPr>
                <w:sz w:val="20"/>
                <w:szCs w:val="20"/>
                <w:color w:val="auto"/>
              </w:rPr>
            </w:pPr>
            <w:r>
              <w:rPr>
                <w:rFonts w:ascii="Arial" w:cs="Arial" w:eastAsia="Arial" w:hAnsi="Arial"/>
                <w:sz w:val="20"/>
                <w:szCs w:val="20"/>
                <w:color w:val="0000FF"/>
              </w:rPr>
              <w:t>NEW</w:t>
            </w:r>
          </w:p>
        </w:tc>
        <w:tc>
          <w:tcPr>
            <w:tcW w:w="940" w:type="dxa"/>
            <w:vAlign w:val="bottom"/>
            <w:vMerge w:val="restart"/>
          </w:tcPr>
          <w:p>
            <w:pPr>
              <w:ind w:left="240"/>
              <w:spacing w:after="0"/>
              <w:rPr>
                <w:sz w:val="20"/>
                <w:szCs w:val="20"/>
                <w:color w:val="auto"/>
              </w:rPr>
            </w:pPr>
            <w:r>
              <w:rPr>
                <w:rFonts w:ascii="Arial" w:cs="Arial" w:eastAsia="Arial" w:hAnsi="Arial"/>
                <w:sz w:val="20"/>
                <w:szCs w:val="20"/>
                <w:color w:val="0000FF"/>
              </w:rPr>
              <w:t>NY</w:t>
            </w:r>
          </w:p>
        </w:tc>
        <w:tc>
          <w:tcPr>
            <w:tcW w:w="1340" w:type="dxa"/>
            <w:vAlign w:val="bottom"/>
            <w:vMerge w:val="restart"/>
          </w:tcPr>
          <w:p>
            <w:pPr>
              <w:ind w:left="340"/>
              <w:spacing w:after="0"/>
              <w:rPr>
                <w:sz w:val="20"/>
                <w:szCs w:val="20"/>
                <w:color w:val="auto"/>
              </w:rPr>
            </w:pPr>
            <w:r>
              <w:rPr>
                <w:rFonts w:ascii="Arial" w:cs="Arial" w:eastAsia="Arial" w:hAnsi="Arial"/>
                <w:sz w:val="20"/>
                <w:szCs w:val="20"/>
                <w:color w:val="0000FF"/>
              </w:rPr>
              <w:t>10065</w:t>
            </w:r>
          </w:p>
        </w:tc>
        <w:tc>
          <w:tcPr>
            <w:tcW w:w="0" w:type="dxa"/>
            <w:vAlign w:val="bottom"/>
          </w:tcPr>
          <w:p>
            <w:pPr>
              <w:spacing w:after="0"/>
              <w:rPr>
                <w:sz w:val="1"/>
                <w:szCs w:val="1"/>
                <w:color w:val="auto"/>
              </w:rPr>
            </w:pPr>
          </w:p>
        </w:tc>
      </w:tr>
      <w:tr>
        <w:trPr>
          <w:trHeight w:val="128"/>
        </w:trPr>
        <w:tc>
          <w:tcPr>
            <w:tcW w:w="820" w:type="dxa"/>
            <w:vAlign w:val="bottom"/>
            <w:vMerge w:val="restart"/>
          </w:tcPr>
          <w:p>
            <w:pPr>
              <w:ind w:left="40"/>
              <w:spacing w:after="0"/>
              <w:rPr>
                <w:sz w:val="20"/>
                <w:szCs w:val="20"/>
                <w:color w:val="auto"/>
              </w:rPr>
            </w:pPr>
            <w:r>
              <w:rPr>
                <w:rFonts w:ascii="Arial" w:cs="Arial" w:eastAsia="Arial" w:hAnsi="Arial"/>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Sema4 Holdings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SMFR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5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20" w:type="dxa"/>
            <w:vAlign w:val="bottom"/>
          </w:tcPr>
          <w:p>
            <w:pPr>
              <w:ind w:left="120"/>
              <w:spacing w:after="0"/>
              <w:rPr>
                <w:sz w:val="20"/>
                <w:szCs w:val="20"/>
                <w:color w:val="auto"/>
              </w:rPr>
            </w:pPr>
            <w:r>
              <w:rPr>
                <w:rFonts w:ascii="Arial" w:cs="Arial" w:eastAsia="Arial" w:hAnsi="Arial"/>
                <w:sz w:val="15"/>
                <w:szCs w:val="15"/>
                <w:b w:val="1"/>
                <w:bCs w:val="1"/>
                <w:color w:val="auto"/>
              </w:rPr>
              <w:t>2. Amount of Securities</w:t>
            </w: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380" w:type="dxa"/>
            <w:vAlign w:val="bottom"/>
            <w:gridSpan w:val="4"/>
          </w:tcPr>
          <w:p>
            <w:pPr>
              <w:ind w:left="12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4)</w:t>
            </w:r>
          </w:p>
        </w:tc>
        <w:tc>
          <w:tcPr>
            <w:tcW w:w="1560" w:type="dxa"/>
            <w:vAlign w:val="bottom"/>
            <w:gridSpan w:val="3"/>
          </w:tcPr>
          <w:p>
            <w:pPr>
              <w:ind w:left="380"/>
              <w:spacing w:after="0" w:line="165" w:lineRule="exact"/>
              <w:rPr>
                <w:sz w:val="20"/>
                <w:szCs w:val="20"/>
                <w:color w:val="auto"/>
              </w:rPr>
            </w:pPr>
            <w:r>
              <w:rPr>
                <w:rFonts w:ascii="Arial" w:cs="Arial" w:eastAsia="Arial" w:hAnsi="Arial"/>
                <w:sz w:val="15"/>
                <w:szCs w:val="15"/>
                <w:b w:val="1"/>
                <w:bCs w:val="1"/>
                <w:color w:val="auto"/>
              </w:rPr>
              <w:t>(D) or Indirect</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560" w:type="dxa"/>
            <w:vAlign w:val="bottom"/>
            <w:gridSpan w:val="3"/>
          </w:tcPr>
          <w:p>
            <w:pPr>
              <w:ind w:left="380"/>
              <w:spacing w:after="0"/>
              <w:rPr>
                <w:sz w:val="20"/>
                <w:szCs w:val="20"/>
                <w:color w:val="auto"/>
              </w:rPr>
            </w:pPr>
            <w:r>
              <w:rPr>
                <w:rFonts w:ascii="Arial" w:cs="Arial" w:eastAsia="Arial" w:hAnsi="Arial"/>
                <w:sz w:val="15"/>
                <w:szCs w:val="15"/>
                <w:b w:val="1"/>
                <w:bCs w:val="1"/>
                <w:color w:val="auto"/>
              </w:rPr>
              <w:t>(I) (Instr. 5)</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5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Class A Common Stock</w:t>
            </w:r>
          </w:p>
        </w:tc>
        <w:tc>
          <w:tcPr>
            <w:tcW w:w="3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tcPr>
          <w:p>
            <w:pPr>
              <w:ind w:left="640"/>
              <w:spacing w:after="0"/>
              <w:rPr>
                <w:sz w:val="20"/>
                <w:szCs w:val="20"/>
                <w:color w:val="auto"/>
              </w:rPr>
            </w:pPr>
            <w:r>
              <w:rPr>
                <w:rFonts w:ascii="Arial" w:cs="Arial" w:eastAsia="Arial" w:hAnsi="Arial"/>
                <w:sz w:val="20"/>
                <w:szCs w:val="20"/>
                <w:color w:val="0000FF"/>
              </w:rPr>
              <w:t>15,493,750</w:t>
            </w:r>
          </w:p>
        </w:tc>
        <w:tc>
          <w:tcPr>
            <w:tcW w:w="8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right"/>
              <w:ind w:right="565"/>
              <w:spacing w:after="0"/>
              <w:rPr>
                <w:sz w:val="20"/>
                <w:szCs w:val="20"/>
                <w:color w:val="auto"/>
              </w:rPr>
            </w:pPr>
            <w:r>
              <w:rPr>
                <w:rFonts w:ascii="Arial" w:cs="Arial" w:eastAsia="Arial" w:hAnsi="Arial"/>
                <w:sz w:val="20"/>
                <w:szCs w:val="20"/>
                <w:color w:val="0000FF"/>
              </w:rPr>
              <w:t>I</w:t>
            </w:r>
          </w:p>
        </w:tc>
        <w:tc>
          <w:tcPr>
            <w:tcW w:w="2780" w:type="dxa"/>
            <w:vAlign w:val="bottom"/>
            <w:tcBorders>
              <w:bottom w:val="single" w:sz="8" w:color="2C2C2C"/>
            </w:tcBorders>
            <w:gridSpan w:val="4"/>
          </w:tcPr>
          <w:p>
            <w:pPr>
              <w:spacing w:after="0"/>
              <w:rPr>
                <w:sz w:val="20"/>
                <w:szCs w:val="20"/>
                <w:color w:val="auto"/>
              </w:rPr>
            </w:pPr>
            <w:r>
              <w:rPr>
                <w:rFonts w:ascii="Arial" w:cs="Arial" w:eastAsia="Arial" w:hAnsi="Arial"/>
                <w:sz w:val="20"/>
                <w:szCs w:val="20"/>
                <w:color w:val="0000FF"/>
              </w:rPr>
              <w:t>See footnotes</w:t>
            </w:r>
            <w:r>
              <w:rPr>
                <w:rFonts w:ascii="Arial" w:cs="Arial" w:eastAsia="Arial" w:hAnsi="Arial"/>
                <w:sz w:val="25"/>
                <w:szCs w:val="25"/>
                <w:color w:val="008000"/>
                <w:vertAlign w:val="superscript"/>
              </w:rPr>
              <w:t>(1)(2)(3)</w:t>
            </w: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5240" w:type="dxa"/>
            <w:vAlign w:val="bottom"/>
            <w:tcBorders>
              <w:top w:val="single" w:sz="8" w:color="2C2C2C"/>
            </w:tcBorders>
            <w:gridSpan w:val="6"/>
          </w:tcPr>
          <w:p>
            <w:pPr>
              <w:ind w:left="2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60" w:type="dxa"/>
            <w:vAlign w:val="bottom"/>
          </w:tcPr>
          <w:p>
            <w:pPr>
              <w:spacing w:after="0"/>
              <w:rPr>
                <w:sz w:val="22"/>
                <w:szCs w:val="22"/>
                <w:color w:val="auto"/>
              </w:rPr>
            </w:pPr>
          </w:p>
        </w:tc>
        <w:tc>
          <w:tcPr>
            <w:tcW w:w="5580" w:type="dxa"/>
            <w:vAlign w:val="bottom"/>
            <w:gridSpan w:val="7"/>
          </w:tcPr>
          <w:p>
            <w:pPr>
              <w:jc w:val="right"/>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900" w:type="dxa"/>
            <w:vAlign w:val="bottom"/>
            <w:tcBorders>
              <w:bottom w:val="single" w:sz="8" w:color="2C2C2C"/>
            </w:tcBorders>
            <w:gridSpan w:val="2"/>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2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Derivative Security (Instr. 4)   2. Date Exercisable and</w:t>
            </w:r>
          </w:p>
        </w:tc>
        <w:tc>
          <w:tcPr>
            <w:tcW w:w="266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72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2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32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840" w:type="dxa"/>
            <w:vAlign w:val="bottom"/>
            <w:vMerge w:val="restart"/>
          </w:tcPr>
          <w:p>
            <w:pPr>
              <w:ind w:left="40"/>
              <w:spacing w:after="0"/>
              <w:rPr>
                <w:sz w:val="20"/>
                <w:szCs w:val="20"/>
                <w:color w:val="auto"/>
              </w:rPr>
            </w:pPr>
            <w:r>
              <w:rPr>
                <w:rFonts w:ascii="Arial" w:cs="Arial" w:eastAsia="Arial" w:hAnsi="Arial"/>
                <w:sz w:val="15"/>
                <w:szCs w:val="15"/>
                <w:b w:val="1"/>
                <w:bCs w:val="1"/>
                <w:color w:val="auto"/>
              </w:rPr>
              <w:t>Amount or</w:t>
            </w:r>
          </w:p>
        </w:tc>
        <w:tc>
          <w:tcPr>
            <w:tcW w:w="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Number of</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20" w:type="dxa"/>
            <w:vAlign w:val="bottom"/>
            <w:vMerge w:val="continue"/>
          </w:tcPr>
          <w:p>
            <w:pPr>
              <w:spacing w:after="0"/>
              <w:rPr>
                <w:sz w:val="17"/>
                <w:szCs w:val="17"/>
                <w:color w:val="auto"/>
              </w:rPr>
            </w:pPr>
          </w:p>
        </w:tc>
        <w:tc>
          <w:tcPr>
            <w:tcW w:w="840" w:type="dxa"/>
            <w:vAlign w:val="bottom"/>
          </w:tcPr>
          <w:p>
            <w:pPr>
              <w:ind w:left="4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560" w:type="dxa"/>
            <w:vAlign w:val="bottom"/>
          </w:tcPr>
          <w:p>
            <w:pPr>
              <w:ind w:left="80"/>
              <w:spacing w:after="0"/>
              <w:rPr>
                <w:sz w:val="20"/>
                <w:szCs w:val="20"/>
                <w:color w:val="auto"/>
              </w:rPr>
            </w:pPr>
            <w:r>
              <w:rPr>
                <w:rFonts w:ascii="Arial" w:cs="Arial" w:eastAsia="Arial" w:hAnsi="Arial"/>
                <w:sz w:val="20"/>
                <w:szCs w:val="20"/>
                <w:color w:val="0000FF"/>
                <w:w w:val="92"/>
              </w:rPr>
              <w:t>Warrants to purchase Class A</w:t>
            </w:r>
          </w:p>
        </w:tc>
        <w:tc>
          <w:tcPr>
            <w:tcW w:w="1320" w:type="dxa"/>
            <w:vAlign w:val="bottom"/>
            <w:gridSpan w:val="2"/>
            <w:vMerge w:val="restart"/>
          </w:tcPr>
          <w:p>
            <w:pPr>
              <w:jc w:val="right"/>
              <w:ind w:right="80"/>
              <w:spacing w:after="0"/>
              <w:rPr>
                <w:sz w:val="20"/>
                <w:szCs w:val="20"/>
                <w:color w:val="auto"/>
              </w:rPr>
            </w:pPr>
            <w:r>
              <w:rPr>
                <w:rFonts w:ascii="Arial" w:cs="Arial" w:eastAsia="Arial" w:hAnsi="Arial"/>
                <w:sz w:val="15"/>
                <w:szCs w:val="15"/>
                <w:color w:val="0000FF"/>
              </w:rPr>
              <w:t>09/03/2021</w:t>
            </w:r>
          </w:p>
        </w:tc>
        <w:tc>
          <w:tcPr>
            <w:tcW w:w="880" w:type="dxa"/>
            <w:vAlign w:val="bottom"/>
            <w:vMerge w:val="restart"/>
          </w:tcPr>
          <w:p>
            <w:pPr>
              <w:jc w:val="right"/>
              <w:ind w:right="25"/>
              <w:spacing w:after="0"/>
              <w:rPr>
                <w:sz w:val="20"/>
                <w:szCs w:val="20"/>
                <w:color w:val="auto"/>
              </w:rPr>
            </w:pPr>
            <w:r>
              <w:rPr>
                <w:rFonts w:ascii="Arial" w:cs="Arial" w:eastAsia="Arial" w:hAnsi="Arial"/>
                <w:sz w:val="15"/>
                <w:szCs w:val="15"/>
                <w:color w:val="0000FF"/>
              </w:rPr>
              <w:t>07/22/2026</w:t>
            </w:r>
          </w:p>
        </w:tc>
        <w:tc>
          <w:tcPr>
            <w:tcW w:w="1820" w:type="dxa"/>
            <w:vAlign w:val="bottom"/>
          </w:tcPr>
          <w:p>
            <w:pPr>
              <w:ind w:left="200"/>
              <w:spacing w:after="0"/>
              <w:rPr>
                <w:sz w:val="20"/>
                <w:szCs w:val="20"/>
                <w:color w:val="auto"/>
              </w:rPr>
            </w:pPr>
            <w:r>
              <w:rPr>
                <w:rFonts w:ascii="Arial" w:cs="Arial" w:eastAsia="Arial" w:hAnsi="Arial"/>
                <w:sz w:val="20"/>
                <w:szCs w:val="20"/>
                <w:color w:val="0000FF"/>
              </w:rPr>
              <w:t>Class A Common</w:t>
            </w:r>
          </w:p>
        </w:tc>
        <w:tc>
          <w:tcPr>
            <w:tcW w:w="840" w:type="dxa"/>
            <w:vAlign w:val="bottom"/>
            <w:vMerge w:val="restart"/>
          </w:tcPr>
          <w:p>
            <w:pPr>
              <w:ind w:left="40"/>
              <w:spacing w:after="0"/>
              <w:rPr>
                <w:sz w:val="20"/>
                <w:szCs w:val="20"/>
                <w:color w:val="auto"/>
              </w:rPr>
            </w:pPr>
            <w:r>
              <w:rPr>
                <w:rFonts w:ascii="Arial" w:cs="Arial" w:eastAsia="Arial" w:hAnsi="Arial"/>
                <w:sz w:val="20"/>
                <w:szCs w:val="20"/>
                <w:color w:val="0000FF"/>
                <w:w w:val="87"/>
              </w:rPr>
              <w:t>6,736,669</w:t>
            </w:r>
          </w:p>
        </w:tc>
        <w:tc>
          <w:tcPr>
            <w:tcW w:w="720" w:type="dxa"/>
            <w:vAlign w:val="bottom"/>
            <w:gridSpan w:val="2"/>
            <w:vMerge w:val="restart"/>
          </w:tcPr>
          <w:p>
            <w:pPr>
              <w:jc w:val="right"/>
              <w:spacing w:after="0"/>
              <w:rPr>
                <w:sz w:val="20"/>
                <w:szCs w:val="20"/>
                <w:color w:val="auto"/>
              </w:rPr>
            </w:pPr>
            <w:r>
              <w:rPr>
                <w:rFonts w:ascii="Arial" w:cs="Arial" w:eastAsia="Arial" w:hAnsi="Arial"/>
                <w:sz w:val="20"/>
                <w:szCs w:val="20"/>
                <w:color w:val="0000FF"/>
              </w:rPr>
              <w:t>11.5</w:t>
            </w:r>
          </w:p>
        </w:tc>
        <w:tc>
          <w:tcPr>
            <w:tcW w:w="320" w:type="dxa"/>
            <w:vAlign w:val="bottom"/>
          </w:tcPr>
          <w:p>
            <w:pPr>
              <w:spacing w:after="0"/>
              <w:rPr>
                <w:sz w:val="24"/>
                <w:szCs w:val="24"/>
                <w:color w:val="auto"/>
              </w:rPr>
            </w:pPr>
          </w:p>
        </w:tc>
        <w:tc>
          <w:tcPr>
            <w:tcW w:w="940" w:type="dxa"/>
            <w:vAlign w:val="bottom"/>
            <w:vMerge w:val="restart"/>
          </w:tcPr>
          <w:p>
            <w:pPr>
              <w:ind w:left="440"/>
              <w:spacing w:after="0"/>
              <w:rPr>
                <w:sz w:val="20"/>
                <w:szCs w:val="20"/>
                <w:color w:val="auto"/>
              </w:rPr>
            </w:pPr>
            <w:r>
              <w:rPr>
                <w:rFonts w:ascii="Arial" w:cs="Arial" w:eastAsia="Arial" w:hAnsi="Arial"/>
                <w:sz w:val="20"/>
                <w:szCs w:val="20"/>
                <w:color w:val="0000FF"/>
              </w:rPr>
              <w:t>I</w:t>
            </w:r>
          </w:p>
        </w:tc>
        <w:tc>
          <w:tcPr>
            <w:tcW w:w="1520" w:type="dxa"/>
            <w:vAlign w:val="bottom"/>
            <w:gridSpan w:val="2"/>
            <w:vMerge w:val="restart"/>
          </w:tcPr>
          <w:p>
            <w:pPr>
              <w:ind w:left="80"/>
              <w:spacing w:after="0"/>
              <w:rPr>
                <w:sz w:val="20"/>
                <w:szCs w:val="20"/>
                <w:color w:val="auto"/>
              </w:rPr>
            </w:pPr>
            <w:r>
              <w:rPr>
                <w:rFonts w:ascii="Arial" w:cs="Arial" w:eastAsia="Arial" w:hAnsi="Arial"/>
                <w:sz w:val="20"/>
                <w:szCs w:val="20"/>
                <w:color w:val="0000FF"/>
                <w:w w:val="86"/>
              </w:rPr>
              <w:t>See footnotes</w:t>
            </w:r>
            <w:r>
              <w:rPr>
                <w:rFonts w:ascii="Arial" w:cs="Arial" w:eastAsia="Arial" w:hAnsi="Arial"/>
                <w:sz w:val="25"/>
                <w:szCs w:val="25"/>
                <w:color w:val="008000"/>
                <w:w w:val="86"/>
                <w:vertAlign w:val="superscript"/>
              </w:rPr>
              <w:t>(1)(3)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60" w:type="dxa"/>
            <w:vAlign w:val="bottom"/>
            <w:vMerge w:val="restart"/>
          </w:tcPr>
          <w:p>
            <w:pPr>
              <w:ind w:left="80"/>
              <w:spacing w:after="0"/>
              <w:rPr>
                <w:sz w:val="20"/>
                <w:szCs w:val="20"/>
                <w:color w:val="auto"/>
              </w:rPr>
            </w:pPr>
            <w:r>
              <w:rPr>
                <w:rFonts w:ascii="Arial" w:cs="Arial" w:eastAsia="Arial" w:hAnsi="Arial"/>
                <w:sz w:val="20"/>
                <w:szCs w:val="20"/>
                <w:color w:val="0000FF"/>
              </w:rPr>
              <w:t>Common Stock</w:t>
            </w:r>
          </w:p>
        </w:tc>
        <w:tc>
          <w:tcPr>
            <w:tcW w:w="132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820" w:type="dxa"/>
            <w:vAlign w:val="bottom"/>
            <w:vMerge w:val="restart"/>
          </w:tcPr>
          <w:p>
            <w:pPr>
              <w:ind w:left="680"/>
              <w:spacing w:after="0"/>
              <w:rPr>
                <w:sz w:val="20"/>
                <w:szCs w:val="20"/>
                <w:color w:val="auto"/>
              </w:rPr>
            </w:pPr>
            <w:r>
              <w:rPr>
                <w:rFonts w:ascii="Arial" w:cs="Arial" w:eastAsia="Arial" w:hAnsi="Arial"/>
                <w:sz w:val="20"/>
                <w:szCs w:val="20"/>
                <w:color w:val="0000FF"/>
              </w:rPr>
              <w:t>Stock</w:t>
            </w:r>
          </w:p>
        </w:tc>
        <w:tc>
          <w:tcPr>
            <w:tcW w:w="840" w:type="dxa"/>
            <w:vAlign w:val="bottom"/>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5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1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61" w:lineRule="exact"/>
        <w:rPr>
          <w:sz w:val="24"/>
          <w:szCs w:val="24"/>
          <w:color w:val="auto"/>
        </w:rPr>
      </w:pPr>
    </w:p>
    <w:p>
      <w:pPr>
        <w:ind w:left="40" w:right="18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CMLS Holdings LLC ("CMLS Holdings") is the record holder of 10,993,750 shares of the Class A common stock, par value $0.0001 per share ("Class A Common Stock") reported herein and all 6,736,669 of the warrants reported herein. Mr. Meister is one of two members of the Board of Managers of CMLS Holdings, and Mr. Meister shares voting and investment discretion with respect to the securities held of record by CMLS Holdings.</w:t>
      </w:r>
    </w:p>
    <w:p>
      <w:pPr>
        <w:spacing w:after="0" w:line="35" w:lineRule="exact"/>
        <w:rPr>
          <w:rFonts w:ascii="Arial" w:cs="Arial" w:eastAsia="Arial" w:hAnsi="Arial"/>
          <w:sz w:val="15"/>
          <w:szCs w:val="15"/>
          <w:color w:val="008000"/>
        </w:rPr>
      </w:pPr>
    </w:p>
    <w:p>
      <w:pPr>
        <w:ind w:left="40" w:right="220" w:firstLine="5"/>
        <w:spacing w:after="0" w:line="253"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Investment funds advised by Corvex Management LP are the record holders of 4,500,000 shares of the Class A Common Stock reported herein. Mr. Meister may be deemed to be indirectly beneficially own these shares by virtue of Mr. Meister's control of the general partner of Corvex Management LP.</w:t>
      </w:r>
    </w:p>
    <w:p>
      <w:pPr>
        <w:spacing w:after="0" w:line="26" w:lineRule="exact"/>
        <w:rPr>
          <w:rFonts w:ascii="Arial" w:cs="Arial" w:eastAsia="Arial" w:hAnsi="Arial"/>
          <w:sz w:val="15"/>
          <w:szCs w:val="15"/>
          <w:color w:val="008000"/>
        </w:rPr>
      </w:pPr>
    </w:p>
    <w:p>
      <w:pPr>
        <w:ind w:left="40" w:right="180" w:firstLine="5"/>
        <w:spacing w:after="0" w:line="241" w:lineRule="auto"/>
        <w:tabs>
          <w:tab w:leader="none" w:pos="190" w:val="left"/>
        </w:tabs>
        <w:numPr>
          <w:ilvl w:val="0"/>
          <w:numId w:val="1"/>
        </w:numPr>
        <w:rPr>
          <w:rFonts w:ascii="Arial" w:cs="Arial" w:eastAsia="Arial" w:hAnsi="Arial"/>
          <w:sz w:val="15"/>
          <w:szCs w:val="15"/>
          <w:color w:val="008000"/>
        </w:rPr>
      </w:pPr>
      <w:r>
        <w:rPr>
          <w:rFonts w:ascii="Arial" w:cs="Arial" w:eastAsia="Arial" w:hAnsi="Arial"/>
          <w:sz w:val="15"/>
          <w:szCs w:val="15"/>
          <w:color w:val="008000"/>
        </w:rPr>
        <w:t>For the purposes of this filing, Mr. Meister disclaims beneficial ownership of the reported securities except to the extent of his pecuniary interest therein. This filing shall not be deemed an admission that Mr. Meister is the beneficial owner of any of the reported securities for purposes of Section 16 of the Securities Exchange Act of 1934, as amended, or otherwise.</w:t>
      </w:r>
    </w:p>
    <w:p>
      <w:pPr>
        <w:spacing w:after="0" w:line="4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20"/>
                <w:szCs w:val="20"/>
                <w:color w:val="0000FF"/>
              </w:rPr>
              <w:t>/s/ Keith A. Meister</w:t>
            </w:r>
          </w:p>
        </w:tc>
        <w:tc>
          <w:tcPr>
            <w:tcW w:w="900" w:type="dxa"/>
            <w:vAlign w:val="bottom"/>
          </w:tcPr>
          <w:p>
            <w:pPr>
              <w:spacing w:after="0"/>
              <w:rPr>
                <w:sz w:val="20"/>
                <w:szCs w:val="20"/>
                <w:color w:val="auto"/>
              </w:rPr>
            </w:pPr>
            <w:r>
              <w:rPr>
                <w:rFonts w:ascii="Arial" w:cs="Arial" w:eastAsia="Arial" w:hAnsi="Arial"/>
                <w:sz w:val="20"/>
                <w:szCs w:val="20"/>
                <w:color w:val="0000FF"/>
                <w:w w:val="87"/>
              </w:rPr>
              <w:t>01/25/2022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6"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07631" TargetMode="External"/><Relationship Id="rId11"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2022-01-25T11:19:23Z</dcterms:created>
  <dcterms:modified xsi:type="dcterms:W3CDTF">2022-01-25T11:19:23Z</dcterms:modified>
</cp:coreProperties>
</file>