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Clark Daniel Emmett</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01/28/2022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05"/>
        <w:spacing w:after="0"/>
        <w:rPr>
          <w:sz w:val="20"/>
          <w:szCs w:val="20"/>
          <w:color w:val="auto"/>
        </w:rPr>
      </w:pPr>
      <w:r>
        <w:rPr>
          <w:rFonts w:ascii="Arial" w:cs="Arial" w:eastAsia="Arial" w:hAnsi="Arial"/>
          <w:sz w:val="17"/>
          <w:szCs w:val="17"/>
          <w:color w:val="0000FF"/>
        </w:rPr>
        <w:t>Secretary and General Counsel</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01/28/2022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1,512</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2.8423</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306,819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p>
      <w:pPr>
        <w:spacing w:after="0" w:line="1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$2.84 to $2.93,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Daniel Clark</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02/02/2022</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44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2022-02-02T20:28:33Z</dcterms:created>
  <dcterms:modified xsi:type="dcterms:W3CDTF">2022-02-02T20:28:33Z</dcterms:modified>
</cp:coreProperties>
</file>