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870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87045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20" w:type="dxa"/>
            <w:vAlign w:val="bottom"/>
            <w:gridSpan w:val="8"/>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PFENNIGER RICHARD C JR</w:t>
              </w:r>
            </w:hyperlink>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20" w:type="dxa"/>
            <w:vAlign w:val="bottom"/>
            <w:gridSpan w:val="8"/>
          </w:tcPr>
          <w:p>
            <w:pPr>
              <w:ind w:left="60"/>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GeneDx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WGS</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6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gridSpan w:val="7"/>
            <w:vMerge w:val="continue"/>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9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60" w:type="dxa"/>
            <w:vAlign w:val="bottom"/>
            <w:gridSpan w:val="7"/>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2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96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92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920" w:type="dxa"/>
            <w:vAlign w:val="bottom"/>
            <w:gridSpan w:val="8"/>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20" w:type="dxa"/>
            <w:vAlign w:val="bottom"/>
            <w:gridSpan w:val="8"/>
            <w:vMerge w:val="continue"/>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640" w:type="dxa"/>
            <w:vAlign w:val="bottom"/>
            <w:gridSpan w:val="5"/>
            <w:vMerge w:val="restart"/>
          </w:tcPr>
          <w:p>
            <w:pPr>
              <w:ind w:left="240"/>
              <w:spacing w:after="0"/>
              <w:rPr>
                <w:sz w:val="20"/>
                <w:szCs w:val="20"/>
                <w:color w:val="auto"/>
              </w:rPr>
            </w:pPr>
            <w:r>
              <w:rPr>
                <w:rFonts w:ascii="Arial" w:cs="Arial" w:eastAsia="Arial" w:hAnsi="Arial"/>
                <w:sz w:val="17"/>
                <w:szCs w:val="17"/>
                <w:color w:val="0000FF"/>
              </w:rPr>
              <w:t>05/02/2023</w:t>
            </w: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w w:val="93"/>
              </w:rPr>
              <w:t>C/O GENEDX HOLDINGS CORP.</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40" w:type="dxa"/>
            <w:vAlign w:val="bottom"/>
            <w:gridSpan w:val="5"/>
            <w:vMerge w:val="continue"/>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Arial" w:cs="Arial" w:eastAsia="Arial" w:hAnsi="Arial"/>
                <w:sz w:val="17"/>
                <w:szCs w:val="17"/>
                <w:color w:val="0000FF"/>
                <w:w w:val="93"/>
              </w:rPr>
              <w:t>333 LUDLOW ST, NORTH TOWER, 6TH FLOOR</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600" w:type="dxa"/>
            <w:vAlign w:val="bottom"/>
            <w:gridSpan w:val="10"/>
            <w:vMerge w:val="continue"/>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96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tcPr>
          <w:p>
            <w:pPr>
              <w:spacing w:after="0"/>
              <w:rPr>
                <w:sz w:val="20"/>
                <w:szCs w:val="20"/>
                <w:color w:val="auto"/>
              </w:rPr>
            </w:pPr>
            <w:r>
              <w:rPr>
                <w:rFonts w:ascii="Arial" w:cs="Arial" w:eastAsia="Arial" w:hAnsi="Arial"/>
                <w:sz w:val="17"/>
                <w:szCs w:val="17"/>
                <w:color w:val="0000FF"/>
                <w:w w:val="79"/>
              </w:rPr>
              <w:t>CT</w:t>
            </w:r>
          </w:p>
        </w:tc>
        <w:tc>
          <w:tcPr>
            <w:tcW w:w="1020" w:type="dxa"/>
            <w:vAlign w:val="bottom"/>
          </w:tcPr>
          <w:p>
            <w:pPr>
              <w:spacing w:after="0"/>
              <w:rPr>
                <w:sz w:val="19"/>
                <w:szCs w:val="19"/>
                <w:color w:val="auto"/>
              </w:rPr>
            </w:pPr>
          </w:p>
        </w:tc>
        <w:tc>
          <w:tcPr>
            <w:tcW w:w="1100" w:type="dxa"/>
            <w:vAlign w:val="bottom"/>
            <w:gridSpan w:val="2"/>
          </w:tcPr>
          <w:p>
            <w:pPr>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160" w:type="dxa"/>
            <w:vAlign w:val="bottom"/>
            <w:tcBorders>
              <w:bottom w:val="single" w:sz="8" w:color="2C2C2C"/>
            </w:tcBorders>
            <w:gridSpan w:val="2"/>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74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20"/>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5"/>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 w:type="dxa"/>
            <w:vAlign w:val="bottom"/>
          </w:tcPr>
          <w:p>
            <w:pPr>
              <w:spacing w:after="0"/>
              <w:rPr>
                <w:sz w:val="14"/>
                <w:szCs w:val="14"/>
                <w:color w:val="auto"/>
              </w:rPr>
            </w:pPr>
          </w:p>
        </w:tc>
        <w:tc>
          <w:tcPr>
            <w:tcW w:w="1680" w:type="dxa"/>
            <w:vAlign w:val="bottom"/>
            <w:gridSpan w:val="5"/>
          </w:tcPr>
          <w:p>
            <w:pPr>
              <w:ind w:left="62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62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ind w:left="62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6"/>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5"/>
          </w:tcPr>
          <w:p>
            <w:pPr>
              <w:ind w:left="62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3"/>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40" w:type="dxa"/>
            <w:vAlign w:val="bottom"/>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820" w:type="dxa"/>
            <w:vAlign w:val="bottom"/>
            <w:gridSpan w:val="6"/>
          </w:tcPr>
          <w:p>
            <w:pPr>
              <w:ind w:left="860"/>
              <w:spacing w:after="0"/>
              <w:rPr>
                <w:sz w:val="20"/>
                <w:szCs w:val="20"/>
                <w:color w:val="auto"/>
              </w:rPr>
            </w:pPr>
            <w:r>
              <w:rPr>
                <w:rFonts w:ascii="Arial" w:cs="Arial" w:eastAsia="Arial" w:hAnsi="Arial"/>
                <w:sz w:val="17"/>
                <w:szCs w:val="17"/>
                <w:color w:val="0000FF"/>
              </w:rPr>
              <w:t>05/02/2023</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gridSpan w:val="2"/>
          </w:tcPr>
          <w:p>
            <w:pPr>
              <w:ind w:left="160"/>
              <w:spacing w:after="0"/>
              <w:rPr>
                <w:sz w:val="20"/>
                <w:szCs w:val="20"/>
                <w:color w:val="auto"/>
              </w:rPr>
            </w:pPr>
            <w:r>
              <w:rPr>
                <w:rFonts w:ascii="Arial" w:cs="Arial" w:eastAsia="Arial" w:hAnsi="Arial"/>
                <w:sz w:val="13"/>
                <w:szCs w:val="13"/>
                <w:color w:val="0000FF"/>
              </w:rPr>
              <w:t>M</w:t>
            </w:r>
          </w:p>
        </w:tc>
        <w:tc>
          <w:tcPr>
            <w:tcW w:w="160" w:type="dxa"/>
            <w:vAlign w:val="bottom"/>
          </w:tcPr>
          <w:p>
            <w:pPr>
              <w:spacing w:after="0"/>
              <w:rPr>
                <w:sz w:val="22"/>
                <w:szCs w:val="22"/>
                <w:color w:val="auto"/>
              </w:rPr>
            </w:pPr>
          </w:p>
        </w:tc>
        <w:tc>
          <w:tcPr>
            <w:tcW w:w="620" w:type="dxa"/>
            <w:vAlign w:val="bottom"/>
            <w:gridSpan w:val="2"/>
          </w:tcPr>
          <w:p>
            <w:pPr>
              <w:ind w:left="160"/>
              <w:spacing w:after="0"/>
              <w:rPr>
                <w:sz w:val="20"/>
                <w:szCs w:val="20"/>
                <w:color w:val="auto"/>
              </w:rPr>
            </w:pPr>
            <w:r>
              <w:rPr>
                <w:rFonts w:ascii="Arial" w:cs="Arial" w:eastAsia="Arial" w:hAnsi="Arial"/>
                <w:sz w:val="17"/>
                <w:szCs w:val="17"/>
                <w:color w:val="0000FF"/>
                <w:w w:val="84"/>
              </w:rPr>
              <w:t>30,303</w:t>
            </w:r>
          </w:p>
        </w:tc>
        <w:tc>
          <w:tcPr>
            <w:tcW w:w="600" w:type="dxa"/>
            <w:vAlign w:val="bottom"/>
          </w:tcPr>
          <w:p>
            <w:pPr>
              <w:ind w:left="360"/>
              <w:spacing w:after="0"/>
              <w:rPr>
                <w:sz w:val="20"/>
                <w:szCs w:val="20"/>
                <w:color w:val="auto"/>
              </w:rPr>
            </w:pPr>
            <w:r>
              <w:rPr>
                <w:rFonts w:ascii="Arial" w:cs="Arial" w:eastAsia="Arial" w:hAnsi="Arial"/>
                <w:sz w:val="17"/>
                <w:szCs w:val="17"/>
                <w:color w:val="0000FF"/>
              </w:rPr>
              <w:t>A</w:t>
            </w:r>
          </w:p>
        </w:tc>
        <w:tc>
          <w:tcPr>
            <w:tcW w:w="580" w:type="dxa"/>
            <w:vAlign w:val="bottom"/>
            <w:gridSpan w:val="3"/>
          </w:tcPr>
          <w:p>
            <w:pPr>
              <w:ind w:left="18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300" w:type="dxa"/>
            <w:vAlign w:val="bottom"/>
            <w:gridSpan w:val="3"/>
          </w:tcPr>
          <w:p>
            <w:pPr>
              <w:ind w:left="440"/>
              <w:spacing w:after="0"/>
              <w:rPr>
                <w:sz w:val="20"/>
                <w:szCs w:val="20"/>
                <w:color w:val="auto"/>
              </w:rPr>
            </w:pPr>
            <w:r>
              <w:rPr>
                <w:rFonts w:ascii="Arial" w:cs="Arial" w:eastAsia="Arial" w:hAnsi="Arial"/>
                <w:sz w:val="17"/>
                <w:szCs w:val="17"/>
                <w:color w:val="0000FF"/>
              </w:rPr>
              <w:t>30,303</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520" w:type="dxa"/>
            <w:vAlign w:val="bottom"/>
            <w:tcBorders>
              <w:bottom w:val="single" w:sz="8" w:color="2C2C2C"/>
            </w:tcBorders>
            <w:gridSpan w:val="3"/>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7"/>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180" w:type="dxa"/>
            <w:vAlign w:val="bottom"/>
            <w:tcBorders>
              <w:top w:val="single" w:sz="8" w:color="2C2C2C"/>
            </w:tcBorders>
            <w:gridSpan w:val="20"/>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20" w:type="dxa"/>
            <w:vAlign w:val="bottom"/>
            <w:gridSpan w:val="16"/>
          </w:tcPr>
          <w:p>
            <w:pPr>
              <w:jc w:val="right"/>
              <w:ind w:right="1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2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(2)</w:t>
            </w:r>
          </w:p>
        </w:tc>
        <w:tc>
          <w:tcPr>
            <w:tcW w:w="80" w:type="dxa"/>
            <w:vAlign w:val="bottom"/>
          </w:tcPr>
          <w:p>
            <w:pPr>
              <w:spacing w:after="0"/>
              <w:rPr>
                <w:sz w:val="16"/>
                <w:szCs w:val="16"/>
                <w:color w:val="auto"/>
              </w:rPr>
            </w:pPr>
          </w:p>
        </w:tc>
        <w:tc>
          <w:tcPr>
            <w:tcW w:w="600" w:type="dxa"/>
            <w:vAlign w:val="bottom"/>
          </w:tcPr>
          <w:p>
            <w:pPr>
              <w:jc w:val="center"/>
              <w:ind w:right="94"/>
              <w:spacing w:after="0"/>
              <w:rPr>
                <w:sz w:val="20"/>
                <w:szCs w:val="20"/>
                <w:color w:val="auto"/>
              </w:rPr>
            </w:pPr>
            <w:r>
              <w:rPr>
                <w:rFonts w:ascii="Arial" w:cs="Arial" w:eastAsia="Arial" w:hAnsi="Arial"/>
                <w:sz w:val="13"/>
                <w:szCs w:val="13"/>
                <w:color w:val="0000FF"/>
                <w:w w:val="89"/>
              </w:rPr>
              <w:t>Class A</w:t>
            </w:r>
          </w:p>
        </w:tc>
        <w:tc>
          <w:tcPr>
            <w:tcW w:w="520" w:type="dxa"/>
            <w:vAlign w:val="bottom"/>
            <w:gridSpan w:val="2"/>
            <w:vMerge w:val="restart"/>
          </w:tcPr>
          <w:p>
            <w:pPr>
              <w:spacing w:after="0"/>
              <w:rPr>
                <w:sz w:val="20"/>
                <w:szCs w:val="20"/>
                <w:color w:val="auto"/>
              </w:rPr>
            </w:pPr>
            <w:r>
              <w:rPr>
                <w:rFonts w:ascii="Arial" w:cs="Arial" w:eastAsia="Arial" w:hAnsi="Arial"/>
                <w:sz w:val="17"/>
                <w:szCs w:val="17"/>
                <w:color w:val="0000FF"/>
                <w:w w:val="96"/>
              </w:rPr>
              <w:t>60,606</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05/02/2023</w:t>
            </w: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920" w:type="dxa"/>
            <w:vAlign w:val="bottom"/>
            <w:vMerge w:val="restart"/>
          </w:tcPr>
          <w:p>
            <w:pPr>
              <w:ind w:left="460"/>
              <w:spacing w:after="0" w:line="142" w:lineRule="exact"/>
              <w:rPr>
                <w:sz w:val="20"/>
                <w:szCs w:val="20"/>
                <w:color w:val="auto"/>
              </w:rPr>
            </w:pPr>
            <w:r>
              <w:rPr>
                <w:rFonts w:ascii="Arial" w:cs="Arial" w:eastAsia="Arial" w:hAnsi="Arial"/>
                <w:sz w:val="13"/>
                <w:szCs w:val="13"/>
                <w:color w:val="0000FF"/>
              </w:rPr>
              <w:t>30,303</w:t>
            </w:r>
          </w:p>
        </w:tc>
        <w:tc>
          <w:tcPr>
            <w:tcW w:w="6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gridSpan w:val="3"/>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6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jc w:val="center"/>
              <w:ind w:right="74"/>
              <w:spacing w:after="0"/>
              <w:rPr>
                <w:sz w:val="20"/>
                <w:szCs w:val="20"/>
                <w:color w:val="auto"/>
              </w:rPr>
            </w:pPr>
            <w:r>
              <w:rPr>
                <w:rFonts w:ascii="Arial" w:cs="Arial" w:eastAsia="Arial" w:hAnsi="Arial"/>
                <w:sz w:val="13"/>
                <w:szCs w:val="13"/>
                <w:color w:val="0000FF"/>
                <w:w w:val="92"/>
              </w:rPr>
              <w:t>Stock</w:t>
            </w: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48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underlying shares vest as to 1/3 of the total award annually beginning on May 2, 2023 until fully vested, subject to the Reporting Person continuing to provide services to the Issuer on the applicable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8" w:lineRule="exact"/>
        <w:rPr>
          <w:sz w:val="20"/>
          <w:szCs w:val="20"/>
          <w:color w:val="auto"/>
        </w:rPr>
      </w:pPr>
    </w:p>
    <w:p>
      <w:pPr>
        <w:ind w:left="40" w:right="300"/>
        <w:spacing w:after="0" w:line="248" w:lineRule="auto"/>
        <w:rPr>
          <w:sz w:val="20"/>
          <w:szCs w:val="20"/>
          <w:color w:val="auto"/>
        </w:rPr>
      </w:pPr>
      <w:r>
        <w:rPr>
          <w:rFonts w:ascii="Arial" w:cs="Arial" w:eastAsia="Arial" w:hAnsi="Arial"/>
          <w:sz w:val="13"/>
          <w:szCs w:val="13"/>
          <w:color w:val="008000"/>
        </w:rPr>
        <w:t>For avoidance of doubt, all numbers above are presented before giving effect to the 33:1 reverse stock split the Issuer's stockholders approved on April 14, 2023, which was previously disclosed in the Current Reports on Form 8-K filed by the Issuer on April 17, 2023 and April 28, 2023, and which shall become effective on May 4, 2023.</w:t>
      </w:r>
    </w:p>
    <w:p>
      <w:pPr>
        <w:ind w:left="6600"/>
        <w:spacing w:after="0" w:line="184" w:lineRule="auto"/>
        <w:rPr>
          <w:sz w:val="20"/>
          <w:szCs w:val="20"/>
          <w:color w:val="auto"/>
        </w:rPr>
      </w:pPr>
      <w:r>
        <w:rPr>
          <w:rFonts w:ascii="Arial" w:cs="Arial" w:eastAsia="Arial" w:hAnsi="Arial"/>
          <w:sz w:val="16"/>
          <w:szCs w:val="16"/>
          <w:color w:val="0000FF"/>
        </w:rPr>
        <w:t xml:space="preserve">/s/ Eunkyung Lee, Attorney-in- </w:t>
      </w:r>
      <w:r>
        <w:rPr>
          <w:rFonts w:ascii="Arial" w:cs="Arial" w:eastAsia="Arial" w:hAnsi="Arial"/>
          <w:sz w:val="31"/>
          <w:szCs w:val="31"/>
          <w:color w:val="0000FF"/>
          <w:vertAlign w:val="subscript"/>
        </w:rPr>
        <w:t>05/04/2023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379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37"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7" w:lineRule="exact"/>
        <w:rPr>
          <w:sz w:val="20"/>
          <w:szCs w:val="20"/>
          <w:color w:val="auto"/>
        </w:rPr>
      </w:pPr>
    </w:p>
    <w:p>
      <w:pPr>
        <w:ind w:right="1639" w:firstLine="806"/>
        <w:spacing w:after="0" w:line="239" w:lineRule="auto"/>
        <w:rPr>
          <w:sz w:val="20"/>
          <w:szCs w:val="20"/>
          <w:color w:val="auto"/>
        </w:rPr>
      </w:pPr>
      <w:r>
        <w:rPr>
          <w:rFonts w:ascii="Courier New" w:cs="Courier New" w:eastAsia="Courier New" w:hAnsi="Courier New"/>
          <w:sz w:val="17"/>
          <w:szCs w:val="17"/>
          <w:color w:val="auto"/>
        </w:rPr>
        <w:t>KNOW ALL MEN BY THESE PRESENTS, that the undersigned hereby constitutes and appoints Kevin Feeley, Bridget Brown and Eunkyung Lee as his or her true and lawful attorney-in-fact to:</w:t>
      </w:r>
    </w:p>
    <w:p>
      <w:pPr>
        <w:spacing w:after="0" w:line="199" w:lineRule="exact"/>
        <w:rPr>
          <w:sz w:val="20"/>
          <w:szCs w:val="20"/>
          <w:color w:val="auto"/>
        </w:rPr>
      </w:pPr>
    </w:p>
    <w:p>
      <w:pPr>
        <w:ind w:right="839" w:firstLine="809"/>
        <w:spacing w:after="0" w:line="238" w:lineRule="auto"/>
        <w:tabs>
          <w:tab w:leader="none" w:pos="16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 representative of Sema4 Holdings Corp. (the "Company"), any and all Form</w:t>
      </w:r>
    </w:p>
    <w:p>
      <w:pPr>
        <w:spacing w:after="0" w:line="5" w:lineRule="exact"/>
        <w:rPr>
          <w:rFonts w:ascii="Courier New" w:cs="Courier New" w:eastAsia="Courier New" w:hAnsi="Courier New"/>
          <w:sz w:val="17"/>
          <w:szCs w:val="17"/>
          <w:color w:val="auto"/>
        </w:rPr>
      </w:pPr>
    </w:p>
    <w:p>
      <w:pPr>
        <w:ind w:right="1939"/>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ID, or Form 3, 4 or 5 reports and any amendments thereto required to be filed by the undersigned in accordance with Section 16(a) of the Securities Exchange Act of 1934 (the "Exchange Act") and the rules thereunder with respect to transactions in the Company's securities;</w:t>
      </w:r>
    </w:p>
    <w:p>
      <w:pPr>
        <w:spacing w:after="0" w:line="197" w:lineRule="exact"/>
        <w:rPr>
          <w:rFonts w:ascii="Courier New" w:cs="Courier New" w:eastAsia="Courier New" w:hAnsi="Courier New"/>
          <w:sz w:val="17"/>
          <w:szCs w:val="17"/>
          <w:color w:val="auto"/>
        </w:rPr>
      </w:pPr>
    </w:p>
    <w:p>
      <w:pPr>
        <w:ind w:right="939" w:firstLine="809"/>
        <w:spacing w:after="0" w:line="238" w:lineRule="auto"/>
        <w:tabs>
          <w:tab w:leader="none" w:pos="16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ID, or Form</w:t>
      </w:r>
    </w:p>
    <w:p>
      <w:pPr>
        <w:spacing w:after="0" w:line="5" w:lineRule="exact"/>
        <w:rPr>
          <w:rFonts w:ascii="Courier New" w:cs="Courier New" w:eastAsia="Courier New" w:hAnsi="Courier New"/>
          <w:sz w:val="17"/>
          <w:szCs w:val="17"/>
          <w:color w:val="auto"/>
        </w:rPr>
      </w:pPr>
    </w:p>
    <w:p>
      <w:pPr>
        <w:jc w:val="both"/>
        <w:ind w:right="2239"/>
        <w:spacing w:after="0" w:line="23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 4 or 5 report and any amendments thereto and timely file such reports with the U.S. Securities and Exchange Commission and any stock exchange or similar authority; and</w:t>
      </w:r>
    </w:p>
    <w:p>
      <w:pPr>
        <w:spacing w:after="0" w:line="199" w:lineRule="exact"/>
        <w:rPr>
          <w:rFonts w:ascii="Courier New" w:cs="Courier New" w:eastAsia="Courier New" w:hAnsi="Courier New"/>
          <w:sz w:val="17"/>
          <w:szCs w:val="17"/>
          <w:color w:val="auto"/>
        </w:rPr>
      </w:pPr>
    </w:p>
    <w:p>
      <w:pPr>
        <w:ind w:right="1639" w:firstLine="809"/>
        <w:spacing w:after="0" w:line="256" w:lineRule="auto"/>
        <w:tabs>
          <w:tab w:leader="none" w:pos="161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939"/>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199" w:lineRule="exact"/>
        <w:rPr>
          <w:sz w:val="20"/>
          <w:szCs w:val="20"/>
          <w:color w:val="auto"/>
        </w:rPr>
      </w:pPr>
    </w:p>
    <w:p>
      <w:pPr>
        <w:ind w:right="1939"/>
        <w:spacing w:after="0" w:line="241"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197" w:lineRule="exact"/>
        <w:rPr>
          <w:sz w:val="20"/>
          <w:szCs w:val="20"/>
          <w:color w:val="auto"/>
        </w:rPr>
      </w:pPr>
    </w:p>
    <w:p>
      <w:pPr>
        <w:ind w:right="1939"/>
        <w:spacing w:after="0" w:line="257" w:lineRule="auto"/>
        <w:rPr>
          <w:sz w:val="20"/>
          <w:szCs w:val="20"/>
          <w:color w:val="auto"/>
        </w:rPr>
      </w:pPr>
      <w:r>
        <w:rPr>
          <w:rFonts w:ascii="Courier New" w:cs="Courier New" w:eastAsia="Courier New" w:hAnsi="Courier New"/>
          <w:sz w:val="16"/>
          <w:szCs w:val="16"/>
          <w:color w:val="auto"/>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spacing w:after="0" w:line="189" w:lineRule="exact"/>
        <w:rPr>
          <w:sz w:val="20"/>
          <w:szCs w:val="20"/>
          <w:color w:val="auto"/>
        </w:rPr>
      </w:pPr>
    </w:p>
    <w:p>
      <w:pPr>
        <w:ind w:right="1939"/>
        <w:spacing w:after="0"/>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199" w:lineRule="exact"/>
        <w:rPr>
          <w:sz w:val="20"/>
          <w:szCs w:val="20"/>
          <w:color w:val="auto"/>
        </w:rPr>
      </w:pPr>
    </w:p>
    <w:p>
      <w:pPr>
        <w:ind w:right="2439"/>
        <w:spacing w:after="0" w:line="238"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12th day of September, 2022.</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Richard Pfenniger</w:t>
      </w:r>
    </w:p>
    <w:sectPr>
      <w:pgSz w:w="11900" w:h="16838" w:orient="portrait"/>
      <w:cols w:equalWidth="0" w:num="1">
        <w:col w:w="9999"/>
      </w:cols>
      <w:pgMar w:left="46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00796"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2023-05-04T15:23:53Z</dcterms:created>
  <dcterms:modified xsi:type="dcterms:W3CDTF">2023-05-04T15:23:53Z</dcterms:modified>
</cp:coreProperties>
</file>