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4657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4657090"/>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2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Sherman Rachel E.</w:t>
              </w:r>
            </w:hyperlink>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20" w:type="dxa"/>
            <w:vAlign w:val="bottom"/>
            <w:gridSpan w:val="9"/>
          </w:tcPr>
          <w:p>
            <w:pPr>
              <w:ind w:left="60"/>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Sema4 Holdings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SMFR</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8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920" w:type="dxa"/>
            <w:vAlign w:val="bottom"/>
            <w:gridSpan w:val="9"/>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0"/>
                <w:szCs w:val="10"/>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20" w:type="dxa"/>
            <w:vAlign w:val="bottom"/>
            <w:gridSpan w:val="9"/>
            <w:vMerge w:val="continue"/>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40"/>
              <w:spacing w:after="0"/>
              <w:rPr>
                <w:sz w:val="20"/>
                <w:szCs w:val="20"/>
                <w:color w:val="auto"/>
              </w:rPr>
            </w:pPr>
            <w:r>
              <w:rPr>
                <w:rFonts w:ascii="Arial" w:cs="Arial" w:eastAsia="Arial" w:hAnsi="Arial"/>
                <w:sz w:val="17"/>
                <w:szCs w:val="17"/>
                <w:color w:val="0000FF"/>
              </w:rPr>
              <w:t>12/09/2021</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6"/>
            <w:vMerge w:val="restart"/>
          </w:tcPr>
          <w:p>
            <w:pPr>
              <w:ind w:left="20"/>
              <w:spacing w:after="0"/>
              <w:rPr>
                <w:sz w:val="20"/>
                <w:szCs w:val="20"/>
                <w:color w:val="auto"/>
              </w:rPr>
            </w:pPr>
            <w:r>
              <w:rPr>
                <w:rFonts w:ascii="Arial" w:cs="Arial" w:eastAsia="Arial" w:hAnsi="Arial"/>
                <w:sz w:val="17"/>
                <w:szCs w:val="17"/>
                <w:color w:val="0000FF"/>
                <w:w w:val="98"/>
              </w:rPr>
              <w:t>C/O SEMA4 HOLDINGS CORP.</w:t>
            </w:r>
          </w:p>
        </w:tc>
        <w:tc>
          <w:tcPr>
            <w:tcW w:w="110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continue"/>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Arial" w:cs="Arial" w:eastAsia="Arial" w:hAnsi="Arial"/>
                <w:sz w:val="17"/>
                <w:szCs w:val="17"/>
                <w:color w:val="0000FF"/>
              </w:rPr>
              <w:t>333 LUDLOW ST, NORTH TOWER, 8TH FL.</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8"/>
                <w:szCs w:val="8"/>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0" w:type="dxa"/>
            <w:vAlign w:val="bottom"/>
            <w:gridSpan w:val="10"/>
            <w:vMerge w:val="continue"/>
          </w:tcPr>
          <w:p>
            <w:pPr>
              <w:spacing w:after="0"/>
              <w:rPr>
                <w:sz w:val="7"/>
                <w:szCs w:val="7"/>
                <w:color w:val="auto"/>
              </w:rPr>
            </w:pPr>
          </w:p>
        </w:tc>
        <w:tc>
          <w:tcPr>
            <w:tcW w:w="220" w:type="dxa"/>
            <w:vAlign w:val="bottom"/>
          </w:tcPr>
          <w:p>
            <w:pPr>
              <w:spacing w:after="0"/>
              <w:rPr>
                <w:sz w:val="7"/>
                <w:szCs w:val="7"/>
                <w:color w:val="auto"/>
              </w:rPr>
            </w:pPr>
          </w:p>
        </w:tc>
        <w:tc>
          <w:tcPr>
            <w:tcW w:w="34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2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STAMFORD</w:t>
            </w:r>
          </w:p>
        </w:tc>
        <w:tc>
          <w:tcPr>
            <w:tcW w:w="200" w:type="dxa"/>
            <w:vAlign w:val="bottom"/>
          </w:tcPr>
          <w:p>
            <w:pPr>
              <w:spacing w:after="0"/>
              <w:rPr>
                <w:sz w:val="20"/>
                <w:szCs w:val="20"/>
                <w:color w:val="auto"/>
              </w:rPr>
            </w:pPr>
            <w:r>
              <w:rPr>
                <w:rFonts w:ascii="Arial" w:cs="Arial" w:eastAsia="Arial" w:hAnsi="Arial"/>
                <w:sz w:val="17"/>
                <w:szCs w:val="17"/>
                <w:color w:val="0000FF"/>
                <w:w w:val="79"/>
              </w:rPr>
              <w:t>CT</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06902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04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0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4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00" w:type="dxa"/>
            <w:vAlign w:val="bottom"/>
          </w:tcPr>
          <w:p>
            <w:pPr>
              <w:ind w:left="74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gridSpan w:val="5"/>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gridSpan w:val="5"/>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6"/>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040" w:type="dxa"/>
            <w:vAlign w:val="bottom"/>
            <w:tcBorders>
              <w:top w:val="single" w:sz="8" w:color="2C2C2C"/>
            </w:tcBorders>
            <w:gridSpan w:val="19"/>
          </w:tcPr>
          <w:p>
            <w:pPr>
              <w:ind w:left="8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60" w:type="dxa"/>
            <w:vAlign w:val="bottom"/>
            <w:gridSpan w:val="16"/>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vMerge w:val="restart"/>
          </w:tcPr>
          <w:p>
            <w:pPr>
              <w:ind w:left="280"/>
              <w:spacing w:after="0"/>
              <w:rPr>
                <w:sz w:val="20"/>
                <w:szCs w:val="20"/>
                <w:color w:val="auto"/>
              </w:rPr>
            </w:pPr>
            <w:r>
              <w:rPr>
                <w:rFonts w:ascii="Arial" w:cs="Arial" w:eastAsia="Arial" w:hAnsi="Arial"/>
                <w:sz w:val="11"/>
                <w:szCs w:val="11"/>
                <w:color w:val="008000"/>
              </w:rPr>
              <w:t>(1)(2)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color w:val="008000"/>
              </w:rPr>
              <w:t>(3)</w:t>
            </w:r>
          </w:p>
        </w:tc>
        <w:tc>
          <w:tcPr>
            <w:tcW w:w="680" w:type="dxa"/>
            <w:vAlign w:val="bottom"/>
          </w:tcPr>
          <w:p>
            <w:pPr>
              <w:ind w:left="100"/>
              <w:spacing w:after="0"/>
              <w:rPr>
                <w:sz w:val="20"/>
                <w:szCs w:val="20"/>
                <w:color w:val="auto"/>
              </w:rPr>
            </w:pPr>
            <w:r>
              <w:rPr>
                <w:rFonts w:ascii="Arial" w:cs="Arial" w:eastAsia="Arial" w:hAnsi="Arial"/>
                <w:sz w:val="13"/>
                <w:szCs w:val="13"/>
                <w:color w:val="0000FF"/>
              </w:rPr>
              <w:t>Class A</w:t>
            </w:r>
          </w:p>
        </w:tc>
        <w:tc>
          <w:tcPr>
            <w:tcW w:w="520" w:type="dxa"/>
            <w:vAlign w:val="bottom"/>
            <w:gridSpan w:val="2"/>
            <w:vMerge w:val="restart"/>
          </w:tcPr>
          <w:p>
            <w:pPr>
              <w:spacing w:after="0"/>
              <w:rPr>
                <w:sz w:val="20"/>
                <w:szCs w:val="20"/>
                <w:color w:val="auto"/>
              </w:rPr>
            </w:pPr>
            <w:r>
              <w:rPr>
                <w:rFonts w:ascii="Arial" w:cs="Arial" w:eastAsia="Arial" w:hAnsi="Arial"/>
                <w:sz w:val="17"/>
                <w:szCs w:val="17"/>
                <w:color w:val="0000FF"/>
                <w:w w:val="96"/>
              </w:rPr>
              <w:t>31,659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gridSpan w:val="2"/>
            <w:vMerge w:val="restart"/>
          </w:tcPr>
          <w:p>
            <w:pPr>
              <w:jc w:val="right"/>
              <w:ind w:right="156"/>
              <w:spacing w:after="0" w:line="142" w:lineRule="exact"/>
              <w:rPr>
                <w:sz w:val="20"/>
                <w:szCs w:val="20"/>
                <w:color w:val="auto"/>
              </w:rPr>
            </w:pPr>
            <w:r>
              <w:rPr>
                <w:rFonts w:ascii="Arial" w:cs="Arial" w:eastAsia="Arial" w:hAnsi="Arial"/>
                <w:sz w:val="13"/>
                <w:szCs w:val="13"/>
                <w:color w:val="0000FF"/>
              </w:rPr>
              <w:t>12/09/2021</w:t>
            </w: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2" w:lineRule="exact"/>
              <w:rPr>
                <w:sz w:val="20"/>
                <w:szCs w:val="20"/>
                <w:color w:val="auto"/>
              </w:rPr>
            </w:pPr>
            <w:r>
              <w:rPr>
                <w:rFonts w:ascii="Arial" w:cs="Arial" w:eastAsia="Arial" w:hAnsi="Arial"/>
                <w:sz w:val="13"/>
                <w:szCs w:val="13"/>
                <w:color w:val="0000FF"/>
              </w:rPr>
              <w:t>A</w:t>
            </w:r>
          </w:p>
        </w:tc>
        <w:tc>
          <w:tcPr>
            <w:tcW w:w="58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31,659</w:t>
            </w:r>
          </w:p>
        </w:tc>
        <w:tc>
          <w:tcPr>
            <w:tcW w:w="34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Common</w:t>
            </w:r>
          </w:p>
        </w:tc>
        <w:tc>
          <w:tcPr>
            <w:tcW w:w="5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vMerge w:val="restart"/>
          </w:tcPr>
          <w:p>
            <w:pPr>
              <w:ind w:left="220"/>
              <w:spacing w:after="0" w:line="142" w:lineRule="exact"/>
              <w:rPr>
                <w:sz w:val="20"/>
                <w:szCs w:val="20"/>
                <w:color w:val="auto"/>
              </w:rPr>
            </w:pPr>
            <w:r>
              <w:rPr>
                <w:rFonts w:ascii="Arial" w:cs="Arial" w:eastAsia="Arial" w:hAnsi="Arial"/>
                <w:sz w:val="13"/>
                <w:szCs w:val="13"/>
                <w:color w:val="0000FF"/>
                <w:w w:val="85"/>
              </w:rPr>
              <w:t>31,659</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 Unit</w:t>
            </w: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400" w:firstLine="2"/>
        <w:spacing w:after="0" w:line="286" w:lineRule="auto"/>
        <w:tabs>
          <w:tab w:leader="none" w:pos="169"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Each restricted stock unit ("RSU") represents a contingent right to receive 1 share of the Issuer's Class A Common Stock upon settlement for no consideration, granted pursuant to the terms of that certain Agreement and Plan of Merger, dated as of February 9, 2021 (as amended, the "Merger Agreement"), by and among CM Life Sciences, Inc., S-IV Sub, Inc. and Mount Sinai Genomics, Inc. d/b/a Sema4. In addition, in the event that any similar RSUs are forfeited (for example, as a result of the recipient no longer being an employee of the Issuer), the Merger Agreement provides for the shares underlying such forfeited RSUs to become available for issuance to other RSU recipients. Therefore, each RSU also represents to right to receive additional shares of the Issuer's Class A Common Stock from this "forfeiture pool". The number of shares of the Issuer's Class A Common Stock that may be issued to the Reporting Person pursuant to the "forfeiture pool" is not determinable at this time.</w:t>
      </w:r>
    </w:p>
    <w:p>
      <w:pPr>
        <w:spacing w:after="0" w:line="8" w:lineRule="exact"/>
        <w:rPr>
          <w:rFonts w:ascii="Arial" w:cs="Arial" w:eastAsia="Arial" w:hAnsi="Arial"/>
          <w:sz w:val="11"/>
          <w:szCs w:val="11"/>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[cont'd from footnote 1] Any shares of the Issuer's Class A Common Stock ultimately issued to the Reporting Person in respect of each RSU will be reported in a subsequent filing.</w:t>
      </w:r>
    </w:p>
    <w:p>
      <w:pPr>
        <w:spacing w:after="0" w:line="44" w:lineRule="exact"/>
        <w:rPr>
          <w:rFonts w:ascii="Arial" w:cs="Arial" w:eastAsia="Arial" w:hAnsi="Arial"/>
          <w:sz w:val="13"/>
          <w:szCs w:val="13"/>
          <w:color w:val="008000"/>
        </w:rPr>
      </w:pPr>
    </w:p>
    <w:p>
      <w:pPr>
        <w:ind w:left="40" w:right="140" w:firstLine="2"/>
        <w:spacing w:after="0" w:line="310" w:lineRule="auto"/>
        <w:tabs>
          <w:tab w:leader="none" w:pos="169"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vesting of the RSUs is conditioned on the satisfaction of both a service requirement and a market-based requirement. The service requirement is deemed satisfied as of the grant date with respect to 11,872 of the RSUs, and will be satisfied with respect to the remainder of the RSUs over 10 quarterly periods, subject to the Reporting Person's continued service to the Issuer on each service-based vesting date.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Daniel Clark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12/13/2021</w:t>
            </w:r>
          </w:p>
        </w:tc>
        <w:tc>
          <w:tcPr>
            <w:tcW w:w="0" w:type="dxa"/>
            <w:vAlign w:val="bottom"/>
          </w:tcPr>
          <w:p>
            <w:pPr>
              <w:spacing w:after="0"/>
              <w:rPr>
                <w:sz w:val="1"/>
                <w:szCs w:val="1"/>
                <w:color w:val="auto"/>
              </w:rPr>
            </w:pPr>
          </w:p>
        </w:tc>
      </w:tr>
      <w:tr>
        <w:trPr>
          <w:trHeight w:val="88"/>
        </w:trPr>
        <w:tc>
          <w:tcPr>
            <w:tcW w:w="194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Arial" w:cs="Arial" w:eastAsia="Arial" w:hAnsi="Arial"/>
                <w:sz w:val="17"/>
                <w:szCs w:val="17"/>
                <w:color w:val="0000FF"/>
              </w:rPr>
              <w:t>Fact</w:t>
            </w:r>
          </w:p>
        </w:tc>
        <w:tc>
          <w:tcPr>
            <w:tcW w:w="2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40" w:type="dxa"/>
            <w:vAlign w:val="bottom"/>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84705"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2021-12-13T18:22:14Z</dcterms:created>
  <dcterms:modified xsi:type="dcterms:W3CDTF">2021-12-13T18:22:14Z</dcterms:modified>
</cp:coreProperties>
</file>