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231F20"/>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May 9, 2023</w:t>
      </w:r>
    </w:p>
    <w:p>
      <w:pPr>
        <w:spacing w:after="0" w:line="3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GeneDx Holdings Corp.</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60" w:type="dxa"/>
            <w:vAlign w:val="bottom"/>
          </w:tcPr>
          <w:p>
            <w:pPr>
              <w:spacing w:after="0"/>
              <w:rPr>
                <w:sz w:val="15"/>
                <w:szCs w:val="15"/>
                <w:color w:val="auto"/>
              </w:rPr>
            </w:pPr>
          </w:p>
        </w:tc>
        <w:tc>
          <w:tcPr>
            <w:tcW w:w="2620" w:type="dxa"/>
            <w:vAlign w:val="bottom"/>
            <w:tcBorders>
              <w:bottom w:val="single" w:sz="8" w:color="auto"/>
            </w:tcBorders>
          </w:tcPr>
          <w:p>
            <w:pPr>
              <w:jc w:val="right"/>
              <w:ind w:right="980"/>
              <w:spacing w:after="0"/>
              <w:rPr>
                <w:sz w:val="20"/>
                <w:szCs w:val="20"/>
                <w:color w:val="auto"/>
              </w:rPr>
            </w:pPr>
            <w:r>
              <w:rPr>
                <w:rFonts w:ascii="Arial" w:cs="Arial" w:eastAsia="Arial" w:hAnsi="Arial"/>
                <w:sz w:val="12"/>
                <w:szCs w:val="12"/>
                <w:b w:val="1"/>
                <w:bCs w:val="1"/>
                <w:color w:val="auto"/>
              </w:rPr>
              <w:t>001-39482</w:t>
            </w:r>
          </w:p>
        </w:tc>
        <w:tc>
          <w:tcPr>
            <w:tcW w:w="80" w:type="dxa"/>
            <w:vAlign w:val="bottom"/>
          </w:tcPr>
          <w:p>
            <w:pPr>
              <w:spacing w:after="0"/>
              <w:rPr>
                <w:sz w:val="15"/>
                <w:szCs w:val="15"/>
                <w:color w:val="auto"/>
              </w:rPr>
            </w:pPr>
          </w:p>
        </w:tc>
        <w:tc>
          <w:tcPr>
            <w:tcW w:w="4220" w:type="dxa"/>
            <w:vAlign w:val="bottom"/>
            <w:tcBorders>
              <w:bottom w:val="single" w:sz="8" w:color="auto"/>
            </w:tcBorders>
          </w:tcPr>
          <w:p>
            <w:pPr>
              <w:jc w:val="right"/>
              <w:ind w:right="1760"/>
              <w:spacing w:after="0"/>
              <w:rPr>
                <w:sz w:val="20"/>
                <w:szCs w:val="20"/>
                <w:color w:val="auto"/>
              </w:rPr>
            </w:pPr>
            <w:r>
              <w:rPr>
                <w:rFonts w:ascii="Arial" w:cs="Arial" w:eastAsia="Arial" w:hAnsi="Arial"/>
                <w:sz w:val="12"/>
                <w:szCs w:val="12"/>
                <w:b w:val="1"/>
                <w:bCs w:val="1"/>
                <w:color w:val="auto"/>
              </w:rPr>
              <w:t>85-1966622</w:t>
            </w:r>
          </w:p>
        </w:tc>
      </w:tr>
      <w:tr>
        <w:trPr>
          <w:trHeight w:val="151"/>
        </w:trPr>
        <w:tc>
          <w:tcPr>
            <w:tcW w:w="4360" w:type="dxa"/>
            <w:vAlign w:val="bottom"/>
            <w:gridSpan w:val="2"/>
          </w:tcPr>
          <w:p>
            <w:pPr>
              <w:jc w:val="center"/>
              <w:ind w:right="60"/>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2700" w:type="dxa"/>
            <w:vAlign w:val="bottom"/>
            <w:gridSpan w:val="2"/>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422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r>
      <w:tr>
        <w:trPr>
          <w:trHeight w:val="207"/>
        </w:trPr>
        <w:tc>
          <w:tcPr>
            <w:tcW w:w="43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333 Ludlow Street, North Tower</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r>
    </w:tbl>
    <w:p>
      <w:pPr>
        <w:spacing w:after="0" w:line="14" w:lineRule="exact"/>
        <w:rPr>
          <w:sz w:val="24"/>
          <w:szCs w:val="24"/>
          <w:color w:val="auto"/>
        </w:rPr>
      </w:pPr>
    </w:p>
    <w:p>
      <w:pPr>
        <w:sectPr>
          <w:pgSz w:w="11900" w:h="16838" w:orient="portrait"/>
          <w:cols w:equalWidth="0" w:num="1">
            <w:col w:w="11300"/>
          </w:cols>
          <w:pgMar w:left="300" w:top="922" w:right="299" w:bottom="1440" w:gutter="0" w:footer="0" w:header="0"/>
        </w:sectPr>
      </w:pPr>
    </w:p>
    <w:p>
      <w:pPr>
        <w:spacing w:after="0" w:line="18" w:lineRule="exact"/>
        <w:rPr>
          <w:sz w:val="24"/>
          <w:szCs w:val="24"/>
          <w:color w:val="auto"/>
        </w:rPr>
      </w:pPr>
    </w:p>
    <w:p>
      <w:pPr>
        <w:ind w:left="1620"/>
        <w:spacing w:after="0"/>
        <w:rPr>
          <w:sz w:val="20"/>
          <w:szCs w:val="20"/>
          <w:color w:val="auto"/>
        </w:rPr>
      </w:pPr>
      <w:r>
        <w:rPr>
          <w:rFonts w:ascii="Arial" w:cs="Arial" w:eastAsia="Arial" w:hAnsi="Arial"/>
          <w:sz w:val="12"/>
          <w:szCs w:val="12"/>
          <w:b w:val="1"/>
          <w:bCs w:val="1"/>
          <w:color w:val="auto"/>
        </w:rPr>
        <w:t>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8" w:lineRule="exact"/>
        <w:rPr>
          <w:sz w:val="24"/>
          <w:szCs w:val="24"/>
          <w:color w:val="auto"/>
        </w:rPr>
      </w:pPr>
    </w:p>
    <w:p>
      <w:pPr>
        <w:ind w:left="1160"/>
        <w:spacing w:after="0"/>
        <w:rPr>
          <w:sz w:val="20"/>
          <w:szCs w:val="20"/>
          <w:color w:val="auto"/>
        </w:rPr>
      </w:pPr>
      <w:r>
        <w:rPr>
          <w:rFonts w:ascii="Arial" w:cs="Arial" w:eastAsia="Arial" w:hAnsi="Arial"/>
          <w:sz w:val="12"/>
          <w:szCs w:val="12"/>
          <w:color w:val="auto"/>
        </w:rPr>
        <w:t>(Address of Principal Executive Offices)</w:t>
      </w:r>
    </w:p>
    <w:p>
      <w:pPr>
        <w:spacing w:after="0" w:line="92" w:lineRule="exact"/>
        <w:rPr>
          <w:sz w:val="24"/>
          <w:szCs w:val="24"/>
          <w:color w:val="auto"/>
        </w:rPr>
      </w:pPr>
    </w:p>
    <w:p>
      <w:pPr>
        <w:jc w:val="center"/>
        <w:ind w:left="3120"/>
        <w:spacing w:after="0"/>
        <w:rPr>
          <w:sz w:val="20"/>
          <w:szCs w:val="20"/>
          <w:color w:val="auto"/>
        </w:rPr>
      </w:pPr>
      <w:r>
        <w:rPr>
          <w:rFonts w:ascii="Arial" w:cs="Arial" w:eastAsia="Arial" w:hAnsi="Arial"/>
          <w:sz w:val="12"/>
          <w:szCs w:val="12"/>
          <w:b w:val="1"/>
          <w:bCs w:val="1"/>
          <w:color w:val="auto"/>
        </w:rPr>
        <w:t>(800) 298-6470</w:t>
      </w:r>
    </w:p>
    <w:p>
      <w:pPr>
        <w:spacing w:after="0" w:line="19" w:lineRule="exact"/>
        <w:rPr>
          <w:sz w:val="24"/>
          <w:szCs w:val="24"/>
          <w:color w:val="auto"/>
        </w:rPr>
      </w:pPr>
    </w:p>
    <w:p>
      <w:pPr>
        <w:jc w:val="center"/>
        <w:ind w:left="3120"/>
        <w:spacing w:after="0"/>
        <w:rPr>
          <w:sz w:val="20"/>
          <w:szCs w:val="20"/>
          <w:color w:val="auto"/>
        </w:rPr>
      </w:pPr>
      <w:r>
        <w:rPr>
          <w:rFonts w:ascii="Arial" w:cs="Arial" w:eastAsia="Arial" w:hAnsi="Arial"/>
          <w:sz w:val="12"/>
          <w:szCs w:val="12"/>
          <w:color w:val="auto"/>
        </w:rPr>
        <w:t>Registrant's telephone number, including area code</w:t>
      </w:r>
    </w:p>
    <w:p>
      <w:pPr>
        <w:spacing w:after="0" w:line="7" w:lineRule="exact"/>
        <w:rPr>
          <w:sz w:val="24"/>
          <w:szCs w:val="24"/>
          <w:color w:val="auto"/>
        </w:rPr>
      </w:pPr>
    </w:p>
    <w:p>
      <w:pPr>
        <w:jc w:val="right"/>
        <w:ind w:right="1040"/>
        <w:spacing w:after="0"/>
        <w:rPr>
          <w:sz w:val="20"/>
          <w:szCs w:val="20"/>
          <w:color w:val="auto"/>
        </w:rPr>
      </w:pPr>
      <w:r>
        <w:rPr>
          <w:rFonts w:ascii="Arial" w:cs="Arial" w:eastAsia="Arial" w:hAnsi="Arial"/>
          <w:sz w:val="12"/>
          <w:szCs w:val="12"/>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-1169670</wp:posOffset>
            </wp:positionH>
            <wp:positionV relativeFrom="paragraph">
              <wp:posOffset>23495</wp:posOffset>
            </wp:positionV>
            <wp:extent cx="26860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26" w:lineRule="exact"/>
        <w:rPr>
          <w:sz w:val="24"/>
          <w:szCs w:val="24"/>
          <w:color w:val="auto"/>
        </w:rPr>
      </w:pPr>
    </w:p>
    <w:p>
      <w:pPr>
        <w:jc w:val="center"/>
        <w:ind w:right="1860"/>
        <w:spacing w:after="0"/>
        <w:rPr>
          <w:sz w:val="20"/>
          <w:szCs w:val="20"/>
          <w:color w:val="auto"/>
        </w:rPr>
      </w:pPr>
      <w:r>
        <w:rPr>
          <w:rFonts w:ascii="Arial" w:cs="Arial" w:eastAsia="Arial" w:hAnsi="Arial"/>
          <w:sz w:val="11"/>
          <w:szCs w:val="11"/>
          <w:color w:val="auto"/>
        </w:rPr>
        <w:t>(Zip Code)</w:t>
      </w:r>
    </w:p>
    <w:p>
      <w:pPr>
        <w:spacing w:after="0" w:line="701" w:lineRule="exact"/>
        <w:rPr>
          <w:sz w:val="24"/>
          <w:szCs w:val="24"/>
          <w:color w:val="auto"/>
        </w:rPr>
      </w:pPr>
    </w:p>
    <w:p>
      <w:pPr>
        <w:sectPr>
          <w:pgSz w:w="11900" w:h="16838" w:orient="portrait"/>
          <w:cols w:equalWidth="0" w:num="2">
            <w:col w:w="8180" w:space="720"/>
            <w:col w:w="2400"/>
          </w:cols>
          <w:pgMar w:left="300" w:top="922" w:right="299" w:bottom="1440" w:gutter="0" w:footer="0" w:header="0"/>
          <w:type w:val="continuous"/>
        </w:sect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WGS</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9"/>
              </w:rPr>
              <w:t>Warrants to purchase one share of Class A common stock, each at an exercise price of $379.50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7"/>
              </w:rPr>
              <w:t>WGSWW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9"/>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90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454660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On May 9, 2023, GeneDx Holdings Corp. (the “Company”) issued a press release (the “Press Release”) and will hold a conference call announcing the Company's financial results for the three months ended March 31, 2023. Copies of the Press Release and Earnings Presentation are furnished as Exhibits 99.1 and 99.2, respectively, to this Current Report on Form 8-K.</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3"/>
          <w:szCs w:val="13"/>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jc w:val="center"/>
              <w:ind w:left="354"/>
              <w:spacing w:after="0"/>
              <w:rPr>
                <w:sz w:val="20"/>
                <w:szCs w:val="20"/>
                <w:color w:val="auto"/>
              </w:rPr>
            </w:pPr>
            <w:r>
              <w:rPr>
                <w:rFonts w:ascii="Arial" w:cs="Arial" w:eastAsia="Arial" w:hAnsi="Arial"/>
                <w:sz w:val="13"/>
                <w:szCs w:val="13"/>
                <w:b w:val="1"/>
                <w:bCs w:val="1"/>
                <w:color w:val="auto"/>
                <w:w w:val="93"/>
              </w:rPr>
              <w:t>Exhibit No</w:t>
            </w:r>
          </w:p>
        </w:tc>
        <w:tc>
          <w:tcPr>
            <w:tcW w:w="440" w:type="dxa"/>
            <w:vAlign w:val="bottom"/>
          </w:tcPr>
          <w:p>
            <w:pPr>
              <w:spacing w:after="0"/>
              <w:rPr>
                <w:sz w:val="15"/>
                <w:szCs w:val="15"/>
                <w:color w:val="auto"/>
              </w:rPr>
            </w:pPr>
          </w:p>
        </w:tc>
        <w:tc>
          <w:tcPr>
            <w:tcW w:w="984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ind w:left="354"/>
              <w:spacing w:after="0"/>
              <w:rPr>
                <w:sz w:val="20"/>
                <w:szCs w:val="20"/>
                <w:color w:val="auto"/>
              </w:rPr>
            </w:pPr>
            <w:r>
              <w:rPr>
                <w:rFonts w:ascii="Arial" w:cs="Arial" w:eastAsia="Arial" w:hAnsi="Arial"/>
                <w:sz w:val="13"/>
                <w:szCs w:val="13"/>
                <w:color w:val="auto"/>
                <w:w w:val="94"/>
              </w:rPr>
              <w:t>99.1</w:t>
            </w:r>
          </w:p>
        </w:tc>
        <w:tc>
          <w:tcPr>
            <w:tcW w:w="440" w:type="dxa"/>
            <w:vAlign w:val="bottom"/>
          </w:tcPr>
          <w:p>
            <w:pPr>
              <w:spacing w:after="0"/>
              <w:rPr>
                <w:sz w:val="19"/>
                <w:szCs w:val="19"/>
                <w:color w:val="auto"/>
              </w:rPr>
            </w:pPr>
          </w:p>
        </w:tc>
        <w:tc>
          <w:tcPr>
            <w:tcW w:w="554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0"/>
              </w:rPr>
              <w:t>Press Release, dated May 9, 2023, regarding the registrant’s results for the quarter ended March 31, 2023</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vMerge w:val="restart"/>
          </w:tcPr>
          <w:p>
            <w:pPr>
              <w:jc w:val="center"/>
              <w:ind w:left="354"/>
              <w:spacing w:after="0"/>
              <w:rPr>
                <w:sz w:val="20"/>
                <w:szCs w:val="20"/>
                <w:color w:val="auto"/>
              </w:rPr>
            </w:pPr>
            <w:r>
              <w:rPr>
                <w:rFonts w:ascii="Arial" w:cs="Arial" w:eastAsia="Arial" w:hAnsi="Arial"/>
                <w:sz w:val="13"/>
                <w:szCs w:val="13"/>
                <w:color w:val="auto"/>
                <w:w w:val="94"/>
              </w:rPr>
              <w:t>99.2</w:t>
            </w:r>
          </w:p>
        </w:tc>
        <w:tc>
          <w:tcPr>
            <w:tcW w:w="440" w:type="dxa"/>
            <w:vAlign w:val="bottom"/>
          </w:tcPr>
          <w:p>
            <w:pPr>
              <w:spacing w:after="0"/>
              <w:rPr>
                <w:sz w:val="20"/>
                <w:szCs w:val="20"/>
                <w:color w:val="auto"/>
              </w:rPr>
            </w:pPr>
          </w:p>
        </w:tc>
        <w:tc>
          <w:tcPr>
            <w:tcW w:w="220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89"/>
              </w:rPr>
              <w:t>Earnings Presentation, dated May 9, 2023</w:t>
            </w:r>
          </w:p>
        </w:tc>
        <w:tc>
          <w:tcPr>
            <w:tcW w:w="764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0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gridSpan w:val="2"/>
          </w:tcPr>
          <w:p>
            <w:pPr>
              <w:spacing w:after="0"/>
              <w:rPr>
                <w:sz w:val="3"/>
                <w:szCs w:val="3"/>
                <w:color w:val="auto"/>
              </w:rPr>
            </w:pPr>
          </w:p>
        </w:tc>
        <w:tc>
          <w:tcPr>
            <w:tcW w:w="76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55"/>
        </w:trPr>
        <w:tc>
          <w:tcPr>
            <w:tcW w:w="1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020"/>
        <w:spacing w:after="0"/>
        <w:rPr>
          <w:sz w:val="20"/>
          <w:szCs w:val="20"/>
          <w:color w:val="auto"/>
        </w:rPr>
      </w:pPr>
      <w:r>
        <w:rPr>
          <w:rFonts w:ascii="Arial" w:cs="Arial" w:eastAsia="Arial" w:hAnsi="Arial"/>
          <w:sz w:val="13"/>
          <w:szCs w:val="13"/>
          <w:b w:val="1"/>
          <w:bCs w:val="1"/>
          <w:color w:val="auto"/>
        </w:rPr>
        <w:t>SIGNATURES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340" w:type="dxa"/>
            <w:vAlign w:val="bottom"/>
            <w:gridSpan w:val="2"/>
          </w:tcPr>
          <w:p>
            <w:pPr>
              <w:ind w:left="1720"/>
              <w:spacing w:after="0"/>
              <w:rPr>
                <w:sz w:val="20"/>
                <w:szCs w:val="20"/>
                <w:color w:val="auto"/>
              </w:rPr>
            </w:pPr>
            <w:r>
              <w:rPr>
                <w:rFonts w:ascii="Arial" w:cs="Arial" w:eastAsia="Arial" w:hAnsi="Arial"/>
                <w:sz w:val="13"/>
                <w:szCs w:val="13"/>
                <w:b w:val="1"/>
                <w:bCs w:val="1"/>
                <w:color w:val="auto"/>
              </w:rPr>
              <w:t>GeneDx Holdings Corp.</w:t>
            </w:r>
          </w:p>
        </w:tc>
      </w:tr>
      <w:tr>
        <w:trPr>
          <w:trHeight w:val="414"/>
        </w:trPr>
        <w:tc>
          <w:tcPr>
            <w:tcW w:w="600" w:type="dxa"/>
            <w:vAlign w:val="bottom"/>
          </w:tcPr>
          <w:p>
            <w:pPr>
              <w:spacing w:after="0"/>
              <w:rPr>
                <w:sz w:val="20"/>
                <w:szCs w:val="20"/>
                <w:color w:val="auto"/>
              </w:rPr>
            </w:pPr>
            <w:r>
              <w:rPr>
                <w:rFonts w:ascii="Arial" w:cs="Arial" w:eastAsia="Arial" w:hAnsi="Arial"/>
                <w:sz w:val="13"/>
                <w:szCs w:val="13"/>
                <w:color w:val="auto"/>
              </w:rPr>
              <w:t>Date:</w:t>
            </w:r>
          </w:p>
        </w:tc>
        <w:tc>
          <w:tcPr>
            <w:tcW w:w="2700" w:type="dxa"/>
            <w:vAlign w:val="bottom"/>
          </w:tcPr>
          <w:p>
            <w:pPr>
              <w:ind w:left="320"/>
              <w:spacing w:after="0"/>
              <w:rPr>
                <w:sz w:val="20"/>
                <w:szCs w:val="20"/>
                <w:color w:val="auto"/>
              </w:rPr>
            </w:pPr>
            <w:r>
              <w:rPr>
                <w:rFonts w:ascii="Arial" w:cs="Arial" w:eastAsia="Arial" w:hAnsi="Arial"/>
                <w:sz w:val="13"/>
                <w:szCs w:val="13"/>
                <w:color w:val="auto"/>
              </w:rPr>
              <w:t>May 9, 2023</w:t>
            </w:r>
          </w:p>
        </w:tc>
        <w:tc>
          <w:tcPr>
            <w:tcW w:w="2640" w:type="dxa"/>
            <w:vAlign w:val="bottom"/>
          </w:tcPr>
          <w:p>
            <w:pPr>
              <w:ind w:left="172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Katherine Stueland</w:t>
            </w:r>
          </w:p>
        </w:tc>
      </w:tr>
      <w:tr>
        <w:trPr>
          <w:trHeight w:val="162"/>
        </w:trPr>
        <w:tc>
          <w:tcPr>
            <w:tcW w:w="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ind w:left="172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Katherine Stueland</w:t>
            </w:r>
          </w:p>
        </w:tc>
      </w:tr>
      <w:tr>
        <w:trPr>
          <w:trHeight w:val="169"/>
        </w:trPr>
        <w:tc>
          <w:tcPr>
            <w:tcW w:w="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ind w:left="172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962"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GeneDx Reports First Quarter 2023 Financial Results and Business Highlights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Generated $40.7 million in first quarter 2023 pro forma revenue from continuing operations, representing a 7% increase year over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Revenue included $22.4 million in whole exome testing, representing a 22% increase year over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Ongoing cost mitigation in first quarter delivered 31% cash burn improvement year-over-year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Company reaffirms pro forma full year 2023 guidance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GeneDx to host conference call today at 4:30 p.m. ET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2"/>
          <w:szCs w:val="12"/>
          <w:b w:val="1"/>
          <w:bCs w:val="1"/>
          <w:color w:val="auto"/>
        </w:rPr>
        <w:t xml:space="preserve">STAMFORD, Conn., May 9, 2023 — </w:t>
      </w:r>
      <w:r>
        <w:rPr>
          <w:rFonts w:ascii="Arial" w:cs="Arial" w:eastAsia="Arial" w:hAnsi="Arial"/>
          <w:sz w:val="12"/>
          <w:szCs w:val="12"/>
          <w:u w:val="single" w:color="auto"/>
          <w:color w:val="0000FF"/>
        </w:rPr>
        <w:t>GeneDx Holdings Corp.</w:t>
      </w:r>
      <w:r>
        <w:rPr>
          <w:rFonts w:ascii="Arial" w:cs="Arial" w:eastAsia="Arial" w:hAnsi="Arial"/>
          <w:sz w:val="12"/>
          <w:szCs w:val="12"/>
          <w:b w:val="1"/>
          <w:bCs w:val="1"/>
          <w:color w:val="auto"/>
        </w:rPr>
        <w:t xml:space="preserve"> </w:t>
      </w:r>
      <w:r>
        <w:rPr>
          <w:rFonts w:ascii="Arial" w:cs="Arial" w:eastAsia="Arial" w:hAnsi="Arial"/>
          <w:sz w:val="12"/>
          <w:szCs w:val="12"/>
          <w:color w:val="auto"/>
        </w:rPr>
        <w:t>(Nasdaq: WGS), a leader in delivering improved health outcomes through genomic and clinical insights, today reported its financial results for the first</w:t>
      </w:r>
      <w:r>
        <w:rPr>
          <w:rFonts w:ascii="Arial" w:cs="Arial" w:eastAsia="Arial" w:hAnsi="Arial"/>
          <w:sz w:val="12"/>
          <w:szCs w:val="12"/>
          <w:b w:val="1"/>
          <w:bCs w:val="1"/>
          <w:color w:val="auto"/>
        </w:rPr>
        <w:t xml:space="preserve"> </w:t>
      </w:r>
      <w:r>
        <w:rPr>
          <w:rFonts w:ascii="Arial" w:cs="Arial" w:eastAsia="Arial" w:hAnsi="Arial"/>
          <w:sz w:val="12"/>
          <w:szCs w:val="12"/>
          <w:color w:val="auto"/>
        </w:rPr>
        <w:t>quarter of 2023.</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distinct strength in delivering genomic interpretation continues to play a growing role in the diagnosis of rare diseases, and we’re on our way to establishing a new standard of care. We served a record number of patients this quarter with strong and accelerating whole exome test growth, as well as other tests that play a critically important role in diagnosing children across a broad range of rare but collectively common conditions. As we continue to strengthen our commercial footprint and increase awareness about higher diagnostic yields available with our exome and genome tests, we are encouraged by increased adoption among non-genetic specialists who ordered their first GeneDx exome test in the first quarter,” said Katherine Stueland, President and Chief Executive Officer of GeneDx. “Our efforts are amplified by guidelines from physician groups and updated payer coverage policies in support of our intent to drive a shift towards whole exome and genome sequencing, ultimately driving better patient care while delivering revenue growth and margin expansion going forward.”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GeneDx Pro Forma First Quarter Financial Results from Continuing Operations</w:t>
      </w:r>
      <w:r>
        <w:rPr>
          <w:rFonts w:ascii="Arial" w:cs="Arial" w:eastAsia="Arial" w:hAnsi="Arial"/>
          <w:sz w:val="15"/>
          <w:szCs w:val="15"/>
          <w:color w:val="565454"/>
          <w:vertAlign w:val="superscript"/>
        </w:rPr>
        <w:t>1</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Pro forma results from continuing operations for GeneDx reported today include the combination of Legacy GeneDx and only the data and information business of Legacy Sema4, and assume Legacy GeneDx was owned for the entirety of 2022. Continuing operations exclude revenues and costs from the now discontinued Legacy Sema4 diagnostics testing business.</w:t>
      </w:r>
    </w:p>
    <w:p>
      <w:pPr>
        <w:spacing w:after="0" w:line="153" w:lineRule="exact"/>
        <w:rPr>
          <w:sz w:val="20"/>
          <w:szCs w:val="20"/>
          <w:color w:val="auto"/>
        </w:rPr>
      </w:pPr>
    </w:p>
    <w:p>
      <w:pPr>
        <w:ind w:left="420" w:hanging="212"/>
        <w:spacing w:after="0" w:line="245"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Pro forma revenue from continuing operations for the first quarter of 2023 was $40.7 million, compared to $38.0 million in the first quarter of 2022, representing an increase of 7% year-over-year.</w:t>
      </w:r>
      <w:r>
        <w:rPr>
          <w:rFonts w:ascii="Arial" w:cs="Arial" w:eastAsia="Arial" w:hAnsi="Arial"/>
          <w:sz w:val="12"/>
          <w:szCs w:val="12"/>
          <w:b w:val="1"/>
          <w:bCs w:val="1"/>
          <w:color w:val="auto"/>
        </w:rPr>
        <w:t xml:space="preserve"> </w:t>
      </w:r>
      <w:r>
        <w:rPr>
          <w:rFonts w:ascii="Arial" w:cs="Arial" w:eastAsia="Arial" w:hAnsi="Arial"/>
          <w:sz w:val="12"/>
          <w:szCs w:val="12"/>
          <w:color w:val="auto"/>
        </w:rPr>
        <w:t>Revenues from whole exome and genome tests were $22.4 million compared to $18.4 million in the first quarter of 2022, representing an increase of 22% year-over-year.</w:t>
      </w:r>
    </w:p>
    <w:p>
      <w:pPr>
        <w:ind w:left="420" w:hanging="212"/>
        <w:spacing w:after="0" w:line="247" w:lineRule="auto"/>
        <w:tabs>
          <w:tab w:leader="none" w:pos="412" w:val="left"/>
        </w:tabs>
        <w:numPr>
          <w:ilvl w:val="0"/>
          <w:numId w:val="2"/>
        </w:numPr>
        <w:rPr>
          <w:rFonts w:ascii="Arial" w:cs="Arial" w:eastAsia="Arial" w:hAnsi="Arial"/>
          <w:sz w:val="13"/>
          <w:szCs w:val="13"/>
          <w:color w:val="auto"/>
        </w:rPr>
      </w:pPr>
      <w:r>
        <w:rPr>
          <w:rFonts w:ascii="Arial" w:cs="Arial" w:eastAsia="Arial" w:hAnsi="Arial"/>
          <w:sz w:val="12"/>
          <w:szCs w:val="12"/>
          <w:b w:val="1"/>
          <w:bCs w:val="1"/>
          <w:color w:val="auto"/>
        </w:rPr>
        <w:t xml:space="preserve">Test Volume: </w:t>
      </w:r>
      <w:r>
        <w:rPr>
          <w:rFonts w:ascii="Arial" w:cs="Arial" w:eastAsia="Arial" w:hAnsi="Arial"/>
          <w:sz w:val="12"/>
          <w:szCs w:val="12"/>
          <w:color w:val="auto"/>
        </w:rPr>
        <w:t>Total tests resulted in the first quarter of 2023 were nearly 53,000, compared to over 41,000 for the first quarter of 2022. Total whole exome and whole genome tests resulted were</w:t>
      </w:r>
      <w:r>
        <w:rPr>
          <w:rFonts w:ascii="Arial" w:cs="Arial" w:eastAsia="Arial" w:hAnsi="Arial"/>
          <w:sz w:val="12"/>
          <w:szCs w:val="12"/>
          <w:b w:val="1"/>
          <w:bCs w:val="1"/>
          <w:color w:val="auto"/>
        </w:rPr>
        <w:t xml:space="preserve"> </w:t>
      </w:r>
      <w:r>
        <w:rPr>
          <w:rFonts w:ascii="Arial" w:cs="Arial" w:eastAsia="Arial" w:hAnsi="Arial"/>
          <w:sz w:val="12"/>
          <w:szCs w:val="12"/>
          <w:color w:val="auto"/>
        </w:rPr>
        <w:t>approximately 8,700, an increase of 18% compared to the first quarter of 2022.</w:t>
      </w:r>
    </w:p>
    <w:p>
      <w:pPr>
        <w:ind w:left="420" w:hanging="212"/>
        <w:spacing w:after="0" w:line="232"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2"/>
          <w:szCs w:val="12"/>
          <w:b w:val="1"/>
          <w:bCs w:val="1"/>
          <w:color w:val="auto"/>
        </w:rPr>
        <w:t xml:space="preserve">Gross Margin: </w:t>
      </w:r>
      <w:r>
        <w:rPr>
          <w:rFonts w:ascii="Arial" w:cs="Arial" w:eastAsia="Arial" w:hAnsi="Arial"/>
          <w:sz w:val="12"/>
          <w:szCs w:val="12"/>
          <w:color w:val="auto"/>
        </w:rPr>
        <w:t>Pro forma adjusted gross margin from continuing operations in the first quarter of 2023 was 34%.</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Company First Quarter Financial Results Including Now Discontinued Legacy Sema4 Diagnostic Testing Business</w:t>
      </w:r>
      <w:r>
        <w:rPr>
          <w:rFonts w:ascii="Arial" w:cs="Arial" w:eastAsia="Arial" w:hAnsi="Arial"/>
          <w:sz w:val="15"/>
          <w:szCs w:val="15"/>
          <w:b w:val="1"/>
          <w:bCs w:val="1"/>
          <w:color w:val="auto"/>
          <w:vertAlign w:val="superscript"/>
        </w:rPr>
        <w:t>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Total Company results reported today for the first quarter of 2023 include the combination of continuing operations and the now discontinued Legacy Sema4 diagnostic testing business. All comparable 2022</w:t>
      </w:r>
    </w:p>
    <w:p>
      <w:pPr>
        <w:sectPr>
          <w:pgSz w:w="11900" w:h="16838" w:orient="portrait"/>
          <w:cols w:equalWidth="0" w:num="1">
            <w:col w:w="11300"/>
          </w:cols>
          <w:pgMar w:left="300" w:top="128"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information presented below excludes any Legacy GeneDx revenues and associated costs due to the timing of the acquisition of GeneDx which closed in the second quarter of 2022.</w:t>
      </w:r>
    </w:p>
    <w:p>
      <w:pPr>
        <w:spacing w:after="0" w:line="154" w:lineRule="exact"/>
        <w:rPr>
          <w:sz w:val="20"/>
          <w:szCs w:val="20"/>
          <w:color w:val="auto"/>
        </w:rPr>
      </w:pPr>
    </w:p>
    <w:p>
      <w:pPr>
        <w:ind w:left="420" w:hanging="212"/>
        <w:spacing w:after="0" w:line="248"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2"/>
          <w:szCs w:val="12"/>
          <w:b w:val="1"/>
          <w:bCs w:val="1"/>
          <w:color w:val="auto"/>
        </w:rPr>
        <w:t xml:space="preserve">Total Company Cash Position: </w:t>
      </w:r>
      <w:r>
        <w:rPr>
          <w:rFonts w:ascii="Arial" w:cs="Arial" w:eastAsia="Arial" w:hAnsi="Arial"/>
          <w:sz w:val="12"/>
          <w:szCs w:val="12"/>
          <w:color w:val="auto"/>
        </w:rPr>
        <w:t>Total cash and cash equivalents and restricted cash were $214.0 million as of March 31, 2023. Total Company burn for the first quarter of 2023 was $58.8 million, an</w:t>
      </w:r>
      <w:r>
        <w:rPr>
          <w:rFonts w:ascii="Arial" w:cs="Arial" w:eastAsia="Arial" w:hAnsi="Arial"/>
          <w:sz w:val="12"/>
          <w:szCs w:val="12"/>
          <w:b w:val="1"/>
          <w:bCs w:val="1"/>
          <w:color w:val="auto"/>
        </w:rPr>
        <w:t xml:space="preserve"> </w:t>
      </w:r>
      <w:r>
        <w:rPr>
          <w:rFonts w:ascii="Arial" w:cs="Arial" w:eastAsia="Arial" w:hAnsi="Arial"/>
          <w:sz w:val="12"/>
          <w:szCs w:val="12"/>
          <w:color w:val="auto"/>
        </w:rPr>
        <w:t>improvement of 31% year-over-year.</w:t>
      </w:r>
    </w:p>
    <w:p>
      <w:pPr>
        <w:spacing w:after="0" w:line="1" w:lineRule="exact"/>
        <w:rPr>
          <w:rFonts w:ascii="Arial" w:cs="Arial" w:eastAsia="Arial" w:hAnsi="Arial"/>
          <w:sz w:val="13"/>
          <w:szCs w:val="13"/>
          <w:color w:val="auto"/>
        </w:rPr>
      </w:pPr>
    </w:p>
    <w:p>
      <w:pPr>
        <w:ind w:left="420" w:hanging="212"/>
        <w:spacing w:after="0" w:line="225" w:lineRule="auto"/>
        <w:tabs>
          <w:tab w:leader="none" w:pos="420" w:val="left"/>
        </w:tabs>
        <w:numPr>
          <w:ilvl w:val="0"/>
          <w:numId w:val="3"/>
        </w:numPr>
        <w:rPr>
          <w:rFonts w:ascii="Arial" w:cs="Arial" w:eastAsia="Arial" w:hAnsi="Arial"/>
          <w:sz w:val="13"/>
          <w:szCs w:val="13"/>
          <w:color w:val="auto"/>
        </w:rPr>
      </w:pPr>
      <w:r>
        <w:rPr>
          <w:rFonts w:ascii="Arial" w:cs="Arial" w:eastAsia="Arial" w:hAnsi="Arial"/>
          <w:sz w:val="12"/>
          <w:szCs w:val="12"/>
          <w:b w:val="1"/>
          <w:bCs w:val="1"/>
          <w:color w:val="auto"/>
        </w:rPr>
        <w:t>Net Loss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Total Company net loss for the first quarter of 2023 was ($60.4) million. Total Company adjusted net loss for the first quarter of 2023 was ($48.9) million</w:t>
      </w:r>
      <w:r>
        <w:rPr>
          <w:rFonts w:ascii="Arial" w:cs="Arial" w:eastAsia="Arial" w:hAnsi="Arial"/>
          <w:sz w:val="15"/>
          <w:szCs w:val="15"/>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12"/>
          <w:szCs w:val="12"/>
          <w:color w:val="auto"/>
        </w:rPr>
        <w:t>compared to</w:t>
      </w:r>
      <w:r>
        <w:rPr>
          <w:rFonts w:ascii="Arial" w:cs="Arial" w:eastAsia="Arial" w:hAnsi="Arial"/>
          <w:sz w:val="12"/>
          <w:szCs w:val="12"/>
          <w:b w:val="1"/>
          <w:bCs w:val="1"/>
          <w:color w:val="auto"/>
        </w:rPr>
        <w:t xml:space="preserve"> </w:t>
      </w:r>
      <w:r>
        <w:rPr>
          <w:rFonts w:ascii="Arial" w:cs="Arial" w:eastAsia="Arial" w:hAnsi="Arial"/>
          <w:sz w:val="14"/>
          <w:szCs w:val="14"/>
          <w:color w:val="auto"/>
        </w:rPr>
        <w:t>adjusted net loss of</w:t>
      </w:r>
    </w:p>
    <w:p>
      <w:pPr>
        <w:ind w:left="420"/>
        <w:spacing w:after="0"/>
        <w:rPr>
          <w:sz w:val="20"/>
          <w:szCs w:val="20"/>
          <w:color w:val="auto"/>
        </w:rPr>
      </w:pPr>
      <w:r>
        <w:rPr>
          <w:rFonts w:ascii="Arial" w:cs="Arial" w:eastAsia="Arial" w:hAnsi="Arial"/>
          <w:sz w:val="14"/>
          <w:szCs w:val="14"/>
          <w:color w:val="auto"/>
        </w:rPr>
        <w:t>($62.4) million for the first quarter of 2022, an improvement of 23% year-over-year.</w:t>
      </w:r>
    </w:p>
    <w:p>
      <w:pPr>
        <w:ind w:left="420" w:hanging="212"/>
        <w:spacing w:after="0" w:line="232"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2"/>
          <w:szCs w:val="12"/>
          <w:b w:val="1"/>
          <w:bCs w:val="1"/>
          <w:color w:val="auto"/>
        </w:rPr>
        <w:t>Revenue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Total Company revenue for the first quarter of 2023 was $43.1 million, compared to $53.9 million in the first quarter of 2022.</w:t>
      </w: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2"/>
          <w:szCs w:val="12"/>
          <w:b w:val="1"/>
          <w:bCs w:val="1"/>
          <w:color w:val="auto"/>
        </w:rPr>
        <w:t>Gross Margin</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Total Company gross margin for the first quarter of 2023 was 35%, with an adjusted gross margin of 33%</w:t>
      </w:r>
      <w:r>
        <w:rPr>
          <w:rFonts w:ascii="Arial" w:cs="Arial" w:eastAsia="Arial" w:hAnsi="Arial"/>
          <w:sz w:val="15"/>
          <w:szCs w:val="15"/>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12"/>
          <w:szCs w:val="12"/>
          <w:color w:val="auto"/>
        </w:rPr>
        <w:t>in the quarter.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Business Highlights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&amp; Corporate Growth</w:t>
      </w:r>
    </w:p>
    <w:p>
      <w:pPr>
        <w:spacing w:after="0" w:line="22"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2"/>
          <w:szCs w:val="12"/>
          <w:color w:val="auto"/>
        </w:rPr>
        <w:t>Closed the underwritten public offering and concurrent registered direct offering for total gross proceeds of approximately $150 million</w:t>
      </w:r>
    </w:p>
    <w:p>
      <w:pPr>
        <w:spacing w:after="0" w:line="3"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2"/>
          <w:szCs w:val="12"/>
          <w:color w:val="auto"/>
        </w:rPr>
        <w:t>Appointed Devin K. Schaffer, J.D., M.B.A., as General Counsel</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Updates</w:t>
      </w:r>
    </w:p>
    <w:p>
      <w:pPr>
        <w:spacing w:after="0" w:line="22"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2"/>
          <w:szCs w:val="12"/>
          <w:color w:val="auto"/>
        </w:rPr>
        <w:t>Presented or collaborated with researchers to showcase new data in 10 posters and presentations at the American College of Medical Genetics (ACMG) Annual Clinical Genetics Meeting</w:t>
      </w:r>
    </w:p>
    <w:p>
      <w:pPr>
        <w:spacing w:after="0" w:line="2" w:lineRule="exact"/>
        <w:rPr>
          <w:rFonts w:ascii="Arial" w:cs="Arial" w:eastAsia="Arial" w:hAnsi="Arial"/>
          <w:sz w:val="13"/>
          <w:szCs w:val="13"/>
          <w:color w:val="auto"/>
        </w:rPr>
      </w:pPr>
    </w:p>
    <w:p>
      <w:pPr>
        <w:ind w:left="840" w:hanging="200"/>
        <w:spacing w:after="0"/>
        <w:tabs>
          <w:tab w:leader="none" w:pos="840" w:val="left"/>
        </w:tabs>
        <w:numPr>
          <w:ilvl w:val="1"/>
          <w:numId w:val="6"/>
        </w:numPr>
        <w:rPr>
          <w:rFonts w:ascii="Arial" w:cs="Arial" w:eastAsia="Arial" w:hAnsi="Arial"/>
          <w:sz w:val="13"/>
          <w:szCs w:val="13"/>
          <w:color w:val="auto"/>
        </w:rPr>
      </w:pPr>
      <w:r>
        <w:rPr>
          <w:rFonts w:ascii="Arial" w:cs="Arial" w:eastAsia="Arial" w:hAnsi="Arial"/>
          <w:sz w:val="12"/>
          <w:szCs w:val="12"/>
          <w:color w:val="auto"/>
        </w:rPr>
        <w:t>Presented data demonstrating the diagnostic advantages of exome sequencing compared with chromosomal microarray (CMA)</w:t>
      </w:r>
    </w:p>
    <w:p>
      <w:pPr>
        <w:ind w:left="1280" w:hanging="208"/>
        <w:spacing w:after="0"/>
        <w:tabs>
          <w:tab w:leader="none" w:pos="1272" w:val="left"/>
        </w:tabs>
        <w:numPr>
          <w:ilvl w:val="2"/>
          <w:numId w:val="6"/>
        </w:numPr>
        <w:rPr>
          <w:rFonts w:ascii="Arial" w:cs="Arial" w:eastAsia="Arial" w:hAnsi="Arial"/>
          <w:sz w:val="13"/>
          <w:szCs w:val="13"/>
          <w:color w:val="auto"/>
        </w:rPr>
      </w:pPr>
      <w:r>
        <w:rPr>
          <w:rFonts w:ascii="Arial" w:cs="Arial" w:eastAsia="Arial" w:hAnsi="Arial"/>
          <w:sz w:val="12"/>
          <w:szCs w:val="12"/>
          <w:color w:val="auto"/>
        </w:rPr>
        <w:t>Exome sequencing had a copy number variant (CNV) detection rate of 93.4%, factoring in that some CMA-reported CNVs were detected by exome sequencing but not reported due to lack of phenotypic fit.</w:t>
      </w:r>
    </w:p>
    <w:p>
      <w:pPr>
        <w:spacing w:after="0" w:line="4" w:lineRule="exact"/>
        <w:rPr>
          <w:rFonts w:ascii="Arial" w:cs="Arial" w:eastAsia="Arial" w:hAnsi="Arial"/>
          <w:sz w:val="13"/>
          <w:szCs w:val="13"/>
          <w:color w:val="auto"/>
        </w:rPr>
      </w:pPr>
    </w:p>
    <w:p>
      <w:pPr>
        <w:ind w:left="1280" w:hanging="208"/>
        <w:spacing w:after="0"/>
        <w:tabs>
          <w:tab w:leader="none" w:pos="1280" w:val="left"/>
        </w:tabs>
        <w:numPr>
          <w:ilvl w:val="2"/>
          <w:numId w:val="6"/>
        </w:numPr>
        <w:rPr>
          <w:rFonts w:ascii="Arial" w:cs="Arial" w:eastAsia="Arial" w:hAnsi="Arial"/>
          <w:sz w:val="13"/>
          <w:szCs w:val="13"/>
          <w:color w:val="auto"/>
        </w:rPr>
      </w:pPr>
      <w:r>
        <w:rPr>
          <w:rFonts w:ascii="Arial" w:cs="Arial" w:eastAsia="Arial" w:hAnsi="Arial"/>
          <w:sz w:val="12"/>
          <w:szCs w:val="12"/>
          <w:color w:val="auto"/>
        </w:rPr>
        <w:t>Additionally, for CMA negative cases, exome sequencing found a CNV in 1.3% of these cases, mostly due to limitations in CMA probe coverage.</w:t>
      </w:r>
    </w:p>
    <w:p>
      <w:pPr>
        <w:ind w:left="860" w:hanging="220"/>
        <w:spacing w:after="0"/>
        <w:tabs>
          <w:tab w:leader="none" w:pos="852" w:val="left"/>
        </w:tabs>
        <w:numPr>
          <w:ilvl w:val="1"/>
          <w:numId w:val="6"/>
        </w:numPr>
        <w:rPr>
          <w:rFonts w:ascii="Arial" w:cs="Arial" w:eastAsia="Arial" w:hAnsi="Arial"/>
          <w:sz w:val="13"/>
          <w:szCs w:val="13"/>
          <w:color w:val="auto"/>
        </w:rPr>
      </w:pPr>
      <w:r>
        <w:rPr>
          <w:rFonts w:ascii="Arial" w:cs="Arial" w:eastAsia="Arial" w:hAnsi="Arial"/>
          <w:sz w:val="12"/>
          <w:szCs w:val="12"/>
          <w:color w:val="auto"/>
        </w:rPr>
        <w:t>Collaborated in the presentation of initial data and analysis from the GUARDIAN study presented at the ACMG Annual Clinical Genetics Meeting showing whole genome sequencing identified rare genetic conditions not otherwise part of standard newborn screening.</w:t>
      </w:r>
    </w:p>
    <w:p>
      <w:pPr>
        <w:spacing w:after="0" w:line="9" w:lineRule="exact"/>
        <w:rPr>
          <w:rFonts w:ascii="Arial" w:cs="Arial" w:eastAsia="Arial" w:hAnsi="Arial"/>
          <w:sz w:val="13"/>
          <w:szCs w:val="13"/>
          <w:color w:val="auto"/>
        </w:rPr>
      </w:pPr>
    </w:p>
    <w:p>
      <w:pPr>
        <w:ind w:left="1280" w:right="20" w:hanging="208"/>
        <w:spacing w:after="0"/>
        <w:tabs>
          <w:tab w:leader="none" w:pos="1272" w:val="left"/>
        </w:tabs>
        <w:numPr>
          <w:ilvl w:val="2"/>
          <w:numId w:val="6"/>
        </w:numPr>
        <w:rPr>
          <w:rFonts w:ascii="Arial" w:cs="Arial" w:eastAsia="Arial" w:hAnsi="Arial"/>
          <w:sz w:val="13"/>
          <w:szCs w:val="13"/>
          <w:color w:val="auto"/>
        </w:rPr>
      </w:pPr>
      <w:r>
        <w:rPr>
          <w:rFonts w:ascii="Arial" w:cs="Arial" w:eastAsia="Arial" w:hAnsi="Arial"/>
          <w:sz w:val="12"/>
          <w:szCs w:val="12"/>
          <w:color w:val="auto"/>
        </w:rPr>
        <w:t>Of the 1,000 newborns enrolled to date, true positive screening outcomes were present in 2.6% of newborns. This included 15 confirmed cases with G6PD deficiency, a genetic disorder not integrated with standard newborn screening.</w:t>
      </w:r>
    </w:p>
    <w:p>
      <w:pPr>
        <w:ind w:left="1280" w:right="20" w:hanging="208"/>
        <w:spacing w:after="0"/>
        <w:tabs>
          <w:tab w:leader="none" w:pos="1272" w:val="left"/>
        </w:tabs>
        <w:numPr>
          <w:ilvl w:val="2"/>
          <w:numId w:val="6"/>
        </w:numPr>
        <w:rPr>
          <w:rFonts w:ascii="Arial" w:cs="Arial" w:eastAsia="Arial" w:hAnsi="Arial"/>
          <w:sz w:val="13"/>
          <w:szCs w:val="13"/>
          <w:color w:val="auto"/>
        </w:rPr>
      </w:pPr>
      <w:r>
        <w:rPr>
          <w:rFonts w:ascii="Arial" w:cs="Arial" w:eastAsia="Arial" w:hAnsi="Arial"/>
          <w:sz w:val="12"/>
          <w:szCs w:val="12"/>
          <w:color w:val="auto"/>
        </w:rPr>
        <w:t>In a retrospective analysis performed by GeneDx, of almost 25,000 individuals with positive exome or genome sequencing, more than 20% of individuals could have identified their genetic disease on average, 7 to 11 years sooner had they received genome sequencing at birth.</w:t>
      </w:r>
    </w:p>
    <w:p>
      <w:pPr>
        <w:ind w:left="420" w:hanging="212"/>
        <w:spacing w:after="0"/>
        <w:tabs>
          <w:tab w:leader="none" w:pos="412" w:val="left"/>
        </w:tabs>
        <w:numPr>
          <w:ilvl w:val="0"/>
          <w:numId w:val="6"/>
        </w:numPr>
        <w:rPr>
          <w:rFonts w:ascii="Arial" w:cs="Arial" w:eastAsia="Arial" w:hAnsi="Arial"/>
          <w:sz w:val="13"/>
          <w:szCs w:val="13"/>
          <w:color w:val="auto"/>
        </w:rPr>
      </w:pPr>
      <w:r>
        <w:rPr>
          <w:rFonts w:ascii="Arial" w:cs="Arial" w:eastAsia="Arial" w:hAnsi="Arial"/>
          <w:sz w:val="12"/>
          <w:szCs w:val="12"/>
          <w:color w:val="auto"/>
        </w:rPr>
        <w:t>Initiated outreach to physicians highlighting recent policy updates from UnitedHealthcare® and Cigna® providing both whole exome sequencing and whole genome sequencing coverage under their commercial plans to diagnose complex diseases and guide personalized medical treatment plans</w:t>
      </w:r>
    </w:p>
    <w:p>
      <w:pPr>
        <w:ind w:left="420" w:hanging="212"/>
        <w:spacing w:after="0" w:line="232"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2"/>
          <w:szCs w:val="12"/>
          <w:color w:val="auto"/>
        </w:rPr>
        <w:t>Signed agreements with five biopharmaceutical companies focused on rare diseases or neurological disorders to deliver insightful and actionable information based on GeneDx dataset</w:t>
      </w:r>
    </w:p>
    <w:p>
      <w:pPr>
        <w:sectPr>
          <w:pgSz w:w="11900" w:h="16838" w:orient="portrait"/>
          <w:cols w:equalWidth="0" w:num="1">
            <w:col w:w="11300"/>
          </w:cols>
          <w:pgMar w:left="300" w:top="1003" w:right="299" w:bottom="1440" w:gutter="0" w:footer="0" w:header="0"/>
        </w:sectPr>
      </w:pPr>
    </w:p>
    <w:bookmarkStart w:id="5" w:name="page6"/>
    <w:bookmarkEnd w:id="5"/>
    <w:p>
      <w:pPr>
        <w:ind w:left="428" w:hanging="212"/>
        <w:spacing w:after="0"/>
        <w:tabs>
          <w:tab w:leader="none" w:pos="428" w:val="left"/>
        </w:tabs>
        <w:numPr>
          <w:ilvl w:val="0"/>
          <w:numId w:val="7"/>
        </w:numPr>
        <w:rPr>
          <w:rFonts w:ascii="Arial" w:cs="Arial" w:eastAsia="Arial" w:hAnsi="Arial"/>
          <w:sz w:val="13"/>
          <w:szCs w:val="13"/>
          <w:color w:val="auto"/>
        </w:rPr>
      </w:pPr>
      <w:r>
        <w:rPr>
          <w:rFonts w:ascii="Arial" w:cs="Arial" w:eastAsia="Arial" w:hAnsi="Arial"/>
          <w:sz w:val="12"/>
          <w:szCs w:val="12"/>
          <w:color w:val="auto"/>
        </w:rPr>
        <w:t>Launched buccal swab, or cheek swab, for whole genome sequencing of biological parents to aid in disease diagnosis</w:t>
      </w:r>
    </w:p>
    <w:p>
      <w:pPr>
        <w:ind w:left="8"/>
        <w:spacing w:after="0"/>
        <w:rPr>
          <w:rFonts w:ascii="Arial" w:cs="Arial" w:eastAsia="Arial" w:hAnsi="Arial"/>
          <w:sz w:val="13"/>
          <w:szCs w:val="13"/>
          <w:color w:val="auto"/>
        </w:rPr>
      </w:pPr>
      <w:r>
        <w:rPr>
          <w:rFonts w:ascii="Arial" w:cs="Arial" w:eastAsia="Arial" w:hAnsi="Arial"/>
          <w:sz w:val="12"/>
          <w:szCs w:val="12"/>
          <w:b w:val="1"/>
          <w:bCs w:val="1"/>
          <w:color w:val="auto"/>
        </w:rPr>
        <w:t>GeneDx Pro Forma Full Year 2023 Guidance</w:t>
      </w:r>
    </w:p>
    <w:p>
      <w:pPr>
        <w:spacing w:after="0" w:line="177" w:lineRule="exact"/>
        <w:rPr>
          <w:sz w:val="20"/>
          <w:szCs w:val="20"/>
          <w:color w:val="auto"/>
        </w:rPr>
      </w:pPr>
    </w:p>
    <w:p>
      <w:pPr>
        <w:ind w:left="8"/>
        <w:spacing w:after="0" w:line="246" w:lineRule="auto"/>
        <w:rPr>
          <w:sz w:val="20"/>
          <w:szCs w:val="20"/>
          <w:color w:val="auto"/>
        </w:rPr>
      </w:pPr>
      <w:r>
        <w:rPr>
          <w:rFonts w:ascii="Arial" w:cs="Arial" w:eastAsia="Arial" w:hAnsi="Arial"/>
          <w:sz w:val="12"/>
          <w:szCs w:val="12"/>
          <w:color w:val="auto"/>
        </w:rPr>
        <w:t>GeneDx is reiterating its previously issued full year 2023 guidance. The continuing operations of GeneDx, excluding revenues and direct costs from the now discontinued Legacy Sema4 diagnostic testing business, are expected to:</w:t>
      </w:r>
    </w:p>
    <w:p>
      <w:pPr>
        <w:spacing w:after="0" w:line="153" w:lineRule="exact"/>
        <w:rPr>
          <w:sz w:val="20"/>
          <w:szCs w:val="20"/>
          <w:color w:val="auto"/>
        </w:rPr>
      </w:pPr>
    </w:p>
    <w:p>
      <w:pPr>
        <w:ind w:left="428" w:hanging="212"/>
        <w:spacing w:after="0"/>
        <w:tabs>
          <w:tab w:leader="none" w:pos="428" w:val="left"/>
        </w:tabs>
        <w:numPr>
          <w:ilvl w:val="0"/>
          <w:numId w:val="8"/>
        </w:numPr>
        <w:rPr>
          <w:rFonts w:ascii="Arial" w:cs="Arial" w:eastAsia="Arial" w:hAnsi="Arial"/>
          <w:sz w:val="13"/>
          <w:szCs w:val="13"/>
          <w:color w:val="auto"/>
        </w:rPr>
      </w:pPr>
      <w:r>
        <w:rPr>
          <w:rFonts w:ascii="Arial" w:cs="Arial" w:eastAsia="Arial" w:hAnsi="Arial"/>
          <w:sz w:val="12"/>
          <w:szCs w:val="12"/>
          <w:color w:val="auto"/>
        </w:rPr>
        <w:t>Generate revenues between $205 to $220 million for full year 2023;</w:t>
      </w:r>
    </w:p>
    <w:p>
      <w:pPr>
        <w:spacing w:after="0" w:line="3" w:lineRule="exact"/>
        <w:rPr>
          <w:rFonts w:ascii="Arial" w:cs="Arial" w:eastAsia="Arial" w:hAnsi="Arial"/>
          <w:sz w:val="13"/>
          <w:szCs w:val="13"/>
          <w:color w:val="auto"/>
        </w:rPr>
      </w:pPr>
    </w:p>
    <w:p>
      <w:pPr>
        <w:ind w:left="428" w:hanging="212"/>
        <w:spacing w:after="0"/>
        <w:tabs>
          <w:tab w:leader="none" w:pos="428" w:val="left"/>
        </w:tabs>
        <w:numPr>
          <w:ilvl w:val="0"/>
          <w:numId w:val="8"/>
        </w:numPr>
        <w:rPr>
          <w:rFonts w:ascii="Arial" w:cs="Arial" w:eastAsia="Arial" w:hAnsi="Arial"/>
          <w:sz w:val="13"/>
          <w:szCs w:val="13"/>
          <w:color w:val="auto"/>
        </w:rPr>
      </w:pPr>
      <w:r>
        <w:rPr>
          <w:rFonts w:ascii="Arial" w:cs="Arial" w:eastAsia="Arial" w:hAnsi="Arial"/>
          <w:sz w:val="12"/>
          <w:szCs w:val="12"/>
          <w:color w:val="auto"/>
        </w:rPr>
        <w:t>Expand gross margin profile in 2023 and beyond;</w:t>
      </w:r>
    </w:p>
    <w:p>
      <w:pPr>
        <w:spacing w:after="0" w:line="8" w:lineRule="exact"/>
        <w:rPr>
          <w:rFonts w:ascii="Arial" w:cs="Arial" w:eastAsia="Arial" w:hAnsi="Arial"/>
          <w:sz w:val="13"/>
          <w:szCs w:val="13"/>
          <w:color w:val="auto"/>
        </w:rPr>
      </w:pPr>
    </w:p>
    <w:p>
      <w:pPr>
        <w:ind w:left="428" w:hanging="212"/>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2"/>
          <w:szCs w:val="12"/>
          <w:color w:val="auto"/>
        </w:rPr>
        <w:t>Use $95 to $110 million of net cash in 2023 for continuing operations. Inclusive of servicing obligations of the exited business activities, the Company’s cash burn in 2023 is expected to be in the range of $130 to $145 million; and</w:t>
      </w:r>
    </w:p>
    <w:p>
      <w:pPr>
        <w:ind w:left="428" w:hanging="212"/>
        <w:spacing w:after="0" w:line="232" w:lineRule="auto"/>
        <w:tabs>
          <w:tab w:leader="none" w:pos="428" w:val="left"/>
        </w:tabs>
        <w:numPr>
          <w:ilvl w:val="0"/>
          <w:numId w:val="8"/>
        </w:numPr>
        <w:rPr>
          <w:rFonts w:ascii="Arial" w:cs="Arial" w:eastAsia="Arial" w:hAnsi="Arial"/>
          <w:sz w:val="13"/>
          <w:szCs w:val="13"/>
          <w:color w:val="auto"/>
        </w:rPr>
      </w:pPr>
      <w:r>
        <w:rPr>
          <w:rFonts w:ascii="Arial" w:cs="Arial" w:eastAsia="Arial" w:hAnsi="Arial"/>
          <w:sz w:val="12"/>
          <w:szCs w:val="12"/>
          <w:color w:val="auto"/>
        </w:rPr>
        <w:t>Turn profitable in 2025.</w:t>
      </w:r>
    </w:p>
    <w:p>
      <w:pPr>
        <w:spacing w:after="0" w:line="152" w:lineRule="exact"/>
        <w:rPr>
          <w:sz w:val="20"/>
          <w:szCs w:val="20"/>
          <w:color w:val="auto"/>
        </w:rPr>
      </w:pPr>
    </w:p>
    <w:p>
      <w:pPr>
        <w:jc w:val="both"/>
        <w:ind w:left="8" w:hanging="8"/>
        <w:spacing w:after="0" w:line="223" w:lineRule="auto"/>
        <w:tabs>
          <w:tab w:leader="none" w:pos="93" w:val="left"/>
        </w:tabs>
        <w:numPr>
          <w:ilvl w:val="0"/>
          <w:numId w:val="9"/>
        </w:numPr>
        <w:rPr>
          <w:rFonts w:ascii="Arial" w:cs="Arial" w:eastAsia="Arial" w:hAnsi="Arial"/>
          <w:sz w:val="16"/>
          <w:szCs w:val="16"/>
          <w:color w:val="565454"/>
          <w:vertAlign w:val="superscript"/>
        </w:rPr>
      </w:pPr>
      <w:r>
        <w:rPr>
          <w:rFonts w:ascii="Arial" w:cs="Arial" w:eastAsia="Arial" w:hAnsi="Arial"/>
          <w:sz w:val="12"/>
          <w:szCs w:val="12"/>
          <w:color w:val="565454"/>
        </w:rPr>
        <w:t>The pro forma unadjusted and adjusted results from continuing operations for the first quarter of 2023 and the comparable results for for the first quarter of 2022 are presented on a pro forma basis assuming Legacy GeneDx and the Company were combined for the entirety of 2022 and exclude the revenues and costs from the now discontinued Legacy Sema4 diagnostic testing business, and include the combination of the Legacy GeneDx diagnostic business revenues and costs with the data and information revenues and associated costs derived from the Legacy Sema4 business. Actual total Company results include the results of the Legacy GeneDx business only from the date of the Company’s acquisition of Legacy GeneDx on April 29, 2022, the purchase accounting associated with the acquisition of Legacy GeneDx, and also include the financial impacts of exited Legacy Sema4 business activities for the full quarter.</w:t>
      </w:r>
    </w:p>
    <w:p>
      <w:pPr>
        <w:spacing w:after="0" w:line="114" w:lineRule="exact"/>
        <w:rPr>
          <w:sz w:val="20"/>
          <w:szCs w:val="20"/>
          <w:color w:val="auto"/>
        </w:rPr>
      </w:pPr>
    </w:p>
    <w:p>
      <w:pPr>
        <w:ind w:left="68" w:hanging="68"/>
        <w:spacing w:after="0"/>
        <w:tabs>
          <w:tab w:leader="none" w:pos="68" w:val="left"/>
        </w:tabs>
        <w:numPr>
          <w:ilvl w:val="0"/>
          <w:numId w:val="10"/>
        </w:numPr>
        <w:rPr>
          <w:rFonts w:ascii="Arial" w:cs="Arial" w:eastAsia="Arial" w:hAnsi="Arial"/>
          <w:sz w:val="16"/>
          <w:szCs w:val="16"/>
          <w:color w:val="565454"/>
          <w:vertAlign w:val="superscript"/>
        </w:rPr>
      </w:pPr>
      <w:r>
        <w:rPr>
          <w:rFonts w:ascii="Arial" w:cs="Arial" w:eastAsia="Arial" w:hAnsi="Arial"/>
          <w:sz w:val="12"/>
          <w:szCs w:val="12"/>
          <w:color w:val="565454"/>
        </w:rPr>
        <w:t>Adjusted gross margin and adjusted net loss are non-GAAP financial measures. See appendix for a reconciliation of GAAP to Non-GAAP figures presented.</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Webcast and Conference Call Details</w:t>
      </w:r>
    </w:p>
    <w:p>
      <w:pPr>
        <w:spacing w:after="0" w:line="11" w:lineRule="exact"/>
        <w:rPr>
          <w:sz w:val="20"/>
          <w:szCs w:val="20"/>
          <w:color w:val="auto"/>
        </w:rPr>
      </w:pPr>
    </w:p>
    <w:p>
      <w:pPr>
        <w:jc w:val="both"/>
        <w:ind w:left="8"/>
        <w:spacing w:after="0" w:line="246" w:lineRule="auto"/>
        <w:rPr>
          <w:sz w:val="20"/>
          <w:szCs w:val="20"/>
          <w:color w:val="auto"/>
        </w:rPr>
      </w:pPr>
      <w:r>
        <w:rPr>
          <w:rFonts w:ascii="Arial" w:cs="Arial" w:eastAsia="Arial" w:hAnsi="Arial"/>
          <w:sz w:val="12"/>
          <w:szCs w:val="12"/>
          <w:color w:val="auto"/>
        </w:rPr>
        <w:t>GeneDx will host a conference call today, May 9, 2023, at 4:30 p.m.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2" w:lineRule="exact"/>
        <w:rPr>
          <w:sz w:val="20"/>
          <w:szCs w:val="20"/>
          <w:color w:val="auto"/>
        </w:rPr>
      </w:pPr>
    </w:p>
    <w:p>
      <w:pPr>
        <w:jc w:val="both"/>
        <w:ind w:left="8"/>
        <w:spacing w:after="0" w:line="236" w:lineRule="auto"/>
        <w:rPr>
          <w:sz w:val="20"/>
          <w:szCs w:val="20"/>
          <w:color w:val="auto"/>
        </w:rPr>
      </w:pPr>
      <w:r>
        <w:rPr>
          <w:rFonts w:ascii="Arial" w:cs="Arial" w:eastAsia="Arial" w:hAnsi="Arial"/>
          <w:sz w:val="12"/>
          <w:szCs w:val="12"/>
          <w:color w:val="auto"/>
        </w:rPr>
        <w:t>This press release contains certain forward-looking statements within the meaning of the federal securities laws, including statements regarding our future performance and our market opportunity, including our expected full year 2023 reported revenue guidance, our expectations regarding our gross margin profile in 2023 and beyond, our use of cash for continuing operations and our cash burn in 2023 and our turning profitable in 2025, our expectations for our growth and future investment in our business, our expectations regarding our plans to pursue new strategic direction, improve our operational efficiency and reduce our cash burn and our ability to scale to profitability, the associated cost savings of our business exits and impact on our gross margins.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The foregoing list of factors is not exhaustive. You should carefully consider the foregoing factors and the other risks and uncertainties described in the “Risk Factors” section of our Annual Report on Form 10-K for the fiscal year ended December 31, 2022, filed with the U.S. Securities and Exchange Commission (the “SEC”) on March 16, 2023, and other documents filed by us from time to time with the SEC. These filings identify</w:t>
      </w:r>
    </w:p>
    <w:p>
      <w:pPr>
        <w:sectPr>
          <w:pgSz w:w="11900" w:h="16838" w:orient="portrait"/>
          <w:cols w:equalWidth="0" w:num="1">
            <w:col w:w="11308"/>
          </w:cols>
          <w:pgMar w:left="292" w:top="997" w:right="299" w:bottom="1440" w:gutter="0" w:footer="0" w:header="0"/>
        </w:sectPr>
      </w:pPr>
    </w:p>
    <w:bookmarkStart w:id="6" w:name="page7"/>
    <w:bookmarkEnd w:id="6"/>
    <w:p>
      <w:pPr>
        <w:jc w:val="both"/>
        <w:spacing w:after="0"/>
        <w:rPr>
          <w:sz w:val="20"/>
          <w:szCs w:val="20"/>
          <w:color w:val="auto"/>
        </w:rPr>
      </w:pPr>
      <w:r>
        <w:rPr>
          <w:rFonts w:ascii="Arial" w:cs="Arial" w:eastAsia="Arial" w:hAnsi="Arial"/>
          <w:sz w:val="12"/>
          <w:szCs w:val="12"/>
          <w:color w:val="auto"/>
        </w:rPr>
        <w:t>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GeneDx</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2"/>
          <w:szCs w:val="12"/>
          <w:color w:val="auto"/>
        </w:rPr>
        <w:t>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 interpretation, fueled by one of the world’s largest rare disease data sets. For more information, please visit genedx.com and connect with us on LinkedIn, Facebook, Twitter and Instagram.</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Tricia Truehart</w:t>
      </w:r>
    </w:p>
    <w:p>
      <w:pPr>
        <w:spacing w:after="0"/>
        <w:rPr>
          <w:sz w:val="20"/>
          <w:szCs w:val="20"/>
          <w:color w:val="auto"/>
        </w:rPr>
      </w:pPr>
      <w:r>
        <w:rPr>
          <w:rFonts w:ascii="Arial" w:cs="Arial" w:eastAsia="Arial" w:hAnsi="Arial"/>
          <w:sz w:val="12"/>
          <w:szCs w:val="12"/>
          <w:color w:val="auto"/>
        </w:rPr>
        <w:t>Investors@GeneDx.com</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Maurissa Messier</w:t>
      </w:r>
    </w:p>
    <w:p>
      <w:pPr>
        <w:spacing w:after="0"/>
        <w:rPr>
          <w:sz w:val="20"/>
          <w:szCs w:val="20"/>
          <w:color w:val="auto"/>
        </w:rPr>
      </w:pPr>
      <w:r>
        <w:rPr>
          <w:rFonts w:ascii="Arial" w:cs="Arial" w:eastAsia="Arial" w:hAnsi="Arial"/>
          <w:sz w:val="12"/>
          <w:szCs w:val="12"/>
          <w:color w:val="auto"/>
        </w:rPr>
        <w:t>Press@GeneDx.com</w:t>
      </w:r>
    </w:p>
    <w:p>
      <w:pPr>
        <w:sectPr>
          <w:pgSz w:w="11900" w:h="16838" w:orient="portrait"/>
          <w:cols w:equalWidth="0" w:num="1">
            <w:col w:w="11300"/>
          </w:cols>
          <w:pgMar w:left="300" w:top="994" w:right="299" w:bottom="1440" w:gutter="0" w:footer="0" w:header="0"/>
        </w:sectPr>
      </w:pPr>
    </w:p>
    <w:bookmarkStart w:id="7" w:name="page8"/>
    <w:bookmarkEnd w:id="7"/>
    <w:p>
      <w:pPr>
        <w:spacing w:after="0"/>
        <w:rPr>
          <w:sz w:val="20"/>
          <w:szCs w:val="20"/>
          <w:color w:val="auto"/>
        </w:rPr>
      </w:pPr>
      <w:r>
        <w:rPr>
          <w:rFonts w:ascii="Arial" w:cs="Arial" w:eastAsia="Arial" w:hAnsi="Arial"/>
          <w:sz w:val="9"/>
          <w:szCs w:val="9"/>
          <w:color w:val="auto"/>
        </w:rPr>
        <w:t>Pro forma select volume and revenue from Continuing Operations in the table below assumes Legacy GeneDx was owned for the entirety of the applicable quarter(s) and are calculated based on the construct of our continuing operations inclusive of Legacy</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1"/>
          <w:szCs w:val="11"/>
          <w:color w:val="auto"/>
        </w:rPr>
        <w:t>GeneDx combined with data revenues and associated costs from Legacy Sema4. Pro forma select metrics are presented for illustrative purposes only and are not necessarily indicative of the results that would have occurred had the GeneDx acquisition been completed on such dates or that may occur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 Forma Select GeneDx Volume &amp; Revenue from Continuing Operations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4460" w:type="dxa"/>
            <w:vAlign w:val="bottom"/>
            <w:tcBorders>
              <w:top w:val="single" w:sz="8" w:color="auto"/>
              <w:left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1Q22</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2Q22</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3Q22</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4Q22</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1Q23</w:t>
            </w:r>
          </w:p>
        </w:tc>
      </w:tr>
      <w:tr>
        <w:trPr>
          <w:trHeight w:val="22"/>
        </w:trPr>
        <w:tc>
          <w:tcPr>
            <w:tcW w:w="4460" w:type="dxa"/>
            <w:vAlign w:val="bottom"/>
            <w:tcBorders>
              <w:left w:val="single" w:sz="8" w:color="auto"/>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r>
      <w:tr>
        <w:trPr>
          <w:trHeight w:val="151"/>
        </w:trPr>
        <w:tc>
          <w:tcPr>
            <w:tcW w:w="446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1"/>
                <w:szCs w:val="11"/>
                <w:b w:val="1"/>
                <w:bCs w:val="1"/>
                <w:color w:val="auto"/>
              </w:rPr>
              <w:t>Volumes</w:t>
            </w: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c>
          <w:tcPr>
            <w:tcW w:w="1700" w:type="dxa"/>
            <w:vAlign w:val="bottom"/>
            <w:tcBorders>
              <w:bottom w:val="single" w:sz="8" w:color="E7E6E6"/>
              <w:right w:val="single" w:sz="8" w:color="auto"/>
            </w:tcBorders>
            <w:shd w:val="clear" w:color="auto" w:fill="E7E6E6"/>
          </w:tcPr>
          <w:p>
            <w:pPr>
              <w:spacing w:after="0"/>
              <w:rPr>
                <w:sz w:val="13"/>
                <w:szCs w:val="13"/>
                <w:color w:val="auto"/>
              </w:rPr>
            </w:pP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r>
      <w:tr>
        <w:trPr>
          <w:trHeight w:val="149"/>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Whole Exome, Whole Genome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7,397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7,579</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7,722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7,862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8,705</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Exome based Panels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2,630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3,141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2,983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3,013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3,136</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Hereditary Cancer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6,429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7,391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5,445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6,069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7,120</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individual gene tests and multi-gene disease panels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24,610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27,446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28,764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31,891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33,817</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41,066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45,557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44,914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48,835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52,778</w:t>
            </w:r>
          </w:p>
        </w:tc>
      </w:tr>
      <w:tr>
        <w:trPr>
          <w:trHeight w:val="29"/>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171"/>
        </w:trPr>
        <w:tc>
          <w:tcPr>
            <w:tcW w:w="446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51"/>
        </w:trPr>
        <w:tc>
          <w:tcPr>
            <w:tcW w:w="446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1"/>
                <w:szCs w:val="11"/>
                <w:b w:val="1"/>
                <w:bCs w:val="1"/>
                <w:color w:val="auto"/>
              </w:rPr>
              <w:t>Revenue</w:t>
            </w: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c>
          <w:tcPr>
            <w:tcW w:w="1700" w:type="dxa"/>
            <w:vAlign w:val="bottom"/>
            <w:tcBorders>
              <w:bottom w:val="single" w:sz="8" w:color="E7E6E6"/>
              <w:right w:val="single" w:sz="8" w:color="auto"/>
            </w:tcBorders>
            <w:shd w:val="clear" w:color="auto" w:fill="E7E6E6"/>
          </w:tcPr>
          <w:p>
            <w:pPr>
              <w:spacing w:after="0"/>
              <w:rPr>
                <w:sz w:val="13"/>
                <w:szCs w:val="13"/>
                <w:color w:val="auto"/>
              </w:rPr>
            </w:pP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c>
          <w:tcPr>
            <w:tcW w:w="1240" w:type="dxa"/>
            <w:vAlign w:val="bottom"/>
            <w:tcBorders>
              <w:bottom w:val="single" w:sz="8" w:color="E7E6E6"/>
              <w:right w:val="single" w:sz="8" w:color="auto"/>
            </w:tcBorders>
            <w:shd w:val="clear" w:color="auto" w:fill="E7E6E6"/>
          </w:tcPr>
          <w:p>
            <w:pPr>
              <w:spacing w:after="0"/>
              <w:rPr>
                <w:sz w:val="13"/>
                <w:szCs w:val="13"/>
                <w:color w:val="auto"/>
              </w:rPr>
            </w:pPr>
          </w:p>
        </w:tc>
      </w:tr>
      <w:tr>
        <w:trPr>
          <w:trHeight w:val="149"/>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Whole Exome, Whole Genome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$21.1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$23.3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$22.4</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Exome based Panels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$2.4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$2.3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$2.0</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Hereditary Cancer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$2.8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$3.5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$4.3</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individual gene tests and multi-gene disease panels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$10.5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$14.3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$10.6</w:t>
            </w:r>
          </w:p>
        </w:tc>
      </w:tr>
      <w:tr>
        <w:trPr>
          <w:trHeight w:val="17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Data Information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$1.6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$1.8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$1.3</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$38.0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$40.1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$45.8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$40.7</w:t>
            </w:r>
          </w:p>
        </w:tc>
      </w:tr>
      <w:tr>
        <w:trPr>
          <w:trHeight w:val="29"/>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80"/>
          </w:cols>
          <w:pgMar w:left="300" w:top="1151" w:right="519" w:bottom="1440" w:gutter="0" w:footer="0" w:header="0"/>
        </w:sectPr>
      </w:pPr>
    </w:p>
    <w:bookmarkStart w:id="8" w:name="page9"/>
    <w:bookmarkEnd w:id="8"/>
    <w:p>
      <w:pPr>
        <w:spacing w:after="0" w:line="234" w:lineRule="auto"/>
        <w:rPr>
          <w:sz w:val="20"/>
          <w:szCs w:val="20"/>
          <w:color w:val="auto"/>
        </w:rPr>
      </w:pPr>
      <w:r>
        <w:rPr>
          <w:rFonts w:ascii="Arial" w:cs="Arial" w:eastAsia="Arial" w:hAnsi="Arial"/>
          <w:sz w:val="11"/>
          <w:szCs w:val="11"/>
          <w:color w:val="auto"/>
        </w:rPr>
        <w:t>Unaudited Pro forma select financial information assume Legacy GeneDx was owned for the entirety of the quarter and is calculated based on the construct of our continuing operations inclusive of Legacy GeneDx combined with data revenues and associated costs from Legacy Sema4. Unaudited Pro forma select financial information is presented for illustrative purposes only and are not necessarily indicative of the results that would have occurred had the Legacy GeneDx acquisition been completed on such dates or that may occur in the future.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PRO FORMA SELECT FINANCIAL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THREE MONTHS ENDED MARCH 31, 2023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3800" w:type="dxa"/>
            <w:vAlign w:val="bottom"/>
            <w:tcBorders>
              <w:top w:val="single" w:sz="8" w:color="auto"/>
              <w:left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GeneDx Continuing Operations</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w w:val="99"/>
              </w:rPr>
              <w:t>Legacy Sema4 Discontinued Business</w:t>
            </w:r>
          </w:p>
        </w:tc>
        <w:tc>
          <w:tcPr>
            <w:tcW w:w="26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1"/>
                <w:szCs w:val="11"/>
                <w:b w:val="1"/>
                <w:bCs w:val="1"/>
                <w:color w:val="auto"/>
              </w:rPr>
              <w:t>Combined Company</w:t>
            </w:r>
          </w:p>
        </w:tc>
      </w:tr>
      <w:tr>
        <w:trPr>
          <w:trHeight w:val="22"/>
        </w:trPr>
        <w:tc>
          <w:tcPr>
            <w:tcW w:w="3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140"/>
        </w:trPr>
        <w:tc>
          <w:tcPr>
            <w:tcW w:w="38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1"/>
                <w:szCs w:val="11"/>
                <w:color w:val="auto"/>
              </w:rPr>
              <w:t>Revenue</w:t>
            </w:r>
          </w:p>
        </w:tc>
        <w:tc>
          <w:tcPr>
            <w:tcW w:w="208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1"/>
                <w:szCs w:val="11"/>
                <w:color w:val="auto"/>
              </w:rPr>
              <w:t>40,693</w:t>
            </w:r>
          </w:p>
        </w:tc>
        <w:tc>
          <w:tcPr>
            <w:tcW w:w="206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1"/>
                <w:szCs w:val="11"/>
                <w:color w:val="auto"/>
                <w:w w:val="94"/>
              </w:rPr>
              <w:t>2,446</w:t>
            </w:r>
          </w:p>
        </w:tc>
        <w:tc>
          <w:tcPr>
            <w:tcW w:w="262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Arial" w:cs="Arial" w:eastAsia="Arial" w:hAnsi="Arial"/>
                <w:sz w:val="11"/>
                <w:szCs w:val="11"/>
                <w:color w:val="auto"/>
              </w:rPr>
              <w:t>43,139</w:t>
            </w:r>
          </w:p>
        </w:tc>
      </w:tr>
      <w:tr>
        <w:trPr>
          <w:trHeight w:val="149"/>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Adjusted Cost of Services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26,826</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2,080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28,906</w:t>
            </w:r>
          </w:p>
        </w:tc>
      </w:tr>
      <w:tr>
        <w:trPr>
          <w:trHeight w:val="22"/>
        </w:trPr>
        <w:tc>
          <w:tcPr>
            <w:tcW w:w="3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Adjusted Gross Margin</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13,867</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366</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14,233</w:t>
            </w:r>
          </w:p>
        </w:tc>
      </w:tr>
      <w:tr>
        <w:trPr>
          <w:trHeight w:val="22"/>
        </w:trPr>
        <w:tc>
          <w:tcPr>
            <w:tcW w:w="3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Adjusted Gross Margin %</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34.1%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14.9%</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33.0%</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00" w:top="989" w:right="319" w:bottom="1440" w:gutter="0" w:footer="0" w:header="0"/>
        </w:sectPr>
      </w:pPr>
    </w:p>
    <w:bookmarkStart w:id="9" w:name="page10"/>
    <w:bookmarkEnd w:id="9"/>
    <w:p>
      <w:pPr>
        <w:spacing w:after="0"/>
        <w:rPr>
          <w:sz w:val="20"/>
          <w:szCs w:val="20"/>
          <w:color w:val="auto"/>
        </w:rPr>
      </w:pPr>
      <w:r>
        <w:rPr>
          <w:rFonts w:ascii="Arial" w:cs="Arial" w:eastAsia="Arial" w:hAnsi="Arial"/>
          <w:sz w:val="10"/>
          <w:szCs w:val="10"/>
          <w:color w:val="auto"/>
        </w:rPr>
        <w:t>Total Company results below for the first quarter of 2023 include the combination of continuing operations and the now discontinued Legacy Sema4 diagnostic testing business.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6900" w:type="dxa"/>
            <w:vAlign w:val="bottom"/>
            <w:gridSpan w:val="2"/>
          </w:tcPr>
          <w:p>
            <w:pPr>
              <w:jc w:val="center"/>
              <w:ind w:right="1332"/>
              <w:spacing w:after="0"/>
              <w:rPr>
                <w:sz w:val="20"/>
                <w:szCs w:val="20"/>
                <w:color w:val="auto"/>
              </w:rPr>
            </w:pPr>
            <w:r>
              <w:rPr>
                <w:rFonts w:ascii="Arial" w:cs="Arial" w:eastAsia="Arial" w:hAnsi="Arial"/>
                <w:sz w:val="12"/>
                <w:szCs w:val="12"/>
                <w:b w:val="1"/>
                <w:bCs w:val="1"/>
                <w:color w:val="auto"/>
                <w:w w:val="92"/>
              </w:rPr>
              <w:t>GeneDx Holdings Corp.</w:t>
            </w:r>
          </w:p>
        </w:tc>
      </w:tr>
      <w:tr>
        <w:trPr>
          <w:trHeight w:val="166"/>
        </w:trPr>
        <w:tc>
          <w:tcPr>
            <w:tcW w:w="2880" w:type="dxa"/>
            <w:vAlign w:val="bottom"/>
          </w:tcPr>
          <w:p>
            <w:pPr>
              <w:spacing w:after="0"/>
              <w:rPr>
                <w:sz w:val="14"/>
                <w:szCs w:val="14"/>
                <w:color w:val="auto"/>
              </w:rPr>
            </w:pPr>
          </w:p>
        </w:tc>
        <w:tc>
          <w:tcPr>
            <w:tcW w:w="6900" w:type="dxa"/>
            <w:vAlign w:val="bottom"/>
            <w:gridSpan w:val="2"/>
          </w:tcPr>
          <w:p>
            <w:pPr>
              <w:jc w:val="center"/>
              <w:ind w:right="1332"/>
              <w:spacing w:after="0"/>
              <w:rPr>
                <w:sz w:val="20"/>
                <w:szCs w:val="20"/>
                <w:color w:val="auto"/>
              </w:rPr>
            </w:pPr>
            <w:r>
              <w:rPr>
                <w:rFonts w:ascii="Arial" w:cs="Arial" w:eastAsia="Arial" w:hAnsi="Arial"/>
                <w:sz w:val="12"/>
                <w:szCs w:val="12"/>
                <w:b w:val="1"/>
                <w:bCs w:val="1"/>
                <w:color w:val="auto"/>
                <w:w w:val="90"/>
              </w:rPr>
              <w:t>Reconciliation of Revenue to Adjusted Gross Margin &amp; Adjusted Operating Loss</w:t>
            </w:r>
          </w:p>
        </w:tc>
      </w:tr>
      <w:tr>
        <w:trPr>
          <w:trHeight w:val="162"/>
        </w:trPr>
        <w:tc>
          <w:tcPr>
            <w:tcW w:w="2880" w:type="dxa"/>
            <w:vAlign w:val="bottom"/>
          </w:tcPr>
          <w:p>
            <w:pPr>
              <w:spacing w:after="0"/>
              <w:rPr>
                <w:sz w:val="14"/>
                <w:szCs w:val="14"/>
                <w:color w:val="auto"/>
              </w:rPr>
            </w:pPr>
          </w:p>
        </w:tc>
        <w:tc>
          <w:tcPr>
            <w:tcW w:w="6900" w:type="dxa"/>
            <w:vAlign w:val="bottom"/>
            <w:gridSpan w:val="2"/>
          </w:tcPr>
          <w:p>
            <w:pPr>
              <w:jc w:val="center"/>
              <w:ind w:right="1332"/>
              <w:spacing w:after="0"/>
              <w:rPr>
                <w:sz w:val="20"/>
                <w:szCs w:val="20"/>
                <w:color w:val="auto"/>
              </w:rPr>
            </w:pPr>
            <w:r>
              <w:rPr>
                <w:rFonts w:ascii="Arial" w:cs="Arial" w:eastAsia="Arial" w:hAnsi="Arial"/>
                <w:sz w:val="12"/>
                <w:szCs w:val="12"/>
                <w:b w:val="1"/>
                <w:bCs w:val="1"/>
                <w:color w:val="auto"/>
                <w:w w:val="89"/>
              </w:rPr>
              <w:t>(unaudited, in thousands)</w:t>
            </w:r>
          </w:p>
        </w:tc>
      </w:tr>
      <w:tr>
        <w:trPr>
          <w:trHeight w:val="181"/>
        </w:trPr>
        <w:tc>
          <w:tcPr>
            <w:tcW w:w="28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980" w:type="dxa"/>
            <w:vAlign w:val="bottom"/>
            <w:tcBorders>
              <w:bottom w:val="single" w:sz="8" w:color="auto"/>
            </w:tcBorders>
          </w:tcPr>
          <w:p>
            <w:pPr>
              <w:ind w:left="840"/>
              <w:spacing w:after="0"/>
              <w:rPr>
                <w:sz w:val="20"/>
                <w:szCs w:val="20"/>
                <w:color w:val="auto"/>
              </w:rPr>
            </w:pPr>
            <w:r>
              <w:rPr>
                <w:rFonts w:ascii="Arial" w:cs="Arial" w:eastAsia="Arial" w:hAnsi="Arial"/>
                <w:sz w:val="10"/>
                <w:szCs w:val="10"/>
                <w:b w:val="1"/>
                <w:bCs w:val="1"/>
                <w:color w:val="auto"/>
              </w:rPr>
              <w:t>Three Months Ended March 31,</w:t>
            </w:r>
          </w:p>
        </w:tc>
      </w:tr>
      <w:tr>
        <w:trPr>
          <w:trHeight w:val="139"/>
        </w:trPr>
        <w:tc>
          <w:tcPr>
            <w:tcW w:w="2880" w:type="dxa"/>
            <w:vAlign w:val="bottom"/>
          </w:tcPr>
          <w:p>
            <w:pPr>
              <w:spacing w:after="0"/>
              <w:rPr>
                <w:sz w:val="12"/>
                <w:szCs w:val="12"/>
                <w:color w:val="auto"/>
              </w:rPr>
            </w:pPr>
          </w:p>
        </w:tc>
        <w:tc>
          <w:tcPr>
            <w:tcW w:w="6900" w:type="dxa"/>
            <w:vAlign w:val="bottom"/>
            <w:gridSpan w:val="2"/>
          </w:tcPr>
          <w:p>
            <w:pPr>
              <w:jc w:val="center"/>
              <w:ind w:left="3891"/>
              <w:spacing w:after="0"/>
              <w:rPr>
                <w:sz w:val="20"/>
                <w:szCs w:val="20"/>
                <w:color w:val="auto"/>
              </w:rPr>
            </w:pPr>
            <w:r>
              <w:rPr>
                <w:rFonts w:ascii="Arial" w:cs="Arial" w:eastAsia="Arial" w:hAnsi="Arial"/>
                <w:sz w:val="10"/>
                <w:szCs w:val="10"/>
                <w:b w:val="1"/>
                <w:bCs w:val="1"/>
                <w:color w:val="auto"/>
                <w:w w:val="89"/>
              </w:rPr>
              <w:t>2023</w:t>
            </w:r>
          </w:p>
        </w:tc>
      </w:tr>
      <w:tr>
        <w:trPr>
          <w:trHeight w:val="280"/>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Revenue</w:t>
            </w:r>
          </w:p>
        </w:tc>
        <w:tc>
          <w:tcPr>
            <w:tcW w:w="3920" w:type="dxa"/>
            <w:vAlign w:val="bottom"/>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Diagnostic test revenue</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4"/>
              </w:rPr>
              <w:t>41,850</w:t>
            </w:r>
          </w:p>
        </w:tc>
      </w:tr>
      <w:tr>
        <w:trPr>
          <w:trHeight w:val="16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Other Revenue</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7"/>
              </w:rPr>
              <w:t>1,289</w:t>
            </w:r>
          </w:p>
        </w:tc>
      </w:tr>
      <w:tr>
        <w:trPr>
          <w:trHeight w:val="150"/>
        </w:trPr>
        <w:tc>
          <w:tcPr>
            <w:tcW w:w="2880" w:type="dxa"/>
            <w:vAlign w:val="bottom"/>
            <w:shd w:val="clear" w:color="auto" w:fill="BFBFBF"/>
          </w:tcPr>
          <w:p>
            <w:pPr>
              <w:ind w:left="40"/>
              <w:spacing w:after="0"/>
              <w:rPr>
                <w:sz w:val="20"/>
                <w:szCs w:val="20"/>
                <w:color w:val="auto"/>
              </w:rPr>
            </w:pPr>
            <w:r>
              <w:rPr>
                <w:rFonts w:ascii="Arial" w:cs="Arial" w:eastAsia="Arial" w:hAnsi="Arial"/>
                <w:sz w:val="10"/>
                <w:szCs w:val="10"/>
                <w:b w:val="1"/>
                <w:bCs w:val="1"/>
                <w:color w:val="auto"/>
              </w:rPr>
              <w:t>Total Revenue</w:t>
            </w:r>
          </w:p>
        </w:tc>
        <w:tc>
          <w:tcPr>
            <w:tcW w:w="6900" w:type="dxa"/>
            <w:vAlign w:val="bottom"/>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43,139</w:t>
            </w:r>
          </w:p>
        </w:tc>
      </w:tr>
      <w:tr>
        <w:trPr>
          <w:trHeight w:val="145"/>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Cost of Service</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4"/>
              </w:rPr>
              <w:t>27,903</w:t>
            </w:r>
          </w:p>
        </w:tc>
      </w:tr>
      <w:tr>
        <w:trPr>
          <w:trHeight w:val="158"/>
        </w:trPr>
        <w:tc>
          <w:tcPr>
            <w:tcW w:w="288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0"/>
                <w:szCs w:val="10"/>
                <w:b w:val="1"/>
                <w:bCs w:val="1"/>
                <w:color w:val="auto"/>
              </w:rPr>
              <w:t>Gross (Loss) Profit</w:t>
            </w:r>
          </w:p>
        </w:tc>
        <w:tc>
          <w:tcPr>
            <w:tcW w:w="6900" w:type="dxa"/>
            <w:vAlign w:val="bottom"/>
            <w:tcBorders>
              <w:bottom w:val="single" w:sz="8" w:color="auto"/>
            </w:tcBorders>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15,236</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color w:val="auto"/>
              </w:rPr>
              <w:t>Gross Margin</w:t>
            </w:r>
          </w:p>
        </w:tc>
        <w:tc>
          <w:tcPr>
            <w:tcW w:w="6900" w:type="dxa"/>
            <w:vAlign w:val="bottom"/>
            <w:gridSpan w:val="2"/>
          </w:tcPr>
          <w:p>
            <w:pPr>
              <w:jc w:val="center"/>
              <w:ind w:left="3891"/>
              <w:spacing w:after="0"/>
              <w:rPr>
                <w:sz w:val="20"/>
                <w:szCs w:val="20"/>
                <w:color w:val="auto"/>
              </w:rPr>
            </w:pPr>
            <w:r>
              <w:rPr>
                <w:rFonts w:ascii="Arial" w:cs="Arial" w:eastAsia="Arial" w:hAnsi="Arial"/>
                <w:sz w:val="10"/>
                <w:szCs w:val="10"/>
                <w:color w:val="auto"/>
                <w:w w:val="84"/>
              </w:rPr>
              <w:t>35.3%</w:t>
            </w:r>
          </w:p>
        </w:tc>
      </w:tr>
      <w:tr>
        <w:trPr>
          <w:trHeight w:val="306"/>
        </w:trPr>
        <w:tc>
          <w:tcPr>
            <w:tcW w:w="2880" w:type="dxa"/>
            <w:vAlign w:val="bottom"/>
          </w:tcPr>
          <w:p>
            <w:pPr>
              <w:ind w:left="40"/>
              <w:spacing w:after="0"/>
              <w:rPr>
                <w:sz w:val="20"/>
                <w:szCs w:val="20"/>
                <w:color w:val="auto"/>
              </w:rPr>
            </w:pPr>
            <w:r>
              <w:rPr>
                <w:rFonts w:ascii="Arial" w:cs="Arial" w:eastAsia="Arial" w:hAnsi="Arial"/>
                <w:sz w:val="10"/>
                <w:szCs w:val="10"/>
                <w:color w:val="auto"/>
              </w:rPr>
              <w:t>Depreciation and Amortization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589</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Stock-based compensation</w:t>
            </w:r>
          </w:p>
        </w:tc>
        <w:tc>
          <w:tcPr>
            <w:tcW w:w="6900" w:type="dxa"/>
            <w:vAlign w:val="bottom"/>
            <w:gridSpan w:val="2"/>
          </w:tcPr>
          <w:p>
            <w:pPr>
              <w:jc w:val="center"/>
              <w:ind w:left="3891"/>
              <w:spacing w:after="0"/>
              <w:rPr>
                <w:sz w:val="20"/>
                <w:szCs w:val="20"/>
                <w:color w:val="auto"/>
              </w:rPr>
            </w:pPr>
            <w:r>
              <w:rPr>
                <w:rFonts w:ascii="Arial" w:cs="Arial" w:eastAsia="Arial" w:hAnsi="Arial"/>
                <w:sz w:val="10"/>
                <w:szCs w:val="10"/>
                <w:color w:val="auto"/>
                <w:w w:val="88"/>
              </w:rPr>
              <w:t>(1,666)</w:t>
            </w:r>
          </w:p>
        </w:tc>
      </w:tr>
      <w:tr>
        <w:trPr>
          <w:trHeight w:val="16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Restructuring costs</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9"/>
              </w:rPr>
              <w:t>74</w:t>
            </w:r>
          </w:p>
        </w:tc>
      </w:tr>
      <w:tr>
        <w:trPr>
          <w:trHeight w:val="151"/>
        </w:trPr>
        <w:tc>
          <w:tcPr>
            <w:tcW w:w="2880" w:type="dxa"/>
            <w:vAlign w:val="bottom"/>
            <w:shd w:val="clear" w:color="auto" w:fill="BFBFBF"/>
          </w:tcPr>
          <w:p>
            <w:pPr>
              <w:ind w:left="40"/>
              <w:spacing w:after="0"/>
              <w:rPr>
                <w:sz w:val="20"/>
                <w:szCs w:val="20"/>
                <w:color w:val="auto"/>
              </w:rPr>
            </w:pPr>
            <w:r>
              <w:rPr>
                <w:rFonts w:ascii="Arial" w:cs="Arial" w:eastAsia="Arial" w:hAnsi="Arial"/>
                <w:sz w:val="10"/>
                <w:szCs w:val="10"/>
                <w:b w:val="1"/>
                <w:bCs w:val="1"/>
                <w:color w:val="auto"/>
              </w:rPr>
              <w:t>Adjusted Gross (Loss) Profit</w:t>
            </w:r>
          </w:p>
        </w:tc>
        <w:tc>
          <w:tcPr>
            <w:tcW w:w="6900" w:type="dxa"/>
            <w:vAlign w:val="bottom"/>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14,233</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i w:val="1"/>
                <w:iCs w:val="1"/>
                <w:color w:val="auto"/>
              </w:rPr>
              <w:t>Adjusted Gross Margin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9"/>
              </w:rPr>
              <w:t>33%</w:t>
            </w:r>
          </w:p>
        </w:tc>
      </w:tr>
      <w:tr>
        <w:trPr>
          <w:trHeight w:val="170"/>
        </w:trPr>
        <w:tc>
          <w:tcPr>
            <w:tcW w:w="2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53"/>
        </w:trPr>
        <w:tc>
          <w:tcPr>
            <w:tcW w:w="2880" w:type="dxa"/>
            <w:vAlign w:val="bottom"/>
            <w:shd w:val="clear" w:color="auto" w:fill="D9D9D9"/>
          </w:tcPr>
          <w:p>
            <w:pPr>
              <w:ind w:left="40"/>
              <w:spacing w:after="0"/>
              <w:rPr>
                <w:sz w:val="20"/>
                <w:szCs w:val="20"/>
                <w:color w:val="auto"/>
              </w:rPr>
            </w:pPr>
            <w:r>
              <w:rPr>
                <w:rFonts w:ascii="Arial" w:cs="Arial" w:eastAsia="Arial" w:hAnsi="Arial"/>
                <w:sz w:val="10"/>
                <w:szCs w:val="10"/>
                <w:color w:val="auto"/>
              </w:rPr>
              <w:t>Research &amp; Development</w:t>
            </w:r>
          </w:p>
        </w:tc>
        <w:tc>
          <w:tcPr>
            <w:tcW w:w="6900" w:type="dxa"/>
            <w:vAlign w:val="bottom"/>
            <w:gridSpan w:val="2"/>
            <w:shd w:val="clear" w:color="auto" w:fill="D9D9D9"/>
          </w:tcPr>
          <w:p>
            <w:pPr>
              <w:jc w:val="center"/>
              <w:ind w:left="3871"/>
              <w:spacing w:after="0"/>
              <w:rPr>
                <w:sz w:val="20"/>
                <w:szCs w:val="20"/>
                <w:color w:val="auto"/>
              </w:rPr>
            </w:pPr>
            <w:r>
              <w:rPr>
                <w:rFonts w:ascii="Arial" w:cs="Arial" w:eastAsia="Arial" w:hAnsi="Arial"/>
                <w:sz w:val="10"/>
                <w:szCs w:val="10"/>
                <w:color w:val="auto"/>
                <w:w w:val="84"/>
              </w:rPr>
              <w:t>14,592</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color w:val="auto"/>
              </w:rPr>
              <w:t>Depreciation and Amortization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852</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Stock-based compensation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943</w:t>
            </w:r>
          </w:p>
        </w:tc>
      </w:tr>
      <w:tr>
        <w:trPr>
          <w:trHeight w:val="16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Restructuring costs</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9"/>
              </w:rPr>
              <w:t>91</w:t>
            </w:r>
          </w:p>
        </w:tc>
      </w:tr>
      <w:tr>
        <w:trPr>
          <w:trHeight w:val="158"/>
        </w:trPr>
        <w:tc>
          <w:tcPr>
            <w:tcW w:w="288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0"/>
                <w:szCs w:val="10"/>
                <w:b w:val="1"/>
                <w:bCs w:val="1"/>
                <w:color w:val="auto"/>
              </w:rPr>
              <w:t>Adjusted Research &amp; Development</w:t>
            </w:r>
          </w:p>
        </w:tc>
        <w:tc>
          <w:tcPr>
            <w:tcW w:w="6900" w:type="dxa"/>
            <w:vAlign w:val="bottom"/>
            <w:tcBorders>
              <w:bottom w:val="single" w:sz="8" w:color="auto"/>
            </w:tcBorders>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12,706</w:t>
            </w:r>
          </w:p>
        </w:tc>
      </w:tr>
      <w:tr>
        <w:trPr>
          <w:trHeight w:val="153"/>
        </w:trPr>
        <w:tc>
          <w:tcPr>
            <w:tcW w:w="2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153"/>
        </w:trPr>
        <w:tc>
          <w:tcPr>
            <w:tcW w:w="2880" w:type="dxa"/>
            <w:vAlign w:val="bottom"/>
            <w:shd w:val="clear" w:color="auto" w:fill="D9D9D9"/>
          </w:tcPr>
          <w:p>
            <w:pPr>
              <w:ind w:left="40"/>
              <w:spacing w:after="0"/>
              <w:rPr>
                <w:sz w:val="20"/>
                <w:szCs w:val="20"/>
                <w:color w:val="auto"/>
              </w:rPr>
            </w:pPr>
            <w:r>
              <w:rPr>
                <w:rFonts w:ascii="Arial" w:cs="Arial" w:eastAsia="Arial" w:hAnsi="Arial"/>
                <w:sz w:val="10"/>
                <w:szCs w:val="10"/>
                <w:color w:val="auto"/>
              </w:rPr>
              <w:t>Selling &amp; Marketing</w:t>
            </w:r>
          </w:p>
        </w:tc>
        <w:tc>
          <w:tcPr>
            <w:tcW w:w="6900" w:type="dxa"/>
            <w:vAlign w:val="bottom"/>
            <w:gridSpan w:val="2"/>
            <w:shd w:val="clear" w:color="auto" w:fill="D9D9D9"/>
          </w:tcPr>
          <w:p>
            <w:pPr>
              <w:jc w:val="center"/>
              <w:ind w:left="3871"/>
              <w:spacing w:after="0"/>
              <w:rPr>
                <w:sz w:val="20"/>
                <w:szCs w:val="20"/>
                <w:color w:val="auto"/>
              </w:rPr>
            </w:pPr>
            <w:r>
              <w:rPr>
                <w:rFonts w:ascii="Arial" w:cs="Arial" w:eastAsia="Arial" w:hAnsi="Arial"/>
                <w:sz w:val="10"/>
                <w:szCs w:val="10"/>
                <w:color w:val="auto"/>
                <w:w w:val="84"/>
              </w:rPr>
              <w:t>13,452</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color w:val="auto"/>
              </w:rPr>
              <w:t>Depreciation and Amortization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7"/>
              </w:rPr>
              <w:t>1,226</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Stock-based compensation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9"/>
              </w:rPr>
              <w:t>63</w:t>
            </w:r>
          </w:p>
        </w:tc>
      </w:tr>
      <w:tr>
        <w:trPr>
          <w:trHeight w:val="16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Restructuring costs</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3"/>
              </w:rPr>
              <w:t>142</w:t>
            </w:r>
          </w:p>
        </w:tc>
      </w:tr>
      <w:tr>
        <w:trPr>
          <w:trHeight w:val="158"/>
        </w:trPr>
        <w:tc>
          <w:tcPr>
            <w:tcW w:w="288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0"/>
                <w:szCs w:val="10"/>
                <w:b w:val="1"/>
                <w:bCs w:val="1"/>
                <w:color w:val="auto"/>
              </w:rPr>
              <w:t>Adjusted Selling &amp; Marketing</w:t>
            </w:r>
          </w:p>
        </w:tc>
        <w:tc>
          <w:tcPr>
            <w:tcW w:w="6900" w:type="dxa"/>
            <w:vAlign w:val="bottom"/>
            <w:tcBorders>
              <w:bottom w:val="single" w:sz="8" w:color="auto"/>
            </w:tcBorders>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12,022</w:t>
            </w:r>
          </w:p>
        </w:tc>
      </w:tr>
      <w:tr>
        <w:trPr>
          <w:trHeight w:val="153"/>
        </w:trPr>
        <w:tc>
          <w:tcPr>
            <w:tcW w:w="2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153"/>
        </w:trPr>
        <w:tc>
          <w:tcPr>
            <w:tcW w:w="2880" w:type="dxa"/>
            <w:vAlign w:val="bottom"/>
            <w:shd w:val="clear" w:color="auto" w:fill="D9D9D9"/>
          </w:tcPr>
          <w:p>
            <w:pPr>
              <w:ind w:left="40"/>
              <w:spacing w:after="0"/>
              <w:rPr>
                <w:sz w:val="20"/>
                <w:szCs w:val="20"/>
                <w:color w:val="auto"/>
              </w:rPr>
            </w:pPr>
            <w:r>
              <w:rPr>
                <w:rFonts w:ascii="Arial" w:cs="Arial" w:eastAsia="Arial" w:hAnsi="Arial"/>
                <w:sz w:val="10"/>
                <w:szCs w:val="10"/>
                <w:color w:val="auto"/>
              </w:rPr>
              <w:t>General &amp; Administrative &amp; Related Party Expense</w:t>
            </w:r>
          </w:p>
        </w:tc>
        <w:tc>
          <w:tcPr>
            <w:tcW w:w="6900" w:type="dxa"/>
            <w:vAlign w:val="bottom"/>
            <w:gridSpan w:val="2"/>
            <w:shd w:val="clear" w:color="auto" w:fill="D9D9D9"/>
          </w:tcPr>
          <w:p>
            <w:pPr>
              <w:jc w:val="center"/>
              <w:ind w:left="3871"/>
              <w:spacing w:after="0"/>
              <w:rPr>
                <w:sz w:val="20"/>
                <w:szCs w:val="20"/>
                <w:color w:val="auto"/>
              </w:rPr>
            </w:pPr>
            <w:r>
              <w:rPr>
                <w:rFonts w:ascii="Arial" w:cs="Arial" w:eastAsia="Arial" w:hAnsi="Arial"/>
                <w:sz w:val="10"/>
                <w:szCs w:val="10"/>
                <w:color w:val="auto"/>
                <w:w w:val="84"/>
              </w:rPr>
              <w:t>45,436</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color w:val="auto"/>
              </w:rPr>
              <w:t>Depreciation and Amortization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7"/>
              </w:rPr>
              <w:t>5,968</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Stock-based compensation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709</w:t>
            </w:r>
          </w:p>
        </w:tc>
      </w:tr>
      <w:tr>
        <w:trPr>
          <w:trHeight w:val="162"/>
        </w:trPr>
        <w:tc>
          <w:tcPr>
            <w:tcW w:w="2880" w:type="dxa"/>
            <w:vAlign w:val="bottom"/>
          </w:tcPr>
          <w:p>
            <w:pPr>
              <w:ind w:left="40"/>
              <w:spacing w:after="0"/>
              <w:rPr>
                <w:sz w:val="20"/>
                <w:szCs w:val="20"/>
                <w:color w:val="auto"/>
              </w:rPr>
            </w:pPr>
            <w:r>
              <w:rPr>
                <w:rFonts w:ascii="Arial" w:cs="Arial" w:eastAsia="Arial" w:hAnsi="Arial"/>
                <w:sz w:val="10"/>
                <w:szCs w:val="10"/>
                <w:color w:val="auto"/>
              </w:rPr>
              <w:t>Restructuring costs</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395</w:t>
            </w:r>
          </w:p>
        </w:tc>
      </w:tr>
      <w:tr>
        <w:trPr>
          <w:trHeight w:val="168"/>
        </w:trPr>
        <w:tc>
          <w:tcPr>
            <w:tcW w:w="288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0"/>
                <w:szCs w:val="10"/>
                <w:b w:val="1"/>
                <w:bCs w:val="1"/>
                <w:color w:val="auto"/>
              </w:rPr>
              <w:t>Adjusted General &amp; Administrative &amp; Related Party</w:t>
            </w:r>
          </w:p>
        </w:tc>
        <w:tc>
          <w:tcPr>
            <w:tcW w:w="6900" w:type="dxa"/>
            <w:vAlign w:val="bottom"/>
            <w:tcBorders>
              <w:bottom w:val="single" w:sz="8" w:color="auto"/>
            </w:tcBorders>
            <w:gridSpan w:val="2"/>
            <w:shd w:val="clear" w:color="auto" w:fill="BFBFBF"/>
          </w:tcPr>
          <w:p>
            <w:pPr>
              <w:jc w:val="center"/>
              <w:ind w:left="3871"/>
              <w:spacing w:after="0"/>
              <w:rPr>
                <w:sz w:val="20"/>
                <w:szCs w:val="20"/>
                <w:color w:val="auto"/>
              </w:rPr>
            </w:pPr>
            <w:r>
              <w:rPr>
                <w:rFonts w:ascii="Arial" w:cs="Arial" w:eastAsia="Arial" w:hAnsi="Arial"/>
                <w:sz w:val="10"/>
                <w:szCs w:val="10"/>
                <w:b w:val="1"/>
                <w:bCs w:val="1"/>
                <w:color w:val="auto"/>
                <w:w w:val="84"/>
              </w:rPr>
              <w:t>38,364</w:t>
            </w:r>
          </w:p>
        </w:tc>
      </w:tr>
      <w:tr>
        <w:trPr>
          <w:trHeight w:val="289"/>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Total Adjusted Operating Expenses</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4"/>
              </w:rPr>
              <w:t>63,092</w:t>
            </w:r>
          </w:p>
        </w:tc>
      </w:tr>
      <w:tr>
        <w:trPr>
          <w:trHeight w:val="306"/>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Impairment Loss</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7"/>
              </w:rPr>
              <w:t>2,120</w:t>
            </w:r>
          </w:p>
        </w:tc>
      </w:tr>
      <w:tr>
        <w:trPr>
          <w:trHeight w:val="170"/>
        </w:trPr>
        <w:tc>
          <w:tcPr>
            <w:tcW w:w="2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53"/>
        </w:trPr>
        <w:tc>
          <w:tcPr>
            <w:tcW w:w="2880" w:type="dxa"/>
            <w:vAlign w:val="bottom"/>
            <w:shd w:val="clear" w:color="auto" w:fill="D9D9D9"/>
          </w:tcPr>
          <w:p>
            <w:pPr>
              <w:ind w:left="40"/>
              <w:spacing w:after="0"/>
              <w:rPr>
                <w:sz w:val="20"/>
                <w:szCs w:val="20"/>
                <w:color w:val="auto"/>
              </w:rPr>
            </w:pPr>
            <w:r>
              <w:rPr>
                <w:rFonts w:ascii="Arial" w:cs="Arial" w:eastAsia="Arial" w:hAnsi="Arial"/>
                <w:sz w:val="10"/>
                <w:szCs w:val="10"/>
                <w:color w:val="auto"/>
              </w:rPr>
              <w:t>Loss from Operations</w:t>
            </w:r>
          </w:p>
        </w:tc>
        <w:tc>
          <w:tcPr>
            <w:tcW w:w="6900" w:type="dxa"/>
            <w:vAlign w:val="bottom"/>
            <w:gridSpan w:val="2"/>
            <w:shd w:val="clear" w:color="auto" w:fill="D9D9D9"/>
          </w:tcPr>
          <w:p>
            <w:pPr>
              <w:jc w:val="center"/>
              <w:ind w:left="3891"/>
              <w:spacing w:after="0"/>
              <w:rPr>
                <w:sz w:val="20"/>
                <w:szCs w:val="20"/>
                <w:color w:val="auto"/>
              </w:rPr>
            </w:pPr>
            <w:r>
              <w:rPr>
                <w:rFonts w:ascii="Arial" w:cs="Arial" w:eastAsia="Arial" w:hAnsi="Arial"/>
                <w:sz w:val="10"/>
                <w:szCs w:val="10"/>
                <w:color w:val="auto"/>
                <w:w w:val="85"/>
              </w:rPr>
              <w:t>(60,364)</w:t>
            </w:r>
          </w:p>
        </w:tc>
      </w:tr>
      <w:tr>
        <w:trPr>
          <w:trHeight w:val="136"/>
        </w:trPr>
        <w:tc>
          <w:tcPr>
            <w:tcW w:w="2880" w:type="dxa"/>
            <w:vAlign w:val="bottom"/>
          </w:tcPr>
          <w:p>
            <w:pPr>
              <w:ind w:left="40"/>
              <w:spacing w:after="0"/>
              <w:rPr>
                <w:sz w:val="20"/>
                <w:szCs w:val="20"/>
                <w:color w:val="auto"/>
              </w:rPr>
            </w:pPr>
            <w:r>
              <w:rPr>
                <w:rFonts w:ascii="Arial" w:cs="Arial" w:eastAsia="Arial" w:hAnsi="Arial"/>
                <w:sz w:val="10"/>
                <w:szCs w:val="10"/>
                <w:color w:val="auto"/>
              </w:rPr>
              <w:t>Depreciation and Amortization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7"/>
              </w:rPr>
              <w:t>8,636</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Stock-based compensation</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9"/>
              </w:rPr>
              <w:t>48</w:t>
            </w:r>
          </w:p>
        </w:tc>
      </w:tr>
      <w:tr>
        <w:trPr>
          <w:trHeight w:val="153"/>
        </w:trPr>
        <w:tc>
          <w:tcPr>
            <w:tcW w:w="2880" w:type="dxa"/>
            <w:vAlign w:val="bottom"/>
          </w:tcPr>
          <w:p>
            <w:pPr>
              <w:ind w:left="40"/>
              <w:spacing w:after="0"/>
              <w:rPr>
                <w:sz w:val="20"/>
                <w:szCs w:val="20"/>
                <w:color w:val="auto"/>
              </w:rPr>
            </w:pPr>
            <w:r>
              <w:rPr>
                <w:rFonts w:ascii="Arial" w:cs="Arial" w:eastAsia="Arial" w:hAnsi="Arial"/>
                <w:sz w:val="10"/>
                <w:szCs w:val="10"/>
                <w:color w:val="auto"/>
              </w:rPr>
              <w:t>Restructuring costs</w:t>
            </w:r>
          </w:p>
        </w:tc>
        <w:tc>
          <w:tcPr>
            <w:tcW w:w="6900" w:type="dxa"/>
            <w:vAlign w:val="bottom"/>
            <w:gridSpan w:val="2"/>
          </w:tcPr>
          <w:p>
            <w:pPr>
              <w:jc w:val="center"/>
              <w:ind w:left="3871"/>
              <w:spacing w:after="0"/>
              <w:rPr>
                <w:sz w:val="20"/>
                <w:szCs w:val="20"/>
                <w:color w:val="auto"/>
              </w:rPr>
            </w:pPr>
            <w:r>
              <w:rPr>
                <w:rFonts w:ascii="Arial" w:cs="Arial" w:eastAsia="Arial" w:hAnsi="Arial"/>
                <w:sz w:val="10"/>
                <w:szCs w:val="10"/>
                <w:color w:val="auto"/>
                <w:w w:val="83"/>
              </w:rPr>
              <w:t>702</w:t>
            </w:r>
          </w:p>
        </w:tc>
      </w:tr>
      <w:tr>
        <w:trPr>
          <w:trHeight w:val="16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Impairment Loss</w:t>
            </w:r>
          </w:p>
        </w:tc>
        <w:tc>
          <w:tcPr>
            <w:tcW w:w="6900" w:type="dxa"/>
            <w:vAlign w:val="bottom"/>
            <w:tcBorders>
              <w:bottom w:val="single" w:sz="8" w:color="auto"/>
            </w:tcBorders>
            <w:gridSpan w:val="2"/>
          </w:tcPr>
          <w:p>
            <w:pPr>
              <w:jc w:val="center"/>
              <w:ind w:left="3871"/>
              <w:spacing w:after="0"/>
              <w:rPr>
                <w:sz w:val="20"/>
                <w:szCs w:val="20"/>
                <w:color w:val="auto"/>
              </w:rPr>
            </w:pPr>
            <w:r>
              <w:rPr>
                <w:rFonts w:ascii="Arial" w:cs="Arial" w:eastAsia="Arial" w:hAnsi="Arial"/>
                <w:sz w:val="10"/>
                <w:szCs w:val="10"/>
                <w:color w:val="auto"/>
                <w:w w:val="87"/>
              </w:rPr>
              <w:t>2,120</w:t>
            </w:r>
          </w:p>
        </w:tc>
      </w:tr>
      <w:tr>
        <w:trPr>
          <w:trHeight w:val="158"/>
        </w:trPr>
        <w:tc>
          <w:tcPr>
            <w:tcW w:w="288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0"/>
                <w:szCs w:val="10"/>
                <w:b w:val="1"/>
                <w:bCs w:val="1"/>
                <w:color w:val="auto"/>
              </w:rPr>
              <w:t>Adjusted loss from operations</w:t>
            </w:r>
          </w:p>
        </w:tc>
        <w:tc>
          <w:tcPr>
            <w:tcW w:w="6900" w:type="dxa"/>
            <w:vAlign w:val="bottom"/>
            <w:tcBorders>
              <w:bottom w:val="single" w:sz="8" w:color="auto"/>
            </w:tcBorders>
            <w:gridSpan w:val="2"/>
            <w:shd w:val="clear" w:color="auto" w:fill="BFBFBF"/>
          </w:tcPr>
          <w:p>
            <w:pPr>
              <w:jc w:val="center"/>
              <w:ind w:left="3891"/>
              <w:spacing w:after="0"/>
              <w:rPr>
                <w:sz w:val="20"/>
                <w:szCs w:val="20"/>
                <w:color w:val="auto"/>
              </w:rPr>
            </w:pPr>
            <w:r>
              <w:rPr>
                <w:rFonts w:ascii="Arial" w:cs="Arial" w:eastAsia="Arial" w:hAnsi="Arial"/>
                <w:sz w:val="10"/>
                <w:szCs w:val="10"/>
                <w:b w:val="1"/>
                <w:bCs w:val="1"/>
                <w:color w:val="auto"/>
                <w:w w:val="85"/>
              </w:rPr>
              <w:t>(48,858)</w:t>
            </w:r>
          </w:p>
        </w:tc>
      </w:tr>
    </w:tbl>
    <w:p>
      <w:pPr>
        <w:spacing w:after="0" w:line="249" w:lineRule="exact"/>
        <w:rPr>
          <w:sz w:val="20"/>
          <w:szCs w:val="20"/>
          <w:color w:val="auto"/>
        </w:rPr>
      </w:pPr>
    </w:p>
    <w:p>
      <w:pPr>
        <w:spacing w:after="0" w:line="230" w:lineRule="auto"/>
        <w:rPr>
          <w:sz w:val="20"/>
          <w:szCs w:val="20"/>
          <w:color w:val="auto"/>
        </w:rPr>
      </w:pPr>
      <w:r>
        <w:rPr>
          <w:rFonts w:ascii="Arial" w:cs="Arial" w:eastAsia="Arial" w:hAnsi="Arial"/>
          <w:sz w:val="10"/>
          <w:szCs w:val="10"/>
          <w:color w:val="auto"/>
        </w:rPr>
        <w:t>The financial statements that follow represents our preliminary unaudited consolidated financial statements for the quarter ended March 31, 2023 and year ended December 31, 2022, subject to change, which have been prepared in accordance with U.S. GAAP. Results include the combination of Legacy GeneDx and Legacy Sema4 with the activities of Legacy GeneDx only from the April 29, 2022 acquisition date.</w:t>
      </w:r>
    </w:p>
    <w:p>
      <w:pPr>
        <w:sectPr>
          <w:pgSz w:w="11900" w:h="16838" w:orient="portrait"/>
          <w:cols w:equalWidth="0" w:num="1">
            <w:col w:w="11220"/>
          </w:cols>
          <w:pgMar w:left="300" w:top="991" w:right="379" w:bottom="1440" w:gutter="0" w:footer="0" w:header="0"/>
        </w:sectPr>
      </w:pPr>
    </w:p>
    <w:bookmarkStart w:id="10" w:name="page11"/>
    <w:bookmarkEnd w:id="10"/>
    <w:p>
      <w:pPr>
        <w:ind w:left="5020"/>
        <w:spacing w:after="0"/>
        <w:rPr>
          <w:sz w:val="20"/>
          <w:szCs w:val="20"/>
          <w:color w:val="auto"/>
        </w:rPr>
      </w:pPr>
      <w:r>
        <w:rPr>
          <w:rFonts w:ascii="Arial" w:cs="Arial" w:eastAsia="Arial" w:hAnsi="Arial"/>
          <w:sz w:val="12"/>
          <w:szCs w:val="12"/>
          <w:b w:val="1"/>
          <w:bCs w:val="1"/>
          <w:color w:val="auto"/>
        </w:rPr>
        <w:t>GeneDx Holdings Corp.</w:t>
      </w:r>
    </w:p>
    <w:p>
      <w:pPr>
        <w:spacing w:after="0" w:line="33"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Consolidated Balance Sheets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060" w:type="dxa"/>
            <w:vAlign w:val="bottom"/>
          </w:tcPr>
          <w:p>
            <w:pPr>
              <w:spacing w:after="0"/>
              <w:rPr>
                <w:sz w:val="10"/>
                <w:szCs w:val="10"/>
                <w:color w:val="auto"/>
              </w:rPr>
            </w:pPr>
          </w:p>
        </w:tc>
        <w:tc>
          <w:tcPr>
            <w:tcW w:w="1120" w:type="dxa"/>
            <w:vAlign w:val="bottom"/>
          </w:tcPr>
          <w:p>
            <w:pPr>
              <w:jc w:val="center"/>
              <w:ind w:left="412"/>
              <w:spacing w:after="0"/>
              <w:rPr>
                <w:sz w:val="20"/>
                <w:szCs w:val="20"/>
                <w:color w:val="auto"/>
              </w:rPr>
            </w:pPr>
            <w:r>
              <w:rPr>
                <w:rFonts w:ascii="Arial" w:cs="Arial" w:eastAsia="Arial" w:hAnsi="Arial"/>
                <w:sz w:val="10"/>
                <w:szCs w:val="10"/>
                <w:b w:val="1"/>
                <w:bCs w:val="1"/>
                <w:color w:val="auto"/>
                <w:w w:val="90"/>
              </w:rPr>
              <w:t>March 31,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7"/>
        </w:trPr>
        <w:tc>
          <w:tcPr>
            <w:tcW w:w="8060" w:type="dxa"/>
            <w:vAlign w:val="bottom"/>
          </w:tcPr>
          <w:p>
            <w:pPr>
              <w:spacing w:after="0"/>
              <w:rPr>
                <w:sz w:val="10"/>
                <w:szCs w:val="10"/>
                <w:color w:val="auto"/>
              </w:rPr>
            </w:pPr>
          </w:p>
        </w:tc>
        <w:tc>
          <w:tcPr>
            <w:tcW w:w="1120" w:type="dxa"/>
            <w:vAlign w:val="bottom"/>
          </w:tcPr>
          <w:p>
            <w:pPr>
              <w:jc w:val="center"/>
              <w:ind w:left="412"/>
              <w:spacing w:after="0"/>
              <w:rPr>
                <w:sz w:val="20"/>
                <w:szCs w:val="20"/>
                <w:color w:val="auto"/>
              </w:rPr>
            </w:pPr>
            <w:r>
              <w:rPr>
                <w:rFonts w:ascii="Arial" w:cs="Arial" w:eastAsia="Arial" w:hAnsi="Arial"/>
                <w:sz w:val="10"/>
                <w:szCs w:val="10"/>
                <w:b w:val="1"/>
                <w:bCs w:val="1"/>
                <w:color w:val="auto"/>
                <w:w w:val="80"/>
              </w:rPr>
              <w:t>2023</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right"/>
              <w:ind w:right="352"/>
              <w:spacing w:after="0"/>
              <w:rPr>
                <w:sz w:val="20"/>
                <w:szCs w:val="20"/>
                <w:color w:val="auto"/>
              </w:rPr>
            </w:pPr>
            <w:r>
              <w:rPr>
                <w:rFonts w:ascii="Arial" w:cs="Arial" w:eastAsia="Arial" w:hAnsi="Arial"/>
                <w:sz w:val="10"/>
                <w:szCs w:val="10"/>
                <w:b w:val="1"/>
                <w:bCs w:val="1"/>
                <w:color w:val="auto"/>
              </w:rPr>
              <w:t>December 31, 2022</w:t>
            </w:r>
          </w:p>
        </w:tc>
      </w:tr>
      <w:tr>
        <w:trPr>
          <w:trHeight w:val="123"/>
        </w:trPr>
        <w:tc>
          <w:tcPr>
            <w:tcW w:w="8060" w:type="dxa"/>
            <w:vAlign w:val="bottom"/>
          </w:tcPr>
          <w:p>
            <w:pPr>
              <w:spacing w:after="0"/>
              <w:rPr>
                <w:sz w:val="10"/>
                <w:szCs w:val="10"/>
                <w:color w:val="auto"/>
              </w:rPr>
            </w:pPr>
          </w:p>
        </w:tc>
        <w:tc>
          <w:tcPr>
            <w:tcW w:w="1120" w:type="dxa"/>
            <w:vAlign w:val="bottom"/>
          </w:tcPr>
          <w:p>
            <w:pPr>
              <w:jc w:val="center"/>
              <w:ind w:left="432"/>
              <w:spacing w:after="0"/>
              <w:rPr>
                <w:sz w:val="20"/>
                <w:szCs w:val="20"/>
                <w:color w:val="auto"/>
              </w:rPr>
            </w:pPr>
            <w:r>
              <w:rPr>
                <w:rFonts w:ascii="Arial" w:cs="Arial" w:eastAsia="Arial" w:hAnsi="Arial"/>
                <w:sz w:val="10"/>
                <w:szCs w:val="10"/>
                <w:b w:val="1"/>
                <w:bCs w:val="1"/>
                <w:color w:val="auto"/>
                <w:w w:val="88"/>
              </w:rPr>
              <w:t>(unaudited)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3"/>
        </w:trPr>
        <w:tc>
          <w:tcPr>
            <w:tcW w:w="80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45"/>
        </w:trPr>
        <w:tc>
          <w:tcPr>
            <w:tcW w:w="8060" w:type="dxa"/>
            <w:vAlign w:val="bottom"/>
          </w:tcPr>
          <w:p>
            <w:pPr>
              <w:spacing w:after="0"/>
              <w:rPr>
                <w:sz w:val="20"/>
                <w:szCs w:val="20"/>
                <w:color w:val="auto"/>
              </w:rPr>
            </w:pPr>
            <w:r>
              <w:rPr>
                <w:rFonts w:ascii="Arial" w:cs="Arial" w:eastAsia="Arial" w:hAnsi="Arial"/>
                <w:sz w:val="10"/>
                <w:szCs w:val="10"/>
                <w:color w:val="auto"/>
              </w:rPr>
              <w:t>Current assets:</w:t>
            </w: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2"/>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Cash and cash equivalents</w:t>
            </w:r>
          </w:p>
        </w:tc>
        <w:tc>
          <w:tcPr>
            <w:tcW w:w="1120" w:type="dxa"/>
            <w:vAlign w:val="bottom"/>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201,895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123,933</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Restricted cash</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12,144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13,470</w:t>
            </w:r>
          </w:p>
        </w:tc>
      </w:tr>
      <w:tr>
        <w:trPr>
          <w:trHeight w:val="162"/>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Accounts receivable, net</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42,634</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Due from related parties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636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708</w:t>
            </w:r>
          </w:p>
        </w:tc>
      </w:tr>
      <w:tr>
        <w:trPr>
          <w:trHeight w:val="162"/>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Inventory, net</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13,665</w:t>
            </w:r>
          </w:p>
        </w:tc>
      </w:tr>
      <w:tr>
        <w:trPr>
          <w:trHeight w:val="145"/>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Prepaid expenses and other current assets</w:t>
            </w:r>
          </w:p>
        </w:tc>
        <w:tc>
          <w:tcPr>
            <w:tcW w:w="1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12,428</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18,212</w:t>
            </w:r>
          </w:p>
        </w:tc>
      </w:tr>
      <w:tr>
        <w:trPr>
          <w:trHeight w:val="166"/>
        </w:trPr>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current assets</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272,348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212,622</w:t>
            </w:r>
          </w:p>
        </w:tc>
      </w:tr>
      <w:tr>
        <w:trPr>
          <w:trHeight w:val="145"/>
        </w:trPr>
        <w:tc>
          <w:tcPr>
            <w:tcW w:w="8060" w:type="dxa"/>
            <w:vAlign w:val="bottom"/>
          </w:tcPr>
          <w:p>
            <w:pPr>
              <w:spacing w:after="0"/>
              <w:rPr>
                <w:sz w:val="20"/>
                <w:szCs w:val="20"/>
                <w:color w:val="auto"/>
              </w:rPr>
            </w:pPr>
            <w:r>
              <w:rPr>
                <w:rFonts w:ascii="Arial" w:cs="Arial" w:eastAsia="Arial" w:hAnsi="Arial"/>
                <w:sz w:val="10"/>
                <w:szCs w:val="10"/>
                <w:color w:val="auto"/>
              </w:rPr>
              <w:t>Operating lease right-of-use assets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49,508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51,527</w:t>
            </w:r>
          </w:p>
        </w:tc>
      </w:t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0"/>
                <w:szCs w:val="10"/>
                <w:color w:val="auto"/>
              </w:rPr>
              <w:t>Property and equipment, net</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32,758</w:t>
            </w:r>
          </w:p>
        </w:tc>
      </w:tr>
      <w:tr>
        <w:trPr>
          <w:trHeight w:val="145"/>
        </w:trPr>
        <w:tc>
          <w:tcPr>
            <w:tcW w:w="8060" w:type="dxa"/>
            <w:vAlign w:val="bottom"/>
          </w:tcPr>
          <w:p>
            <w:pPr>
              <w:spacing w:after="0"/>
              <w:rPr>
                <w:sz w:val="20"/>
                <w:szCs w:val="20"/>
                <w:color w:val="auto"/>
              </w:rPr>
            </w:pPr>
            <w:r>
              <w:rPr>
                <w:rFonts w:ascii="Arial" w:cs="Arial" w:eastAsia="Arial" w:hAnsi="Arial"/>
                <w:sz w:val="10"/>
                <w:szCs w:val="10"/>
                <w:color w:val="auto"/>
              </w:rPr>
              <w:t>Intangible assets, net</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183,144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186,650</w:t>
            </w:r>
          </w:p>
        </w:tc>
      </w:tr>
      <w:tr>
        <w:trPr>
          <w:trHeight w:val="161"/>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Long-term restricted cash</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r>
      <w:tr>
        <w:trPr>
          <w:trHeight w:val="145"/>
        </w:trPr>
        <w:tc>
          <w:tcPr>
            <w:tcW w:w="8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assets</w:t>
            </w:r>
          </w:p>
        </w:tc>
        <w:tc>
          <w:tcPr>
            <w:tcW w:w="1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6,160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6,485</w:t>
            </w:r>
          </w:p>
        </w:tc>
      </w:tr>
      <w:tr>
        <w:trPr>
          <w:trHeight w:val="170"/>
        </w:trPr>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assets</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545,295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490,942</w:t>
            </w:r>
          </w:p>
        </w:tc>
      </w:tr>
      <w:tr>
        <w:trPr>
          <w:trHeight w:val="101"/>
        </w:trPr>
        <w:tc>
          <w:tcPr>
            <w:tcW w:w="8060" w:type="dxa"/>
            <w:vAlign w:val="bottom"/>
          </w:tcPr>
          <w:p>
            <w:pPr>
              <w:spacing w:after="0" w:line="102" w:lineRule="exact"/>
              <w:rPr>
                <w:sz w:val="20"/>
                <w:szCs w:val="20"/>
                <w:color w:val="auto"/>
              </w:rPr>
            </w:pPr>
            <w:r>
              <w:rPr>
                <w:rFonts w:ascii="Arial" w:cs="Arial" w:eastAsia="Arial" w:hAnsi="Arial"/>
                <w:sz w:val="10"/>
                <w:szCs w:val="10"/>
                <w:b w:val="1"/>
                <w:bCs w:val="1"/>
                <w:color w:val="auto"/>
              </w:rPr>
              <w:t>Liabilities and Stockholders’ Equity</w:t>
            </w: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30"/>
        </w:trPr>
        <w:tc>
          <w:tcPr>
            <w:tcW w:w="8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3"/>
        </w:trPr>
        <w:tc>
          <w:tcPr>
            <w:tcW w:w="806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45"/>
        </w:trPr>
        <w:tc>
          <w:tcPr>
            <w:tcW w:w="8060" w:type="dxa"/>
            <w:vAlign w:val="bottom"/>
          </w:tcPr>
          <w:p>
            <w:pPr>
              <w:ind w:left="60"/>
              <w:spacing w:after="0"/>
              <w:rPr>
                <w:sz w:val="20"/>
                <w:szCs w:val="20"/>
                <w:color w:val="auto"/>
              </w:rPr>
            </w:pPr>
            <w:r>
              <w:rPr>
                <w:rFonts w:ascii="Arial" w:cs="Arial" w:eastAsia="Arial" w:hAnsi="Arial"/>
                <w:sz w:val="10"/>
                <w:szCs w:val="10"/>
                <w:color w:val="auto"/>
              </w:rPr>
              <w:t>Accounts payable and accrued expenses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69,889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84,878</w:t>
            </w:r>
          </w:p>
        </w:tc>
      </w:tr>
      <w:tr>
        <w:trPr>
          <w:trHeight w:val="161"/>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Due to related parties</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4,315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3,593</w:t>
            </w:r>
          </w:p>
        </w:tc>
      </w:tr>
      <w:tr>
        <w:trPr>
          <w:trHeight w:val="145"/>
        </w:trPr>
        <w:tc>
          <w:tcPr>
            <w:tcW w:w="8060" w:type="dxa"/>
            <w:vAlign w:val="bottom"/>
          </w:tcPr>
          <w:p>
            <w:pPr>
              <w:ind w:left="60"/>
              <w:spacing w:after="0"/>
              <w:rPr>
                <w:sz w:val="20"/>
                <w:szCs w:val="20"/>
                <w:color w:val="auto"/>
              </w:rPr>
            </w:pPr>
            <w:r>
              <w:rPr>
                <w:rFonts w:ascii="Arial" w:cs="Arial" w:eastAsia="Arial" w:hAnsi="Arial"/>
                <w:sz w:val="10"/>
                <w:szCs w:val="10"/>
                <w:color w:val="auto"/>
              </w:rPr>
              <w:t>Short-term lease liabilities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5,199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6,121</w:t>
            </w:r>
          </w:p>
        </w:tc>
      </w:tr>
      <w:tr>
        <w:trPr>
          <w:trHeight w:val="153"/>
        </w:trPr>
        <w:tc>
          <w:tcPr>
            <w:tcW w:w="8060" w:type="dxa"/>
            <w:vAlign w:val="bottom"/>
            <w:shd w:val="clear" w:color="auto" w:fill="CCEEFF"/>
          </w:tcPr>
          <w:p>
            <w:pPr>
              <w:ind w:left="60"/>
              <w:spacing w:after="0"/>
              <w:rPr>
                <w:sz w:val="20"/>
                <w:szCs w:val="20"/>
                <w:color w:val="auto"/>
              </w:rPr>
            </w:pPr>
            <w:r>
              <w:rPr>
                <w:rFonts w:ascii="Arial" w:cs="Arial" w:eastAsia="Arial" w:hAnsi="Arial"/>
                <w:sz w:val="10"/>
                <w:szCs w:val="10"/>
                <w:color w:val="auto"/>
              </w:rPr>
              <w:t>Other current liabilities</w:t>
            </w:r>
          </w:p>
        </w:tc>
        <w:tc>
          <w:tcPr>
            <w:tcW w:w="1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39,629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49,705</w:t>
            </w:r>
          </w:p>
        </w:tc>
      </w:tr>
      <w:tr>
        <w:trPr>
          <w:trHeight w:val="142"/>
        </w:trPr>
        <w:tc>
          <w:tcPr>
            <w:tcW w:w="8060" w:type="dxa"/>
            <w:vAlign w:val="bottom"/>
          </w:tcPr>
          <w:p>
            <w:pPr>
              <w:ind w:left="140"/>
              <w:spacing w:after="0"/>
              <w:rPr>
                <w:sz w:val="20"/>
                <w:szCs w:val="20"/>
                <w:color w:val="auto"/>
              </w:rPr>
            </w:pPr>
            <w:r>
              <w:rPr>
                <w:rFonts w:ascii="Arial" w:cs="Arial" w:eastAsia="Arial" w:hAnsi="Arial"/>
                <w:sz w:val="10"/>
                <w:szCs w:val="10"/>
                <w:color w:val="auto"/>
              </w:rPr>
              <w:t>Total current liabilities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119,032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144,297</w:t>
            </w:r>
          </w:p>
        </w:tc>
      </w:tr>
      <w:tr>
        <w:trPr>
          <w:trHeight w:val="162"/>
        </w:trPr>
        <w:tc>
          <w:tcPr>
            <w:tcW w:w="8060" w:type="dxa"/>
            <w:vAlign w:val="bottom"/>
            <w:shd w:val="clear" w:color="auto" w:fill="CCEEFF"/>
          </w:tcPr>
          <w:p>
            <w:pPr>
              <w:spacing w:after="0"/>
              <w:rPr>
                <w:sz w:val="20"/>
                <w:szCs w:val="20"/>
                <w:color w:val="auto"/>
              </w:rPr>
            </w:pPr>
            <w:r>
              <w:rPr>
                <w:rFonts w:ascii="Arial" w:cs="Arial" w:eastAsia="Arial" w:hAnsi="Arial"/>
                <w:sz w:val="10"/>
                <w:szCs w:val="10"/>
                <w:color w:val="auto"/>
              </w:rPr>
              <w:t>Long-term debt, net of current portion</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6,250</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Long-term lease liabilities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63,883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60,013</w:t>
            </w:r>
          </w:p>
        </w:tc>
      </w:tr>
      <w:tr>
        <w:trPr>
          <w:trHeight w:val="162"/>
        </w:trPr>
        <w:tc>
          <w:tcPr>
            <w:tcW w:w="8060" w:type="dxa"/>
            <w:vAlign w:val="bottom"/>
            <w:shd w:val="clear" w:color="auto" w:fill="CCEEFF"/>
          </w:tcPr>
          <w:p>
            <w:pPr>
              <w:spacing w:after="0"/>
              <w:rPr>
                <w:sz w:val="20"/>
                <w:szCs w:val="20"/>
                <w:color w:val="auto"/>
              </w:rPr>
            </w:pPr>
            <w:r>
              <w:rPr>
                <w:rFonts w:ascii="Arial" w:cs="Arial" w:eastAsia="Arial" w:hAnsi="Arial"/>
                <w:sz w:val="10"/>
                <w:szCs w:val="10"/>
                <w:color w:val="auto"/>
              </w:rPr>
              <w:t>Other liabilities</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2,659</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Deferred taxes</w:t>
            </w: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22,111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22,000</w:t>
            </w:r>
          </w:p>
        </w:tc>
      </w:tr>
      <w:tr>
        <w:trPr>
          <w:trHeight w:val="162"/>
        </w:trPr>
        <w:tc>
          <w:tcPr>
            <w:tcW w:w="8060" w:type="dxa"/>
            <w:vAlign w:val="bottom"/>
            <w:shd w:val="clear" w:color="auto" w:fill="CCEEFF"/>
          </w:tcPr>
          <w:p>
            <w:pPr>
              <w:spacing w:after="0"/>
              <w:rPr>
                <w:sz w:val="20"/>
                <w:szCs w:val="20"/>
                <w:color w:val="auto"/>
              </w:rPr>
            </w:pPr>
            <w:r>
              <w:rPr>
                <w:rFonts w:ascii="Arial" w:cs="Arial" w:eastAsia="Arial" w:hAnsi="Arial"/>
                <w:sz w:val="10"/>
                <w:szCs w:val="10"/>
                <w:color w:val="auto"/>
              </w:rPr>
              <w:t>Warrant liability</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418</w:t>
            </w:r>
          </w:p>
        </w:tc>
      </w:tr>
      <w:tr>
        <w:trPr>
          <w:trHeight w:val="144"/>
        </w:trPr>
        <w:tc>
          <w:tcPr>
            <w:tcW w:w="80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Earn-out contingent liability</w:t>
            </w:r>
          </w:p>
        </w:tc>
        <w:tc>
          <w:tcPr>
            <w:tcW w:w="1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1,600</w:t>
            </w:r>
          </w:p>
        </w:tc>
      </w:tr>
      <w:tr>
        <w:trPr>
          <w:trHeight w:val="167"/>
        </w:trPr>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liabilities</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216,826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237,237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78040"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Stockholders’ Equity:</w:t>
      </w:r>
    </w:p>
    <w:p>
      <w:pPr>
        <w:spacing w:after="0" w:line="49" w:lineRule="exact"/>
        <w:rPr>
          <w:sz w:val="20"/>
          <w:szCs w:val="20"/>
          <w:color w:val="auto"/>
        </w:rPr>
      </w:pPr>
    </w:p>
    <w:p>
      <w:pPr>
        <w:ind w:left="220" w:right="420" w:hanging="107"/>
        <w:spacing w:after="0" w:line="230" w:lineRule="auto"/>
        <w:rPr>
          <w:sz w:val="20"/>
          <w:szCs w:val="20"/>
          <w:color w:val="auto"/>
        </w:rPr>
      </w:pPr>
      <w:r>
        <w:rPr>
          <w:rFonts w:ascii="Arial" w:cs="Arial" w:eastAsia="Arial" w:hAnsi="Arial"/>
          <w:sz w:val="10"/>
          <w:szCs w:val="10"/>
          <w:color w:val="auto"/>
        </w:rPr>
        <w:t>Preferred Stock, $0.0001 par value: 1,000,000 and 1,000,000 shares authorized at March 31, 2023 and December 31, 2022, respectively; 0 shares issued and outstanding at March 31,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78040" cy="17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77165"/>
                    </a:xfrm>
                    <a:prstGeom prst="rect">
                      <a:avLst/>
                    </a:prstGeom>
                    <a:noFill/>
                  </pic:spPr>
                </pic:pic>
              </a:graphicData>
            </a:graphic>
          </wp:anchor>
        </w:drawing>
      </w:r>
    </w:p>
    <w:p>
      <w:pPr>
        <w:spacing w:after="0" w:line="39" w:lineRule="exact"/>
        <w:rPr>
          <w:sz w:val="20"/>
          <w:szCs w:val="20"/>
          <w:color w:val="auto"/>
        </w:rPr>
      </w:pPr>
    </w:p>
    <w:p>
      <w:pPr>
        <w:ind w:left="220" w:right="740" w:hanging="107"/>
        <w:spacing w:after="0" w:line="230" w:lineRule="auto"/>
        <w:rPr>
          <w:sz w:val="20"/>
          <w:szCs w:val="20"/>
          <w:color w:val="auto"/>
        </w:rPr>
      </w:pPr>
      <w:r>
        <w:rPr>
          <w:rFonts w:ascii="Arial" w:cs="Arial" w:eastAsia="Arial" w:hAnsi="Arial"/>
          <w:sz w:val="10"/>
          <w:szCs w:val="10"/>
          <w:color w:val="auto"/>
        </w:rPr>
        <w:t>Class A common stock, $0.0001 par value: 1,000,000,000 and 1,000,000,000 shares authorized at March 31, 2023 and December 31, 2022, respectively, 24,193,436 and 11,773,065 shares issued and outstanding at March 31, 2023 and December 31, 2022,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1040" w:type="dxa"/>
            <w:vAlign w:val="bottom"/>
          </w:tcPr>
          <w:p>
            <w:pPr>
              <w:jc w:val="right"/>
              <w:ind w:right="5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79"/>
        </w:trPr>
        <w:tc>
          <w:tcPr>
            <w:tcW w:w="1040" w:type="dxa"/>
            <w:vAlign w:val="bottom"/>
          </w:tcPr>
          <w:p>
            <w:pPr>
              <w:jc w:val="right"/>
              <w:ind w:right="572"/>
              <w:spacing w:after="0"/>
              <w:rPr>
                <w:sz w:val="20"/>
                <w:szCs w:val="20"/>
                <w:color w:val="auto"/>
              </w:rPr>
            </w:pPr>
            <w:r>
              <w:rPr>
                <w:rFonts w:ascii="Arial" w:cs="Arial" w:eastAsia="Arial" w:hAnsi="Arial"/>
                <w:sz w:val="10"/>
                <w:szCs w:val="10"/>
                <w:color w:val="auto"/>
              </w:rPr>
              <w:t>2</w:t>
            </w:r>
          </w:p>
        </w:tc>
        <w:tc>
          <w:tcPr>
            <w:tcW w:w="10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53"/>
        </w:trPr>
        <w:tc>
          <w:tcPr>
            <w:tcW w:w="1040" w:type="dxa"/>
            <w:vAlign w:val="bottom"/>
          </w:tcPr>
          <w:p>
            <w:pPr>
              <w:jc w:val="right"/>
              <w:ind w:right="572"/>
              <w:spacing w:after="0"/>
              <w:rPr>
                <w:sz w:val="20"/>
                <w:szCs w:val="20"/>
                <w:color w:val="auto"/>
              </w:rPr>
            </w:pPr>
            <w:r>
              <w:rPr>
                <w:rFonts w:ascii="Arial" w:cs="Arial" w:eastAsia="Arial" w:hAnsi="Arial"/>
                <w:sz w:val="10"/>
                <w:szCs w:val="10"/>
                <w:color w:val="auto"/>
                <w:w w:val="89"/>
              </w:rPr>
              <w:t>1,513,877</w:t>
            </w:r>
          </w:p>
        </w:tc>
        <w:tc>
          <w:tcPr>
            <w:tcW w:w="1060" w:type="dxa"/>
            <w:vAlign w:val="bottom"/>
          </w:tcPr>
          <w:p>
            <w:pPr>
              <w:jc w:val="right"/>
              <w:spacing w:after="0"/>
              <w:rPr>
                <w:sz w:val="20"/>
                <w:szCs w:val="20"/>
                <w:color w:val="auto"/>
              </w:rPr>
            </w:pPr>
            <w:r>
              <w:rPr>
                <w:rFonts w:ascii="Arial" w:cs="Arial" w:eastAsia="Arial" w:hAnsi="Arial"/>
                <w:sz w:val="10"/>
                <w:szCs w:val="10"/>
                <w:color w:val="auto"/>
              </w:rPr>
              <w:t>1,378,125</w:t>
            </w:r>
          </w:p>
        </w:tc>
      </w:tr>
      <w:tr>
        <w:trPr>
          <w:trHeight w:val="153"/>
        </w:trPr>
        <w:tc>
          <w:tcPr>
            <w:tcW w:w="1040" w:type="dxa"/>
            <w:vAlign w:val="bottom"/>
          </w:tcPr>
          <w:p>
            <w:pPr>
              <w:jc w:val="right"/>
              <w:ind w:right="552"/>
              <w:spacing w:after="0"/>
              <w:rPr>
                <w:sz w:val="20"/>
                <w:szCs w:val="20"/>
                <w:color w:val="auto"/>
              </w:rPr>
            </w:pPr>
            <w:r>
              <w:rPr>
                <w:rFonts w:ascii="Arial" w:cs="Arial" w:eastAsia="Arial" w:hAnsi="Arial"/>
                <w:sz w:val="10"/>
                <w:szCs w:val="10"/>
                <w:color w:val="auto"/>
                <w:w w:val="82"/>
              </w:rPr>
              <w:t>(1,185,410)</w:t>
            </w:r>
          </w:p>
        </w:tc>
        <w:tc>
          <w:tcPr>
            <w:tcW w:w="1060" w:type="dxa"/>
            <w:vAlign w:val="bottom"/>
          </w:tcPr>
          <w:p>
            <w:pPr>
              <w:jc w:val="right"/>
              <w:spacing w:after="0"/>
              <w:rPr>
                <w:sz w:val="20"/>
                <w:szCs w:val="20"/>
                <w:color w:val="auto"/>
              </w:rPr>
            </w:pPr>
            <w:r>
              <w:rPr>
                <w:rFonts w:ascii="Arial" w:cs="Arial" w:eastAsia="Arial" w:hAnsi="Arial"/>
                <w:sz w:val="10"/>
                <w:szCs w:val="10"/>
                <w:color w:val="auto"/>
              </w:rPr>
              <w:t>(1,124,421)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10795</wp:posOffset>
            </wp:positionV>
            <wp:extent cx="205168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8460" w:space="720"/>
            <w:col w:w="2120"/>
          </w:cols>
          <w:pgMar w:left="300" w:top="1162" w:right="29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stockholders’ equity</w:t>
            </w: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328,469</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253,705</w:t>
            </w:r>
          </w:p>
        </w:tc>
      </w:tr>
      <w:tr>
        <w:trPr>
          <w:trHeight w:val="167"/>
        </w:trPr>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Total liabilities and stockholders’ equity</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545,295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490,942</w:t>
            </w:r>
          </w:p>
        </w:tc>
      </w:tr>
    </w:tbl>
    <w:p>
      <w:pPr>
        <w:sectPr>
          <w:pgSz w:w="11900" w:h="16838" w:orient="portrait"/>
          <w:cols w:equalWidth="0" w:num="1">
            <w:col w:w="11300"/>
          </w:cols>
          <w:pgMar w:left="300" w:top="1162" w:right="299" w:bottom="1440" w:gutter="0" w:footer="0" w:header="0"/>
          <w:type w:val="continuous"/>
        </w:sectPr>
      </w:pPr>
    </w:p>
    <w:bookmarkStart w:id="11" w:name="page12"/>
    <w:bookmarkEnd w:id="11"/>
    <w:p>
      <w:pPr>
        <w:ind w:left="5020"/>
        <w:spacing w:after="0"/>
        <w:rPr>
          <w:sz w:val="20"/>
          <w:szCs w:val="20"/>
          <w:color w:val="auto"/>
        </w:rPr>
      </w:pPr>
      <w:r>
        <w:rPr>
          <w:rFonts w:ascii="Arial" w:cs="Arial" w:eastAsia="Arial" w:hAnsi="Arial"/>
          <w:sz w:val="12"/>
          <w:szCs w:val="12"/>
          <w:b w:val="1"/>
          <w:bCs w:val="1"/>
          <w:color w:val="auto"/>
        </w:rPr>
        <w:t>GeneDx Holdings Corp.</w:t>
      </w:r>
    </w:p>
    <w:p>
      <w:pPr>
        <w:spacing w:after="0" w:line="33"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(in thousands, except per share and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40" w:type="dxa"/>
            <w:vAlign w:val="bottom"/>
          </w:tcPr>
          <w:p>
            <w:pPr>
              <w:spacing w:after="0"/>
              <w:rPr>
                <w:sz w:val="13"/>
                <w:szCs w:val="13"/>
                <w:color w:val="auto"/>
              </w:rPr>
            </w:pPr>
          </w:p>
        </w:tc>
        <w:tc>
          <w:tcPr>
            <w:tcW w:w="296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Three months ended March 31,</w:t>
            </w:r>
          </w:p>
        </w:tc>
        <w:tc>
          <w:tcPr>
            <w:tcW w:w="640" w:type="dxa"/>
            <w:vAlign w:val="bottom"/>
          </w:tcPr>
          <w:p>
            <w:pPr>
              <w:spacing w:after="0"/>
              <w:rPr>
                <w:sz w:val="13"/>
                <w:szCs w:val="13"/>
                <w:color w:val="auto"/>
              </w:rPr>
            </w:pPr>
          </w:p>
        </w:tc>
      </w:tr>
      <w:tr>
        <w:trPr>
          <w:trHeight w:val="27"/>
        </w:trPr>
        <w:tc>
          <w:tcPr>
            <w:tcW w:w="7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1"/>
        </w:trPr>
        <w:tc>
          <w:tcPr>
            <w:tcW w:w="744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b w:val="1"/>
                <w:bCs w:val="1"/>
                <w:color w:val="auto"/>
              </w:rPr>
              <w:t>2023</w:t>
            </w:r>
          </w:p>
        </w:tc>
        <w:tc>
          <w:tcPr>
            <w:tcW w:w="6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2022</w:t>
            </w:r>
          </w:p>
        </w:tc>
        <w:tc>
          <w:tcPr>
            <w:tcW w:w="640" w:type="dxa"/>
            <w:vAlign w:val="bottom"/>
          </w:tcPr>
          <w:p>
            <w:pPr>
              <w:spacing w:after="0"/>
              <w:rPr>
                <w:sz w:val="13"/>
                <w:szCs w:val="13"/>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w:t>
            </w:r>
          </w:p>
        </w:tc>
        <w:tc>
          <w:tcPr>
            <w:tcW w:w="10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2"/>
                <w:szCs w:val="12"/>
                <w:color w:val="auto"/>
              </w:rPr>
              <w:t>Diagnostic test revenue</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41,850</w:t>
            </w:r>
          </w:p>
        </w:tc>
        <w:tc>
          <w:tcPr>
            <w:tcW w:w="1200" w:type="dxa"/>
            <w:vAlign w:val="bottom"/>
            <w:gridSpan w:val="2"/>
          </w:tcPr>
          <w:p>
            <w:pPr>
              <w:jc w:val="right"/>
              <w:ind w:right="104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52,495</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revenue</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1,289</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1,446</w:t>
            </w:r>
          </w:p>
        </w:tc>
      </w:tr>
      <w:tr>
        <w:trPr>
          <w:trHeight w:val="151"/>
        </w:trPr>
        <w:tc>
          <w:tcPr>
            <w:tcW w:w="7440" w:type="dxa"/>
            <w:vAlign w:val="bottom"/>
          </w:tcPr>
          <w:p>
            <w:pPr>
              <w:ind w:left="300"/>
              <w:spacing w:after="0"/>
              <w:rPr>
                <w:sz w:val="20"/>
                <w:szCs w:val="20"/>
                <w:color w:val="auto"/>
              </w:rPr>
            </w:pPr>
            <w:r>
              <w:rPr>
                <w:rFonts w:ascii="Arial" w:cs="Arial" w:eastAsia="Arial" w:hAnsi="Arial"/>
                <w:sz w:val="12"/>
                <w:szCs w:val="12"/>
                <w:color w:val="auto"/>
              </w:rPr>
              <w:t>Total revenue</w:t>
            </w: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43,139</w:t>
            </w: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53,941</w:t>
            </w: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10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27,903</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48,316</w:t>
            </w:r>
          </w:p>
        </w:tc>
      </w:tr>
      <w:tr>
        <w:trPr>
          <w:trHeight w:val="151"/>
        </w:trPr>
        <w:tc>
          <w:tcPr>
            <w:tcW w:w="7440" w:type="dxa"/>
            <w:vAlign w:val="bottom"/>
          </w:tcPr>
          <w:p>
            <w:pPr>
              <w:spacing w:after="0"/>
              <w:rPr>
                <w:sz w:val="20"/>
                <w:szCs w:val="20"/>
                <w:color w:val="auto"/>
              </w:rPr>
            </w:pPr>
            <w:r>
              <w:rPr>
                <w:rFonts w:ascii="Arial" w:cs="Arial" w:eastAsia="Arial" w:hAnsi="Arial"/>
                <w:sz w:val="12"/>
                <w:szCs w:val="12"/>
                <w:color w:val="auto"/>
              </w:rPr>
              <w:t>Gross profit</w:t>
            </w: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15,236</w:t>
            </w: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5,625</w:t>
            </w: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0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14,592</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21,315</w:t>
            </w:r>
          </w:p>
        </w:tc>
      </w:tr>
      <w:tr>
        <w:trPr>
          <w:trHeight w:val="162"/>
        </w:trPr>
        <w:tc>
          <w:tcPr>
            <w:tcW w:w="7440" w:type="dxa"/>
            <w:vAlign w:val="bottom"/>
          </w:tcPr>
          <w:p>
            <w:pPr>
              <w:spacing w:after="0"/>
              <w:rPr>
                <w:sz w:val="20"/>
                <w:szCs w:val="20"/>
                <w:color w:val="auto"/>
              </w:rPr>
            </w:pPr>
            <w:r>
              <w:rPr>
                <w:rFonts w:ascii="Arial" w:cs="Arial" w:eastAsia="Arial" w:hAnsi="Arial"/>
                <w:sz w:val="12"/>
                <w:szCs w:val="12"/>
                <w:color w:val="auto"/>
              </w:rPr>
              <w:t>Selling and marketing</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13,452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25,629</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0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43,689</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46,702</w:t>
            </w:r>
          </w:p>
        </w:tc>
      </w:tr>
      <w:tr>
        <w:trPr>
          <w:trHeight w:val="162"/>
        </w:trPr>
        <w:tc>
          <w:tcPr>
            <w:tcW w:w="7440" w:type="dxa"/>
            <w:vAlign w:val="bottom"/>
          </w:tcPr>
          <w:p>
            <w:pPr>
              <w:spacing w:after="0"/>
              <w:rPr>
                <w:sz w:val="20"/>
                <w:szCs w:val="20"/>
                <w:color w:val="auto"/>
              </w:rPr>
            </w:pPr>
            <w:r>
              <w:rPr>
                <w:rFonts w:ascii="Arial" w:cs="Arial" w:eastAsia="Arial" w:hAnsi="Arial"/>
                <w:sz w:val="12"/>
                <w:szCs w:val="12"/>
                <w:color w:val="auto"/>
              </w:rPr>
              <w:t>Related party expenses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1,747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1,284</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Impairment loss</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7440" w:type="dxa"/>
            <w:vAlign w:val="bottom"/>
          </w:tcPr>
          <w:p>
            <w:pPr>
              <w:ind w:left="140"/>
              <w:spacing w:after="0"/>
              <w:rPr>
                <w:sz w:val="20"/>
                <w:szCs w:val="20"/>
                <w:color w:val="auto"/>
              </w:rPr>
            </w:pPr>
            <w:r>
              <w:rPr>
                <w:rFonts w:ascii="Arial" w:cs="Arial" w:eastAsia="Arial" w:hAnsi="Arial"/>
                <w:sz w:val="12"/>
                <w:szCs w:val="12"/>
                <w:color w:val="auto"/>
              </w:rPr>
              <w:t>Loss from operations</w:t>
            </w: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(60,364)</w:t>
            </w: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(89,305)</w:t>
            </w: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10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r>
      <w:tr>
        <w:trPr>
          <w:trHeight w:val="162"/>
        </w:trPr>
        <w:tc>
          <w:tcPr>
            <w:tcW w:w="7440" w:type="dxa"/>
            <w:vAlign w:val="bottom"/>
          </w:tcPr>
          <w:p>
            <w:pPr>
              <w:ind w:left="140"/>
              <w:spacing w:after="0"/>
              <w:rPr>
                <w:sz w:val="20"/>
                <w:szCs w:val="20"/>
                <w:color w:val="auto"/>
              </w:rPr>
            </w:pPr>
            <w:r>
              <w:rPr>
                <w:rFonts w:ascii="Arial" w:cs="Arial" w:eastAsia="Arial" w:hAnsi="Arial"/>
                <w:sz w:val="12"/>
                <w:szCs w:val="12"/>
                <w:color w:val="auto"/>
              </w:rPr>
              <w:t>Change in fair market value of warrant and earn-out contingent liabilities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(3,453)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13,190</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9"/>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Interest income</w:t>
            </w:r>
          </w:p>
        </w:tc>
        <w:tc>
          <w:tcPr>
            <w:tcW w:w="10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62"/>
        </w:trPr>
        <w:tc>
          <w:tcPr>
            <w:tcW w:w="744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(808)</w:t>
            </w: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Other income, net</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2,716</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7440" w:type="dxa"/>
            <w:vAlign w:val="bottom"/>
          </w:tcPr>
          <w:p>
            <w:pPr>
              <w:spacing w:after="0"/>
              <w:rPr>
                <w:sz w:val="20"/>
                <w:szCs w:val="20"/>
                <w:color w:val="auto"/>
              </w:rPr>
            </w:pPr>
            <w:r>
              <w:rPr>
                <w:rFonts w:ascii="Arial" w:cs="Arial" w:eastAsia="Arial" w:hAnsi="Arial"/>
                <w:sz w:val="12"/>
                <w:szCs w:val="12"/>
                <w:color w:val="auto"/>
              </w:rPr>
              <w:t>Total other (expense) income, net</w:t>
            </w: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(772)</w:t>
            </w: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12,409</w:t>
            </w: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0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(61,136)</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(76,896)</w:t>
            </w:r>
          </w:p>
        </w:tc>
      </w:tr>
      <w:tr>
        <w:trPr>
          <w:trHeight w:val="162"/>
        </w:trPr>
        <w:tc>
          <w:tcPr>
            <w:tcW w:w="7440" w:type="dxa"/>
            <w:vAlign w:val="bottom"/>
          </w:tcPr>
          <w:p>
            <w:pPr>
              <w:spacing w:after="0"/>
              <w:rPr>
                <w:sz w:val="20"/>
                <w:szCs w:val="20"/>
                <w:color w:val="auto"/>
              </w:rPr>
            </w:pPr>
            <w:r>
              <w:rPr>
                <w:rFonts w:ascii="Arial" w:cs="Arial" w:eastAsia="Arial" w:hAnsi="Arial"/>
                <w:sz w:val="12"/>
                <w:szCs w:val="12"/>
                <w:color w:val="auto"/>
              </w:rPr>
              <w:t>Income tax benefit</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and comprehensive loss</w:t>
            </w:r>
          </w:p>
        </w:tc>
        <w:tc>
          <w:tcPr>
            <w:tcW w:w="108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(60,989)</w:t>
            </w:r>
          </w:p>
        </w:tc>
        <w:tc>
          <w:tcPr>
            <w:tcW w:w="120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(76,896)</w:t>
            </w:r>
          </w:p>
        </w:tc>
      </w:tr>
      <w:tr>
        <w:trPr>
          <w:trHeight w:val="151"/>
        </w:trPr>
        <w:tc>
          <w:tcPr>
            <w:tcW w:w="74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CCEEFF"/>
            </w:tcBorders>
          </w:tcPr>
          <w:p>
            <w:pPr>
              <w:spacing w:after="0"/>
              <w:rPr>
                <w:sz w:val="13"/>
                <w:szCs w:val="13"/>
                <w:color w:val="auto"/>
              </w:rPr>
            </w:pPr>
          </w:p>
        </w:tc>
      </w:tr>
      <w:tr>
        <w:trPr>
          <w:trHeight w:val="15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shares outstanding of Class A common stock</w:t>
            </w:r>
          </w:p>
        </w:tc>
        <w:tc>
          <w:tcPr>
            <w:tcW w:w="10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20,061,945</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7,405,114</w:t>
            </w:r>
          </w:p>
        </w:tc>
      </w:tr>
      <w:tr>
        <w:trPr>
          <w:trHeight w:val="162"/>
        </w:trPr>
        <w:tc>
          <w:tcPr>
            <w:tcW w:w="7440" w:type="dxa"/>
            <w:vAlign w:val="bottom"/>
          </w:tcPr>
          <w:p>
            <w:pPr>
              <w:spacing w:after="0"/>
              <w:rPr>
                <w:sz w:val="20"/>
                <w:szCs w:val="20"/>
                <w:color w:val="auto"/>
              </w:rPr>
            </w:pPr>
            <w:r>
              <w:rPr>
                <w:rFonts w:ascii="Arial" w:cs="Arial" w:eastAsia="Arial" w:hAnsi="Arial"/>
                <w:sz w:val="12"/>
                <w:szCs w:val="12"/>
                <w:color w:val="auto"/>
              </w:rPr>
              <w:t>Basic and diluted net loss per share, Class A common stock</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(3.04)</w:t>
            </w:r>
          </w:p>
        </w:tc>
        <w:tc>
          <w:tcPr>
            <w:tcW w:w="1200" w:type="dxa"/>
            <w:vAlign w:val="bottom"/>
            <w:gridSpan w:val="2"/>
          </w:tcPr>
          <w:p>
            <w:pPr>
              <w:jc w:val="right"/>
              <w:ind w:right="104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(10.38)</w:t>
            </w:r>
          </w:p>
        </w:tc>
      </w:tr>
    </w:tbl>
    <w:p>
      <w:pPr>
        <w:sectPr>
          <w:pgSz w:w="11900" w:h="16838" w:orient="portrait"/>
          <w:cols w:equalWidth="0" w:num="1">
            <w:col w:w="11040"/>
          </w:cols>
          <w:pgMar w:left="300" w:top="1162" w:right="55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2"/>
          <w:szCs w:val="12"/>
          <w:b w:val="1"/>
          <w:bCs w:val="1"/>
          <w:color w:val="auto"/>
        </w:rPr>
        <w:t>GeneDx Holdings Corp.</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7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w w:val="99"/>
              </w:rPr>
              <w:t>Three months ended March 31,</w:t>
            </w:r>
          </w:p>
        </w:tc>
        <w:tc>
          <w:tcPr>
            <w:tcW w:w="1360" w:type="dxa"/>
            <w:vAlign w:val="bottom"/>
            <w:tcBorders>
              <w:bottom w:val="single" w:sz="8" w:color="auto"/>
            </w:tcBorders>
          </w:tcPr>
          <w:p>
            <w:pPr>
              <w:spacing w:after="0"/>
              <w:rPr>
                <w:sz w:val="11"/>
                <w:szCs w:val="1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2023</w:t>
            </w: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20"/>
              <w:spacing w:after="0"/>
              <w:rPr>
                <w:sz w:val="20"/>
                <w:szCs w:val="20"/>
                <w:color w:val="auto"/>
              </w:rPr>
            </w:pPr>
            <w:r>
              <w:rPr>
                <w:rFonts w:ascii="Arial" w:cs="Arial" w:eastAsia="Arial" w:hAnsi="Arial"/>
                <w:sz w:val="10"/>
                <w:szCs w:val="10"/>
                <w:b w:val="1"/>
                <w:bCs w:val="1"/>
                <w:color w:val="auto"/>
              </w:rPr>
              <w:t>2022</w:t>
            </w:r>
          </w:p>
        </w:tc>
      </w:tr>
      <w:tr>
        <w:trPr>
          <w:trHeight w:val="15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3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Net loss</w:t>
            </w:r>
          </w:p>
        </w:tc>
        <w:tc>
          <w:tcPr>
            <w:tcW w:w="1380" w:type="dxa"/>
            <w:vAlign w:val="bottom"/>
          </w:tcPr>
          <w:p>
            <w:pPr>
              <w:jc w:val="right"/>
              <w:ind w:right="1244"/>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(60,989)</w:t>
            </w:r>
          </w:p>
        </w:tc>
        <w:tc>
          <w:tcPr>
            <w:tcW w:w="80" w:type="dxa"/>
            <w:vAlign w:val="bottom"/>
          </w:tcPr>
          <w:p>
            <w:pPr>
              <w:spacing w:after="0"/>
              <w:rPr>
                <w:sz w:val="14"/>
                <w:szCs w:val="14"/>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(76,896)</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62"/>
        </w:trPr>
        <w:tc>
          <w:tcPr>
            <w:tcW w:w="6700" w:type="dxa"/>
            <w:vAlign w:val="bottom"/>
          </w:tcPr>
          <w:p>
            <w:pPr>
              <w:ind w:left="140"/>
              <w:spacing w:after="0"/>
              <w:rPr>
                <w:sz w:val="20"/>
                <w:szCs w:val="20"/>
                <w:color w:val="auto"/>
              </w:rPr>
            </w:pPr>
            <w:r>
              <w:rPr>
                <w:rFonts w:ascii="Arial" w:cs="Arial" w:eastAsia="Arial" w:hAnsi="Arial"/>
                <w:sz w:val="12"/>
                <w:szCs w:val="12"/>
                <w:color w:val="auto"/>
              </w:rPr>
              <w:t>Depreciation and amortization expense</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8,636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5,803</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Impairment loss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2,120</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700" w:type="dxa"/>
            <w:vAlign w:val="bottom"/>
          </w:tcPr>
          <w:p>
            <w:pPr>
              <w:ind w:left="140"/>
              <w:spacing w:after="0"/>
              <w:rPr>
                <w:sz w:val="20"/>
                <w:szCs w:val="20"/>
                <w:color w:val="auto"/>
              </w:rPr>
            </w:pPr>
            <w:r>
              <w:rPr>
                <w:rFonts w:ascii="Arial" w:cs="Arial" w:eastAsia="Arial" w:hAnsi="Arial"/>
                <w:sz w:val="12"/>
                <w:szCs w:val="12"/>
                <w:color w:val="auto"/>
              </w:rPr>
              <w:t>Gain on debt forgiveness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(2,750)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Stock-based compensation expense</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17,559</w:t>
            </w:r>
          </w:p>
        </w:tc>
      </w:tr>
      <w:tr>
        <w:trPr>
          <w:trHeight w:val="162"/>
        </w:trPr>
        <w:tc>
          <w:tcPr>
            <w:tcW w:w="6700" w:type="dxa"/>
            <w:vAlign w:val="bottom"/>
          </w:tcPr>
          <w:p>
            <w:pPr>
              <w:ind w:left="140"/>
              <w:spacing w:after="0"/>
              <w:rPr>
                <w:sz w:val="20"/>
                <w:szCs w:val="20"/>
                <w:color w:val="auto"/>
              </w:rPr>
            </w:pPr>
            <w:r>
              <w:rPr>
                <w:rFonts w:ascii="Arial" w:cs="Arial" w:eastAsia="Arial" w:hAnsi="Arial"/>
                <w:sz w:val="12"/>
                <w:szCs w:val="12"/>
                <w:color w:val="auto"/>
              </w:rPr>
              <w:t>Change in fair value of warrant and contingent liabilities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3,453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(13,190)</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Provision for excess and obsolete inventory</w:t>
            </w:r>
          </w:p>
        </w:tc>
        <w:tc>
          <w:tcPr>
            <w:tcW w:w="13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62"/>
        </w:trPr>
        <w:tc>
          <w:tcPr>
            <w:tcW w:w="6700" w:type="dxa"/>
            <w:vAlign w:val="bottom"/>
          </w:tcPr>
          <w:p>
            <w:pPr>
              <w:ind w:left="140"/>
              <w:spacing w:after="0"/>
              <w:rPr>
                <w:sz w:val="20"/>
                <w:szCs w:val="20"/>
                <w:color w:val="auto"/>
              </w:rPr>
            </w:pPr>
            <w:r>
              <w:rPr>
                <w:rFonts w:ascii="Arial" w:cs="Arial" w:eastAsia="Arial" w:hAnsi="Arial"/>
                <w:sz w:val="12"/>
                <w:szCs w:val="12"/>
                <w:color w:val="auto"/>
              </w:rPr>
              <w:t>Non-cash lease expense</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167</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Deferred tax benefit</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700" w:type="dxa"/>
            <w:vAlign w:val="bottom"/>
          </w:tcPr>
          <w:p>
            <w:pPr>
              <w:ind w:left="140"/>
              <w:spacing w:after="0"/>
              <w:rPr>
                <w:sz w:val="20"/>
                <w:szCs w:val="20"/>
                <w:color w:val="auto"/>
              </w:rPr>
            </w:pPr>
            <w:r>
              <w:rPr>
                <w:rFonts w:ascii="Arial" w:cs="Arial" w:eastAsia="Arial" w:hAnsi="Arial"/>
                <w:sz w:val="12"/>
                <w:szCs w:val="12"/>
                <w:color w:val="auto"/>
              </w:rPr>
              <w:t>Amortization of debt issuance costs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Change in operating assets and liabilities: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62"/>
        </w:trPr>
        <w:tc>
          <w:tcPr>
            <w:tcW w:w="6700" w:type="dxa"/>
            <w:vAlign w:val="bottom"/>
          </w:tcPr>
          <w:p>
            <w:pPr>
              <w:ind w:left="300"/>
              <w:spacing w:after="0"/>
              <w:rPr>
                <w:sz w:val="20"/>
                <w:szCs w:val="20"/>
                <w:color w:val="auto"/>
              </w:rPr>
            </w:pPr>
            <w:r>
              <w:rPr>
                <w:rFonts w:ascii="Arial" w:cs="Arial" w:eastAsia="Arial" w:hAnsi="Arial"/>
                <w:sz w:val="12"/>
                <w:szCs w:val="12"/>
                <w:color w:val="auto"/>
              </w:rPr>
              <w:t>Accounts receivable</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9,723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(11,132)</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Inventory</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(2,904)</w:t>
            </w:r>
          </w:p>
        </w:tc>
      </w:tr>
      <w:tr>
        <w:trPr>
          <w:trHeight w:val="162"/>
        </w:trPr>
        <w:tc>
          <w:tcPr>
            <w:tcW w:w="6700" w:type="dxa"/>
            <w:vAlign w:val="bottom"/>
          </w:tcPr>
          <w:p>
            <w:pPr>
              <w:ind w:left="300"/>
              <w:spacing w:after="0"/>
              <w:rPr>
                <w:sz w:val="20"/>
                <w:szCs w:val="20"/>
                <w:color w:val="auto"/>
              </w:rPr>
            </w:pPr>
            <w:r>
              <w:rPr>
                <w:rFonts w:ascii="Arial" w:cs="Arial" w:eastAsia="Arial" w:hAnsi="Arial"/>
                <w:sz w:val="12"/>
                <w:szCs w:val="12"/>
                <w:color w:val="auto"/>
              </w:rPr>
              <w:t>Prepaid expenses and other current assets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1,596</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Due to/from related parties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793</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543</w:t>
            </w:r>
          </w:p>
        </w:tc>
      </w:tr>
      <w:tr>
        <w:trPr>
          <w:trHeight w:val="162"/>
        </w:trPr>
        <w:tc>
          <w:tcPr>
            <w:tcW w:w="6700" w:type="dxa"/>
            <w:vAlign w:val="bottom"/>
          </w:tcPr>
          <w:p>
            <w:pPr>
              <w:ind w:left="300"/>
              <w:spacing w:after="0"/>
              <w:rPr>
                <w:sz w:val="20"/>
                <w:szCs w:val="20"/>
                <w:color w:val="auto"/>
              </w:rPr>
            </w:pPr>
            <w:r>
              <w:rPr>
                <w:rFonts w:ascii="Arial" w:cs="Arial" w:eastAsia="Arial" w:hAnsi="Arial"/>
                <w:sz w:val="12"/>
                <w:szCs w:val="12"/>
                <w:color w:val="auto"/>
              </w:rPr>
              <w:t>Other assets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(151)</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Accounts payable and accrued expenses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(14,470)</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3,932</w:t>
            </w:r>
          </w:p>
        </w:tc>
      </w:tr>
      <w:tr>
        <w:trPr>
          <w:trHeight w:val="162"/>
        </w:trPr>
        <w:tc>
          <w:tcPr>
            <w:tcW w:w="6700" w:type="dxa"/>
            <w:vAlign w:val="bottom"/>
          </w:tcPr>
          <w:p>
            <w:pPr>
              <w:ind w:left="300"/>
              <w:spacing w:after="0"/>
              <w:rPr>
                <w:sz w:val="20"/>
                <w:szCs w:val="20"/>
                <w:color w:val="auto"/>
              </w:rPr>
            </w:pPr>
            <w:r>
              <w:rPr>
                <w:rFonts w:ascii="Arial" w:cs="Arial" w:eastAsia="Arial" w:hAnsi="Arial"/>
                <w:sz w:val="12"/>
                <w:szCs w:val="12"/>
                <w:color w:val="auto"/>
              </w:rPr>
              <w:t>Contract liabilities</w:t>
            </w:r>
          </w:p>
        </w:tc>
        <w:tc>
          <w:tcPr>
            <w:tcW w:w="13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(408)</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9"/>
        </w:trPr>
        <w:tc>
          <w:tcPr>
            <w:tcW w:w="6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Other current liabilities</w:t>
            </w:r>
          </w:p>
        </w:tc>
        <w:tc>
          <w:tcPr>
            <w:tcW w:w="13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(7,759)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(6,584)</w:t>
            </w:r>
          </w:p>
        </w:tc>
      </w:tr>
      <w:tr>
        <w:trPr>
          <w:trHeight w:val="151"/>
        </w:trPr>
        <w:tc>
          <w:tcPr>
            <w:tcW w:w="670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1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(55,560)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(81,494)</w:t>
            </w:r>
          </w:p>
        </w:tc>
      </w:tr>
      <w:tr>
        <w:trPr>
          <w:trHeight w:val="27"/>
        </w:trPr>
        <w:tc>
          <w:tcPr>
            <w:tcW w:w="6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4"/>
        </w:trPr>
        <w:tc>
          <w:tcPr>
            <w:tcW w:w="67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62"/>
        </w:trPr>
        <w:tc>
          <w:tcPr>
            <w:tcW w:w="670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13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(1,378)</w:t>
            </w: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Development of internal-use software assets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(2,535)</w:t>
            </w:r>
          </w:p>
        </w:tc>
      </w:tr>
      <w:tr>
        <w:trPr>
          <w:trHeight w:val="27"/>
        </w:trPr>
        <w:tc>
          <w:tcPr>
            <w:tcW w:w="6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(462)</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(3,913)</w:t>
            </w:r>
          </w:p>
        </w:tc>
      </w:tr>
      <w:tr>
        <w:trPr>
          <w:trHeight w:val="124"/>
        </w:trPr>
        <w:tc>
          <w:tcPr>
            <w:tcW w:w="67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r>
      <w:tr>
        <w:trPr>
          <w:trHeight w:val="16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Proceeds from underwritten public offering, net of issuance costs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135,439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Long-term debt principal payment</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Finance lease payoff</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
        </w:trPr>
        <w:tc>
          <w:tcPr>
            <w:tcW w:w="6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Finance lease principal payments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(862)</w:t>
            </w: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Exercise of stock options</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702</w:t>
            </w:r>
          </w:p>
        </w:tc>
      </w:tr>
      <w:tr>
        <w:trPr>
          <w:trHeight w:val="27"/>
        </w:trPr>
        <w:tc>
          <w:tcPr>
            <w:tcW w:w="6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132,658</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w:t>
            </w:r>
          </w:p>
        </w:tc>
      </w:tr>
      <w:tr>
        <w:trPr>
          <w:trHeight w:val="124"/>
        </w:trPr>
        <w:tc>
          <w:tcPr>
            <w:tcW w:w="67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76,636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(85,567)</w:t>
            </w:r>
          </w:p>
        </w:tc>
      </w:tr>
      <w:tr>
        <w:trPr>
          <w:trHeight w:val="162"/>
        </w:trPr>
        <w:tc>
          <w:tcPr>
            <w:tcW w:w="6700" w:type="dxa"/>
            <w:vAlign w:val="bottom"/>
          </w:tcPr>
          <w:p>
            <w:pPr>
              <w:spacing w:after="0"/>
              <w:rPr>
                <w:sz w:val="20"/>
                <w:szCs w:val="20"/>
                <w:color w:val="auto"/>
              </w:rPr>
            </w:pPr>
            <w:r>
              <w:rPr>
                <w:rFonts w:ascii="Arial" w:cs="Arial" w:eastAsia="Arial" w:hAnsi="Arial"/>
                <w:sz w:val="12"/>
                <w:szCs w:val="12"/>
                <w:color w:val="auto"/>
              </w:rPr>
              <w:t>Cash, cash equivalents and restricted cash, at beginning of year</w:t>
            </w:r>
          </w:p>
        </w:tc>
        <w:tc>
          <w:tcPr>
            <w:tcW w:w="1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138,303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401,469</w:t>
            </w:r>
          </w:p>
        </w:tc>
      </w:tr>
      <w:tr>
        <w:trPr>
          <w:trHeight w:val="27"/>
        </w:trPr>
        <w:tc>
          <w:tcPr>
            <w:tcW w:w="6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end of year</w:t>
            </w:r>
          </w:p>
        </w:tc>
        <w:tc>
          <w:tcPr>
            <w:tcW w:w="1380" w:type="dxa"/>
            <w:vAlign w:val="bottom"/>
            <w:tcBorders>
              <w:bottom w:val="single" w:sz="8" w:color="CCEEFF"/>
            </w:tcBorders>
            <w:shd w:val="clear" w:color="auto" w:fill="CCEEFF"/>
          </w:tcPr>
          <w:p>
            <w:pPr>
              <w:jc w:val="right"/>
              <w:ind w:right="1244"/>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214,939</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315,902</w:t>
            </w:r>
          </w:p>
        </w:tc>
      </w:tr>
      <w:tr>
        <w:trPr>
          <w:trHeight w:val="20"/>
        </w:trPr>
        <w:tc>
          <w:tcPr>
            <w:tcW w:w="6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120"/>
          </w:cols>
          <w:pgMar w:left="300" w:top="982" w:right="47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2023-05-09T15:45:52Z</dcterms:created>
  <dcterms:modified xsi:type="dcterms:W3CDTF">2023-05-09T15:45:52Z</dcterms:modified>
</cp:coreProperties>
</file>