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32026_090338.xml.htm"/>
      <w:bookmarkStart w:id="1" w:name="ksform403032026_0903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03/01/2026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9,886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77.5187</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9,599</w:t>
            </w:r>
            <w:r>
              <w:rPr>
                <w:rFonts w:ascii="Times;serif" w:hAnsi="Times;serif"/>
                <w:color w:val="008000"/>
                <w:position w:val="7"/>
                <w:sz w:val="16"/>
                <w:sz w:val="20"/>
                <w:shd w:fill="FFFFFF" w:val="clear"/>
              </w:rPr>
              <w:t>(4)</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$76.99 to $77.53,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reported sale undertaken to satisfy tax withholding liabilities, in addition to the 9,599 shares of Class A Common Stock beneficially owned by the Reporting Person, the Reporting Person beneficially owned RSUs representing contingent rights to receive up to an aggregate of 112,032 shares of Class A Common Stock and options to purchase up to an aggregate of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6.25% of the total award vested or vests quarterly, subject to the Reporting Person's continued service to the Issuer on each vesting date, and with the first tranche vested on December 1, 2022.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4664</Characters>
  <CharactersWithSpaces>5468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