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58"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333-258467</w:t>
      </w:r>
    </w:p>
    <w:p>
      <w:pPr>
        <w:spacing w:after="0" w:line="200" w:lineRule="exact"/>
        <w:rPr>
          <w:sz w:val="24"/>
          <w:szCs w:val="24"/>
          <w:color w:val="auto"/>
        </w:rPr>
      </w:pPr>
    </w:p>
    <w:p>
      <w:pPr>
        <w:spacing w:after="0" w:line="36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2418715</wp:posOffset>
            </wp:positionH>
            <wp:positionV relativeFrom="paragraph">
              <wp:posOffset>115570</wp:posOffset>
            </wp:positionV>
            <wp:extent cx="2313940" cy="5975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13940" cy="5975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Sema4 Holdings Corp.</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236,223,401 Shares of Common Stock</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7,236,667 Warrants to Purchase Shares of Common Stock</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21,995,000 Shares of Common Stock Underlying Warrants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2813685</wp:posOffset>
            </wp:positionH>
            <wp:positionV relativeFrom="paragraph">
              <wp:posOffset>56515</wp:posOffset>
            </wp:positionV>
            <wp:extent cx="15144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4475" cy="8255"/>
                    </a:xfrm>
                    <a:prstGeom prst="rect">
                      <a:avLst/>
                    </a:prstGeom>
                    <a:noFill/>
                  </pic:spPr>
                </pic:pic>
              </a:graphicData>
            </a:graphic>
          </wp:anchor>
        </w:drawing>
      </w:r>
    </w:p>
    <w:p>
      <w:pPr>
        <w:spacing w:after="0" w:line="308" w:lineRule="exact"/>
        <w:rPr>
          <w:sz w:val="24"/>
          <w:szCs w:val="24"/>
          <w:color w:val="auto"/>
        </w:rPr>
      </w:pPr>
    </w:p>
    <w:p>
      <w:pPr>
        <w:ind w:left="320"/>
        <w:spacing w:after="0"/>
        <w:rPr>
          <w:sz w:val="20"/>
          <w:szCs w:val="20"/>
          <w:color w:val="auto"/>
        </w:rPr>
      </w:pPr>
      <w:r>
        <w:rPr>
          <w:rFonts w:ascii="Arial" w:cs="Arial" w:eastAsia="Arial" w:hAnsi="Arial"/>
          <w:sz w:val="15"/>
          <w:szCs w:val="15"/>
          <w:color w:val="auto"/>
        </w:rPr>
        <w:t>This prospectus relates to the offer and sale from time to time by the selling securityholders named in this prospectus (the “Selling Securityholders”) of</w:t>
      </w:r>
    </w:p>
    <w:p>
      <w:pPr>
        <w:spacing w:after="0" w:line="51" w:lineRule="exact"/>
        <w:rPr>
          <w:sz w:val="24"/>
          <w:szCs w:val="24"/>
          <w:color w:val="auto"/>
        </w:rPr>
      </w:pPr>
    </w:p>
    <w:p>
      <w:pPr>
        <w:jc w:val="both"/>
        <w:ind w:firstLine="6"/>
        <w:spacing w:after="0" w:line="294" w:lineRule="auto"/>
        <w:tabs>
          <w:tab w:leader="none" w:pos="296" w:val="left"/>
        </w:tabs>
        <w:numPr>
          <w:ilvl w:val="0"/>
          <w:numId w:val="1"/>
        </w:numPr>
        <w:rPr>
          <w:rFonts w:ascii="Arial" w:cs="Arial" w:eastAsia="Arial" w:hAnsi="Arial"/>
          <w:sz w:val="15"/>
          <w:szCs w:val="15"/>
          <w:color w:val="auto"/>
        </w:rPr>
      </w:pPr>
      <w:r>
        <w:rPr>
          <w:rFonts w:ascii="Arial" w:cs="Arial" w:eastAsia="Arial" w:hAnsi="Arial"/>
          <w:sz w:val="15"/>
          <w:szCs w:val="15"/>
          <w:color w:val="auto"/>
        </w:rPr>
        <w:t>up to 236,223,401 shares of our Class A common stock, par value $0.0001 per share (“Class A common stock” or “common stock”), consisting of (i) up to 35,000,000 shares of our Class A common stock (the “PIPE shares”) issued in a private placement pursuant to subscription agreements each entered into on February 9, 2021 (the “PIPE Financing”); (ii) up to 11,068,750 shares of our Class A common stock (the “Founder Shares”) issued in connection with the consummation of the Business Combination (as defined below), in exchange for shares of our Class B common stock originally issued in a private placement to CMLS Holdings LLC (the “Sponsor”); (iii) up to 182,917,984 shares of our Class A common stock issued or issuable to certain former stockholders and equity award holders of Sema4 (the “Sema4 equity holders”) in connection with or as a result of the consummation of the Business Combination, consisting of</w:t>
      </w:r>
    </w:p>
    <w:p>
      <w:pPr>
        <w:spacing w:after="0" w:line="4" w:lineRule="exact"/>
        <w:rPr>
          <w:rFonts w:ascii="Arial" w:cs="Arial" w:eastAsia="Arial" w:hAnsi="Arial"/>
          <w:sz w:val="15"/>
          <w:szCs w:val="15"/>
          <w:color w:val="auto"/>
        </w:rPr>
      </w:pPr>
    </w:p>
    <w:p>
      <w:pPr>
        <w:jc w:val="both"/>
        <w:spacing w:after="0" w:line="265" w:lineRule="auto"/>
        <w:rPr>
          <w:rFonts w:ascii="Arial" w:cs="Arial" w:eastAsia="Arial" w:hAnsi="Arial"/>
          <w:sz w:val="15"/>
          <w:szCs w:val="15"/>
          <w:color w:val="auto"/>
        </w:rPr>
      </w:pPr>
      <w:r>
        <w:rPr>
          <w:rFonts w:ascii="Arial" w:cs="Arial" w:eastAsia="Arial" w:hAnsi="Arial"/>
          <w:sz w:val="17"/>
          <w:szCs w:val="17"/>
          <w:color w:val="auto"/>
        </w:rPr>
        <w:t>(a) up to 149,856,840 shares of our Class A common stock; (b) up to 14,039,568 shares of our Class A common stock issuable upon the exercise or vesting of certain equity awards; and (c) up to 19,021,576 shares of Class A common stock (the “Earn-Out Shares”) that certain Sema4 equity holders have the contingent right to receive upon the achievement of certain vesting conditions; and (iv) up to 7,236,667 shares of our Class A common stock issuable upon the exercise of the private placement warrants (as defined below); and (B) up to 7,236,667 warrants (the “private placement warrants”) originally issued in a private placement to the Sponsor and certain of the other Initial Stockholders (as defined herein).</w:t>
      </w:r>
    </w:p>
    <w:p>
      <w:pPr>
        <w:spacing w:after="0" w:line="128" w:lineRule="exact"/>
        <w:rPr>
          <w:sz w:val="24"/>
          <w:szCs w:val="24"/>
          <w:color w:val="auto"/>
        </w:rPr>
      </w:pPr>
    </w:p>
    <w:p>
      <w:pPr>
        <w:jc w:val="both"/>
        <w:ind w:firstLine="318"/>
        <w:spacing w:after="0" w:line="252" w:lineRule="auto"/>
        <w:rPr>
          <w:sz w:val="20"/>
          <w:szCs w:val="20"/>
          <w:color w:val="auto"/>
        </w:rPr>
      </w:pPr>
      <w:r>
        <w:rPr>
          <w:rFonts w:ascii="Arial" w:cs="Arial" w:eastAsia="Arial" w:hAnsi="Arial"/>
          <w:sz w:val="18"/>
          <w:szCs w:val="18"/>
          <w:color w:val="auto"/>
        </w:rPr>
        <w:t>In addition, this prospectus relates to the offer and sale of: (i) up to 14,758,333 shares of our Class A common stock that are issuable by us upon the exercise of 14,758,333 warrants (the “public warrants”) originally issued in our initial public offering (the “IPO”); and (ii) up to 7,236,667 shares of our Class A common stock that are issuable by us upon the exercise of the private placement warrants following the public resale of the private placement warrants by the Selling Securityholders pursuant to this prospectus.</w:t>
      </w:r>
    </w:p>
    <w:p>
      <w:pPr>
        <w:spacing w:after="0" w:line="138" w:lineRule="exact"/>
        <w:rPr>
          <w:sz w:val="24"/>
          <w:szCs w:val="24"/>
          <w:color w:val="auto"/>
        </w:rPr>
      </w:pPr>
    </w:p>
    <w:p>
      <w:pPr>
        <w:jc w:val="both"/>
        <w:ind w:firstLine="318"/>
        <w:spacing w:after="0" w:line="248" w:lineRule="auto"/>
        <w:rPr>
          <w:sz w:val="20"/>
          <w:szCs w:val="20"/>
          <w:color w:val="auto"/>
        </w:rPr>
      </w:pPr>
      <w:r>
        <w:rPr>
          <w:rFonts w:ascii="Arial" w:cs="Arial" w:eastAsia="Arial" w:hAnsi="Arial"/>
          <w:sz w:val="18"/>
          <w:szCs w:val="18"/>
          <w:color w:val="auto"/>
        </w:rPr>
        <w:t>On July 22, 2021, we consummated the transactions contemplated by that certain Agreement and Plan of Merger, dated as of February 9, 2021 (as amended, the “Merger Agreement”), by and among CM Life Sciences, Inc. (“CMLS” and, after the consummation of the Business Combination, “Sema4 Holdings”), S-IV Sub, Inc. (“Merger Sub”) and Mount Sinai Genomics, Inc. d/b/a Sema4 (“Sema4”). In particular, on July 22, 2021, we consummated the merger contemplated by the Merger Agreement, whereby Merger Sub merged with and into Sema4, with Sema4 surviving the merger as a wholly-owned subsidiary of CMLS (the “Merger” and, together with the other transactions contemplated by the Merger Agreement, the “Business Combination”). In connection with the consummation of the Business Combination, CMLS changed its name to “Sema4 Holdings Corp.” and Sema4 changed its name to “Sema4 OpCo, Inc.”</w:t>
      </w:r>
    </w:p>
    <w:p>
      <w:pPr>
        <w:sectPr>
          <w:pgSz w:w="11900" w:h="16838" w:orient="portrait"/>
          <w:cols w:equalWidth="0" w:num="1">
            <w:col w:w="11240"/>
          </w:cols>
          <w:pgMar w:left="320" w:top="1440" w:right="339" w:bottom="1440" w:gutter="0" w:footer="0" w:header="0"/>
        </w:sectPr>
      </w:pPr>
    </w:p>
    <w:bookmarkStart w:id="1" w:name="page2"/>
    <w:bookmarkEnd w:id="1"/>
    <w:p>
      <w:pPr>
        <w:jc w:val="both"/>
        <w:ind w:firstLine="318"/>
        <w:spacing w:after="0" w:line="312" w:lineRule="auto"/>
        <w:rPr>
          <w:rFonts w:ascii="Arial" w:cs="Arial" w:eastAsia="Arial" w:hAnsi="Arial"/>
          <w:sz w:val="15"/>
          <w:szCs w:val="15"/>
          <w:color w:val="auto"/>
        </w:rPr>
      </w:pPr>
      <w:r>
        <w:rPr>
          <w:rFonts w:ascii="Arial" w:cs="Arial" w:eastAsia="Arial" w:hAnsi="Arial"/>
          <w:sz w:val="15"/>
          <w:szCs w:val="15"/>
          <w:color w:val="auto"/>
        </w:rPr>
        <w:t>The Selling Securityholders may offer, sell or distribute all or a portion of the securities hereby registered publicly or through private transactions at prevailing market prices or at negotiated prices. We will not receive any of the proceeds from such sales of the shares of our common stock or warrants, except with respect to amounts received by us upon the exercise of the warrants for cash. We will bear all costs, expenses and fees in connection with the registration of these securities, including with regard to compliance with state securities or “blue sky” laws. The Selling Securityholders will bear all commissions and discounts, if any, attributable to their sale of shares of our common stock or warrants. See “</w:t>
      </w:r>
      <w:hyperlink w:anchor="page167">
        <w:r>
          <w:rPr>
            <w:rFonts w:ascii="Arial" w:cs="Arial" w:eastAsia="Arial" w:hAnsi="Arial"/>
            <w:sz w:val="15"/>
            <w:szCs w:val="15"/>
            <w:i w:val="1"/>
            <w:iCs w:val="1"/>
            <w:u w:val="single" w:color="auto"/>
            <w:color w:val="0000FF"/>
          </w:rPr>
          <w:t>Plan of Distribution</w:t>
        </w:r>
      </w:hyperlink>
      <w:r>
        <w:rPr>
          <w:rFonts w:ascii="Arial" w:cs="Arial" w:eastAsia="Arial" w:hAnsi="Arial"/>
          <w:sz w:val="15"/>
          <w:szCs w:val="15"/>
          <w:color w:val="auto"/>
        </w:rPr>
        <w:t>” beginning on page 160 of this prospectus.</w:t>
      </w:r>
    </w:p>
    <w:p>
      <w:pPr>
        <w:spacing w:after="0" w:line="9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common stock and public warrants are listed on the Nasdaq Global Select Market (the “Nasdaq”) under the symbols “SMFR” and “SMFRW”, respectively. On August 11, 2021, last reported sales price of our common stock was $12.25 per share and the last reported sales price of our public warrants was $4.00 per warrant.</w:t>
      </w:r>
    </w:p>
    <w:p>
      <w:pPr>
        <w:spacing w:after="0" w:line="13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are an “emerging growth company” as defined in Section 2(a) of the Securities Act of 1933, as amended, and, as such, have elected to comply with certain reduced disclosure and regulatory requirements.</w:t>
      </w:r>
    </w:p>
    <w:p>
      <w:pPr>
        <w:spacing w:after="0" w:line="128" w:lineRule="exact"/>
        <w:rPr>
          <w:sz w:val="20"/>
          <w:szCs w:val="20"/>
          <w:color w:val="auto"/>
        </w:rPr>
      </w:pPr>
    </w:p>
    <w:p>
      <w:pPr>
        <w:jc w:val="both"/>
        <w:ind w:firstLine="318"/>
        <w:spacing w:after="0" w:line="264" w:lineRule="auto"/>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Investing in our securities involves risks. See the section entitled “</w:t>
      </w:r>
      <w:hyperlink w:anchor="page17">
        <w:r>
          <w:rPr>
            <w:rFonts w:ascii="Arial" w:cs="Arial" w:eastAsia="Arial" w:hAnsi="Arial"/>
            <w:sz w:val="18"/>
            <w:szCs w:val="18"/>
            <w:b w:val="1"/>
            <w:bCs w:val="1"/>
            <w:i w:val="1"/>
            <w:iCs w:val="1"/>
            <w:u w:val="single" w:color="auto"/>
            <w:color w:val="0000FF"/>
          </w:rPr>
          <w:t>Risk Factors</w:t>
        </w:r>
      </w:hyperlink>
      <w:r>
        <w:rPr>
          <w:rFonts w:ascii="Arial" w:cs="Arial" w:eastAsia="Arial" w:hAnsi="Arial"/>
          <w:sz w:val="18"/>
          <w:szCs w:val="18"/>
          <w:b w:val="1"/>
          <w:bCs w:val="1"/>
          <w:i w:val="1"/>
          <w:iCs w:val="1"/>
          <w:color w:val="auto"/>
        </w:rPr>
        <w:t>” beginning on page 10 of this prospectus to read about factors you should consider before buying our securities.</w:t>
      </w:r>
    </w:p>
    <w:p>
      <w:pPr>
        <w:spacing w:after="0" w:line="122"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is August 12, 2021</w:t>
      </w:r>
    </w:p>
    <w:p>
      <w:pPr>
        <w:sectPr>
          <w:pgSz w:w="11900" w:h="16838" w:orient="portrait"/>
          <w:cols w:equalWidth="0" w:num="1">
            <w:col w:w="11240"/>
          </w:cols>
          <w:pgMar w:left="320" w:top="1399"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9"/>
        </w:trPr>
        <w:tc>
          <w:tcPr>
            <w:tcW w:w="1056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660" w:type="dxa"/>
            <w:vAlign w:val="bottom"/>
          </w:tcPr>
          <w:p>
            <w:pPr>
              <w:spacing w:after="0"/>
              <w:rPr>
                <w:sz w:val="19"/>
                <w:szCs w:val="19"/>
                <w:color w:val="auto"/>
              </w:rPr>
            </w:pPr>
          </w:p>
        </w:tc>
      </w:tr>
      <w:tr>
        <w:trPr>
          <w:trHeight w:val="206"/>
        </w:trPr>
        <w:tc>
          <w:tcPr>
            <w:tcW w:w="10560" w:type="dxa"/>
            <w:vAlign w:val="bottom"/>
          </w:tcPr>
          <w:p>
            <w:pPr>
              <w:spacing w:after="0"/>
              <w:rPr>
                <w:sz w:val="17"/>
                <w:szCs w:val="17"/>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224"/>
        </w:trPr>
        <w:tc>
          <w:tcPr>
            <w:tcW w:w="10560" w:type="dxa"/>
            <w:vAlign w:val="bottom"/>
          </w:tcPr>
          <w:p>
            <w:pPr>
              <w:spacing w:after="0"/>
              <w:rPr>
                <w:rFonts w:ascii="Arial" w:cs="Arial" w:eastAsia="Arial" w:hAnsi="Arial"/>
                <w:sz w:val="18"/>
                <w:szCs w:val="18"/>
                <w:color w:val="auto"/>
              </w:rPr>
            </w:pPr>
            <w:hyperlink w:anchor="page3">
              <w:r>
                <w:rPr>
                  <w:rFonts w:ascii="Arial" w:cs="Arial" w:eastAsia="Arial" w:hAnsi="Arial"/>
                  <w:sz w:val="18"/>
                  <w:szCs w:val="18"/>
                  <w:color w:val="auto"/>
                </w:rPr>
                <w:t>About This Prospectus</w:t>
              </w:r>
            </w:hyperlink>
          </w:p>
        </w:tc>
        <w:tc>
          <w:tcPr>
            <w:tcW w:w="660" w:type="dxa"/>
            <w:vAlign w:val="bottom"/>
          </w:tcPr>
          <w:p>
            <w:pPr>
              <w:jc w:val="center"/>
              <w:spacing w:after="0"/>
              <w:rPr>
                <w:rFonts w:ascii="Arial" w:cs="Arial" w:eastAsia="Arial" w:hAnsi="Arial"/>
                <w:sz w:val="18"/>
                <w:szCs w:val="18"/>
                <w:color w:val="auto"/>
              </w:rPr>
            </w:pPr>
            <w:hyperlink w:anchor="page3">
              <w:r>
                <w:rPr>
                  <w:rFonts w:ascii="Arial" w:cs="Arial" w:eastAsia="Arial" w:hAnsi="Arial"/>
                  <w:sz w:val="18"/>
                  <w:szCs w:val="18"/>
                  <w:color w:val="auto"/>
                </w:rPr>
                <w:t>i</w:t>
              </w:r>
            </w:hyperlink>
          </w:p>
        </w:tc>
      </w:tr>
      <w:tr>
        <w:trPr>
          <w:trHeight w:val="225"/>
        </w:trPr>
        <w:tc>
          <w:tcPr>
            <w:tcW w:w="10560" w:type="dxa"/>
            <w:vAlign w:val="bottom"/>
          </w:tcPr>
          <w:p>
            <w:pPr>
              <w:spacing w:after="0"/>
              <w:rPr>
                <w:rFonts w:ascii="Arial" w:cs="Arial" w:eastAsia="Arial" w:hAnsi="Arial"/>
                <w:sz w:val="18"/>
                <w:szCs w:val="18"/>
                <w:color w:val="auto"/>
              </w:rPr>
            </w:pPr>
            <w:hyperlink w:anchor="page4">
              <w:r>
                <w:rPr>
                  <w:rFonts w:ascii="Arial" w:cs="Arial" w:eastAsia="Arial" w:hAnsi="Arial"/>
                  <w:sz w:val="18"/>
                  <w:szCs w:val="18"/>
                  <w:color w:val="auto"/>
                </w:rPr>
                <w:t>Selected Definitions</w:t>
              </w:r>
            </w:hyperlink>
          </w:p>
        </w:tc>
        <w:tc>
          <w:tcPr>
            <w:tcW w:w="660" w:type="dxa"/>
            <w:vAlign w:val="bottom"/>
          </w:tcPr>
          <w:p>
            <w:pPr>
              <w:jc w:val="center"/>
              <w:spacing w:after="0"/>
              <w:rPr>
                <w:rFonts w:ascii="Arial" w:cs="Arial" w:eastAsia="Arial" w:hAnsi="Arial"/>
                <w:sz w:val="18"/>
                <w:szCs w:val="18"/>
                <w:color w:val="auto"/>
              </w:rPr>
            </w:pPr>
            <w:hyperlink w:anchor="page4">
              <w:r>
                <w:rPr>
                  <w:rFonts w:ascii="Arial" w:cs="Arial" w:eastAsia="Arial" w:hAnsi="Arial"/>
                  <w:sz w:val="18"/>
                  <w:szCs w:val="18"/>
                  <w:color w:val="auto"/>
                </w:rPr>
                <w:t>ii</w:t>
              </w:r>
            </w:hyperlink>
          </w:p>
        </w:tc>
      </w:tr>
      <w:tr>
        <w:trPr>
          <w:trHeight w:val="225"/>
        </w:trPr>
        <w:tc>
          <w:tcPr>
            <w:tcW w:w="10560" w:type="dxa"/>
            <w:vAlign w:val="bottom"/>
          </w:tcPr>
          <w:p>
            <w:pPr>
              <w:spacing w:after="0"/>
              <w:rPr>
                <w:rFonts w:ascii="Arial" w:cs="Arial" w:eastAsia="Arial" w:hAnsi="Arial"/>
                <w:sz w:val="18"/>
                <w:szCs w:val="18"/>
                <w:color w:val="auto"/>
              </w:rPr>
            </w:pPr>
            <w:hyperlink w:anchor="page6">
              <w:r>
                <w:rPr>
                  <w:rFonts w:ascii="Arial" w:cs="Arial" w:eastAsia="Arial" w:hAnsi="Arial"/>
                  <w:sz w:val="18"/>
                  <w:szCs w:val="18"/>
                  <w:color w:val="auto"/>
                </w:rPr>
                <w:t>Market and Industry Data</w:t>
              </w:r>
            </w:hyperlink>
          </w:p>
        </w:tc>
        <w:tc>
          <w:tcPr>
            <w:tcW w:w="660" w:type="dxa"/>
            <w:vAlign w:val="bottom"/>
          </w:tcPr>
          <w:p>
            <w:pPr>
              <w:jc w:val="center"/>
              <w:spacing w:after="0"/>
              <w:rPr>
                <w:rFonts w:ascii="Arial" w:cs="Arial" w:eastAsia="Arial" w:hAnsi="Arial"/>
                <w:sz w:val="18"/>
                <w:szCs w:val="18"/>
                <w:color w:val="auto"/>
              </w:rPr>
            </w:pPr>
            <w:hyperlink w:anchor="page6">
              <w:r>
                <w:rPr>
                  <w:rFonts w:ascii="Arial" w:cs="Arial" w:eastAsia="Arial" w:hAnsi="Arial"/>
                  <w:sz w:val="18"/>
                  <w:szCs w:val="18"/>
                  <w:color w:val="auto"/>
                </w:rPr>
                <w:t>iv</w:t>
              </w:r>
            </w:hyperlink>
          </w:p>
        </w:tc>
      </w:tr>
      <w:tr>
        <w:trPr>
          <w:trHeight w:val="225"/>
        </w:trPr>
        <w:tc>
          <w:tcPr>
            <w:tcW w:w="10560" w:type="dxa"/>
            <w:vAlign w:val="bottom"/>
          </w:tcPr>
          <w:p>
            <w:pPr>
              <w:spacing w:after="0"/>
              <w:rPr>
                <w:rFonts w:ascii="Arial" w:cs="Arial" w:eastAsia="Arial" w:hAnsi="Arial"/>
                <w:sz w:val="18"/>
                <w:szCs w:val="18"/>
                <w:color w:val="auto"/>
              </w:rPr>
            </w:pPr>
            <w:hyperlink w:anchor="page7">
              <w:r>
                <w:rPr>
                  <w:rFonts w:ascii="Arial" w:cs="Arial" w:eastAsia="Arial" w:hAnsi="Arial"/>
                  <w:sz w:val="18"/>
                  <w:szCs w:val="18"/>
                  <w:color w:val="auto"/>
                </w:rPr>
                <w:t>Cautionary Note Regarding Forward-Looking Statements</w:t>
              </w:r>
            </w:hyperlink>
          </w:p>
        </w:tc>
        <w:tc>
          <w:tcPr>
            <w:tcW w:w="660" w:type="dxa"/>
            <w:vAlign w:val="bottom"/>
          </w:tcPr>
          <w:p>
            <w:pPr>
              <w:jc w:val="center"/>
              <w:spacing w:after="0"/>
              <w:rPr>
                <w:rFonts w:ascii="Arial" w:cs="Arial" w:eastAsia="Arial" w:hAnsi="Arial"/>
                <w:sz w:val="18"/>
                <w:szCs w:val="18"/>
                <w:color w:val="auto"/>
              </w:rPr>
            </w:pPr>
            <w:hyperlink w:anchor="page7">
              <w:r>
                <w:rPr>
                  <w:rFonts w:ascii="Arial" w:cs="Arial" w:eastAsia="Arial" w:hAnsi="Arial"/>
                  <w:sz w:val="18"/>
                  <w:szCs w:val="18"/>
                  <w:color w:val="auto"/>
                </w:rPr>
                <w:t>v</w:t>
              </w:r>
            </w:hyperlink>
          </w:p>
        </w:tc>
      </w:tr>
      <w:tr>
        <w:trPr>
          <w:trHeight w:val="225"/>
        </w:trPr>
        <w:tc>
          <w:tcPr>
            <w:tcW w:w="10560" w:type="dxa"/>
            <w:vAlign w:val="bottom"/>
          </w:tcPr>
          <w:p>
            <w:pPr>
              <w:spacing w:after="0"/>
              <w:rPr>
                <w:rFonts w:ascii="Arial" w:cs="Arial" w:eastAsia="Arial" w:hAnsi="Arial"/>
                <w:sz w:val="18"/>
                <w:szCs w:val="18"/>
                <w:color w:val="auto"/>
              </w:rPr>
            </w:pPr>
            <w:hyperlink w:anchor="page8">
              <w:r>
                <w:rPr>
                  <w:rFonts w:ascii="Arial" w:cs="Arial" w:eastAsia="Arial" w:hAnsi="Arial"/>
                  <w:sz w:val="18"/>
                  <w:szCs w:val="18"/>
                  <w:color w:val="auto"/>
                </w:rPr>
                <w:t>Prospectus Summary</w:t>
              </w:r>
            </w:hyperlink>
          </w:p>
        </w:tc>
        <w:tc>
          <w:tcPr>
            <w:tcW w:w="660" w:type="dxa"/>
            <w:vAlign w:val="bottom"/>
          </w:tcPr>
          <w:p>
            <w:pPr>
              <w:jc w:val="center"/>
              <w:spacing w:after="0"/>
              <w:rPr>
                <w:rFonts w:ascii="Arial" w:cs="Arial" w:eastAsia="Arial" w:hAnsi="Arial"/>
                <w:sz w:val="18"/>
                <w:szCs w:val="18"/>
                <w:color w:val="auto"/>
                <w:w w:val="99"/>
              </w:rPr>
            </w:pPr>
            <w:hyperlink w:anchor="page8">
              <w:r>
                <w:rPr>
                  <w:rFonts w:ascii="Arial" w:cs="Arial" w:eastAsia="Arial" w:hAnsi="Arial"/>
                  <w:sz w:val="18"/>
                  <w:szCs w:val="18"/>
                  <w:color w:val="auto"/>
                  <w:w w:val="99"/>
                </w:rPr>
                <w:t>1</w:t>
              </w:r>
            </w:hyperlink>
          </w:p>
        </w:tc>
      </w:tr>
      <w:tr>
        <w:trPr>
          <w:trHeight w:val="225"/>
        </w:trPr>
        <w:tc>
          <w:tcPr>
            <w:tcW w:w="10560" w:type="dxa"/>
            <w:vAlign w:val="bottom"/>
          </w:tcPr>
          <w:p>
            <w:pPr>
              <w:spacing w:after="0"/>
              <w:rPr>
                <w:rFonts w:ascii="Arial" w:cs="Arial" w:eastAsia="Arial" w:hAnsi="Arial"/>
                <w:sz w:val="18"/>
                <w:szCs w:val="18"/>
                <w:color w:val="auto"/>
              </w:rPr>
            </w:pPr>
            <w:hyperlink w:anchor="page17">
              <w:r>
                <w:rPr>
                  <w:rFonts w:ascii="Arial" w:cs="Arial" w:eastAsia="Arial" w:hAnsi="Arial"/>
                  <w:sz w:val="18"/>
                  <w:szCs w:val="18"/>
                  <w:color w:val="auto"/>
                </w:rPr>
                <w:t>Risk Factors</w:t>
              </w:r>
            </w:hyperlink>
          </w:p>
        </w:tc>
        <w:tc>
          <w:tcPr>
            <w:tcW w:w="660" w:type="dxa"/>
            <w:vAlign w:val="bottom"/>
          </w:tcPr>
          <w:p>
            <w:pPr>
              <w:jc w:val="center"/>
              <w:spacing w:after="0"/>
              <w:rPr>
                <w:rFonts w:ascii="Arial" w:cs="Arial" w:eastAsia="Arial" w:hAnsi="Arial"/>
                <w:sz w:val="18"/>
                <w:szCs w:val="18"/>
                <w:color w:val="auto"/>
                <w:w w:val="89"/>
              </w:rPr>
            </w:pPr>
            <w:hyperlink w:anchor="page17">
              <w:r>
                <w:rPr>
                  <w:rFonts w:ascii="Arial" w:cs="Arial" w:eastAsia="Arial" w:hAnsi="Arial"/>
                  <w:sz w:val="18"/>
                  <w:szCs w:val="18"/>
                  <w:color w:val="auto"/>
                  <w:w w:val="89"/>
                </w:rPr>
                <w:t>10</w:t>
              </w:r>
            </w:hyperlink>
          </w:p>
        </w:tc>
      </w:tr>
      <w:tr>
        <w:trPr>
          <w:trHeight w:val="225"/>
        </w:trPr>
        <w:tc>
          <w:tcPr>
            <w:tcW w:w="10560" w:type="dxa"/>
            <w:vAlign w:val="bottom"/>
          </w:tcPr>
          <w:p>
            <w:pPr>
              <w:spacing w:after="0"/>
              <w:rPr>
                <w:rFonts w:ascii="Arial" w:cs="Arial" w:eastAsia="Arial" w:hAnsi="Arial"/>
                <w:sz w:val="18"/>
                <w:szCs w:val="18"/>
                <w:color w:val="auto"/>
              </w:rPr>
            </w:pPr>
            <w:hyperlink w:anchor="page65">
              <w:r>
                <w:rPr>
                  <w:rFonts w:ascii="Arial" w:cs="Arial" w:eastAsia="Arial" w:hAnsi="Arial"/>
                  <w:sz w:val="18"/>
                  <w:szCs w:val="18"/>
                  <w:color w:val="auto"/>
                </w:rPr>
                <w:t>Use of Proceeds</w:t>
              </w:r>
            </w:hyperlink>
          </w:p>
        </w:tc>
        <w:tc>
          <w:tcPr>
            <w:tcW w:w="660" w:type="dxa"/>
            <w:vAlign w:val="bottom"/>
          </w:tcPr>
          <w:p>
            <w:pPr>
              <w:jc w:val="center"/>
              <w:spacing w:after="0"/>
              <w:rPr>
                <w:rFonts w:ascii="Arial" w:cs="Arial" w:eastAsia="Arial" w:hAnsi="Arial"/>
                <w:sz w:val="18"/>
                <w:szCs w:val="18"/>
                <w:color w:val="auto"/>
                <w:w w:val="89"/>
              </w:rPr>
            </w:pPr>
            <w:hyperlink w:anchor="page65">
              <w:r>
                <w:rPr>
                  <w:rFonts w:ascii="Arial" w:cs="Arial" w:eastAsia="Arial" w:hAnsi="Arial"/>
                  <w:sz w:val="18"/>
                  <w:szCs w:val="18"/>
                  <w:color w:val="auto"/>
                  <w:w w:val="89"/>
                </w:rPr>
                <w:t>58</w:t>
              </w:r>
            </w:hyperlink>
          </w:p>
        </w:tc>
      </w:tr>
      <w:tr>
        <w:trPr>
          <w:trHeight w:val="225"/>
        </w:trPr>
        <w:tc>
          <w:tcPr>
            <w:tcW w:w="10560" w:type="dxa"/>
            <w:vAlign w:val="bottom"/>
          </w:tcPr>
          <w:p>
            <w:pPr>
              <w:spacing w:after="0"/>
              <w:rPr>
                <w:rFonts w:ascii="Arial" w:cs="Arial" w:eastAsia="Arial" w:hAnsi="Arial"/>
                <w:sz w:val="18"/>
                <w:szCs w:val="18"/>
                <w:color w:val="auto"/>
              </w:rPr>
            </w:pPr>
            <w:hyperlink w:anchor="page66">
              <w:r>
                <w:rPr>
                  <w:rFonts w:ascii="Arial" w:cs="Arial" w:eastAsia="Arial" w:hAnsi="Arial"/>
                  <w:sz w:val="18"/>
                  <w:szCs w:val="18"/>
                  <w:color w:val="auto"/>
                </w:rPr>
                <w:t>Determination of Offering Price</w:t>
              </w:r>
            </w:hyperlink>
          </w:p>
        </w:tc>
        <w:tc>
          <w:tcPr>
            <w:tcW w:w="660" w:type="dxa"/>
            <w:vAlign w:val="bottom"/>
          </w:tcPr>
          <w:p>
            <w:pPr>
              <w:jc w:val="center"/>
              <w:spacing w:after="0"/>
              <w:rPr>
                <w:rFonts w:ascii="Arial" w:cs="Arial" w:eastAsia="Arial" w:hAnsi="Arial"/>
                <w:sz w:val="18"/>
                <w:szCs w:val="18"/>
                <w:color w:val="auto"/>
                <w:w w:val="89"/>
              </w:rPr>
            </w:pPr>
            <w:hyperlink w:anchor="page66">
              <w:r>
                <w:rPr>
                  <w:rFonts w:ascii="Arial" w:cs="Arial" w:eastAsia="Arial" w:hAnsi="Arial"/>
                  <w:sz w:val="18"/>
                  <w:szCs w:val="18"/>
                  <w:color w:val="auto"/>
                  <w:w w:val="89"/>
                </w:rPr>
                <w:t>59</w:t>
              </w:r>
            </w:hyperlink>
          </w:p>
        </w:tc>
      </w:tr>
      <w:tr>
        <w:trPr>
          <w:trHeight w:val="225"/>
        </w:trPr>
        <w:tc>
          <w:tcPr>
            <w:tcW w:w="10560" w:type="dxa"/>
            <w:vAlign w:val="bottom"/>
          </w:tcPr>
          <w:p>
            <w:pPr>
              <w:spacing w:after="0"/>
              <w:rPr>
                <w:rFonts w:ascii="Arial" w:cs="Arial" w:eastAsia="Arial" w:hAnsi="Arial"/>
                <w:sz w:val="18"/>
                <w:szCs w:val="18"/>
                <w:color w:val="auto"/>
              </w:rPr>
            </w:pPr>
            <w:hyperlink w:anchor="page67">
              <w:r>
                <w:rPr>
                  <w:rFonts w:ascii="Arial" w:cs="Arial" w:eastAsia="Arial" w:hAnsi="Arial"/>
                  <w:sz w:val="18"/>
                  <w:szCs w:val="18"/>
                  <w:color w:val="auto"/>
                </w:rPr>
                <w:t>Market Information for Common Stock and Dividend Policy</w:t>
              </w:r>
            </w:hyperlink>
          </w:p>
        </w:tc>
        <w:tc>
          <w:tcPr>
            <w:tcW w:w="660" w:type="dxa"/>
            <w:vAlign w:val="bottom"/>
          </w:tcPr>
          <w:p>
            <w:pPr>
              <w:jc w:val="center"/>
              <w:spacing w:after="0"/>
              <w:rPr>
                <w:rFonts w:ascii="Arial" w:cs="Arial" w:eastAsia="Arial" w:hAnsi="Arial"/>
                <w:sz w:val="18"/>
                <w:szCs w:val="18"/>
                <w:color w:val="auto"/>
                <w:w w:val="89"/>
              </w:rPr>
            </w:pPr>
            <w:hyperlink w:anchor="page67">
              <w:r>
                <w:rPr>
                  <w:rFonts w:ascii="Arial" w:cs="Arial" w:eastAsia="Arial" w:hAnsi="Arial"/>
                  <w:sz w:val="18"/>
                  <w:szCs w:val="18"/>
                  <w:color w:val="auto"/>
                  <w:w w:val="89"/>
                </w:rPr>
                <w:t>60</w:t>
              </w:r>
            </w:hyperlink>
          </w:p>
        </w:tc>
      </w:tr>
      <w:tr>
        <w:trPr>
          <w:trHeight w:val="225"/>
        </w:trPr>
        <w:tc>
          <w:tcPr>
            <w:tcW w:w="10560" w:type="dxa"/>
            <w:vAlign w:val="bottom"/>
          </w:tcPr>
          <w:p>
            <w:pPr>
              <w:spacing w:after="0"/>
              <w:rPr>
                <w:rFonts w:ascii="Arial" w:cs="Arial" w:eastAsia="Arial" w:hAnsi="Arial"/>
                <w:sz w:val="18"/>
                <w:szCs w:val="18"/>
                <w:color w:val="auto"/>
              </w:rPr>
            </w:pPr>
            <w:hyperlink w:anchor="page68">
              <w:r>
                <w:rPr>
                  <w:rFonts w:ascii="Arial" w:cs="Arial" w:eastAsia="Arial" w:hAnsi="Arial"/>
                  <w:sz w:val="18"/>
                  <w:szCs w:val="18"/>
                  <w:color w:val="auto"/>
                </w:rPr>
                <w:t>Selected Historical Financial Information of the Company</w:t>
              </w:r>
            </w:hyperlink>
          </w:p>
        </w:tc>
        <w:tc>
          <w:tcPr>
            <w:tcW w:w="660" w:type="dxa"/>
            <w:vAlign w:val="bottom"/>
          </w:tcPr>
          <w:p>
            <w:pPr>
              <w:jc w:val="center"/>
              <w:spacing w:after="0"/>
              <w:rPr>
                <w:rFonts w:ascii="Arial" w:cs="Arial" w:eastAsia="Arial" w:hAnsi="Arial"/>
                <w:sz w:val="18"/>
                <w:szCs w:val="18"/>
                <w:color w:val="auto"/>
                <w:w w:val="89"/>
              </w:rPr>
            </w:pPr>
            <w:hyperlink w:anchor="page68">
              <w:r>
                <w:rPr>
                  <w:rFonts w:ascii="Arial" w:cs="Arial" w:eastAsia="Arial" w:hAnsi="Arial"/>
                  <w:sz w:val="18"/>
                  <w:szCs w:val="18"/>
                  <w:color w:val="auto"/>
                  <w:w w:val="89"/>
                </w:rPr>
                <w:t>61</w:t>
              </w:r>
            </w:hyperlink>
          </w:p>
        </w:tc>
      </w:tr>
      <w:tr>
        <w:trPr>
          <w:trHeight w:val="225"/>
        </w:trPr>
        <w:tc>
          <w:tcPr>
            <w:tcW w:w="10560" w:type="dxa"/>
            <w:vAlign w:val="bottom"/>
          </w:tcPr>
          <w:p>
            <w:pPr>
              <w:spacing w:after="0"/>
              <w:rPr>
                <w:rFonts w:ascii="Arial" w:cs="Arial" w:eastAsia="Arial" w:hAnsi="Arial"/>
                <w:sz w:val="18"/>
                <w:szCs w:val="18"/>
                <w:color w:val="auto"/>
              </w:rPr>
            </w:pPr>
            <w:hyperlink w:anchor="page71">
              <w:r>
                <w:rPr>
                  <w:rFonts w:ascii="Arial" w:cs="Arial" w:eastAsia="Arial" w:hAnsi="Arial"/>
                  <w:sz w:val="18"/>
                  <w:szCs w:val="18"/>
                  <w:color w:val="auto"/>
                </w:rPr>
                <w:t>Selected Historical Financial Information of Sema4</w:t>
              </w:r>
            </w:hyperlink>
          </w:p>
        </w:tc>
        <w:tc>
          <w:tcPr>
            <w:tcW w:w="660" w:type="dxa"/>
            <w:vAlign w:val="bottom"/>
          </w:tcPr>
          <w:p>
            <w:pPr>
              <w:jc w:val="center"/>
              <w:spacing w:after="0"/>
              <w:rPr>
                <w:rFonts w:ascii="Arial" w:cs="Arial" w:eastAsia="Arial" w:hAnsi="Arial"/>
                <w:sz w:val="18"/>
                <w:szCs w:val="18"/>
                <w:color w:val="auto"/>
                <w:w w:val="89"/>
              </w:rPr>
            </w:pPr>
            <w:hyperlink w:anchor="page71">
              <w:r>
                <w:rPr>
                  <w:rFonts w:ascii="Arial" w:cs="Arial" w:eastAsia="Arial" w:hAnsi="Arial"/>
                  <w:sz w:val="18"/>
                  <w:szCs w:val="18"/>
                  <w:color w:val="auto"/>
                  <w:w w:val="89"/>
                </w:rPr>
                <w:t>64</w:t>
              </w:r>
            </w:hyperlink>
          </w:p>
        </w:tc>
      </w:tr>
      <w:tr>
        <w:trPr>
          <w:trHeight w:val="225"/>
        </w:trPr>
        <w:tc>
          <w:tcPr>
            <w:tcW w:w="10560" w:type="dxa"/>
            <w:vAlign w:val="bottom"/>
          </w:tcPr>
          <w:p>
            <w:pPr>
              <w:spacing w:after="0"/>
              <w:rPr>
                <w:rFonts w:ascii="Arial" w:cs="Arial" w:eastAsia="Arial" w:hAnsi="Arial"/>
                <w:sz w:val="18"/>
                <w:szCs w:val="18"/>
                <w:color w:val="auto"/>
              </w:rPr>
            </w:pPr>
            <w:hyperlink w:anchor="page73">
              <w:r>
                <w:rPr>
                  <w:rFonts w:ascii="Arial" w:cs="Arial" w:eastAsia="Arial" w:hAnsi="Arial"/>
                  <w:sz w:val="18"/>
                  <w:szCs w:val="18"/>
                  <w:color w:val="auto"/>
                </w:rPr>
                <w:t>Unaudited Pro Forma Condensed Combined Financial Information</w:t>
              </w:r>
            </w:hyperlink>
          </w:p>
        </w:tc>
        <w:tc>
          <w:tcPr>
            <w:tcW w:w="660" w:type="dxa"/>
            <w:vAlign w:val="bottom"/>
          </w:tcPr>
          <w:p>
            <w:pPr>
              <w:jc w:val="center"/>
              <w:spacing w:after="0"/>
              <w:rPr>
                <w:rFonts w:ascii="Arial" w:cs="Arial" w:eastAsia="Arial" w:hAnsi="Arial"/>
                <w:sz w:val="18"/>
                <w:szCs w:val="18"/>
                <w:color w:val="auto"/>
                <w:w w:val="89"/>
              </w:rPr>
            </w:pPr>
            <w:hyperlink w:anchor="page73">
              <w:r>
                <w:rPr>
                  <w:rFonts w:ascii="Arial" w:cs="Arial" w:eastAsia="Arial" w:hAnsi="Arial"/>
                  <w:sz w:val="18"/>
                  <w:szCs w:val="18"/>
                  <w:color w:val="auto"/>
                  <w:w w:val="89"/>
                </w:rPr>
                <w:t>66</w:t>
              </w:r>
            </w:hyperlink>
          </w:p>
        </w:tc>
      </w:tr>
      <w:tr>
        <w:trPr>
          <w:trHeight w:val="225"/>
        </w:trPr>
        <w:tc>
          <w:tcPr>
            <w:tcW w:w="10560" w:type="dxa"/>
            <w:vAlign w:val="bottom"/>
          </w:tcPr>
          <w:p>
            <w:pPr>
              <w:spacing w:after="0"/>
              <w:rPr>
                <w:rFonts w:ascii="Arial" w:cs="Arial" w:eastAsia="Arial" w:hAnsi="Arial"/>
                <w:sz w:val="18"/>
                <w:szCs w:val="18"/>
                <w:color w:val="auto"/>
              </w:rPr>
            </w:pPr>
            <w:hyperlink w:anchor="page85">
              <w:r>
                <w:rPr>
                  <w:rFonts w:ascii="Arial" w:cs="Arial" w:eastAsia="Arial" w:hAnsi="Arial"/>
                  <w:sz w:val="18"/>
                  <w:szCs w:val="18"/>
                  <w:color w:val="auto"/>
                </w:rPr>
                <w:t>Sema4’s Management’s Discussion and Analysis of Financial Condition and Results of Operations</w:t>
              </w:r>
            </w:hyperlink>
          </w:p>
        </w:tc>
        <w:tc>
          <w:tcPr>
            <w:tcW w:w="660" w:type="dxa"/>
            <w:vAlign w:val="bottom"/>
          </w:tcPr>
          <w:p>
            <w:pPr>
              <w:jc w:val="center"/>
              <w:spacing w:after="0"/>
              <w:rPr>
                <w:rFonts w:ascii="Arial" w:cs="Arial" w:eastAsia="Arial" w:hAnsi="Arial"/>
                <w:sz w:val="18"/>
                <w:szCs w:val="18"/>
                <w:color w:val="auto"/>
                <w:w w:val="89"/>
              </w:rPr>
            </w:pPr>
            <w:hyperlink w:anchor="page85">
              <w:r>
                <w:rPr>
                  <w:rFonts w:ascii="Arial" w:cs="Arial" w:eastAsia="Arial" w:hAnsi="Arial"/>
                  <w:sz w:val="18"/>
                  <w:szCs w:val="18"/>
                  <w:color w:val="auto"/>
                  <w:w w:val="89"/>
                </w:rPr>
                <w:t>78</w:t>
              </w:r>
            </w:hyperlink>
          </w:p>
        </w:tc>
      </w:tr>
      <w:tr>
        <w:trPr>
          <w:trHeight w:val="225"/>
        </w:trPr>
        <w:tc>
          <w:tcPr>
            <w:tcW w:w="10560" w:type="dxa"/>
            <w:vAlign w:val="bottom"/>
          </w:tcPr>
          <w:p>
            <w:pPr>
              <w:spacing w:after="0"/>
              <w:rPr>
                <w:rFonts w:ascii="Arial" w:cs="Arial" w:eastAsia="Arial" w:hAnsi="Arial"/>
                <w:sz w:val="18"/>
                <w:szCs w:val="18"/>
                <w:color w:val="auto"/>
              </w:rPr>
            </w:pPr>
            <w:hyperlink w:anchor="page113">
              <w:r>
                <w:rPr>
                  <w:rFonts w:ascii="Arial" w:cs="Arial" w:eastAsia="Arial" w:hAnsi="Arial"/>
                  <w:sz w:val="18"/>
                  <w:szCs w:val="18"/>
                  <w:color w:val="auto"/>
                </w:rPr>
                <w:t>Business</w:t>
              </w:r>
            </w:hyperlink>
          </w:p>
        </w:tc>
        <w:tc>
          <w:tcPr>
            <w:tcW w:w="660" w:type="dxa"/>
            <w:vAlign w:val="bottom"/>
          </w:tcPr>
          <w:p>
            <w:pPr>
              <w:jc w:val="center"/>
              <w:spacing w:after="0"/>
              <w:rPr>
                <w:rFonts w:ascii="Arial" w:cs="Arial" w:eastAsia="Arial" w:hAnsi="Arial"/>
                <w:sz w:val="18"/>
                <w:szCs w:val="18"/>
                <w:color w:val="auto"/>
                <w:w w:val="86"/>
              </w:rPr>
            </w:pPr>
            <w:hyperlink w:anchor="page113">
              <w:r>
                <w:rPr>
                  <w:rFonts w:ascii="Arial" w:cs="Arial" w:eastAsia="Arial" w:hAnsi="Arial"/>
                  <w:sz w:val="18"/>
                  <w:szCs w:val="18"/>
                  <w:color w:val="auto"/>
                  <w:w w:val="86"/>
                </w:rPr>
                <w:t>106</w:t>
              </w:r>
            </w:hyperlink>
          </w:p>
        </w:tc>
      </w:tr>
      <w:tr>
        <w:trPr>
          <w:trHeight w:val="225"/>
        </w:trPr>
        <w:tc>
          <w:tcPr>
            <w:tcW w:w="10560" w:type="dxa"/>
            <w:vAlign w:val="bottom"/>
          </w:tcPr>
          <w:p>
            <w:pPr>
              <w:spacing w:after="0"/>
              <w:rPr>
                <w:rFonts w:ascii="Arial" w:cs="Arial" w:eastAsia="Arial" w:hAnsi="Arial"/>
                <w:sz w:val="18"/>
                <w:szCs w:val="18"/>
                <w:color w:val="auto"/>
              </w:rPr>
            </w:pPr>
            <w:hyperlink w:anchor="page125">
              <w:r>
                <w:rPr>
                  <w:rFonts w:ascii="Arial" w:cs="Arial" w:eastAsia="Arial" w:hAnsi="Arial"/>
                  <w:sz w:val="18"/>
                  <w:szCs w:val="18"/>
                  <w:color w:val="auto"/>
                </w:rPr>
                <w:t>Management</w:t>
              </w:r>
            </w:hyperlink>
          </w:p>
        </w:tc>
        <w:tc>
          <w:tcPr>
            <w:tcW w:w="660" w:type="dxa"/>
            <w:vAlign w:val="bottom"/>
          </w:tcPr>
          <w:p>
            <w:pPr>
              <w:jc w:val="center"/>
              <w:spacing w:after="0"/>
              <w:rPr>
                <w:rFonts w:ascii="Arial" w:cs="Arial" w:eastAsia="Arial" w:hAnsi="Arial"/>
                <w:sz w:val="18"/>
                <w:szCs w:val="18"/>
                <w:color w:val="auto"/>
                <w:w w:val="86"/>
              </w:rPr>
            </w:pPr>
            <w:hyperlink w:anchor="page125">
              <w:r>
                <w:rPr>
                  <w:rFonts w:ascii="Arial" w:cs="Arial" w:eastAsia="Arial" w:hAnsi="Arial"/>
                  <w:sz w:val="18"/>
                  <w:szCs w:val="18"/>
                  <w:color w:val="auto"/>
                  <w:w w:val="86"/>
                </w:rPr>
                <w:t>118</w:t>
              </w:r>
            </w:hyperlink>
          </w:p>
        </w:tc>
      </w:tr>
      <w:tr>
        <w:trPr>
          <w:trHeight w:val="225"/>
        </w:trPr>
        <w:tc>
          <w:tcPr>
            <w:tcW w:w="10560" w:type="dxa"/>
            <w:vAlign w:val="bottom"/>
          </w:tcPr>
          <w:p>
            <w:pPr>
              <w:spacing w:after="0"/>
              <w:rPr>
                <w:rFonts w:ascii="Arial" w:cs="Arial" w:eastAsia="Arial" w:hAnsi="Arial"/>
                <w:sz w:val="18"/>
                <w:szCs w:val="18"/>
                <w:color w:val="auto"/>
              </w:rPr>
            </w:pPr>
            <w:hyperlink w:anchor="page131">
              <w:r>
                <w:rPr>
                  <w:rFonts w:ascii="Arial" w:cs="Arial" w:eastAsia="Arial" w:hAnsi="Arial"/>
                  <w:sz w:val="18"/>
                  <w:szCs w:val="18"/>
                  <w:color w:val="auto"/>
                </w:rPr>
                <w:t>Executive Compensation</w:t>
              </w:r>
            </w:hyperlink>
          </w:p>
        </w:tc>
        <w:tc>
          <w:tcPr>
            <w:tcW w:w="660" w:type="dxa"/>
            <w:vAlign w:val="bottom"/>
          </w:tcPr>
          <w:p>
            <w:pPr>
              <w:jc w:val="center"/>
              <w:spacing w:after="0"/>
              <w:rPr>
                <w:rFonts w:ascii="Arial" w:cs="Arial" w:eastAsia="Arial" w:hAnsi="Arial"/>
                <w:sz w:val="18"/>
                <w:szCs w:val="18"/>
                <w:color w:val="auto"/>
                <w:w w:val="86"/>
              </w:rPr>
            </w:pPr>
            <w:hyperlink w:anchor="page131">
              <w:r>
                <w:rPr>
                  <w:rFonts w:ascii="Arial" w:cs="Arial" w:eastAsia="Arial" w:hAnsi="Arial"/>
                  <w:sz w:val="18"/>
                  <w:szCs w:val="18"/>
                  <w:color w:val="auto"/>
                  <w:w w:val="86"/>
                </w:rPr>
                <w:t>124</w:t>
              </w:r>
            </w:hyperlink>
          </w:p>
        </w:tc>
      </w:tr>
      <w:tr>
        <w:trPr>
          <w:trHeight w:val="225"/>
        </w:trPr>
        <w:tc>
          <w:tcPr>
            <w:tcW w:w="10560" w:type="dxa"/>
            <w:vAlign w:val="bottom"/>
          </w:tcPr>
          <w:p>
            <w:pPr>
              <w:spacing w:after="0"/>
              <w:rPr>
                <w:rFonts w:ascii="Arial" w:cs="Arial" w:eastAsia="Arial" w:hAnsi="Arial"/>
                <w:sz w:val="18"/>
                <w:szCs w:val="18"/>
                <w:color w:val="auto"/>
              </w:rPr>
            </w:pPr>
            <w:hyperlink w:anchor="page141">
              <w:r>
                <w:rPr>
                  <w:rFonts w:ascii="Arial" w:cs="Arial" w:eastAsia="Arial" w:hAnsi="Arial"/>
                  <w:sz w:val="18"/>
                  <w:szCs w:val="18"/>
                  <w:color w:val="auto"/>
                </w:rPr>
                <w:t>Certain Relationships and Related Party Transactions</w:t>
              </w:r>
            </w:hyperlink>
          </w:p>
        </w:tc>
        <w:tc>
          <w:tcPr>
            <w:tcW w:w="660" w:type="dxa"/>
            <w:vAlign w:val="bottom"/>
          </w:tcPr>
          <w:p>
            <w:pPr>
              <w:jc w:val="center"/>
              <w:spacing w:after="0"/>
              <w:rPr>
                <w:rFonts w:ascii="Arial" w:cs="Arial" w:eastAsia="Arial" w:hAnsi="Arial"/>
                <w:sz w:val="18"/>
                <w:szCs w:val="18"/>
                <w:color w:val="auto"/>
                <w:w w:val="86"/>
              </w:rPr>
            </w:pPr>
            <w:hyperlink w:anchor="page141">
              <w:r>
                <w:rPr>
                  <w:rFonts w:ascii="Arial" w:cs="Arial" w:eastAsia="Arial" w:hAnsi="Arial"/>
                  <w:sz w:val="18"/>
                  <w:szCs w:val="18"/>
                  <w:color w:val="auto"/>
                  <w:w w:val="86"/>
                </w:rPr>
                <w:t>134</w:t>
              </w:r>
            </w:hyperlink>
          </w:p>
        </w:tc>
      </w:tr>
      <w:tr>
        <w:trPr>
          <w:trHeight w:val="225"/>
        </w:trPr>
        <w:tc>
          <w:tcPr>
            <w:tcW w:w="10560" w:type="dxa"/>
            <w:vAlign w:val="bottom"/>
          </w:tcPr>
          <w:p>
            <w:pPr>
              <w:spacing w:after="0"/>
              <w:rPr>
                <w:rFonts w:ascii="Arial" w:cs="Arial" w:eastAsia="Arial" w:hAnsi="Arial"/>
                <w:sz w:val="18"/>
                <w:szCs w:val="18"/>
                <w:color w:val="auto"/>
              </w:rPr>
            </w:pPr>
            <w:hyperlink w:anchor="page146">
              <w:r>
                <w:rPr>
                  <w:rFonts w:ascii="Arial" w:cs="Arial" w:eastAsia="Arial" w:hAnsi="Arial"/>
                  <w:sz w:val="18"/>
                  <w:szCs w:val="18"/>
                  <w:color w:val="auto"/>
                </w:rPr>
                <w:t>Principal Securityholders</w:t>
              </w:r>
            </w:hyperlink>
          </w:p>
        </w:tc>
        <w:tc>
          <w:tcPr>
            <w:tcW w:w="660" w:type="dxa"/>
            <w:vAlign w:val="bottom"/>
          </w:tcPr>
          <w:p>
            <w:pPr>
              <w:jc w:val="center"/>
              <w:spacing w:after="0"/>
              <w:rPr>
                <w:rFonts w:ascii="Arial" w:cs="Arial" w:eastAsia="Arial" w:hAnsi="Arial"/>
                <w:sz w:val="18"/>
                <w:szCs w:val="18"/>
                <w:color w:val="auto"/>
                <w:w w:val="86"/>
              </w:rPr>
            </w:pPr>
            <w:hyperlink w:anchor="page146">
              <w:r>
                <w:rPr>
                  <w:rFonts w:ascii="Arial" w:cs="Arial" w:eastAsia="Arial" w:hAnsi="Arial"/>
                  <w:sz w:val="18"/>
                  <w:szCs w:val="18"/>
                  <w:color w:val="auto"/>
                  <w:w w:val="86"/>
                </w:rPr>
                <w:t>139</w:t>
              </w:r>
            </w:hyperlink>
          </w:p>
        </w:tc>
      </w:tr>
      <w:tr>
        <w:trPr>
          <w:trHeight w:val="225"/>
        </w:trPr>
        <w:tc>
          <w:tcPr>
            <w:tcW w:w="10560" w:type="dxa"/>
            <w:vAlign w:val="bottom"/>
          </w:tcPr>
          <w:p>
            <w:pPr>
              <w:spacing w:after="0"/>
              <w:rPr>
                <w:rFonts w:ascii="Arial" w:cs="Arial" w:eastAsia="Arial" w:hAnsi="Arial"/>
                <w:sz w:val="18"/>
                <w:szCs w:val="18"/>
                <w:color w:val="auto"/>
              </w:rPr>
            </w:pPr>
            <w:hyperlink w:anchor="page148">
              <w:r>
                <w:rPr>
                  <w:rFonts w:ascii="Arial" w:cs="Arial" w:eastAsia="Arial" w:hAnsi="Arial"/>
                  <w:sz w:val="18"/>
                  <w:szCs w:val="18"/>
                  <w:color w:val="auto"/>
                </w:rPr>
                <w:t>Description of Securities</w:t>
              </w:r>
            </w:hyperlink>
          </w:p>
        </w:tc>
        <w:tc>
          <w:tcPr>
            <w:tcW w:w="660" w:type="dxa"/>
            <w:vAlign w:val="bottom"/>
          </w:tcPr>
          <w:p>
            <w:pPr>
              <w:jc w:val="center"/>
              <w:spacing w:after="0"/>
              <w:rPr>
                <w:rFonts w:ascii="Arial" w:cs="Arial" w:eastAsia="Arial" w:hAnsi="Arial"/>
                <w:sz w:val="18"/>
                <w:szCs w:val="18"/>
                <w:color w:val="auto"/>
                <w:w w:val="86"/>
              </w:rPr>
            </w:pPr>
            <w:hyperlink w:anchor="page148">
              <w:r>
                <w:rPr>
                  <w:rFonts w:ascii="Arial" w:cs="Arial" w:eastAsia="Arial" w:hAnsi="Arial"/>
                  <w:sz w:val="18"/>
                  <w:szCs w:val="18"/>
                  <w:color w:val="auto"/>
                  <w:w w:val="86"/>
                </w:rPr>
                <w:t>141</w:t>
              </w:r>
            </w:hyperlink>
          </w:p>
        </w:tc>
      </w:tr>
      <w:tr>
        <w:trPr>
          <w:trHeight w:val="225"/>
        </w:trPr>
        <w:tc>
          <w:tcPr>
            <w:tcW w:w="10560" w:type="dxa"/>
            <w:vAlign w:val="bottom"/>
          </w:tcPr>
          <w:p>
            <w:pPr>
              <w:spacing w:after="0"/>
              <w:rPr>
                <w:rFonts w:ascii="Arial" w:cs="Arial" w:eastAsia="Arial" w:hAnsi="Arial"/>
                <w:sz w:val="18"/>
                <w:szCs w:val="18"/>
                <w:color w:val="auto"/>
              </w:rPr>
            </w:pPr>
            <w:hyperlink w:anchor="page158">
              <w:r>
                <w:rPr>
                  <w:rFonts w:ascii="Arial" w:cs="Arial" w:eastAsia="Arial" w:hAnsi="Arial"/>
                  <w:sz w:val="18"/>
                  <w:szCs w:val="18"/>
                  <w:color w:val="auto"/>
                </w:rPr>
                <w:t>Selling Securityholders</w:t>
              </w:r>
            </w:hyperlink>
          </w:p>
        </w:tc>
        <w:tc>
          <w:tcPr>
            <w:tcW w:w="660" w:type="dxa"/>
            <w:vAlign w:val="bottom"/>
          </w:tcPr>
          <w:p>
            <w:pPr>
              <w:jc w:val="center"/>
              <w:spacing w:after="0"/>
              <w:rPr>
                <w:rFonts w:ascii="Arial" w:cs="Arial" w:eastAsia="Arial" w:hAnsi="Arial"/>
                <w:sz w:val="18"/>
                <w:szCs w:val="18"/>
                <w:color w:val="auto"/>
                <w:w w:val="86"/>
              </w:rPr>
            </w:pPr>
            <w:hyperlink w:anchor="page158">
              <w:r>
                <w:rPr>
                  <w:rFonts w:ascii="Arial" w:cs="Arial" w:eastAsia="Arial" w:hAnsi="Arial"/>
                  <w:sz w:val="18"/>
                  <w:szCs w:val="18"/>
                  <w:color w:val="auto"/>
                  <w:w w:val="86"/>
                </w:rPr>
                <w:t>151</w:t>
              </w:r>
            </w:hyperlink>
          </w:p>
        </w:tc>
      </w:tr>
      <w:tr>
        <w:trPr>
          <w:trHeight w:val="225"/>
        </w:trPr>
        <w:tc>
          <w:tcPr>
            <w:tcW w:w="10560" w:type="dxa"/>
            <w:vAlign w:val="bottom"/>
          </w:tcPr>
          <w:p>
            <w:pPr>
              <w:spacing w:after="0"/>
              <w:rPr>
                <w:rFonts w:ascii="Arial" w:cs="Arial" w:eastAsia="Arial" w:hAnsi="Arial"/>
                <w:sz w:val="18"/>
                <w:szCs w:val="18"/>
                <w:color w:val="auto"/>
              </w:rPr>
            </w:pPr>
            <w:hyperlink w:anchor="page166">
              <w:r>
                <w:rPr>
                  <w:rFonts w:ascii="Arial" w:cs="Arial" w:eastAsia="Arial" w:hAnsi="Arial"/>
                  <w:sz w:val="18"/>
                  <w:szCs w:val="18"/>
                  <w:color w:val="auto"/>
                </w:rPr>
                <w:t>Securities Act Restrictions on Resale of Our Securities</w:t>
              </w:r>
            </w:hyperlink>
          </w:p>
        </w:tc>
        <w:tc>
          <w:tcPr>
            <w:tcW w:w="660" w:type="dxa"/>
            <w:vAlign w:val="bottom"/>
          </w:tcPr>
          <w:p>
            <w:pPr>
              <w:jc w:val="center"/>
              <w:spacing w:after="0"/>
              <w:rPr>
                <w:rFonts w:ascii="Arial" w:cs="Arial" w:eastAsia="Arial" w:hAnsi="Arial"/>
                <w:sz w:val="18"/>
                <w:szCs w:val="18"/>
                <w:color w:val="auto"/>
                <w:w w:val="86"/>
              </w:rPr>
            </w:pPr>
            <w:hyperlink w:anchor="page166">
              <w:r>
                <w:rPr>
                  <w:rFonts w:ascii="Arial" w:cs="Arial" w:eastAsia="Arial" w:hAnsi="Arial"/>
                  <w:sz w:val="18"/>
                  <w:szCs w:val="18"/>
                  <w:color w:val="auto"/>
                  <w:w w:val="86"/>
                </w:rPr>
                <w:t>159</w:t>
              </w:r>
            </w:hyperlink>
          </w:p>
        </w:tc>
      </w:tr>
      <w:tr>
        <w:trPr>
          <w:trHeight w:val="225"/>
        </w:trPr>
        <w:tc>
          <w:tcPr>
            <w:tcW w:w="10560" w:type="dxa"/>
            <w:vAlign w:val="bottom"/>
          </w:tcPr>
          <w:p>
            <w:pPr>
              <w:spacing w:after="0"/>
              <w:rPr>
                <w:rFonts w:ascii="Arial" w:cs="Arial" w:eastAsia="Arial" w:hAnsi="Arial"/>
                <w:sz w:val="18"/>
                <w:szCs w:val="18"/>
                <w:color w:val="auto"/>
              </w:rPr>
            </w:pPr>
            <w:hyperlink w:anchor="page167">
              <w:r>
                <w:rPr>
                  <w:rFonts w:ascii="Arial" w:cs="Arial" w:eastAsia="Arial" w:hAnsi="Arial"/>
                  <w:sz w:val="18"/>
                  <w:szCs w:val="18"/>
                  <w:color w:val="auto"/>
                </w:rPr>
                <w:t>Plan of Distribution</w:t>
              </w:r>
            </w:hyperlink>
          </w:p>
        </w:tc>
        <w:tc>
          <w:tcPr>
            <w:tcW w:w="660" w:type="dxa"/>
            <w:vAlign w:val="bottom"/>
          </w:tcPr>
          <w:p>
            <w:pPr>
              <w:jc w:val="center"/>
              <w:spacing w:after="0"/>
              <w:rPr>
                <w:rFonts w:ascii="Arial" w:cs="Arial" w:eastAsia="Arial" w:hAnsi="Arial"/>
                <w:sz w:val="18"/>
                <w:szCs w:val="18"/>
                <w:color w:val="auto"/>
                <w:w w:val="86"/>
              </w:rPr>
            </w:pPr>
            <w:hyperlink w:anchor="page167">
              <w:r>
                <w:rPr>
                  <w:rFonts w:ascii="Arial" w:cs="Arial" w:eastAsia="Arial" w:hAnsi="Arial"/>
                  <w:sz w:val="18"/>
                  <w:szCs w:val="18"/>
                  <w:color w:val="auto"/>
                  <w:w w:val="86"/>
                </w:rPr>
                <w:t>160</w:t>
              </w:r>
            </w:hyperlink>
          </w:p>
        </w:tc>
      </w:tr>
      <w:tr>
        <w:trPr>
          <w:trHeight w:val="225"/>
        </w:trPr>
        <w:tc>
          <w:tcPr>
            <w:tcW w:w="10560" w:type="dxa"/>
            <w:vAlign w:val="bottom"/>
          </w:tcPr>
          <w:p>
            <w:pPr>
              <w:spacing w:after="0"/>
              <w:rPr>
                <w:rFonts w:ascii="Arial" w:cs="Arial" w:eastAsia="Arial" w:hAnsi="Arial"/>
                <w:sz w:val="18"/>
                <w:szCs w:val="18"/>
                <w:color w:val="auto"/>
              </w:rPr>
            </w:pPr>
            <w:hyperlink w:anchor="page171">
              <w:r>
                <w:rPr>
                  <w:rFonts w:ascii="Arial" w:cs="Arial" w:eastAsia="Arial" w:hAnsi="Arial"/>
                  <w:sz w:val="18"/>
                  <w:szCs w:val="18"/>
                  <w:color w:val="auto"/>
                </w:rPr>
                <w:t>Legal Matters</w:t>
              </w:r>
            </w:hyperlink>
          </w:p>
        </w:tc>
        <w:tc>
          <w:tcPr>
            <w:tcW w:w="660" w:type="dxa"/>
            <w:vAlign w:val="bottom"/>
          </w:tcPr>
          <w:p>
            <w:pPr>
              <w:jc w:val="center"/>
              <w:spacing w:after="0"/>
              <w:rPr>
                <w:rFonts w:ascii="Arial" w:cs="Arial" w:eastAsia="Arial" w:hAnsi="Arial"/>
                <w:sz w:val="18"/>
                <w:szCs w:val="18"/>
                <w:color w:val="auto"/>
                <w:w w:val="86"/>
              </w:rPr>
            </w:pPr>
            <w:hyperlink w:anchor="page171">
              <w:r>
                <w:rPr>
                  <w:rFonts w:ascii="Arial" w:cs="Arial" w:eastAsia="Arial" w:hAnsi="Arial"/>
                  <w:sz w:val="18"/>
                  <w:szCs w:val="18"/>
                  <w:color w:val="auto"/>
                  <w:w w:val="86"/>
                </w:rPr>
                <w:t>164</w:t>
              </w:r>
            </w:hyperlink>
          </w:p>
        </w:tc>
      </w:tr>
      <w:tr>
        <w:trPr>
          <w:trHeight w:val="225"/>
        </w:trPr>
        <w:tc>
          <w:tcPr>
            <w:tcW w:w="10560" w:type="dxa"/>
            <w:vAlign w:val="bottom"/>
          </w:tcPr>
          <w:p>
            <w:pPr>
              <w:spacing w:after="0"/>
              <w:rPr>
                <w:rFonts w:ascii="Arial" w:cs="Arial" w:eastAsia="Arial" w:hAnsi="Arial"/>
                <w:sz w:val="18"/>
                <w:szCs w:val="18"/>
                <w:color w:val="auto"/>
              </w:rPr>
            </w:pPr>
            <w:hyperlink w:anchor="page172">
              <w:r>
                <w:rPr>
                  <w:rFonts w:ascii="Arial" w:cs="Arial" w:eastAsia="Arial" w:hAnsi="Arial"/>
                  <w:sz w:val="18"/>
                  <w:szCs w:val="18"/>
                  <w:color w:val="auto"/>
                </w:rPr>
                <w:t>Experts</w:t>
              </w:r>
            </w:hyperlink>
          </w:p>
        </w:tc>
        <w:tc>
          <w:tcPr>
            <w:tcW w:w="660" w:type="dxa"/>
            <w:vAlign w:val="bottom"/>
          </w:tcPr>
          <w:p>
            <w:pPr>
              <w:jc w:val="center"/>
              <w:spacing w:after="0"/>
              <w:rPr>
                <w:rFonts w:ascii="Arial" w:cs="Arial" w:eastAsia="Arial" w:hAnsi="Arial"/>
                <w:sz w:val="18"/>
                <w:szCs w:val="18"/>
                <w:color w:val="auto"/>
                <w:w w:val="86"/>
              </w:rPr>
            </w:pPr>
            <w:hyperlink w:anchor="page172">
              <w:r>
                <w:rPr>
                  <w:rFonts w:ascii="Arial" w:cs="Arial" w:eastAsia="Arial" w:hAnsi="Arial"/>
                  <w:sz w:val="18"/>
                  <w:szCs w:val="18"/>
                  <w:color w:val="auto"/>
                  <w:w w:val="86"/>
                </w:rPr>
                <w:t>164</w:t>
              </w:r>
            </w:hyperlink>
          </w:p>
        </w:tc>
      </w:tr>
      <w:tr>
        <w:trPr>
          <w:trHeight w:val="225"/>
        </w:trPr>
        <w:tc>
          <w:tcPr>
            <w:tcW w:w="10560" w:type="dxa"/>
            <w:vAlign w:val="bottom"/>
          </w:tcPr>
          <w:p>
            <w:pPr>
              <w:spacing w:after="0"/>
              <w:rPr>
                <w:rFonts w:ascii="Arial" w:cs="Arial" w:eastAsia="Arial" w:hAnsi="Arial"/>
                <w:sz w:val="18"/>
                <w:szCs w:val="18"/>
                <w:color w:val="auto"/>
              </w:rPr>
            </w:pPr>
            <w:hyperlink w:anchor="page172">
              <w:r>
                <w:rPr>
                  <w:rFonts w:ascii="Arial" w:cs="Arial" w:eastAsia="Arial" w:hAnsi="Arial"/>
                  <w:sz w:val="18"/>
                  <w:szCs w:val="18"/>
                  <w:color w:val="auto"/>
                </w:rPr>
                <w:t>Where You Can Find More Information</w:t>
              </w:r>
            </w:hyperlink>
          </w:p>
        </w:tc>
        <w:tc>
          <w:tcPr>
            <w:tcW w:w="660" w:type="dxa"/>
            <w:vAlign w:val="bottom"/>
          </w:tcPr>
          <w:p>
            <w:pPr>
              <w:jc w:val="center"/>
              <w:spacing w:after="0"/>
              <w:rPr>
                <w:rFonts w:ascii="Arial" w:cs="Arial" w:eastAsia="Arial" w:hAnsi="Arial"/>
                <w:sz w:val="18"/>
                <w:szCs w:val="18"/>
                <w:color w:val="auto"/>
                <w:w w:val="86"/>
              </w:rPr>
            </w:pPr>
            <w:hyperlink w:anchor="page172">
              <w:r>
                <w:rPr>
                  <w:rFonts w:ascii="Arial" w:cs="Arial" w:eastAsia="Arial" w:hAnsi="Arial"/>
                  <w:sz w:val="18"/>
                  <w:szCs w:val="18"/>
                  <w:color w:val="auto"/>
                  <w:w w:val="86"/>
                </w:rPr>
                <w:t>164</w:t>
              </w:r>
            </w:hyperlink>
          </w:p>
        </w:tc>
      </w:tr>
      <w:tr>
        <w:trPr>
          <w:trHeight w:val="225"/>
        </w:trPr>
        <w:tc>
          <w:tcPr>
            <w:tcW w:w="10560" w:type="dxa"/>
            <w:vAlign w:val="bottom"/>
          </w:tcPr>
          <w:p>
            <w:pPr>
              <w:spacing w:after="0"/>
              <w:rPr>
                <w:rFonts w:ascii="Arial" w:cs="Arial" w:eastAsia="Arial" w:hAnsi="Arial"/>
                <w:sz w:val="18"/>
                <w:szCs w:val="18"/>
                <w:color w:val="auto"/>
              </w:rPr>
            </w:pPr>
            <w:hyperlink w:anchor="page172">
              <w:r>
                <w:rPr>
                  <w:rFonts w:ascii="Arial" w:cs="Arial" w:eastAsia="Arial" w:hAnsi="Arial"/>
                  <w:sz w:val="18"/>
                  <w:szCs w:val="18"/>
                  <w:color w:val="auto"/>
                </w:rPr>
                <w:t>Index to Mount Sinai Genomics, Inc. Financial Statements</w:t>
              </w:r>
            </w:hyperlink>
          </w:p>
        </w:tc>
        <w:tc>
          <w:tcPr>
            <w:tcW w:w="660" w:type="dxa"/>
            <w:vAlign w:val="bottom"/>
          </w:tcPr>
          <w:p>
            <w:pPr>
              <w:jc w:val="center"/>
              <w:spacing w:after="0"/>
              <w:rPr>
                <w:rFonts w:ascii="Arial" w:cs="Arial" w:eastAsia="Arial" w:hAnsi="Arial"/>
                <w:sz w:val="18"/>
                <w:szCs w:val="18"/>
                <w:color w:val="auto"/>
                <w:w w:val="96"/>
              </w:rPr>
            </w:pPr>
            <w:hyperlink w:anchor="page172">
              <w:r>
                <w:rPr>
                  <w:rFonts w:ascii="Arial" w:cs="Arial" w:eastAsia="Arial" w:hAnsi="Arial"/>
                  <w:sz w:val="18"/>
                  <w:szCs w:val="18"/>
                  <w:color w:val="auto"/>
                  <w:w w:val="96"/>
                </w:rPr>
                <w:t>F-1</w:t>
              </w:r>
            </w:hyperlink>
          </w:p>
        </w:tc>
      </w:tr>
      <w:tr>
        <w:trPr>
          <w:trHeight w:val="225"/>
        </w:trPr>
        <w:tc>
          <w:tcPr>
            <w:tcW w:w="10560" w:type="dxa"/>
            <w:vAlign w:val="bottom"/>
          </w:tcPr>
          <w:p>
            <w:pPr>
              <w:spacing w:after="0"/>
              <w:rPr>
                <w:rFonts w:ascii="Arial" w:cs="Arial" w:eastAsia="Arial" w:hAnsi="Arial"/>
                <w:sz w:val="18"/>
                <w:szCs w:val="18"/>
                <w:color w:val="auto"/>
              </w:rPr>
            </w:pPr>
            <w:hyperlink w:anchor="page233">
              <w:r>
                <w:rPr>
                  <w:rFonts w:ascii="Arial" w:cs="Arial" w:eastAsia="Arial" w:hAnsi="Arial"/>
                  <w:sz w:val="18"/>
                  <w:szCs w:val="18"/>
                  <w:color w:val="auto"/>
                </w:rPr>
                <w:t>Index To CM Life Sciences, Inc. Financial Statements</w:t>
              </w:r>
            </w:hyperlink>
          </w:p>
        </w:tc>
        <w:tc>
          <w:tcPr>
            <w:tcW w:w="660" w:type="dxa"/>
            <w:vAlign w:val="bottom"/>
          </w:tcPr>
          <w:p>
            <w:pPr>
              <w:jc w:val="center"/>
              <w:spacing w:after="0"/>
              <w:rPr>
                <w:rFonts w:ascii="Arial" w:cs="Arial" w:eastAsia="Arial" w:hAnsi="Arial"/>
                <w:sz w:val="18"/>
                <w:szCs w:val="18"/>
                <w:color w:val="auto"/>
                <w:w w:val="91"/>
              </w:rPr>
            </w:pPr>
            <w:hyperlink w:anchor="page233">
              <w:r>
                <w:rPr>
                  <w:rFonts w:ascii="Arial" w:cs="Arial" w:eastAsia="Arial" w:hAnsi="Arial"/>
                  <w:sz w:val="18"/>
                  <w:szCs w:val="18"/>
                  <w:color w:val="auto"/>
                  <w:w w:val="91"/>
                </w:rPr>
                <w:t>F-62</w:t>
              </w:r>
            </w:hyperlink>
          </w:p>
        </w:tc>
      </w:tr>
    </w:tbl>
    <w:p>
      <w:pPr>
        <w:sectPr>
          <w:pgSz w:w="11900" w:h="16838" w:orient="portrait"/>
          <w:cols w:equalWidth="0" w:num="1">
            <w:col w:w="11220"/>
          </w:cols>
          <w:pgMar w:left="340" w:top="1393" w:right="339" w:bottom="1440" w:gutter="0" w:footer="0" w:header="0"/>
        </w:sectPr>
      </w:pPr>
    </w:p>
    <w:bookmarkStart w:id="3" w:name="page4"/>
    <w:bookmarkEnd w:id="3"/>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70" w:lineRule="exact"/>
        <w:rPr>
          <w:sz w:val="20"/>
          <w:szCs w:val="20"/>
          <w:color w:val="auto"/>
        </w:rPr>
      </w:pPr>
    </w:p>
    <w:p>
      <w:pPr>
        <w:jc w:val="both"/>
        <w:ind w:firstLine="318"/>
        <w:spacing w:after="0" w:line="268" w:lineRule="auto"/>
        <w:rPr>
          <w:rFonts w:ascii="Arial" w:cs="Arial" w:eastAsia="Arial" w:hAnsi="Arial"/>
          <w:sz w:val="17"/>
          <w:szCs w:val="17"/>
          <w:color w:val="auto"/>
        </w:rPr>
      </w:pPr>
      <w:r>
        <w:rPr>
          <w:rFonts w:ascii="Arial" w:cs="Arial" w:eastAsia="Arial" w:hAnsi="Arial"/>
          <w:sz w:val="17"/>
          <w:szCs w:val="17"/>
          <w:color w:val="auto"/>
        </w:rPr>
        <w:t>This prospectus is part of a registration statement on Form S-1 that we filed with the Securities and Exchange Commission (the “SEC”) using the “shelf” registration process. Under this shelf registration process, the Selling Securityholders may, from time to time, sell or otherwise distribute the securities offered by them as described in the section titled “</w:t>
      </w:r>
      <w:hyperlink w:anchor="page167">
        <w:r>
          <w:rPr>
            <w:rFonts w:ascii="Arial" w:cs="Arial" w:eastAsia="Arial" w:hAnsi="Arial"/>
            <w:sz w:val="17"/>
            <w:szCs w:val="17"/>
            <w:i w:val="1"/>
            <w:iCs w:val="1"/>
            <w:u w:val="single" w:color="auto"/>
            <w:color w:val="0000FF"/>
          </w:rPr>
          <w:t>Plan of Distribution</w:t>
        </w:r>
      </w:hyperlink>
      <w:r>
        <w:rPr>
          <w:rFonts w:ascii="Arial" w:cs="Arial" w:eastAsia="Arial" w:hAnsi="Arial"/>
          <w:sz w:val="17"/>
          <w:szCs w:val="17"/>
          <w:color w:val="auto"/>
        </w:rPr>
        <w:t>” in this prospectus. We will not receive any proceeds from the sale by such Selling Securityholders of the securities offered by them described in this prospectus. This prospectus also relates to the issuance by us of the shares of common stock issuable upon the exercise of any warrants. We will receive proceeds from any exercise of the warrants for cash.</w:t>
      </w:r>
    </w:p>
    <w:p>
      <w:pPr>
        <w:spacing w:after="0" w:line="12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Neither we nor the Selling Securityholders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Securityholders take responsibility for, and can provide no assurance as to the reliability of, any other information that others may give you. Neither we nor the Selling Securityholders will make an offer to sell these securities in any jurisdiction where the offer or sale is not permitted.</w:t>
      </w:r>
    </w:p>
    <w:p>
      <w:pPr>
        <w:spacing w:after="0" w:line="14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sections of this prospectus entitled “</w:t>
      </w:r>
      <w:r>
        <w:rPr>
          <w:rFonts w:ascii="Arial" w:cs="Arial" w:eastAsia="Arial" w:hAnsi="Arial"/>
          <w:sz w:val="18"/>
          <w:szCs w:val="18"/>
          <w:i w:val="1"/>
          <w:iCs w:val="1"/>
          <w:color w:val="auto"/>
        </w:rPr>
        <w:t>Where You Can Find More</w:t>
      </w:r>
      <w:r>
        <w:rPr>
          <w:rFonts w:ascii="Arial" w:cs="Arial" w:eastAsia="Arial" w:hAnsi="Arial"/>
          <w:sz w:val="18"/>
          <w:szCs w:val="18"/>
          <w:color w:val="auto"/>
        </w:rPr>
        <w:t xml:space="preserve"> </w:t>
      </w:r>
      <w:r>
        <w:rPr>
          <w:rFonts w:ascii="Arial" w:cs="Arial" w:eastAsia="Arial" w:hAnsi="Arial"/>
          <w:sz w:val="18"/>
          <w:szCs w:val="18"/>
          <w:i w:val="1"/>
          <w:iCs w:val="1"/>
          <w:color w:val="auto"/>
        </w:rPr>
        <w:t>Information.</w:t>
      </w:r>
      <w:r>
        <w:rPr>
          <w:rFonts w:ascii="Arial" w:cs="Arial" w:eastAsia="Arial" w:hAnsi="Arial"/>
          <w:sz w:val="18"/>
          <w:szCs w:val="18"/>
          <w:color w:val="auto"/>
        </w:rPr>
        <w:t>”</w:t>
      </w:r>
    </w:p>
    <w:p>
      <w:pPr>
        <w:spacing w:after="0" w:line="138"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Unless the context otherwise requires, references in this prospectus to the “Company,” “we,” “us” or “our” refers to Mount Sinai Genomics, Inc. d/b/a Sema4, a Delaware corporation (“Sema4”), prior to the consummation of the Business Combination (the “Closing,” and such date of the consummation of the Business Combination, the “Closing Date”) and to Sema4 Holdings Corp. (“Sema4 Holdings”) and its subsidiary following the Business Combination. References to “</w:t>
      </w:r>
      <w:r>
        <w:rPr>
          <w:rFonts w:ascii="Arial" w:cs="Arial" w:eastAsia="Arial" w:hAnsi="Arial"/>
          <w:sz w:val="17"/>
          <w:szCs w:val="17"/>
          <w:i w:val="1"/>
          <w:iCs w:val="1"/>
          <w:color w:val="auto"/>
        </w:rPr>
        <w:t>CMLS</w:t>
      </w:r>
      <w:r>
        <w:rPr>
          <w:rFonts w:ascii="Arial" w:cs="Arial" w:eastAsia="Arial" w:hAnsi="Arial"/>
          <w:sz w:val="17"/>
          <w:szCs w:val="17"/>
          <w:color w:val="auto"/>
        </w:rPr>
        <w:t>” refer to CM Life Sciences, Inc. prior to the consummation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40"/>
          </w:cols>
          <w:pgMar w:left="320" w:top="1440" w:right="339" w:bottom="1440" w:gutter="0" w:footer="0" w:header="0"/>
        </w:sectPr>
      </w:pPr>
    </w:p>
    <w:bookmarkStart w:id="4" w:name="page5"/>
    <w:bookmarkEnd w:id="4"/>
    <w:p>
      <w:pPr>
        <w:spacing w:after="0" w:line="113" w:lineRule="exact"/>
        <w:rPr>
          <w:sz w:val="20"/>
          <w:szCs w:val="20"/>
          <w:color w:val="auto"/>
        </w:rPr>
      </w:pPr>
    </w:p>
    <w:p>
      <w:pPr>
        <w:jc w:val="right"/>
        <w:ind w:right="4540"/>
        <w:spacing w:after="0"/>
        <w:rPr>
          <w:sz w:val="20"/>
          <w:szCs w:val="20"/>
          <w:color w:val="auto"/>
        </w:rPr>
      </w:pPr>
      <w:r>
        <w:rPr>
          <w:rFonts w:ascii="Arial" w:cs="Arial" w:eastAsia="Arial" w:hAnsi="Arial"/>
          <w:sz w:val="18"/>
          <w:szCs w:val="18"/>
          <w:b w:val="1"/>
          <w:bCs w:val="1"/>
          <w:color w:val="auto"/>
        </w:rPr>
        <w:t>SELECTED DEFINITIONS</w:t>
      </w:r>
    </w:p>
    <w:p>
      <w:pPr>
        <w:spacing w:after="0" w:line="170" w:lineRule="exact"/>
        <w:rPr>
          <w:sz w:val="20"/>
          <w:szCs w:val="20"/>
          <w:color w:val="auto"/>
        </w:rPr>
      </w:pPr>
    </w:p>
    <w:p>
      <w:pPr>
        <w:jc w:val="right"/>
        <w:ind w:right="4560"/>
        <w:spacing w:after="0"/>
        <w:rPr>
          <w:sz w:val="20"/>
          <w:szCs w:val="20"/>
          <w:color w:val="auto"/>
        </w:rPr>
      </w:pPr>
      <w:r>
        <w:rPr>
          <w:rFonts w:ascii="Arial" w:cs="Arial" w:eastAsia="Arial" w:hAnsi="Arial"/>
          <w:sz w:val="15"/>
          <w:szCs w:val="15"/>
          <w:color w:val="auto"/>
        </w:rPr>
        <w:t>Unless otherwise stated in this prospectus or the context otherwise requires, references to:</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Amended and Restated Certificate of Incorporation</w:t>
      </w:r>
      <w:r>
        <w:rPr>
          <w:rFonts w:ascii="Arial" w:cs="Arial" w:eastAsia="Arial" w:hAnsi="Arial"/>
          <w:sz w:val="17"/>
          <w:szCs w:val="17"/>
          <w:color w:val="auto"/>
        </w:rPr>
        <w:t>” means the Third Amended and Restated Certificate of Incorporation of the Company.</w:t>
      </w:r>
    </w:p>
    <w:p>
      <w:pPr>
        <w:spacing w:after="0" w:line="17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or “</w:t>
      </w:r>
      <w:r>
        <w:rPr>
          <w:rFonts w:ascii="Arial" w:cs="Arial" w:eastAsia="Arial" w:hAnsi="Arial"/>
          <w:sz w:val="18"/>
          <w:szCs w:val="18"/>
          <w:i w:val="1"/>
          <w:iCs w:val="1"/>
          <w:color w:val="auto"/>
        </w:rPr>
        <w:t>Board of Directors</w:t>
      </w:r>
      <w:r>
        <w:rPr>
          <w:rFonts w:ascii="Arial" w:cs="Arial" w:eastAsia="Arial" w:hAnsi="Arial"/>
          <w:sz w:val="18"/>
          <w:szCs w:val="18"/>
          <w:color w:val="auto"/>
        </w:rPr>
        <w:t>” means the board of directors of the Company.</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Bylaws</w:t>
      </w:r>
      <w:r>
        <w:rPr>
          <w:rFonts w:ascii="Arial" w:cs="Arial" w:eastAsia="Arial" w:hAnsi="Arial"/>
          <w:sz w:val="18"/>
          <w:szCs w:val="18"/>
          <w:color w:val="auto"/>
        </w:rPr>
        <w:t>” means the Restated Bylaws of the Company.</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Combination</w:t>
      </w:r>
      <w:r>
        <w:rPr>
          <w:rFonts w:ascii="Arial" w:cs="Arial" w:eastAsia="Arial" w:hAnsi="Arial"/>
          <w:sz w:val="18"/>
          <w:szCs w:val="18"/>
          <w:color w:val="auto"/>
        </w:rPr>
        <w:t>” means the transactions contemplated by the Merger Agreement, including the Merger and the PIPE Investment.</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CMLS</w:t>
      </w:r>
      <w:r>
        <w:rPr>
          <w:rFonts w:ascii="Arial" w:cs="Arial" w:eastAsia="Arial" w:hAnsi="Arial"/>
          <w:sz w:val="18"/>
          <w:szCs w:val="18"/>
          <w:color w:val="auto"/>
        </w:rPr>
        <w:t>” means CM Life Sciences, Inc., a Delaware corporation, prior to the Closing.</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Class A common stock</w:t>
      </w:r>
      <w:r>
        <w:rPr>
          <w:rFonts w:ascii="Arial" w:cs="Arial" w:eastAsia="Arial" w:hAnsi="Arial"/>
          <w:sz w:val="18"/>
          <w:szCs w:val="18"/>
          <w:color w:val="auto"/>
        </w:rPr>
        <w:t>” or “</w:t>
      </w:r>
      <w:r>
        <w:rPr>
          <w:rFonts w:ascii="Arial" w:cs="Arial" w:eastAsia="Arial" w:hAnsi="Arial"/>
          <w:sz w:val="18"/>
          <w:szCs w:val="18"/>
          <w:i w:val="1"/>
          <w:iCs w:val="1"/>
          <w:color w:val="auto"/>
        </w:rPr>
        <w:t>common stock</w:t>
      </w:r>
      <w:r>
        <w:rPr>
          <w:rFonts w:ascii="Arial" w:cs="Arial" w:eastAsia="Arial" w:hAnsi="Arial"/>
          <w:sz w:val="18"/>
          <w:szCs w:val="18"/>
          <w:color w:val="auto"/>
        </w:rPr>
        <w:t>” means the shares of Class A common stock, par value $0.0001 per share, of the Company.</w:t>
      </w:r>
    </w:p>
    <w:p>
      <w:pPr>
        <w:spacing w:after="0" w:line="16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Class B common stock</w:t>
      </w:r>
      <w:r>
        <w:rPr>
          <w:rFonts w:ascii="Arial" w:cs="Arial" w:eastAsia="Arial" w:hAnsi="Arial"/>
          <w:sz w:val="18"/>
          <w:szCs w:val="18"/>
          <w:color w:val="auto"/>
        </w:rPr>
        <w:t>” means the shares of Class B common stock, par value $0.0001 per share, of the Company, which automatically converted into shares of Class A common stock in connection with the Closing.</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w:t>
      </w:r>
      <w:r>
        <w:rPr>
          <w:rFonts w:ascii="Arial" w:cs="Arial" w:eastAsia="Arial" w:hAnsi="Arial"/>
          <w:sz w:val="18"/>
          <w:szCs w:val="18"/>
          <w:color w:val="auto"/>
        </w:rPr>
        <w:t>” means the closing of the Business Combination.</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 Date</w:t>
      </w:r>
      <w:r>
        <w:rPr>
          <w:rFonts w:ascii="Arial" w:cs="Arial" w:eastAsia="Arial" w:hAnsi="Arial"/>
          <w:sz w:val="18"/>
          <w:szCs w:val="18"/>
          <w:color w:val="auto"/>
        </w:rPr>
        <w:t>” means July 22, 2021.</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means Sema4 prior to the Closing and Sema4 Holdings and its subsidiary following the Closing.</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DGCL</w:t>
      </w:r>
      <w:r>
        <w:rPr>
          <w:rFonts w:ascii="Arial" w:cs="Arial" w:eastAsia="Arial" w:hAnsi="Arial"/>
          <w:sz w:val="18"/>
          <w:szCs w:val="18"/>
          <w:color w:val="auto"/>
        </w:rPr>
        <w:t>” means the General Corporation Law of the State of Delaware.</w:t>
      </w:r>
    </w:p>
    <w:p>
      <w:pPr>
        <w:spacing w:after="0" w:line="16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Earn-Out Shares</w:t>
      </w:r>
      <w:r>
        <w:rPr>
          <w:rFonts w:ascii="Arial" w:cs="Arial" w:eastAsia="Arial" w:hAnsi="Arial"/>
          <w:sz w:val="18"/>
          <w:szCs w:val="18"/>
          <w:color w:val="auto"/>
        </w:rPr>
        <w:t>” means up to 19,021,576 shares of our Class A common stock issuable pursuant to the Merger Agreement to certain Sema4 holders upon the achievement of certain vesting conditions.</w:t>
      </w:r>
    </w:p>
    <w:p>
      <w:pPr>
        <w:spacing w:after="0" w:line="128"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Earn-Out RSU Shares</w:t>
      </w:r>
      <w:r>
        <w:rPr>
          <w:rFonts w:ascii="Arial" w:cs="Arial" w:eastAsia="Arial" w:hAnsi="Arial"/>
          <w:sz w:val="18"/>
          <w:szCs w:val="18"/>
          <w:color w:val="auto"/>
        </w:rPr>
        <w:t>” means up to 2,689,764 shares of our Class A common stock issuable pursuant to the Earn-Out RSUs upon achievement of certain vesting conditions.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Earn-Out RSUs</w:t>
      </w:r>
      <w:r>
        <w:rPr>
          <w:rFonts w:ascii="Arial" w:cs="Arial" w:eastAsia="Arial" w:hAnsi="Arial"/>
          <w:sz w:val="18"/>
          <w:szCs w:val="18"/>
          <w:color w:val="auto"/>
        </w:rPr>
        <w:t>” means certain RSU awards issuable pursuant to the Merger Agreement to certain Sema4 equity holders.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ESPP</w:t>
      </w:r>
      <w:r>
        <w:rPr>
          <w:rFonts w:ascii="Arial" w:cs="Arial" w:eastAsia="Arial" w:hAnsi="Arial"/>
          <w:sz w:val="18"/>
          <w:szCs w:val="18"/>
          <w:color w:val="auto"/>
        </w:rPr>
        <w:t>” means the Sema4 Holdings Corp 2021 Employee Stock Purchase Plan.</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w:t>
      </w:r>
    </w:p>
    <w:p>
      <w:pPr>
        <w:spacing w:after="0" w:line="16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Founder Shares</w:t>
      </w:r>
      <w:r>
        <w:rPr>
          <w:rFonts w:ascii="Arial" w:cs="Arial" w:eastAsia="Arial" w:hAnsi="Arial"/>
          <w:sz w:val="18"/>
          <w:szCs w:val="18"/>
          <w:color w:val="auto"/>
        </w:rPr>
        <w:t>” means the 11,068,750 shares of our Class A common stock issued to the Sponsor and the other Initial Stockholders in connection with the automatic conversion of the Class B common stock in connection with the Closing.</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 means United States generally accepted accounting principles.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Incentive Plan</w:t>
      </w:r>
      <w:r>
        <w:rPr>
          <w:rFonts w:ascii="Arial" w:cs="Arial" w:eastAsia="Arial" w:hAnsi="Arial"/>
          <w:sz w:val="18"/>
          <w:szCs w:val="18"/>
          <w:color w:val="auto"/>
        </w:rPr>
        <w:t>” means the Sema4 Holdings Corp 2021 Equity Incentive Plan.</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Stockholders</w:t>
      </w:r>
      <w:r>
        <w:rPr>
          <w:rFonts w:ascii="Arial" w:cs="Arial" w:eastAsia="Arial" w:hAnsi="Arial"/>
          <w:sz w:val="18"/>
          <w:szCs w:val="18"/>
          <w:color w:val="auto"/>
        </w:rPr>
        <w:t>” means the Sponsor together with Munib Islam, Emily Leproust and Nat Turner.</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 Company Act</w:t>
      </w:r>
      <w:r>
        <w:rPr>
          <w:rFonts w:ascii="Arial" w:cs="Arial" w:eastAsia="Arial" w:hAnsi="Arial"/>
          <w:sz w:val="18"/>
          <w:szCs w:val="18"/>
          <w:color w:val="auto"/>
        </w:rPr>
        <w:t>” means the Investment Company Act of 1940, as amended.</w:t>
      </w:r>
    </w:p>
    <w:p>
      <w:pPr>
        <w:spacing w:after="0" w:line="164" w:lineRule="exact"/>
        <w:rPr>
          <w:sz w:val="20"/>
          <w:szCs w:val="20"/>
          <w:color w:val="auto"/>
        </w:rPr>
      </w:pPr>
    </w:p>
    <w:p>
      <w:pPr>
        <w:ind w:firstLine="318"/>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IPO</w:t>
      </w:r>
      <w:r>
        <w:rPr>
          <w:rFonts w:ascii="Arial" w:cs="Arial" w:eastAsia="Arial" w:hAnsi="Arial"/>
          <w:sz w:val="17"/>
          <w:szCs w:val="17"/>
          <w:color w:val="auto"/>
        </w:rPr>
        <w:t>” or “</w:t>
      </w:r>
      <w:r>
        <w:rPr>
          <w:rFonts w:ascii="Arial" w:cs="Arial" w:eastAsia="Arial" w:hAnsi="Arial"/>
          <w:sz w:val="17"/>
          <w:szCs w:val="17"/>
          <w:i w:val="1"/>
          <w:iCs w:val="1"/>
          <w:color w:val="auto"/>
        </w:rPr>
        <w:t>CMLS IPO</w:t>
      </w:r>
      <w:r>
        <w:rPr>
          <w:rFonts w:ascii="Arial" w:cs="Arial" w:eastAsia="Arial" w:hAnsi="Arial"/>
          <w:sz w:val="17"/>
          <w:szCs w:val="17"/>
          <w:color w:val="auto"/>
        </w:rPr>
        <w:t>” means the Company’s initial public offering, consummated on September 4, 2020, of 44,275,000 units (including 5,775,000 units that were subsequently issued to the underwriters in connection with the partial exercise of their over-allotment option) at $10.00 per unit.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40"/>
          </w:cols>
          <w:pgMar w:left="320" w:top="1440" w:right="339" w:bottom="1440" w:gutter="0" w:footer="0" w:header="0"/>
        </w:sectPr>
      </w:pPr>
    </w:p>
    <w:bookmarkStart w:id="5" w:name="page6"/>
    <w:bookmarkEnd w:id="5"/>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JOBS Act</w:t>
      </w:r>
      <w:r>
        <w:rPr>
          <w:rFonts w:ascii="Arial" w:cs="Arial" w:eastAsia="Arial" w:hAnsi="Arial"/>
          <w:sz w:val="18"/>
          <w:szCs w:val="18"/>
          <w:color w:val="auto"/>
        </w:rPr>
        <w:t>” means the Jumpstart Our Business Startups Act of 2012.</w:t>
      </w:r>
    </w:p>
    <w:p>
      <w:pPr>
        <w:spacing w:after="0" w:line="16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w:t>
      </w:r>
      <w:r>
        <w:rPr>
          <w:rFonts w:ascii="Arial" w:cs="Arial" w:eastAsia="Arial" w:hAnsi="Arial"/>
          <w:sz w:val="18"/>
          <w:szCs w:val="18"/>
          <w:color w:val="auto"/>
        </w:rPr>
        <w:t>” means the merger contemplated by the Merger Agreement, whereby Merger Sub merged with and into Sema4, with Sema4 surviving the merger as a wholly-owned subsidiary of the Company on the Closing Date.</w:t>
      </w:r>
    </w:p>
    <w:p>
      <w:pPr>
        <w:spacing w:after="0" w:line="128"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 Agreement</w:t>
      </w:r>
      <w:r>
        <w:rPr>
          <w:rFonts w:ascii="Arial" w:cs="Arial" w:eastAsia="Arial" w:hAnsi="Arial"/>
          <w:sz w:val="18"/>
          <w:szCs w:val="18"/>
          <w:color w:val="auto"/>
        </w:rPr>
        <w:t>” means that certain Agreement and Plan of Merger, dated as of February 9, 2021, by and among the Company, Merger Sub and Sema4, as amended by the Amendment to Agreement and Plan of Merger dated May 3, 2021.</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 Sub</w:t>
      </w:r>
      <w:r>
        <w:rPr>
          <w:rFonts w:ascii="Arial" w:cs="Arial" w:eastAsia="Arial" w:hAnsi="Arial"/>
          <w:sz w:val="18"/>
          <w:szCs w:val="18"/>
          <w:color w:val="auto"/>
        </w:rPr>
        <w:t>” means S-IV Sub, Inc., a Delaware corporation.</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Nasdaq</w:t>
      </w:r>
      <w:r>
        <w:rPr>
          <w:rFonts w:ascii="Arial" w:cs="Arial" w:eastAsia="Arial" w:hAnsi="Arial"/>
          <w:sz w:val="18"/>
          <w:szCs w:val="18"/>
          <w:color w:val="auto"/>
        </w:rPr>
        <w:t>” means the Nasdaq Global Select Market, LLC.</w:t>
      </w:r>
    </w:p>
    <w:p>
      <w:pPr>
        <w:spacing w:after="0" w:line="16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PIPE Investment</w:t>
      </w:r>
      <w:r>
        <w:rPr>
          <w:rFonts w:ascii="Arial" w:cs="Arial" w:eastAsia="Arial" w:hAnsi="Arial"/>
          <w:sz w:val="18"/>
          <w:szCs w:val="18"/>
          <w:color w:val="auto"/>
        </w:rPr>
        <w:t>” means the private placement pursuant to which the PIPE Investors collectively subscribed for 35,000,000 shares of our Class A common stock at $10.00 per share, for an aggregate purchase price of $350,000,000, on the Closing.</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PIPE Investors</w:t>
      </w:r>
      <w:r>
        <w:rPr>
          <w:rFonts w:ascii="Arial" w:cs="Arial" w:eastAsia="Arial" w:hAnsi="Arial"/>
          <w:sz w:val="18"/>
          <w:szCs w:val="18"/>
          <w:color w:val="auto"/>
        </w:rPr>
        <w:t>” means certain institutional investors that invested in the PIPE Investment.</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PIPE Shares</w:t>
      </w:r>
      <w:r>
        <w:rPr>
          <w:rFonts w:ascii="Arial" w:cs="Arial" w:eastAsia="Arial" w:hAnsi="Arial"/>
          <w:sz w:val="18"/>
          <w:szCs w:val="18"/>
          <w:color w:val="auto"/>
        </w:rPr>
        <w:t>” means the 35,000,000 shares of our Class A common stock issued in the PIPE Investment.</w:t>
      </w:r>
    </w:p>
    <w:p>
      <w:pPr>
        <w:spacing w:after="0" w:line="164" w:lineRule="exact"/>
        <w:rPr>
          <w:sz w:val="20"/>
          <w:szCs w:val="20"/>
          <w:color w:val="auto"/>
        </w:rPr>
      </w:pPr>
    </w:p>
    <w:p>
      <w:pPr>
        <w:ind w:firstLine="318"/>
        <w:spacing w:after="0" w:line="365"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private placement warrants</w:t>
      </w:r>
      <w:r>
        <w:rPr>
          <w:rFonts w:ascii="Arial" w:cs="Arial" w:eastAsia="Arial" w:hAnsi="Arial"/>
          <w:sz w:val="15"/>
          <w:szCs w:val="15"/>
          <w:color w:val="auto"/>
        </w:rPr>
        <w:t>” means the 7,236,667 warrants originally issued to the Sponsor and certain of the other Initial Stockholders in a private placement in connection with our IPO, each of which is exercisable for three-quarters of one share of common stock, in accordance with its terms.</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public shares</w:t>
      </w:r>
      <w:r>
        <w:rPr>
          <w:rFonts w:ascii="Arial" w:cs="Arial" w:eastAsia="Arial" w:hAnsi="Arial"/>
          <w:sz w:val="18"/>
          <w:szCs w:val="18"/>
          <w:color w:val="auto"/>
        </w:rPr>
        <w:t>” means shares of common stock included in the units issued in our IPO.</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public stockholders</w:t>
      </w:r>
      <w:r>
        <w:rPr>
          <w:rFonts w:ascii="Arial" w:cs="Arial" w:eastAsia="Arial" w:hAnsi="Arial"/>
          <w:sz w:val="18"/>
          <w:szCs w:val="18"/>
          <w:color w:val="auto"/>
        </w:rPr>
        <w:t>” means holders of public shares.</w:t>
      </w:r>
    </w:p>
    <w:p>
      <w:pPr>
        <w:spacing w:after="0" w:line="16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public warrants</w:t>
      </w:r>
      <w:r>
        <w:rPr>
          <w:rFonts w:ascii="Arial" w:cs="Arial" w:eastAsia="Arial" w:hAnsi="Arial"/>
          <w:sz w:val="18"/>
          <w:szCs w:val="18"/>
          <w:color w:val="auto"/>
        </w:rPr>
        <w:t>” means the warrants included in the units issued in our IPO, each of which is exercisable for three-quarters of one share of common stock, in accordance with its terms.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RSUs</w:t>
      </w:r>
      <w:r>
        <w:rPr>
          <w:rFonts w:ascii="Arial" w:cs="Arial" w:eastAsia="Arial" w:hAnsi="Arial"/>
          <w:sz w:val="18"/>
          <w:szCs w:val="18"/>
          <w:color w:val="auto"/>
        </w:rPr>
        <w:t>” means restricted stock units granted under the Incentive Plan or in accordance with the terms of the Merger Agreement.</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Sarbanes-Oxley Act</w:t>
      </w:r>
      <w:r>
        <w:rPr>
          <w:rFonts w:ascii="Arial" w:cs="Arial" w:eastAsia="Arial" w:hAnsi="Arial"/>
          <w:sz w:val="18"/>
          <w:szCs w:val="18"/>
          <w:color w:val="auto"/>
        </w:rPr>
        <w:t>” or “</w:t>
      </w:r>
      <w:r>
        <w:rPr>
          <w:rFonts w:ascii="Arial" w:cs="Arial" w:eastAsia="Arial" w:hAnsi="Arial"/>
          <w:sz w:val="18"/>
          <w:szCs w:val="18"/>
          <w:i w:val="1"/>
          <w:iCs w:val="1"/>
          <w:color w:val="auto"/>
        </w:rPr>
        <w:t>SOX</w:t>
      </w:r>
      <w:r>
        <w:rPr>
          <w:rFonts w:ascii="Arial" w:cs="Arial" w:eastAsia="Arial" w:hAnsi="Arial"/>
          <w:sz w:val="18"/>
          <w:szCs w:val="18"/>
          <w:color w:val="auto"/>
        </w:rPr>
        <w:t>” means the Sarbanes-Oxley Act of 2002.</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United States Securities and Exchange Commission.</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as amended.</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Selling Securityholders</w:t>
      </w:r>
      <w:r>
        <w:rPr>
          <w:rFonts w:ascii="Arial" w:cs="Arial" w:eastAsia="Arial" w:hAnsi="Arial"/>
          <w:sz w:val="18"/>
          <w:szCs w:val="18"/>
          <w:color w:val="auto"/>
        </w:rPr>
        <w:t>” means the selling securityholders named in this prospectus.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Sema4</w:t>
      </w:r>
      <w:r>
        <w:rPr>
          <w:rFonts w:ascii="Arial" w:cs="Arial" w:eastAsia="Arial" w:hAnsi="Arial"/>
          <w:sz w:val="18"/>
          <w:szCs w:val="18"/>
          <w:color w:val="auto"/>
        </w:rPr>
        <w:t>” means Mount Sinai Genomics, Inc. d/b/a Sema4, a Delaware corporation, prior to the Closing.</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Sema4 Holdings</w:t>
      </w:r>
      <w:r>
        <w:rPr>
          <w:rFonts w:ascii="Arial" w:cs="Arial" w:eastAsia="Arial" w:hAnsi="Arial"/>
          <w:sz w:val="18"/>
          <w:szCs w:val="18"/>
          <w:color w:val="auto"/>
        </w:rPr>
        <w:t>” means Sema4 Holdings Corp., a Delaware corporation, following the Closing.</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Sema4 equity holder</w:t>
      </w:r>
      <w:r>
        <w:rPr>
          <w:rFonts w:ascii="Arial" w:cs="Arial" w:eastAsia="Arial" w:hAnsi="Arial"/>
          <w:sz w:val="18"/>
          <w:szCs w:val="18"/>
          <w:color w:val="auto"/>
        </w:rPr>
        <w:t>” means certain former stockholders and equity award holders of Sema4.</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Sponsor</w:t>
      </w:r>
      <w:r>
        <w:rPr>
          <w:rFonts w:ascii="Arial" w:cs="Arial" w:eastAsia="Arial" w:hAnsi="Arial"/>
          <w:sz w:val="18"/>
          <w:szCs w:val="18"/>
          <w:color w:val="auto"/>
        </w:rPr>
        <w:t>” means CMLS Holdings LLC, a Delaware limited liability company.</w:t>
      </w:r>
    </w:p>
    <w:p>
      <w:pPr>
        <w:spacing w:after="0" w:line="16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Subscription Agreements</w:t>
      </w:r>
      <w:r>
        <w:rPr>
          <w:rFonts w:ascii="Arial" w:cs="Arial" w:eastAsia="Arial" w:hAnsi="Arial"/>
          <w:sz w:val="18"/>
          <w:szCs w:val="18"/>
          <w:color w:val="auto"/>
        </w:rPr>
        <w:t>” means, collectively, those certain subscription agreements, entered into on February 9, 2021, between the Company and the PIPE Investors.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Transfer Agent</w:t>
      </w:r>
      <w:r>
        <w:rPr>
          <w:rFonts w:ascii="Arial" w:cs="Arial" w:eastAsia="Arial" w:hAnsi="Arial"/>
          <w:sz w:val="18"/>
          <w:szCs w:val="18"/>
          <w:color w:val="auto"/>
        </w:rPr>
        <w:t>” means Continental Stock Transfer &amp; Trust Company.</w:t>
      </w:r>
    </w:p>
    <w:p>
      <w:pPr>
        <w:spacing w:after="0" w:line="16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Trust Account</w:t>
      </w:r>
      <w:r>
        <w:rPr>
          <w:rFonts w:ascii="Arial" w:cs="Arial" w:eastAsia="Arial" w:hAnsi="Arial"/>
          <w:sz w:val="18"/>
          <w:szCs w:val="18"/>
          <w:color w:val="auto"/>
        </w:rPr>
        <w:t>” means the trust account of the Company that held the proceeds from the IPO and a portion of the proceeds from the sale of the private placement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40"/>
          </w:cols>
          <w:pgMar w:left="320" w:top="1440" w:right="339" w:bottom="1440" w:gutter="0" w:footer="0" w:header="0"/>
        </w:sectPr>
      </w:pPr>
    </w:p>
    <w:bookmarkStart w:id="6" w:name="page7"/>
    <w:bookmarkEnd w:id="6"/>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AND INDUSTRY DATA</w:t>
      </w:r>
    </w:p>
    <w:p>
      <w:pPr>
        <w:spacing w:after="0" w:line="170" w:lineRule="exact"/>
        <w:rPr>
          <w:sz w:val="20"/>
          <w:szCs w:val="20"/>
          <w:color w:val="auto"/>
        </w:rPr>
      </w:pPr>
    </w:p>
    <w:p>
      <w:pPr>
        <w:jc w:val="both"/>
        <w:ind w:firstLine="318"/>
        <w:spacing w:after="0" w:line="265" w:lineRule="auto"/>
        <w:rPr>
          <w:rFonts w:ascii="Arial" w:cs="Arial" w:eastAsia="Arial" w:hAnsi="Arial"/>
          <w:sz w:val="17"/>
          <w:szCs w:val="17"/>
          <w:color w:val="auto"/>
        </w:rPr>
      </w:pPr>
      <w:r>
        <w:rPr>
          <w:rFonts w:ascii="Arial" w:cs="Arial" w:eastAsia="Arial" w:hAnsi="Arial"/>
          <w:sz w:val="17"/>
          <w:szCs w:val="17"/>
          <w:color w:val="auto"/>
        </w:rPr>
        <w:t>This prospectus contains estimates and information concerning our industry, our business, and the market for our products and services, including our general expectations of our market position, market growth forecasts, our market opportunity, and size of the markets in which we participate, that are based on industry publications, surveys, and reports that have been prepared by independent third parties. This information involves a number of assumptions and limitations, and you are cautioned not to give undue weight to these estimates. Although we have not independently verified the accuracy or completeness of the data contained in these industry publications, surveys, and reports, we believe the publications, surveys, and reports are generally reliable, although such information is inherently subject to uncertainties and imprecision. The industry in which we operate is subject to a high degree of uncertainty and risk due to a variety of factors, including those described in the section titled “</w:t>
      </w:r>
      <w:hyperlink w:anchor="page17">
        <w:r>
          <w:rPr>
            <w:rFonts w:ascii="Arial" w:cs="Arial" w:eastAsia="Arial" w:hAnsi="Arial"/>
            <w:sz w:val="17"/>
            <w:szCs w:val="17"/>
            <w:i w:val="1"/>
            <w:iCs w:val="1"/>
            <w:u w:val="single" w:color="auto"/>
            <w:color w:val="0000FF"/>
          </w:rPr>
          <w:t>Risk Factors</w:t>
        </w:r>
      </w:hyperlink>
      <w:r>
        <w:rPr>
          <w:rFonts w:ascii="Arial" w:cs="Arial" w:eastAsia="Arial" w:hAnsi="Arial"/>
          <w:sz w:val="17"/>
          <w:szCs w:val="17"/>
          <w:i w:val="1"/>
          <w:iCs w:val="1"/>
          <w:color w:val="auto"/>
        </w:rPr>
        <w:t>.</w:t>
      </w:r>
      <w:r>
        <w:rPr>
          <w:rFonts w:ascii="Arial" w:cs="Arial" w:eastAsia="Arial" w:hAnsi="Arial"/>
          <w:sz w:val="17"/>
          <w:szCs w:val="17"/>
          <w:color w:val="auto"/>
        </w:rPr>
        <w:t>” These and other factors could cause results to differ materially from those expressed in these publications and reports.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240"/>
          </w:cols>
          <w:pgMar w:left="320" w:top="1440" w:right="339" w:bottom="1440" w:gutter="0" w:footer="0" w:header="0"/>
        </w:sectPr>
      </w:pPr>
    </w:p>
    <w:bookmarkStart w:id="7" w:name="page8"/>
    <w:bookmarkEnd w:id="7"/>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70"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This prospectus contains forward-looking statements within the meaning of the “safe harbor” provisions of the Private Securities Litigation Reform Act of 1995. These statements are based on the current expectations and beliefs of our management, and are subject to a number of factors and uncertainties that could cause actual results to differ materially from those described in the forward-looking statements. These forward-looking statements include statements about our future financial and operating results; the benefits of the Business Combination; statements of the plans, strategies and objectives of our management for our future operations; and statements regarding future economic conditions or performance. Forward-looking statements may contain words such as “will be,” “will,” “expect,” “anticipate,” “continue,” “project,” “believe,” “plan,” “could,” “estimate,” “forecast,” “guidance,” “intend,” “may,” “plan,” “possible,” “potential,” “predict,” “pursue,” “should,” “target” or similar expressions, and include the assumptions that underlie such statements. These statements include, but are not limited to, statements about:</w:t>
      </w:r>
    </w:p>
    <w:p>
      <w:pPr>
        <w:spacing w:after="0" w:line="128" w:lineRule="exact"/>
        <w:rPr>
          <w:sz w:val="20"/>
          <w:szCs w:val="20"/>
          <w:color w:val="auto"/>
        </w:rPr>
      </w:pPr>
    </w:p>
    <w:p>
      <w:pPr>
        <w:ind w:left="640" w:hanging="316"/>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realize the benefits expected from the Business Combination;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factors relating to our business, operations and financial performance, including:</w:t>
      </w:r>
    </w:p>
    <w:p>
      <w:pPr>
        <w:spacing w:after="0" w:line="164" w:lineRule="exact"/>
        <w:rPr>
          <w:rFonts w:ascii="Arial" w:cs="Arial" w:eastAsia="Arial" w:hAnsi="Arial"/>
          <w:sz w:val="18"/>
          <w:szCs w:val="18"/>
          <w:color w:val="auto"/>
        </w:rPr>
      </w:pPr>
    </w:p>
    <w:p>
      <w:pPr>
        <w:ind w:left="960" w:hanging="318"/>
        <w:spacing w:after="0"/>
        <w:tabs>
          <w:tab w:leader="none" w:pos="960" w:val="left"/>
        </w:tabs>
        <w:numPr>
          <w:ilvl w:val="1"/>
          <w:numId w:val="2"/>
        </w:numPr>
        <w:rPr>
          <w:rFonts w:ascii="Arial" w:cs="Arial" w:eastAsia="Arial" w:hAnsi="Arial"/>
          <w:sz w:val="18"/>
          <w:szCs w:val="18"/>
          <w:color w:val="auto"/>
        </w:rPr>
      </w:pPr>
      <w:r>
        <w:rPr>
          <w:rFonts w:ascii="Arial" w:cs="Arial" w:eastAsia="Arial" w:hAnsi="Arial"/>
          <w:sz w:val="18"/>
          <w:szCs w:val="18"/>
          <w:color w:val="auto"/>
        </w:rPr>
        <w:t>our ability to comply with laws and regulations applicable to our business; and</w:t>
      </w:r>
    </w:p>
    <w:p>
      <w:pPr>
        <w:spacing w:after="0" w:line="164" w:lineRule="exact"/>
        <w:rPr>
          <w:rFonts w:ascii="Arial" w:cs="Arial" w:eastAsia="Arial" w:hAnsi="Arial"/>
          <w:sz w:val="18"/>
          <w:szCs w:val="18"/>
          <w:color w:val="auto"/>
        </w:rPr>
      </w:pPr>
    </w:p>
    <w:p>
      <w:pPr>
        <w:ind w:left="960" w:hanging="318"/>
        <w:spacing w:after="0"/>
        <w:tabs>
          <w:tab w:leader="none" w:pos="960" w:val="left"/>
        </w:tabs>
        <w:numPr>
          <w:ilvl w:val="1"/>
          <w:numId w:val="2"/>
        </w:numPr>
        <w:rPr>
          <w:rFonts w:ascii="Arial" w:cs="Arial" w:eastAsia="Arial" w:hAnsi="Arial"/>
          <w:sz w:val="18"/>
          <w:szCs w:val="18"/>
          <w:color w:val="auto"/>
        </w:rPr>
      </w:pPr>
      <w:r>
        <w:rPr>
          <w:rFonts w:ascii="Arial" w:cs="Arial" w:eastAsia="Arial" w:hAnsi="Arial"/>
          <w:sz w:val="18"/>
          <w:szCs w:val="18"/>
          <w:color w:val="auto"/>
        </w:rPr>
        <w:t>market conditions and global and economic factors beyond our control;</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intense competition and competitive pressures from other companies worldwide in the industries in which we operate;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litigation and the ability to adequately protect our intellectual property rights;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factors detailed under the section entitled “</w:t>
      </w:r>
      <w:hyperlink w:anchor="page17">
        <w:r>
          <w:rPr>
            <w:rFonts w:ascii="Arial" w:cs="Arial" w:eastAsia="Arial" w:hAnsi="Arial"/>
            <w:sz w:val="18"/>
            <w:szCs w:val="18"/>
            <w:i w:val="1"/>
            <w:iCs w:val="1"/>
            <w:u w:val="single" w:color="auto"/>
            <w:color w:val="0000FF"/>
          </w:rPr>
          <w:t>Risk Factors</w:t>
        </w:r>
      </w:hyperlink>
      <w:r>
        <w:rPr>
          <w:rFonts w:ascii="Arial" w:cs="Arial" w:eastAsia="Arial" w:hAnsi="Arial"/>
          <w:sz w:val="18"/>
          <w:szCs w:val="18"/>
          <w:color w:val="auto"/>
        </w:rPr>
        <w:t>.”</w:t>
      </w:r>
    </w:p>
    <w:p>
      <w:pPr>
        <w:spacing w:after="0" w:line="16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Factors that could cause the actual results to differ materially from those described in the forward-looking statements include those set forth in the risk factors included in this prospectus. Any forward-looking statements made in this prospectus are qualified in their entirety by the forward-looking statements contained or referred to in this section, and there is no assurance that the actual results or developments anticipated by us will be realized. All subsequent written and oral forward-looking statements concerning us, the Business Combination or other matters attributable to us or any person acting on our behalf are expressly qualified in their entirety by the forward-looking statements above. Except to the extent required by applicable law, we are under no obligation (and expressly disclaim any such obligation) to update or revise these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995680</wp:posOffset>
            </wp:positionV>
            <wp:extent cx="7139305" cy="7601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9305" cy="760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170" w:lineRule="exact"/>
        <w:rPr>
          <w:sz w:val="20"/>
          <w:szCs w:val="20"/>
          <w:color w:val="auto"/>
        </w:rPr>
      </w:pPr>
    </w:p>
    <w:p>
      <w:pPr>
        <w:jc w:val="both"/>
        <w:ind w:firstLine="318"/>
        <w:spacing w:after="0" w:line="268" w:lineRule="auto"/>
        <w:rPr>
          <w:rFonts w:ascii="Arial" w:cs="Arial" w:eastAsia="Arial" w:hAnsi="Arial"/>
          <w:sz w:val="17"/>
          <w:szCs w:val="17"/>
          <w:i w:val="1"/>
          <w:iCs w:val="1"/>
          <w:color w:val="0000FF"/>
        </w:rPr>
      </w:pPr>
      <w:r>
        <w:rPr>
          <w:rFonts w:ascii="Arial" w:cs="Arial" w:eastAsia="Arial" w:hAnsi="Arial"/>
          <w:sz w:val="17"/>
          <w:szCs w:val="17"/>
          <w:color w:val="auto"/>
        </w:rPr>
        <w:t xml:space="preserve">The following summary highlights information contained in greater details elsewhere in this prospectus. This summary is not complete and does not contain all of the information you should consider in making your investment decision. You should read the entire prospectus carefully before making an investment in our common stock or warrants. You should carefully consider, among other things, our financial </w:t>
      </w:r>
      <w:hyperlink w:anchor="page85">
        <w:r>
          <w:rPr>
            <w:rFonts w:ascii="Arial" w:cs="Arial" w:eastAsia="Arial" w:hAnsi="Arial"/>
            <w:sz w:val="17"/>
            <w:szCs w:val="17"/>
            <w:color w:val="auto"/>
          </w:rPr>
          <w:t>statements and related notes and the sections titled “</w:t>
        </w:r>
        <w:r>
          <w:rPr>
            <w:rFonts w:ascii="Arial" w:cs="Arial" w:eastAsia="Arial" w:hAnsi="Arial"/>
            <w:sz w:val="17"/>
            <w:szCs w:val="17"/>
            <w:i w:val="1"/>
            <w:iCs w:val="1"/>
            <w:u w:val="single" w:color="auto"/>
            <w:color w:val="0000FF"/>
          </w:rPr>
          <w:t>Risk Factors</w:t>
        </w:r>
        <w:r>
          <w:rPr>
            <w:rFonts w:ascii="Arial" w:cs="Arial" w:eastAsia="Arial" w:hAnsi="Arial"/>
            <w:sz w:val="17"/>
            <w:szCs w:val="17"/>
            <w:color w:val="auto"/>
          </w:rPr>
          <w:t>” and “</w:t>
        </w:r>
        <w:r>
          <w:rPr>
            <w:rFonts w:ascii="Arial" w:cs="Arial" w:eastAsia="Arial" w:hAnsi="Arial"/>
            <w:sz w:val="17"/>
            <w:szCs w:val="17"/>
            <w:i w:val="1"/>
            <w:iCs w:val="1"/>
            <w:u w:val="single" w:color="auto"/>
            <w:color w:val="0000FF"/>
          </w:rPr>
          <w:t>Management’s Discussion and Analysis of Financial Condition and</w:t>
        </w:r>
      </w:hyperlink>
      <w:r>
        <w:rPr>
          <w:rFonts w:ascii="Arial" w:cs="Arial" w:eastAsia="Arial" w:hAnsi="Arial"/>
          <w:sz w:val="17"/>
          <w:szCs w:val="17"/>
          <w:color w:val="auto"/>
        </w:rPr>
        <w:t xml:space="preserve"> </w:t>
      </w:r>
      <w:hyperlink w:anchor="page85">
        <w:r>
          <w:rPr>
            <w:rFonts w:ascii="Arial" w:cs="Arial" w:eastAsia="Arial" w:hAnsi="Arial"/>
            <w:sz w:val="17"/>
            <w:szCs w:val="17"/>
            <w:i w:val="1"/>
            <w:iCs w:val="1"/>
            <w:u w:val="single" w:color="auto"/>
            <w:color w:val="0000FF"/>
          </w:rPr>
          <w:t>Results of Operations</w:t>
        </w:r>
        <w:r>
          <w:rPr>
            <w:rFonts w:ascii="Arial" w:cs="Arial" w:eastAsia="Arial" w:hAnsi="Arial"/>
            <w:sz w:val="17"/>
            <w:szCs w:val="17"/>
            <w:color w:val="000000"/>
          </w:rPr>
          <w:t>” included elsewhere in this prospectus.</w:t>
        </w:r>
      </w:hyperlink>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70"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We are a patient-centered, health intelligence company with a mission to use artificial intelligence, or AI, and machine learning to enable personalized medicine for all. Our integrated information platform leverages longitudinal patient data, AI-driven predictive modeling, and genomics in combination with other molecular and high-dimensional data in our efforts both to deliver better outcomes for patients and to transform the practice of medicine, including how disease is diagnosed, treated, and prevented.</w:t>
      </w:r>
    </w:p>
    <w:p>
      <w:pPr>
        <w:spacing w:after="0" w:line="12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have established one of the largest, most comprehensive, and fastest growing integrated health information platforms, collecting and leveraging genomic and clinical data in partnership with patients, healthcare providers and an extensive ecosystem of life science industry contributors. We are now generating and processing over 30 petabytes of data per month, growing by almost 1 petabyte per month, and maintain a database that includes more than 11.5 million de-identified clinical records, many with genomic profiles, integrated in a way that enables physicians to proactively diagnose and manage disease. This expanding database is a virtuous cycle of data: new data enables us to further develop, train, and refine predictive models and drive differentiated insights, which models and insights we deploy through our next generation diagnostic and research solutions and portals to support clinicians and researchers and engage patients, all of which interactions generate more data to continue the cycle.</w:t>
      </w:r>
    </w:p>
    <w:p>
      <w:pPr>
        <w:spacing w:after="0" w:line="12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Today, by providing differentiated insights through diagnostic testing solutions to physicians and patients across the United States in areas such as reproductive health, or Women’s Health, population health, and oncology, or Oncology, we are reimbursed by payors, providers, and patients for providing these services. In collaboration with pharmaceutical and biotech, or Biopharma, companies, we receive payments for a broad range of services relating to the aggregated data on our information platform, such as consenting and recontacting patients, the development and implementation of a wide range of predictive models, including drug discovery programs, conducting real-world evidence studies, and aiding in the identification and recruitment of patients into clinical trials. Over the next several years, we expect to focus on expanding the revenue from our health system and Biopharma partners, while also working to continue to grow the volumes and revenues from our diagnostics test solutions.</w:t>
      </w:r>
    </w:p>
    <w:p>
      <w:pPr>
        <w:spacing w:after="0" w:line="12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While there are many companies seeking to harness the potential of “big data” to address the challenges within the healthcare ecosystem, we believe that few have the scale of our company combined with our revenue-generating diagnostics testing business and origins as a company conceived and nurtured within a world-class health system. These characteristics have enabled us to build a significant and highly differentiated technological and informational asset positioned to drive precision medicine solutions into the standard of care in an unparalleled way.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World Class Team and Unique Origins</w:t>
      </w:r>
    </w:p>
    <w:p>
      <w:pPr>
        <w:spacing w:after="0" w:line="16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Sema4 was founded by Eric Schadt, Ph.D. as part of Icahn School of Medicine at Mount Sinai’s Department of Genetics and Genomic Sciences and the Icahn Institute for Genomics and Multiscale Biology. Dr. Schadt is a world-renowned expert on constructing predictive models of disease that link molecular data to physiology to enable clinical medicine. He has published more than 450 peer-reviewed papers in leading scientific journals, with a public citation or h-index of 128, and contributed to discoveries relating to the genetic basis of common human diseases such as cancer, diabetes, obesity, and Alzheimer’s disease. As of March 31, 2021, we had almost 1000 employees, including over 160 Ph.D.-level data scientists whose collective work has been recognized in areas such as data science, network modeling, multiscale biotechnology and genomics.</w:t>
      </w:r>
    </w:p>
    <w:p>
      <w:pPr>
        <w:spacing w:after="0" w:line="13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Sema4 was established out of the Mount Sinai Health System (which we refer to together with its related entities as Mount Sinai) and commenced operations in June 2017 as a commercial entity that could effectively</w:t>
      </w:r>
    </w:p>
    <w:p>
      <w:pPr>
        <w:sectPr>
          <w:pgSz w:w="11900" w:h="16838" w:orient="portrait"/>
          <w:cols w:equalWidth="0" w:num="1">
            <w:col w:w="9920"/>
          </w:cols>
          <w:pgMar w:left="98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9920"/>
          </w:cols>
          <w:pgMar w:left="980" w:top="1440" w:right="999" w:bottom="1440" w:gutter="0" w:footer="0" w:header="0"/>
          <w:type w:val="continuous"/>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995680</wp:posOffset>
            </wp:positionV>
            <wp:extent cx="7139305" cy="68275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9305" cy="682752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engage diverse patient populations and health care institutions at scale, founded on the idea that more information, deeper AI-driven learning, and increased engagement of patients and their providers will improve diagnosis, treatment, and prevention of disease. We have since established and deployed our comprehensive and integrated genomics and information platforms, and intend to continue to expand our scale and reach through organic and inorganic growth.</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Purpose-Built, Flexible Platforms Address Immediate and Untapped Market Opportunities</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With the rapid decline in next generation sequencing costs and the increased accessibility of large scale, commoditized computer hardware and storage information products through the cloud, we expect that our core information platform, Centrellis®, supported and fueled by our genomic analysis platform, Traversa™, will be well-positioned to drive improved clinical outcomes competitively in the healthcare market.</w:t>
      </w:r>
    </w:p>
    <w:p>
      <w:pPr>
        <w:spacing w:after="0" w:line="138"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5"/>
          <w:szCs w:val="15"/>
          <w:color w:val="auto"/>
        </w:rPr>
        <w:t>Our information platform was built to be highly adaptable to different data types and different diseases and health conditions, with the aim to deliver precision medicine and improved health outcomes across a patient’s entire life cycle. Accordingly, we expect our platforms to capitalize on a wide range of growth opportunities, and we intend to apply capital over time to make targeted acquisitions to accelerate our ability to reach a wider range of patients, integrate more deeply into clinical workflows, and address the significant, unaddressed white space for health intelligence in the healthcare ecosystem. These include a broad range of therapeutic segments, beyond our existing focus of our diagnostics solutions for Women’s Health, and Oncology, where we believe there is an immediate need for precision medicine solutions such as in autoimmune disorders, which are expected to represent an approximately $149.4 billion global market by 2025, rare diseases, which are expected to represent an approximately $317 billion global market in 2026, and cardiovascular disease, which are expected to represent an approximately $106.1 billion global market in 2023.</w:t>
      </w:r>
    </w:p>
    <w:p>
      <w:pPr>
        <w:spacing w:after="0" w:line="319"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By combining our data-driven approach and our deep understanding of health system workflows, we have developed a holistic health information platform, Centrellis, to transform the disease diagnosis and treatment paradigm for the entire healthcare ecosystem: patients, physicians, health systems, payers, and Biopharma companies. The Centrellis platform is comprised of a data management backend that supports a wide array of databases, data warehouses, and knowledge bases, a data analytics layer to mine the data and construct predictive models that provide differentiated insights, and a series of application programmable interfaces to enable tool and software applications to access the data and models. Centrellis serves as the underlying foundation of our precision medicine solution and comprises a sophisticated data management and analytics engine. In the data management layer, our platform processes and stores data in a highly structured and accessible way, which is then analyzed by an advanced insights engine in the analytics layer that deploys state-of-the-art AI, probabilistic causal reasoning and machine learning approaches, and complementary analytics capabilities to deliver increasingly accurate insights to patients, providers, and researchers across a broad range of applications. Centrellis is designed to transform treatment decisions across multiple therapeutic areas by engaging large-scale, high-dimensional data and querying the predictive models of disease and wellness using patient-specific data to derive highly personalized, clinically actionable insights. Centrellis supports various applications, such as delivery of personalized and actionable treatment insights into clinical reports, clinical trial matching, real-world evidence trials and clinical decision support, through an advanced programmable interface, or API, layer.</w:t>
      </w:r>
    </w:p>
    <w:p>
      <w:pPr>
        <w:spacing w:after="0" w:line="32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have also developed a comprehensive genomic platform, Traversa™, to serve as the backbone of our screening and diagnostic products and with the capacity to deliver molecular data that can be re-accessed, analyzed and delivered throughout a patient’s lifetime. Traversa is designed to simultaneously assay at clinical-grade coverage all known medically relevant regions of the genome, as well as survey the entirety of the human genome, to surface signals that might be medically relevant to a patient in the future. Traversa is integrated with the Centrellis information platform and is designed to adapt at the rate of learning and to match the significant pace of information and knowledge growth, especially in the genomics arena, to allow us to provide actionable, accurate, and cutting-edge insights from complex and comprehensive data assets. We also expect this platform to enable us to scale our operations and to improve our margins in generating secondary insights for patients and providers.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9920"/>
          </w:cols>
          <w:pgMar w:left="980" w:top="1440" w:right="99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995680</wp:posOffset>
            </wp:positionV>
            <wp:extent cx="7139305" cy="7298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9305" cy="729869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Building Richer Longitudinal Data Through Deeper Patient and Provider Engagement</w:t>
      </w:r>
    </w:p>
    <w:p>
      <w:pPr>
        <w:spacing w:after="0" w:line="164"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We engage with patients, physicians, and health systems as partners and based on principles of transparency, choice, and consent. Driven by our direct engagement with patients and strategic relationships with multiple health systems, the database we have built contains extensive electronic medical record, or EMR, data, surpassing 11.5 million de-identified clinical records, many with genomic profiles, and has been designed to enable Centrellis to draw from our extensive data assets in a way that enables physicians to proactively diagnose and manage disease. We expect our current and targeted strategic relationships will provide us with access to additional active patient cohorts and datasets to fuel this growth and perpetuate our iterative, data-driven business model, including by rapidly scaling our diagnostic test solutions franchise with physicians and patients through direct engagement with multiple health system partners.</w:t>
      </w:r>
    </w:p>
    <w:p>
      <w:pPr>
        <w:spacing w:after="0" w:line="10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addition to providing a majority of our current revenue and generating hundreds of thousands of genomic profiles, our established diagnostic test solutions also allow us to engage patients directly as partners, both as part of their clinical care and also acting on their behalf, with appropriate informed consent, to acquire, organize and manage any health data generated on them through the course of their care, all of which contributes to the further development of our genomics and information platforms. Further, we have demonstrated patients’ willingness to partner with us. For example, over 80% of diagnostics solutions patients and users who engaged with our patient portal have given us their informed consent to retrieve, organize, and manage their health records and data, and to facilitate their access to and sharing of those data, as well as additional data that patients share and create through their use of our expanding suite of digital experience products.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Established Diagnostic Solutions Are Scaling Rapidly</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currently operate a mature diagnostic business that generates revenue and engages with patients through our varied and sophisticated diagnostics and screening offerings. Our population health offerings are designed to run through our Traversa platform and give us the ability to inform on thousands of diseases and conditions, from rare disorders, to drug safety, to risk profiles across a broad range of common human diseases of significant public health concern. We have developed an array of diagnostic and screening solutions to inform across a patient’s life course, ranging from reproductive health and newborn screening to drug safety and oncology. Our Women’s Health solutions sequence and analyze an industry-leading number of genes, and use Centrellis’ interpretive information tools to translate raw sequencing and clinical data efficiently and accurately into digestible clinical reports that guide decision making by patients and physicians. Our Oncology diagnostic solutions feature both somatic tumor profiling and hereditary cancer screenings, along with a foundational whole exome and whole transcriptome sequencing approach.</w:t>
      </w:r>
    </w:p>
    <w:p>
      <w:pPr>
        <w:spacing w:after="0" w:line="132"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Centrellis enables the complex interpretations of these data to identify key driver genes, activated and suppressed pathways, molecular subtypes, therapeutic interventions and matching to clinical trials. We believe our array of diverse diagnostic solutions, built on our differentiated grounding in scientific excellence and coupled with an end-to-end full-service model, have led to our rapidly growing customer bases in Women’s Health and Oncology and increasing traction with health systems, as well as deep, trusting engagement with patients.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Embedding Our Solutions Through Innovative, Deep Relationships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Our origins in and subsequent work with Mount Sinai have provided us with an extensive understanding of health systems, patient, and physician workflows as well as the complex interconnectivities that define patient-physician relationships. We have used this knowledge to develop our integrated health system collaboration model, where we have the capabilities necessary to integrate across health system workflows as a holistic health intelligence partner in order to deploy our comprehensive genomics and information platforms, our data curation and harmonization capabilities, and our patient and provider engagement software applications. Our solutions support our health system partners across their operations, helping them integrate a new standard of care and creating a deep relationship with us that helps both partners realize the potential of the relationship. In addition to creating diagnostic revenue and a clinical relationship with our health system partners and their patients, this engagement provides us with access to insights informed by analyzed and processed EMRs from the health system, as well as the expansive molecular information we generate from our genomics platform as the health system’s precision medicine</w:t>
      </w:r>
    </w:p>
    <w:p>
      <w:pPr>
        <w:sectPr>
          <w:pgSz w:w="11900" w:h="16838" w:orient="portrait"/>
          <w:cols w:equalWidth="0" w:num="1">
            <w:col w:w="9920"/>
          </w:cols>
          <w:pgMar w:left="98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9920"/>
          </w:cols>
          <w:pgMar w:left="980" w:top="1440" w:right="999" w:bottom="1440" w:gutter="0" w:footer="0" w:header="0"/>
          <w:type w:val="continuous"/>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995680</wp:posOffset>
            </wp:positionV>
            <wp:extent cx="7139305" cy="66598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9305" cy="665988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partner. Learning from our long-standing relationship with Mount Sinai, we have refined a health system engagement model that is both operational and economic and designed to maximize both our and our health system partner’s value from the relationship. We are currently activating and expanding our relationships with several leading health systems that will expand our access to data and that we expect will position our platforms for rapid growth and broad commercial opportunities, and have recently signed contracts with three new health systems in support of this strategy.</w:t>
      </w:r>
    </w:p>
    <w:p>
      <w:pPr>
        <w:spacing w:after="0" w:line="141"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Centered on Centrellis and Traversa, we have also established and continue to seek strategic relationships with Biopharma companies to enable innovation across the entire drug lifecycle, from next generation drug discovery and development, to post-market efficacy surveillance, to informing on bioavailability, toxicity, tolerability, and other features critical to drug development. We have demonstrated the ability to integrate across all aspects of the next generation therapeutic and drug development process, including: biomarker identification as part of early stage drug discovery; identification, validation and prioritization of drug targets; clinical trial patient recruitment; real-world evidence studies; and identifying new markets and indications for existing assets. We believe our solutions allow our Biopharma partners to harness the potential of big data to enable the development of next generation precision medicine therapeutics.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7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were incorporated on July 10, 2020 as a special purpose acquisition company and a Delaware corporation under the name CM Life Sciences, Inc. (“CMLS”). On September 4, 2020, CMLS completed its initial public offering. On July 22, 2021, CMLS consummated the Business Combination with Sema4 pursuant to the Merger Agreement. In connection with the Business Combination, CMLS changed its name to Sema4 Holdings Corp. (“Sema4 Holdings”).</w:t>
      </w:r>
    </w:p>
    <w:p>
      <w:pPr>
        <w:spacing w:after="0" w:line="138"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Our address is 333 Ludlow Street, North Tower, 8th Floor, Stamford, Connecticut 06902. Our telephone number is 1(800) 298-6470. Our website address is https://sema4.com. Information contained on our website or connected thereto does not constitute part of, and is not incorporated by reference into, this prospectus or the registration statement of which it forms a part.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170" w:lineRule="exact"/>
        <w:rPr>
          <w:sz w:val="20"/>
          <w:szCs w:val="20"/>
          <w:color w:val="auto"/>
        </w:rPr>
      </w:pPr>
    </w:p>
    <w:p>
      <w:pPr>
        <w:jc w:val="both"/>
        <w:ind w:firstLine="318"/>
        <w:spacing w:after="0" w:line="252" w:lineRule="auto"/>
        <w:rPr>
          <w:rFonts w:ascii="Arial" w:cs="Arial" w:eastAsia="Arial" w:hAnsi="Arial"/>
          <w:sz w:val="18"/>
          <w:szCs w:val="18"/>
          <w:color w:val="auto"/>
        </w:rPr>
      </w:pPr>
      <w:r>
        <w:rPr>
          <w:rFonts w:ascii="Arial" w:cs="Arial" w:eastAsia="Arial" w:hAnsi="Arial"/>
          <w:sz w:val="18"/>
          <w:szCs w:val="18"/>
          <w:color w:val="auto"/>
        </w:rPr>
        <w:t>In evaluating an investment in our securities, investors should carefully read the risks described below, this prospectus and especially consider the factors discussed in the section entitled “</w:t>
      </w:r>
      <w:hyperlink w:anchor="page17">
        <w:r>
          <w:rPr>
            <w:rFonts w:ascii="Arial" w:cs="Arial" w:eastAsia="Arial" w:hAnsi="Arial"/>
            <w:sz w:val="18"/>
            <w:szCs w:val="18"/>
            <w:i w:val="1"/>
            <w:iCs w:val="1"/>
            <w:u w:val="single" w:color="auto"/>
            <w:color w:val="0000FF"/>
          </w:rPr>
          <w:t>Risk Factors</w:t>
        </w:r>
      </w:hyperlink>
      <w:r>
        <w:rPr>
          <w:rFonts w:ascii="Arial" w:cs="Arial" w:eastAsia="Arial" w:hAnsi="Arial"/>
          <w:sz w:val="18"/>
          <w:szCs w:val="18"/>
          <w:color w:val="auto"/>
        </w:rPr>
        <w:t>.” If any of the following events occur, our business, financial condition and operating results may be materially adversely affected. In that event, the trading price of our securities could decline, and you could lose all or part of your investment. Such risks include, but are not limited to:</w:t>
      </w:r>
    </w:p>
    <w:p>
      <w:pPr>
        <w:spacing w:after="0" w:line="138" w:lineRule="exact"/>
        <w:rPr>
          <w:sz w:val="20"/>
          <w:szCs w:val="20"/>
          <w:color w:val="auto"/>
        </w:rPr>
      </w:pPr>
    </w:p>
    <w:p>
      <w:pPr>
        <w:ind w:left="640" w:hanging="322"/>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COVID-19 pandemic has affected and may further materially and adversely affect our business and financial results.</w:t>
      </w:r>
    </w:p>
    <w:p>
      <w:pPr>
        <w:spacing w:after="0" w:line="175" w:lineRule="exact"/>
        <w:rPr>
          <w:rFonts w:ascii="Arial" w:cs="Arial" w:eastAsia="Arial" w:hAnsi="Arial"/>
          <w:sz w:val="17"/>
          <w:szCs w:val="17"/>
          <w:color w:val="auto"/>
        </w:rPr>
      </w:pPr>
    </w:p>
    <w:p>
      <w:pPr>
        <w:jc w:val="both"/>
        <w:ind w:left="640" w:hanging="322"/>
        <w:spacing w:after="0" w:line="255"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Due to the high degree of uncertainty regarding the implementation and impact of the CARES Act and other legislation related to COVID-19, there can be no assurance that we will be able to comply with the applicable terms and conditions of the CARES Act and retain such assistance.</w:t>
      </w:r>
    </w:p>
    <w:p>
      <w:pPr>
        <w:spacing w:after="0" w:line="135" w:lineRule="exact"/>
        <w:rPr>
          <w:rFonts w:ascii="Arial" w:cs="Arial" w:eastAsia="Arial" w:hAnsi="Arial"/>
          <w:sz w:val="18"/>
          <w:szCs w:val="18"/>
          <w:color w:val="auto"/>
        </w:rPr>
      </w:pPr>
    </w:p>
    <w:p>
      <w:pPr>
        <w:jc w:val="both"/>
        <w:ind w:left="640" w:hanging="322"/>
        <w:spacing w:after="0" w:line="255"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companies or institutions may develop and market novel or improved technologies, which may make our technologies less competitive or obsolete. If we do not continue to innovate and provide products and services that are useful to users, we may not remain competitive, which could harm our business and operating results.</w:t>
      </w:r>
    </w:p>
    <w:p>
      <w:pPr>
        <w:spacing w:after="0" w:line="135" w:lineRule="exact"/>
        <w:rPr>
          <w:rFonts w:ascii="Arial" w:cs="Arial" w:eastAsia="Arial" w:hAnsi="Arial"/>
          <w:sz w:val="18"/>
          <w:szCs w:val="18"/>
          <w:color w:val="auto"/>
        </w:rPr>
      </w:pPr>
    </w:p>
    <w:p>
      <w:pPr>
        <w:jc w:val="both"/>
        <w:ind w:left="640" w:hanging="322"/>
        <w:spacing w:after="0" w:line="277"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If third-party payors, including managed care organizations, private health insurers and government health plans, do not provide adequate reimbursement for our tests, or seek to amend or renegotiate their fee reimbursement schedules, or if we are unable to comply with their requirements for reimbursement, our commercial success could be negatively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9920"/>
          </w:cols>
          <w:pgMar w:left="980" w:top="1440" w:right="99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995680</wp:posOffset>
            </wp:positionV>
            <wp:extent cx="7139305" cy="7130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9305" cy="713041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322" w:hanging="322"/>
        <w:spacing w:after="0" w:line="264" w:lineRule="auto"/>
        <w:tabs>
          <w:tab w:leader="none" w:pos="318" w:val="left"/>
        </w:tabs>
        <w:numPr>
          <w:ilvl w:val="0"/>
          <w:numId w:val="4"/>
        </w:numPr>
        <w:rPr>
          <w:rFonts w:ascii="Arial" w:cs="Arial" w:eastAsia="Arial" w:hAnsi="Arial"/>
          <w:sz w:val="18"/>
          <w:szCs w:val="18"/>
          <w:color w:val="auto"/>
        </w:rPr>
      </w:pPr>
      <w:r>
        <w:rPr>
          <w:rFonts w:ascii="Arial" w:cs="Arial" w:eastAsia="Arial" w:hAnsi="Arial"/>
          <w:sz w:val="18"/>
          <w:szCs w:val="18"/>
          <w:color w:val="auto"/>
        </w:rPr>
        <w:t>Ethical, legal and social concerns related to the use of genomic medicine and health information analysis could reduce demand for our tests.</w:t>
      </w:r>
    </w:p>
    <w:p>
      <w:pPr>
        <w:spacing w:after="0" w:line="127" w:lineRule="exact"/>
        <w:rPr>
          <w:rFonts w:ascii="Arial" w:cs="Arial" w:eastAsia="Arial" w:hAnsi="Arial"/>
          <w:sz w:val="18"/>
          <w:szCs w:val="18"/>
          <w:color w:val="auto"/>
        </w:rPr>
      </w:pPr>
    </w:p>
    <w:p>
      <w:pPr>
        <w:ind w:left="322" w:hanging="322"/>
        <w:spacing w:after="0" w:line="264" w:lineRule="auto"/>
        <w:tabs>
          <w:tab w:leader="none" w:pos="318"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fail to comply with federal and state laboratory licensing requirements or standards, we could lose the ability to perform our tests or experience disruptions to our business.</w:t>
      </w:r>
    </w:p>
    <w:p>
      <w:pPr>
        <w:spacing w:after="0" w:line="127" w:lineRule="exact"/>
        <w:rPr>
          <w:rFonts w:ascii="Arial" w:cs="Arial" w:eastAsia="Arial" w:hAnsi="Arial"/>
          <w:sz w:val="18"/>
          <w:szCs w:val="18"/>
          <w:color w:val="auto"/>
        </w:rPr>
      </w:pPr>
    </w:p>
    <w:p>
      <w:pPr>
        <w:ind w:left="322" w:hanging="322"/>
        <w:spacing w:after="0" w:line="294" w:lineRule="auto"/>
        <w:tabs>
          <w:tab w:leader="none" w:pos="318"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rely on highly skilled personnel in a broad array of disciplines and, if we are unable to hire, retain or motivate these individuals, or maintain our corporate culture, we may not be able to maintain the quality of our services or grow effectively.</w:t>
      </w:r>
    </w:p>
    <w:p>
      <w:pPr>
        <w:spacing w:after="0" w:line="104" w:lineRule="exact"/>
        <w:rPr>
          <w:rFonts w:ascii="Arial" w:cs="Arial" w:eastAsia="Arial" w:hAnsi="Arial"/>
          <w:sz w:val="17"/>
          <w:szCs w:val="17"/>
          <w:color w:val="auto"/>
        </w:rPr>
      </w:pPr>
    </w:p>
    <w:p>
      <w:pPr>
        <w:ind w:left="322" w:hanging="322"/>
        <w:spacing w:after="0" w:line="365" w:lineRule="auto"/>
        <w:tabs>
          <w:tab w:leader="none" w:pos="318" w:val="left"/>
        </w:tabs>
        <w:numPr>
          <w:ilvl w:val="0"/>
          <w:numId w:val="4"/>
        </w:numPr>
        <w:rPr>
          <w:rFonts w:ascii="Arial" w:cs="Arial" w:eastAsia="Arial" w:hAnsi="Arial"/>
          <w:sz w:val="15"/>
          <w:szCs w:val="15"/>
          <w:color w:val="auto"/>
        </w:rPr>
      </w:pPr>
      <w:r>
        <w:rPr>
          <w:rFonts w:ascii="Arial" w:cs="Arial" w:eastAsia="Arial" w:hAnsi="Arial"/>
          <w:sz w:val="15"/>
          <w:szCs w:val="15"/>
          <w:color w:val="auto"/>
        </w:rPr>
        <w:t>We need to scale our infrastructure in advance of demand for our products and services, and our failure to generate sufficient demand for our products and services would have a negative impact on our business and our ability to attain profitability.</w:t>
      </w:r>
    </w:p>
    <w:p>
      <w:pPr>
        <w:spacing w:after="0" w:line="58" w:lineRule="exact"/>
        <w:rPr>
          <w:rFonts w:ascii="Arial" w:cs="Arial" w:eastAsia="Arial" w:hAnsi="Arial"/>
          <w:sz w:val="15"/>
          <w:szCs w:val="15"/>
          <w:color w:val="auto"/>
        </w:rPr>
      </w:pPr>
    </w:p>
    <w:p>
      <w:pPr>
        <w:ind w:left="322" w:hanging="322"/>
        <w:spacing w:after="0" w:line="264" w:lineRule="auto"/>
        <w:tabs>
          <w:tab w:leader="none" w:pos="318"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International expansion of our business could expose us to business, regulatory, political, operational, financial and economic risks associated with doing business outside of the United States.</w:t>
      </w:r>
    </w:p>
    <w:p>
      <w:pPr>
        <w:spacing w:after="0" w:line="127" w:lineRule="exact"/>
        <w:rPr>
          <w:rFonts w:ascii="Arial" w:cs="Arial" w:eastAsia="Arial" w:hAnsi="Arial"/>
          <w:sz w:val="18"/>
          <w:szCs w:val="18"/>
          <w:color w:val="auto"/>
        </w:rPr>
      </w:pPr>
    </w:p>
    <w:p>
      <w:pPr>
        <w:ind w:left="322" w:hanging="322"/>
        <w:spacing w:after="0"/>
        <w:tabs>
          <w:tab w:leader="none" w:pos="322" w:val="left"/>
        </w:tabs>
        <w:numPr>
          <w:ilvl w:val="0"/>
          <w:numId w:val="4"/>
        </w:numPr>
        <w:rPr>
          <w:rFonts w:ascii="Arial" w:cs="Arial" w:eastAsia="Arial" w:hAnsi="Arial"/>
          <w:sz w:val="15"/>
          <w:szCs w:val="15"/>
          <w:color w:val="auto"/>
        </w:rPr>
      </w:pPr>
      <w:r>
        <w:rPr>
          <w:rFonts w:ascii="Arial" w:cs="Arial" w:eastAsia="Arial" w:hAnsi="Arial"/>
          <w:sz w:val="15"/>
          <w:szCs w:val="15"/>
          <w:color w:val="auto"/>
        </w:rPr>
        <w:t>Unfavorable U.S. or global economic conditions could adversely affect our business, financial condition or results of operations.</w:t>
      </w:r>
    </w:p>
    <w:p>
      <w:pPr>
        <w:spacing w:after="0" w:line="198" w:lineRule="exact"/>
        <w:rPr>
          <w:rFonts w:ascii="Arial" w:cs="Arial" w:eastAsia="Arial" w:hAnsi="Arial"/>
          <w:sz w:val="15"/>
          <w:szCs w:val="15"/>
          <w:color w:val="auto"/>
        </w:rPr>
      </w:pPr>
    </w:p>
    <w:p>
      <w:pPr>
        <w:jc w:val="both"/>
        <w:ind w:left="322" w:hanging="322"/>
        <w:spacing w:after="0" w:line="255" w:lineRule="auto"/>
        <w:tabs>
          <w:tab w:leader="none" w:pos="318"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rely on a limited number of product and suppliers or, in some cases, single suppliers, for data infrastructure and some of our laboratory instruments and materials and may not be able to find replacements or immediately transition to alternative suppliers or service providers.</w:t>
      </w:r>
    </w:p>
    <w:p>
      <w:pPr>
        <w:spacing w:after="0" w:line="135" w:lineRule="exact"/>
        <w:rPr>
          <w:rFonts w:ascii="Arial" w:cs="Arial" w:eastAsia="Arial" w:hAnsi="Arial"/>
          <w:sz w:val="18"/>
          <w:szCs w:val="18"/>
          <w:color w:val="auto"/>
        </w:rPr>
      </w:pPr>
    </w:p>
    <w:p>
      <w:pPr>
        <w:ind w:left="322" w:hanging="322"/>
        <w:spacing w:after="0"/>
        <w:tabs>
          <w:tab w:leader="none" w:pos="322"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current and future products and services may never achieve significant commercial market acceptance.</w:t>
      </w:r>
    </w:p>
    <w:p>
      <w:pPr>
        <w:spacing w:after="0" w:line="164" w:lineRule="exact"/>
        <w:rPr>
          <w:rFonts w:ascii="Arial" w:cs="Arial" w:eastAsia="Arial" w:hAnsi="Arial"/>
          <w:sz w:val="18"/>
          <w:szCs w:val="18"/>
          <w:color w:val="auto"/>
        </w:rPr>
      </w:pPr>
    </w:p>
    <w:p>
      <w:pPr>
        <w:jc w:val="both"/>
        <w:ind w:left="322" w:hanging="322"/>
        <w:spacing w:after="0" w:line="255" w:lineRule="auto"/>
        <w:tabs>
          <w:tab w:leader="none" w:pos="318"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projections are subject to significant risks, assumptions, estimates and uncertainties, including assumptions regarding adoption of our products and services. As a result, our projected revenues, market share, expenses and profitability may differ materially from our expectations in any given quarter or fiscal year.</w:t>
      </w:r>
    </w:p>
    <w:p>
      <w:pPr>
        <w:spacing w:after="0" w:line="135" w:lineRule="exact"/>
        <w:rPr>
          <w:rFonts w:ascii="Arial" w:cs="Arial" w:eastAsia="Arial" w:hAnsi="Arial"/>
          <w:sz w:val="18"/>
          <w:szCs w:val="18"/>
          <w:color w:val="auto"/>
        </w:rPr>
      </w:pPr>
    </w:p>
    <w:p>
      <w:pPr>
        <w:ind w:left="322" w:hanging="322"/>
        <w:spacing w:after="0" w:line="264" w:lineRule="auto"/>
        <w:tabs>
          <w:tab w:leader="none" w:pos="318"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estimated the sizes of the markets for our current and future products and services, and these markets may be smaller than we estimate.</w:t>
      </w:r>
    </w:p>
    <w:p>
      <w:pPr>
        <w:spacing w:after="0" w:line="127" w:lineRule="exact"/>
        <w:rPr>
          <w:rFonts w:ascii="Arial" w:cs="Arial" w:eastAsia="Arial" w:hAnsi="Arial"/>
          <w:sz w:val="18"/>
          <w:szCs w:val="18"/>
          <w:color w:val="auto"/>
        </w:rPr>
      </w:pPr>
    </w:p>
    <w:p>
      <w:pPr>
        <w:ind w:left="322" w:hanging="322"/>
        <w:spacing w:after="0"/>
        <w:tabs>
          <w:tab w:leader="none" w:pos="322"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never become profitable.</w:t>
      </w:r>
    </w:p>
    <w:p>
      <w:pPr>
        <w:spacing w:after="0" w:line="164" w:lineRule="exact"/>
        <w:rPr>
          <w:rFonts w:ascii="Arial" w:cs="Arial" w:eastAsia="Arial" w:hAnsi="Arial"/>
          <w:sz w:val="18"/>
          <w:szCs w:val="18"/>
          <w:color w:val="auto"/>
        </w:rPr>
      </w:pPr>
    </w:p>
    <w:p>
      <w:pPr>
        <w:ind w:left="322" w:hanging="322"/>
        <w:spacing w:after="0" w:line="264" w:lineRule="auto"/>
        <w:tabs>
          <w:tab w:leader="none" w:pos="318"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operating results could be subject to significant fluctuation, which could increase the volatility of our stock and warrant price and cause losses to our stockholders.</w:t>
      </w:r>
    </w:p>
    <w:p>
      <w:pPr>
        <w:spacing w:after="0" w:line="127" w:lineRule="exact"/>
        <w:rPr>
          <w:rFonts w:ascii="Arial" w:cs="Arial" w:eastAsia="Arial" w:hAnsi="Arial"/>
          <w:sz w:val="18"/>
          <w:szCs w:val="18"/>
          <w:color w:val="auto"/>
        </w:rPr>
      </w:pPr>
    </w:p>
    <w:p>
      <w:pPr>
        <w:ind w:left="322" w:hanging="322"/>
        <w:spacing w:after="0" w:line="264" w:lineRule="auto"/>
        <w:tabs>
          <w:tab w:leader="none" w:pos="318"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revenue growth rate could decline over time, and we may experience downward pressure on our operating margins in the future.</w:t>
      </w:r>
    </w:p>
    <w:p>
      <w:pPr>
        <w:spacing w:after="0" w:line="127" w:lineRule="exact"/>
        <w:rPr>
          <w:rFonts w:ascii="Arial" w:cs="Arial" w:eastAsia="Arial" w:hAnsi="Arial"/>
          <w:sz w:val="18"/>
          <w:szCs w:val="18"/>
          <w:color w:val="auto"/>
        </w:rPr>
      </w:pPr>
    </w:p>
    <w:p>
      <w:pPr>
        <w:ind w:left="322" w:hanging="322"/>
        <w:spacing w:after="0" w:line="264" w:lineRule="auto"/>
        <w:tabs>
          <w:tab w:leader="none" w:pos="318"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need to raise additional capital to fund our existing operations, develop additional products and services, commercialize new products and services or expand our operations.</w:t>
      </w:r>
    </w:p>
    <w:p>
      <w:pPr>
        <w:spacing w:after="0" w:line="127" w:lineRule="exact"/>
        <w:rPr>
          <w:rFonts w:ascii="Arial" w:cs="Arial" w:eastAsia="Arial" w:hAnsi="Arial"/>
          <w:sz w:val="18"/>
          <w:szCs w:val="18"/>
          <w:color w:val="auto"/>
        </w:rPr>
      </w:pPr>
    </w:p>
    <w:p>
      <w:pPr>
        <w:jc w:val="both"/>
        <w:ind w:left="322" w:hanging="322"/>
        <w:spacing w:after="0" w:line="255" w:lineRule="auto"/>
        <w:tabs>
          <w:tab w:leader="none" w:pos="318"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identified material weaknesses, some of which have a pervasive effect across the organization, and may identify additional material weaknesses or significant deficiencies, in our internal controls over financial reporting. Our failure to remedy these matters could result in a material misstatement of our financial statements.</w:t>
      </w:r>
    </w:p>
    <w:p>
      <w:pPr>
        <w:spacing w:after="0" w:line="135" w:lineRule="exact"/>
        <w:rPr>
          <w:rFonts w:ascii="Arial" w:cs="Arial" w:eastAsia="Arial" w:hAnsi="Arial"/>
          <w:sz w:val="18"/>
          <w:szCs w:val="18"/>
          <w:color w:val="auto"/>
        </w:rPr>
      </w:pPr>
    </w:p>
    <w:p>
      <w:pPr>
        <w:ind w:left="322" w:hanging="322"/>
        <w:spacing w:after="0" w:line="294" w:lineRule="auto"/>
        <w:tabs>
          <w:tab w:leader="none" w:pos="318"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rely on third-party laboratories to perform certain elements of our service offerings, and rely on Mount Sinai, a related party, and our clinicians for a portion of our test volume in connection with our diagnostic solutions and for data programs.</w:t>
      </w:r>
    </w:p>
    <w:p>
      <w:pPr>
        <w:spacing w:after="0" w:line="104" w:lineRule="exact"/>
        <w:rPr>
          <w:rFonts w:ascii="Arial" w:cs="Arial" w:eastAsia="Arial" w:hAnsi="Arial"/>
          <w:sz w:val="17"/>
          <w:szCs w:val="17"/>
          <w:color w:val="auto"/>
        </w:rPr>
      </w:pPr>
    </w:p>
    <w:p>
      <w:pPr>
        <w:ind w:left="322" w:hanging="322"/>
        <w:spacing w:after="0" w:line="264" w:lineRule="auto"/>
        <w:tabs>
          <w:tab w:leader="none" w:pos="318"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subject to increased compliance risks as a result of our rapid growth, including our dependence on our sales, marketing and billing efforts.</w:t>
      </w:r>
    </w:p>
    <w:p>
      <w:pPr>
        <w:sectPr>
          <w:pgSz w:w="11900" w:h="16838" w:orient="portrait"/>
          <w:cols w:equalWidth="0" w:num="1">
            <w:col w:w="9602"/>
          </w:cols>
          <w:pgMar w:left="1298"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18"/>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9602"/>
          </w:cols>
          <w:pgMar w:left="1298" w:top="1440" w:right="999" w:bottom="1440" w:gutter="0" w:footer="0" w:header="0"/>
          <w:type w:val="continuous"/>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995680</wp:posOffset>
            </wp:positionV>
            <wp:extent cx="7139305" cy="72313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9305" cy="723138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640" w:hanging="322"/>
        <w:spacing w:after="0" w:line="294" w:lineRule="auto"/>
        <w:tabs>
          <w:tab w:leader="none" w:pos="635"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and our partners will have to maintain compliance with FDA requirements for research, products and services and failure to maintain compliance with FDA requirements may prevent or delay the marketing of our products and services.</w:t>
      </w:r>
    </w:p>
    <w:p>
      <w:pPr>
        <w:spacing w:after="0" w:line="104" w:lineRule="exact"/>
        <w:rPr>
          <w:rFonts w:ascii="Arial" w:cs="Arial" w:eastAsia="Arial" w:hAnsi="Arial"/>
          <w:sz w:val="17"/>
          <w:szCs w:val="17"/>
          <w:color w:val="auto"/>
        </w:rPr>
      </w:pPr>
    </w:p>
    <w:p>
      <w:pPr>
        <w:ind w:left="640" w:hanging="322"/>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Compliance with the HIPAA security, privacy and breach notification regulations may increase our costs.</w:t>
      </w:r>
    </w:p>
    <w:p>
      <w:pPr>
        <w:spacing w:after="0" w:line="164" w:lineRule="exact"/>
        <w:rPr>
          <w:rFonts w:ascii="Arial" w:cs="Arial" w:eastAsia="Arial" w:hAnsi="Arial"/>
          <w:sz w:val="18"/>
          <w:szCs w:val="18"/>
          <w:color w:val="auto"/>
        </w:rPr>
      </w:pPr>
    </w:p>
    <w:p>
      <w:pPr>
        <w:ind w:left="640" w:hanging="322"/>
        <w:spacing w:after="0"/>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face uncertainty related to healthcare reform, pricing, coverage and reimbursement, which could reduce our revenue.</w:t>
      </w:r>
    </w:p>
    <w:p>
      <w:pPr>
        <w:spacing w:after="0" w:line="175" w:lineRule="exact"/>
        <w:rPr>
          <w:rFonts w:ascii="Arial" w:cs="Arial" w:eastAsia="Arial" w:hAnsi="Arial"/>
          <w:sz w:val="17"/>
          <w:szCs w:val="17"/>
          <w:color w:val="auto"/>
        </w:rPr>
      </w:pPr>
    </w:p>
    <w:p>
      <w:pPr>
        <w:ind w:left="640" w:hanging="322"/>
        <w:spacing w:after="0" w:line="264"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inability to effectively protect our proprietary products, processes, and technologies, including the confidentiality of our trade secrets, could harm our competitive position.</w:t>
      </w:r>
    </w:p>
    <w:p>
      <w:pPr>
        <w:spacing w:after="0" w:line="127" w:lineRule="exact"/>
        <w:rPr>
          <w:rFonts w:ascii="Arial" w:cs="Arial" w:eastAsia="Arial" w:hAnsi="Arial"/>
          <w:sz w:val="18"/>
          <w:szCs w:val="18"/>
          <w:color w:val="auto"/>
        </w:rPr>
      </w:pPr>
    </w:p>
    <w:p>
      <w:pPr>
        <w:ind w:left="640" w:hanging="322"/>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patent regulations or standards are modified, such changes could have a negative impact on our business.</w:t>
      </w:r>
    </w:p>
    <w:p>
      <w:pPr>
        <w:spacing w:after="0" w:line="164" w:lineRule="exact"/>
        <w:rPr>
          <w:rFonts w:ascii="Arial" w:cs="Arial" w:eastAsia="Arial" w:hAnsi="Arial"/>
          <w:sz w:val="18"/>
          <w:szCs w:val="18"/>
          <w:color w:val="auto"/>
        </w:rPr>
      </w:pPr>
    </w:p>
    <w:p>
      <w:pPr>
        <w:ind w:left="640" w:hanging="322"/>
        <w:spacing w:after="0" w:line="365" w:lineRule="auto"/>
        <w:tabs>
          <w:tab w:leader="none" w:pos="635" w:val="left"/>
        </w:tabs>
        <w:numPr>
          <w:ilvl w:val="0"/>
          <w:numId w:val="5"/>
        </w:numPr>
        <w:rPr>
          <w:rFonts w:ascii="Arial" w:cs="Arial" w:eastAsia="Arial" w:hAnsi="Arial"/>
          <w:sz w:val="15"/>
          <w:szCs w:val="15"/>
          <w:color w:val="auto"/>
        </w:rPr>
      </w:pPr>
      <w:r>
        <w:rPr>
          <w:rFonts w:ascii="Arial" w:cs="Arial" w:eastAsia="Arial" w:hAnsi="Arial"/>
          <w:sz w:val="15"/>
          <w:szCs w:val="15"/>
          <w:color w:val="auto"/>
        </w:rPr>
        <w:t>Litigation or other proceedings resulting from either third-party claims of patent infringement, or asserting infringement by third parties of our technology, could be costly, time-consuming, and could limit our ability to commercialize our products or services.</w:t>
      </w:r>
    </w:p>
    <w:p>
      <w:pPr>
        <w:spacing w:after="0" w:line="58" w:lineRule="exact"/>
        <w:rPr>
          <w:rFonts w:ascii="Arial" w:cs="Arial" w:eastAsia="Arial" w:hAnsi="Arial"/>
          <w:sz w:val="15"/>
          <w:szCs w:val="15"/>
          <w:color w:val="auto"/>
        </w:rPr>
      </w:pPr>
    </w:p>
    <w:p>
      <w:pPr>
        <w:ind w:left="640" w:hanging="322"/>
        <w:spacing w:after="0" w:line="294" w:lineRule="auto"/>
        <w:tabs>
          <w:tab w:leader="none" w:pos="635" w:val="left"/>
        </w:tabs>
        <w:numPr>
          <w:ilvl w:val="0"/>
          <w:numId w:val="5"/>
        </w:numPr>
        <w:rPr>
          <w:rFonts w:ascii="Arial" w:cs="Arial" w:eastAsia="Arial" w:hAnsi="Arial"/>
          <w:sz w:val="17"/>
          <w:szCs w:val="17"/>
          <w:color w:val="auto"/>
        </w:rPr>
      </w:pPr>
      <w:r>
        <w:rPr>
          <w:rFonts w:ascii="Arial" w:cs="Arial" w:eastAsia="Arial" w:hAnsi="Arial"/>
          <w:sz w:val="17"/>
          <w:szCs w:val="17"/>
          <w:color w:val="auto"/>
        </w:rPr>
        <w:t>Interruption, interference with, or failure of our information technology and communications systems could hurt our ability to effectively provide our products and services, which could harm its reputation, financial condition, and operating results.</w:t>
      </w:r>
    </w:p>
    <w:p>
      <w:pPr>
        <w:spacing w:after="0" w:line="104" w:lineRule="exact"/>
        <w:rPr>
          <w:rFonts w:ascii="Arial" w:cs="Arial" w:eastAsia="Arial" w:hAnsi="Arial"/>
          <w:sz w:val="17"/>
          <w:szCs w:val="17"/>
          <w:color w:val="auto"/>
        </w:rPr>
      </w:pPr>
    </w:p>
    <w:p>
      <w:pPr>
        <w:jc w:val="both"/>
        <w:ind w:left="640" w:hanging="322"/>
        <w:spacing w:after="0" w:line="255"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Security breaches, privacy issues, loss of data and other incidents could compromise sensitive, protected, or personal information related to our business, could prevent us from accessing critical information, and could expose us to regulatory liability, which could adversely affect our business.</w:t>
      </w:r>
    </w:p>
    <w:p>
      <w:pPr>
        <w:spacing w:after="0" w:line="135" w:lineRule="exact"/>
        <w:rPr>
          <w:rFonts w:ascii="Arial" w:cs="Arial" w:eastAsia="Arial" w:hAnsi="Arial"/>
          <w:sz w:val="18"/>
          <w:szCs w:val="18"/>
          <w:color w:val="auto"/>
        </w:rPr>
      </w:pPr>
    </w:p>
    <w:p>
      <w:pPr>
        <w:ind w:left="640" w:hanging="322"/>
        <w:spacing w:after="0" w:line="264"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depends on our scientific computing and information technology and management systems and any failure of these systems could harm our business.</w:t>
      </w:r>
    </w:p>
    <w:p>
      <w:pPr>
        <w:spacing w:after="0" w:line="127" w:lineRule="exact"/>
        <w:rPr>
          <w:rFonts w:ascii="Arial" w:cs="Arial" w:eastAsia="Arial" w:hAnsi="Arial"/>
          <w:sz w:val="18"/>
          <w:szCs w:val="18"/>
          <w:color w:val="auto"/>
        </w:rPr>
      </w:pPr>
    </w:p>
    <w:p>
      <w:pPr>
        <w:ind w:left="640" w:hanging="322"/>
        <w:spacing w:after="0" w:line="264"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the Business Combination’s benefits do not meet the expectations of investors, stockholders or financial analysts, the market price of our securities may decline.</w:t>
      </w:r>
    </w:p>
    <w:p>
      <w:pPr>
        <w:spacing w:after="0" w:line="127" w:lineRule="exact"/>
        <w:rPr>
          <w:rFonts w:ascii="Arial" w:cs="Arial" w:eastAsia="Arial" w:hAnsi="Arial"/>
          <w:sz w:val="18"/>
          <w:szCs w:val="18"/>
          <w:color w:val="auto"/>
        </w:rPr>
      </w:pPr>
    </w:p>
    <w:p>
      <w:pPr>
        <w:ind w:left="640" w:hanging="322"/>
        <w:spacing w:after="0" w:line="264"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laws, regulations or rules, or a failure to comply with any laws, regulations or rules, may adversely affect our business, investments and results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17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are an “emerging growth company,” as defined in Section 2(a) of the Securities Act, as modified by the Jumpstart Our Business Startups Act of 2012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46"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5"/>
          <w:szCs w:val="15"/>
          <w:color w:val="auto"/>
        </w:rPr>
        <w:t>Further, Section 102(b)(1) of the JOBS Act exempts emerging growth companies from being required to comply with new or revised financial accounting standards until private companies (that is, those that have not had a registration statement under the Securities Act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certain other public companies difficult or impossible because of the potential differences in accounting standards used.</w:t>
      </w:r>
    </w:p>
    <w:p>
      <w:pPr>
        <w:sectPr>
          <w:pgSz w:w="11900" w:h="16838" w:orient="portrait"/>
          <w:cols w:equalWidth="0" w:num="1">
            <w:col w:w="9920"/>
          </w:cols>
          <w:pgMar w:left="98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9920"/>
          </w:cols>
          <w:pgMar w:left="980" w:top="1440" w:right="999" w:bottom="1440" w:gutter="0" w:footer="0" w:header="0"/>
          <w:type w:val="continuous"/>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995680</wp:posOffset>
            </wp:positionV>
            <wp:extent cx="7139305" cy="16116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9305" cy="161163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We will remain an emerging growth company until the earliest of (i) the last day of the fiscal year: (a) following September 1, 2025, the fifth anniversary of our IPO; (b) in which we have total annual gross revenue of at least $1.07 billion; or (c) in which we are deemed to be a large accelerated filer, which means the market value of our common stock that is held by non-affiliates exceeds $700.0 million as of the prior June 30th, and (ii) the date on which we have issued more than $1.0 billion in non-convertible debt during the prior three-year period. References herein to “emerging growth company” have the meaning associated with it in the JOBS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9920"/>
          </w:cols>
          <w:pgMar w:left="980" w:top="1440" w:right="99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995680</wp:posOffset>
            </wp:positionV>
            <wp:extent cx="7139305" cy="7046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9305" cy="7046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The Offering</w:t>
      </w:r>
    </w:p>
    <w:p>
      <w:pPr>
        <w:sectPr>
          <w:pgSz w:w="11900" w:h="16838" w:orient="portrait"/>
          <w:cols w:equalWidth="0" w:num="1">
            <w:col w:w="9880"/>
          </w:cols>
          <w:pgMar w:left="1000" w:top="1440" w:right="101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common stock</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Shares of common stock offered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Shares of common stock outstanding as of July 28, 2021</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Exercise price of public warrants and private placement warrants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Resale of common stock and warrants</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Sema4 Holdings Corp.</w:t>
      </w:r>
    </w:p>
    <w:p>
      <w:pPr>
        <w:spacing w:after="0" w:line="363"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Up to 21,995,000 shares of Class A common stock issuable upon exercise of warrants, consisting of:</w:t>
      </w:r>
    </w:p>
    <w:p>
      <w:pPr>
        <w:spacing w:after="0" w:line="22" w:lineRule="exact"/>
        <w:rPr>
          <w:sz w:val="20"/>
          <w:szCs w:val="20"/>
          <w:color w:val="auto"/>
        </w:rPr>
      </w:pPr>
    </w:p>
    <w:p>
      <w:pPr>
        <w:ind w:left="620" w:hanging="309"/>
        <w:spacing w:after="0" w:line="331" w:lineRule="auto"/>
        <w:tabs>
          <w:tab w:leader="none" w:pos="610" w:val="left"/>
        </w:tabs>
        <w:numPr>
          <w:ilvl w:val="0"/>
          <w:numId w:val="6"/>
        </w:numPr>
        <w:rPr>
          <w:rFonts w:ascii="Arial" w:cs="Arial" w:eastAsia="Arial" w:hAnsi="Arial"/>
          <w:sz w:val="15"/>
          <w:szCs w:val="15"/>
          <w:color w:val="auto"/>
        </w:rPr>
      </w:pPr>
      <w:r>
        <w:rPr>
          <w:rFonts w:ascii="Arial" w:cs="Arial" w:eastAsia="Arial" w:hAnsi="Arial"/>
          <w:sz w:val="15"/>
          <w:szCs w:val="15"/>
          <w:color w:val="auto"/>
        </w:rPr>
        <w:t>up to 14,758,333 shares of Class A common stock that are issuable upon the exercise of the public warrants; and</w:t>
      </w:r>
    </w:p>
    <w:p>
      <w:pPr>
        <w:spacing w:after="0" w:line="1" w:lineRule="exact"/>
        <w:rPr>
          <w:rFonts w:ascii="Arial" w:cs="Arial" w:eastAsia="Arial" w:hAnsi="Arial"/>
          <w:sz w:val="15"/>
          <w:szCs w:val="15"/>
          <w:color w:val="auto"/>
        </w:rPr>
      </w:pPr>
    </w:p>
    <w:p>
      <w:pPr>
        <w:jc w:val="both"/>
        <w:ind w:left="620" w:hanging="309"/>
        <w:spacing w:after="0" w:line="271" w:lineRule="auto"/>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up to 7,236,667 shares of Class A common stock that are issuable upon the exercise of the private placement warrants following the public resale of the private placement warrants by the Selling Securityholders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240,190,402 shares of Class A common stock</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$11.50 per share, subject to adjustments as described herein</w:t>
      </w:r>
    </w:p>
    <w:p>
      <w:pPr>
        <w:spacing w:after="0" w:line="71" w:lineRule="exact"/>
        <w:rPr>
          <w:sz w:val="20"/>
          <w:szCs w:val="20"/>
          <w:color w:val="auto"/>
        </w:rPr>
      </w:pPr>
    </w:p>
    <w:p>
      <w:pPr>
        <w:ind w:right="80"/>
        <w:spacing w:after="0" w:line="224" w:lineRule="auto"/>
        <w:rPr>
          <w:rFonts w:ascii="Arial" w:cs="Arial" w:eastAsia="Arial" w:hAnsi="Arial"/>
          <w:sz w:val="17"/>
          <w:szCs w:val="17"/>
          <w:color w:val="auto"/>
          <w:highlight w:val="white"/>
        </w:rPr>
      </w:pPr>
      <w:r>
        <w:rPr>
          <w:rFonts w:ascii="Arial" w:cs="Arial" w:eastAsia="Arial" w:hAnsi="Arial"/>
          <w:sz w:val="17"/>
          <w:szCs w:val="17"/>
          <w:color w:val="auto"/>
          <w:highlight w:val="white"/>
        </w:rPr>
        <w:t>We will receive up to an aggregate of approximately $252.9 million from the exercise of the warrants, assuming the exercise in full of all of the warrants for cash. We expect to use the net proceeds from the exercise of the warrants for investment in growth and general corporate purposes. See “</w:t>
      </w:r>
      <w:hyperlink w:anchor="page65">
        <w:r>
          <w:rPr>
            <w:rFonts w:ascii="Arial" w:cs="Arial" w:eastAsia="Arial" w:hAnsi="Arial"/>
            <w:sz w:val="17"/>
            <w:szCs w:val="17"/>
            <w:i w:val="1"/>
            <w:iCs w:val="1"/>
            <w:u w:val="single" w:color="auto"/>
            <w:color w:val="0000FF"/>
          </w:rPr>
          <w:t>Use of Proceeds</w:t>
        </w:r>
      </w:hyperlink>
      <w:r>
        <w:rPr>
          <w:rFonts w:ascii="Arial" w:cs="Arial" w:eastAsia="Arial" w:hAnsi="Arial"/>
          <w:sz w:val="17"/>
          <w:szCs w:val="17"/>
          <w:color w:val="auto"/>
          <w:highlight w:val="white"/>
        </w:rPr>
        <w:t>.”</w:t>
      </w:r>
    </w:p>
    <w:p>
      <w:pPr>
        <w:spacing w:after="0" w:line="333" w:lineRule="exact"/>
        <w:rPr>
          <w:sz w:val="20"/>
          <w:szCs w:val="20"/>
          <w:color w:val="auto"/>
        </w:rPr>
      </w:pPr>
    </w:p>
    <w:p>
      <w:pPr>
        <w:sectPr>
          <w:pgSz w:w="11900" w:h="16838" w:orient="portrait"/>
          <w:cols w:equalWidth="0" w:num="2">
            <w:col w:w="4580" w:space="380"/>
            <w:col w:w="4920"/>
          </w:cols>
          <w:pgMar w:left="1000" w:top="1440" w:right="1019" w:bottom="1440" w:gutter="0" w:footer="0" w:header="0"/>
          <w:type w:val="continuous"/>
        </w:sectPr>
      </w:pPr>
    </w:p>
    <w:p>
      <w:pPr>
        <w:spacing w:after="0"/>
        <w:rPr>
          <w:sz w:val="20"/>
          <w:szCs w:val="20"/>
          <w:color w:val="auto"/>
        </w:rPr>
      </w:pPr>
      <w:r>
        <w:rPr>
          <w:rFonts w:ascii="Arial" w:cs="Arial" w:eastAsia="Arial" w:hAnsi="Arial"/>
          <w:sz w:val="15"/>
          <w:szCs w:val="15"/>
          <w:color w:val="auto"/>
        </w:rPr>
        <w:t>Shares of common stock offered by the Selling Securityholders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1100"/>
        <w:spacing w:after="0" w:line="341" w:lineRule="auto"/>
        <w:rPr>
          <w:sz w:val="20"/>
          <w:szCs w:val="20"/>
          <w:color w:val="auto"/>
        </w:rPr>
      </w:pPr>
      <w:r>
        <w:rPr>
          <w:rFonts w:ascii="Arial" w:cs="Arial" w:eastAsia="Arial" w:hAnsi="Arial"/>
          <w:sz w:val="18"/>
          <w:szCs w:val="18"/>
          <w:color w:val="auto"/>
        </w:rPr>
        <w:t>Warrants offered by the Selling Securityholders Terms of the offering</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Use of proceeds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Up to 236,223,401 shares of Class A common stock, consisting of:</w:t>
      </w:r>
    </w:p>
    <w:p>
      <w:pPr>
        <w:spacing w:after="0" w:line="40" w:lineRule="exact"/>
        <w:rPr>
          <w:sz w:val="20"/>
          <w:szCs w:val="20"/>
          <w:color w:val="auto"/>
        </w:rPr>
      </w:pPr>
    </w:p>
    <w:p>
      <w:pPr>
        <w:ind w:left="620" w:hanging="309"/>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up to 35,000,000 PIPE Shares;</w:t>
      </w:r>
    </w:p>
    <w:p>
      <w:pPr>
        <w:spacing w:after="0" w:line="44" w:lineRule="exact"/>
        <w:rPr>
          <w:rFonts w:ascii="Arial" w:cs="Arial" w:eastAsia="Arial" w:hAnsi="Arial"/>
          <w:sz w:val="18"/>
          <w:szCs w:val="18"/>
          <w:color w:val="auto"/>
        </w:rPr>
      </w:pPr>
    </w:p>
    <w:p>
      <w:pPr>
        <w:ind w:left="620" w:hanging="309"/>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up to 11,068,750 founder shares;</w:t>
      </w:r>
    </w:p>
    <w:p>
      <w:pPr>
        <w:spacing w:after="0" w:line="58" w:lineRule="exact"/>
        <w:rPr>
          <w:rFonts w:ascii="Arial" w:cs="Arial" w:eastAsia="Arial" w:hAnsi="Arial"/>
          <w:sz w:val="18"/>
          <w:szCs w:val="18"/>
          <w:color w:val="auto"/>
        </w:rPr>
      </w:pPr>
    </w:p>
    <w:p>
      <w:pPr>
        <w:ind w:left="620" w:hanging="309"/>
        <w:spacing w:after="0" w:line="331" w:lineRule="auto"/>
        <w:tabs>
          <w:tab w:leader="none" w:pos="610" w:val="left"/>
        </w:tabs>
        <w:numPr>
          <w:ilvl w:val="0"/>
          <w:numId w:val="7"/>
        </w:numPr>
        <w:rPr>
          <w:rFonts w:ascii="Arial" w:cs="Arial" w:eastAsia="Arial" w:hAnsi="Arial"/>
          <w:sz w:val="15"/>
          <w:szCs w:val="15"/>
          <w:color w:val="auto"/>
        </w:rPr>
      </w:pPr>
      <w:r>
        <w:rPr>
          <w:rFonts w:ascii="Arial" w:cs="Arial" w:eastAsia="Arial" w:hAnsi="Arial"/>
          <w:sz w:val="15"/>
          <w:szCs w:val="15"/>
          <w:color w:val="auto"/>
        </w:rPr>
        <w:t>to 7,236,667 shares of our Class A common stock issuable upon the exercise of the private placement warrants; and</w:t>
      </w:r>
    </w:p>
    <w:p>
      <w:pPr>
        <w:spacing w:after="0" w:line="1" w:lineRule="exact"/>
        <w:rPr>
          <w:rFonts w:ascii="Arial" w:cs="Arial" w:eastAsia="Arial" w:hAnsi="Arial"/>
          <w:sz w:val="15"/>
          <w:szCs w:val="15"/>
          <w:color w:val="auto"/>
        </w:rPr>
      </w:pPr>
    </w:p>
    <w:p>
      <w:pPr>
        <w:jc w:val="both"/>
        <w:ind w:left="620" w:hanging="309"/>
        <w:spacing w:after="0" w:line="249"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up to 182,917,984 shares of Class A common stock issued or issuable to the Sema4 equity holders in connection with or as a result of the consummation of the Business Combination consisting of:</w:t>
      </w:r>
    </w:p>
    <w:p>
      <w:pPr>
        <w:ind w:left="940" w:hanging="311"/>
        <w:spacing w:after="0"/>
        <w:tabs>
          <w:tab w:leader="none" w:pos="940" w:val="left"/>
        </w:tabs>
        <w:numPr>
          <w:ilvl w:val="1"/>
          <w:numId w:val="7"/>
        </w:numPr>
        <w:rPr>
          <w:rFonts w:ascii="Arial" w:cs="Arial" w:eastAsia="Arial" w:hAnsi="Arial"/>
          <w:sz w:val="15"/>
          <w:szCs w:val="15"/>
          <w:color w:val="auto"/>
        </w:rPr>
      </w:pPr>
      <w:r>
        <w:rPr>
          <w:rFonts w:ascii="Arial" w:cs="Arial" w:eastAsia="Arial" w:hAnsi="Arial"/>
          <w:sz w:val="15"/>
          <w:szCs w:val="15"/>
          <w:color w:val="auto"/>
        </w:rPr>
        <w:t>up to 149,856,840 shares of our Class A common stock;</w:t>
      </w:r>
    </w:p>
    <w:p>
      <w:pPr>
        <w:spacing w:after="0" w:line="39" w:lineRule="exact"/>
        <w:rPr>
          <w:rFonts w:ascii="Arial" w:cs="Arial" w:eastAsia="Arial" w:hAnsi="Arial"/>
          <w:sz w:val="15"/>
          <w:szCs w:val="15"/>
          <w:color w:val="auto"/>
        </w:rPr>
      </w:pPr>
    </w:p>
    <w:p>
      <w:pPr>
        <w:jc w:val="both"/>
        <w:ind w:left="940" w:hanging="311"/>
        <w:spacing w:after="0" w:line="245" w:lineRule="auto"/>
        <w:tabs>
          <w:tab w:leader="none" w:pos="931" w:val="left"/>
        </w:tabs>
        <w:numPr>
          <w:ilvl w:val="1"/>
          <w:numId w:val="7"/>
        </w:numPr>
        <w:rPr>
          <w:rFonts w:ascii="Arial" w:cs="Arial" w:eastAsia="Arial" w:hAnsi="Arial"/>
          <w:sz w:val="18"/>
          <w:szCs w:val="18"/>
          <w:color w:val="auto"/>
        </w:rPr>
      </w:pPr>
      <w:r>
        <w:rPr>
          <w:rFonts w:ascii="Arial" w:cs="Arial" w:eastAsia="Arial" w:hAnsi="Arial"/>
          <w:sz w:val="18"/>
          <w:szCs w:val="18"/>
          <w:color w:val="auto"/>
        </w:rPr>
        <w:t>up to 14,039,568 shares of Class A common stock issuable upon the exercise or vesting of certain equity awards; and</w:t>
      </w:r>
    </w:p>
    <w:p>
      <w:pPr>
        <w:spacing w:after="0" w:line="2" w:lineRule="exact"/>
        <w:rPr>
          <w:rFonts w:ascii="Arial" w:cs="Arial" w:eastAsia="Arial" w:hAnsi="Arial"/>
          <w:sz w:val="18"/>
          <w:szCs w:val="18"/>
          <w:color w:val="auto"/>
        </w:rPr>
      </w:pPr>
    </w:p>
    <w:p>
      <w:pPr>
        <w:ind w:left="940" w:hanging="311"/>
        <w:spacing w:after="0"/>
        <w:tabs>
          <w:tab w:leader="none" w:pos="940" w:val="left"/>
        </w:tabs>
        <w:numPr>
          <w:ilvl w:val="1"/>
          <w:numId w:val="7"/>
        </w:numPr>
        <w:rPr>
          <w:rFonts w:ascii="Arial" w:cs="Arial" w:eastAsia="Arial" w:hAnsi="Arial"/>
          <w:sz w:val="18"/>
          <w:szCs w:val="18"/>
          <w:color w:val="auto"/>
        </w:rPr>
      </w:pPr>
      <w:r>
        <w:rPr>
          <w:rFonts w:ascii="Arial" w:cs="Arial" w:eastAsia="Arial" w:hAnsi="Arial"/>
          <w:sz w:val="18"/>
          <w:szCs w:val="18"/>
          <w:color w:val="auto"/>
        </w:rPr>
        <w:t>up to 19,021,576 Earn-Out Shares.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Up to 7,236,667 private placement warrants</w:t>
      </w:r>
    </w:p>
    <w:p>
      <w:pPr>
        <w:spacing w:after="0" w:line="71" w:lineRule="exact"/>
        <w:rPr>
          <w:sz w:val="20"/>
          <w:szCs w:val="20"/>
          <w:color w:val="auto"/>
        </w:rPr>
      </w:pPr>
    </w:p>
    <w:p>
      <w:pPr>
        <w:ind w:right="60"/>
        <w:spacing w:after="0" w:line="219" w:lineRule="auto"/>
        <w:rPr>
          <w:sz w:val="20"/>
          <w:szCs w:val="20"/>
          <w:color w:val="auto"/>
        </w:rPr>
      </w:pPr>
      <w:r>
        <w:rPr>
          <w:rFonts w:ascii="Arial" w:cs="Arial" w:eastAsia="Arial" w:hAnsi="Arial"/>
          <w:sz w:val="18"/>
          <w:szCs w:val="18"/>
          <w:color w:val="auto"/>
        </w:rPr>
        <w:t>The Selling Securityholders will determine when and how they will dispose of the shares of common stock and warrants registered under this prospectus for resale.</w:t>
      </w:r>
    </w:p>
    <w:p>
      <w:pPr>
        <w:spacing w:after="0" w:line="56" w:lineRule="exact"/>
        <w:rPr>
          <w:sz w:val="20"/>
          <w:szCs w:val="20"/>
          <w:color w:val="auto"/>
        </w:rPr>
      </w:pPr>
    </w:p>
    <w:p>
      <w:pPr>
        <w:ind w:right="80"/>
        <w:spacing w:after="0" w:line="229" w:lineRule="auto"/>
        <w:rPr>
          <w:sz w:val="20"/>
          <w:szCs w:val="20"/>
          <w:color w:val="auto"/>
        </w:rPr>
      </w:pPr>
      <w:r>
        <w:rPr>
          <w:rFonts w:ascii="Arial" w:cs="Arial" w:eastAsia="Arial" w:hAnsi="Arial"/>
          <w:sz w:val="18"/>
          <w:szCs w:val="18"/>
          <w:color w:val="auto"/>
        </w:rPr>
        <w:t>We will not receive any proceeds from the sale of shares of common stock or warrants by the Selling Securityholders.</w:t>
      </w:r>
    </w:p>
    <w:p>
      <w:pPr>
        <w:spacing w:after="0" w:line="200" w:lineRule="exact"/>
        <w:rPr>
          <w:sz w:val="20"/>
          <w:szCs w:val="20"/>
          <w:color w:val="auto"/>
        </w:rPr>
      </w:pPr>
    </w:p>
    <w:p>
      <w:pPr>
        <w:sectPr>
          <w:pgSz w:w="11900" w:h="16838" w:orient="portrait"/>
          <w:cols w:equalWidth="0" w:num="2">
            <w:col w:w="4460" w:space="500"/>
            <w:col w:w="4920"/>
          </w:cols>
          <w:pgMar w:left="1000" w:top="1440" w:right="10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9880"/>
          </w:cols>
          <w:pgMar w:left="1000" w:top="1440" w:right="1019" w:bottom="1440" w:gutter="0" w:footer="0" w:header="0"/>
          <w:type w:val="continuous"/>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995680</wp:posOffset>
            </wp:positionV>
            <wp:extent cx="7139305" cy="23768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9305" cy="237680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60" w:type="dxa"/>
            <w:vAlign w:val="bottom"/>
          </w:tcPr>
          <w:p>
            <w:pPr>
              <w:spacing w:after="0"/>
              <w:rPr>
                <w:sz w:val="20"/>
                <w:szCs w:val="20"/>
                <w:color w:val="auto"/>
              </w:rPr>
            </w:pPr>
            <w:r>
              <w:rPr>
                <w:rFonts w:ascii="Arial" w:cs="Arial" w:eastAsia="Arial" w:hAnsi="Arial"/>
                <w:sz w:val="18"/>
                <w:szCs w:val="18"/>
                <w:color w:val="auto"/>
              </w:rPr>
              <w:t>Lock-up restrictions</w:t>
            </w:r>
          </w:p>
        </w:tc>
        <w:tc>
          <w:tcPr>
            <w:tcW w:w="4860" w:type="dxa"/>
            <w:vAlign w:val="bottom"/>
            <w:gridSpan w:val="6"/>
          </w:tcPr>
          <w:p>
            <w:pPr>
              <w:spacing w:after="0"/>
              <w:rPr>
                <w:sz w:val="20"/>
                <w:szCs w:val="20"/>
                <w:color w:val="auto"/>
              </w:rPr>
            </w:pPr>
            <w:r>
              <w:rPr>
                <w:rFonts w:ascii="Arial" w:cs="Arial" w:eastAsia="Arial" w:hAnsi="Arial"/>
                <w:sz w:val="18"/>
                <w:szCs w:val="18"/>
                <w:color w:val="auto"/>
                <w:w w:val="95"/>
              </w:rPr>
              <w:t>Certain of our stockholders are subject to certain restrictions on</w:t>
            </w:r>
          </w:p>
        </w:tc>
        <w:tc>
          <w:tcPr>
            <w:tcW w:w="0" w:type="dxa"/>
            <w:vAlign w:val="bottom"/>
          </w:tcPr>
          <w:p>
            <w:pPr>
              <w:spacing w:after="0"/>
              <w:rPr>
                <w:sz w:val="1"/>
                <w:szCs w:val="1"/>
                <w:color w:val="auto"/>
              </w:rPr>
            </w:pPr>
          </w:p>
        </w:tc>
      </w:tr>
      <w:tr>
        <w:trPr>
          <w:trHeight w:val="172"/>
        </w:trPr>
        <w:tc>
          <w:tcPr>
            <w:tcW w:w="4960" w:type="dxa"/>
            <w:vAlign w:val="bottom"/>
          </w:tcPr>
          <w:p>
            <w:pPr>
              <w:spacing w:after="0"/>
              <w:rPr>
                <w:sz w:val="14"/>
                <w:szCs w:val="14"/>
                <w:color w:val="auto"/>
              </w:rPr>
            </w:pPr>
          </w:p>
        </w:tc>
        <w:tc>
          <w:tcPr>
            <w:tcW w:w="4860" w:type="dxa"/>
            <w:vAlign w:val="bottom"/>
            <w:gridSpan w:val="6"/>
          </w:tcPr>
          <w:p>
            <w:pPr>
              <w:spacing w:after="0" w:line="172" w:lineRule="exact"/>
              <w:rPr>
                <w:sz w:val="20"/>
                <w:szCs w:val="20"/>
                <w:color w:val="auto"/>
              </w:rPr>
            </w:pPr>
            <w:r>
              <w:rPr>
                <w:rFonts w:ascii="Arial" w:cs="Arial" w:eastAsia="Arial" w:hAnsi="Arial"/>
                <w:sz w:val="18"/>
                <w:szCs w:val="18"/>
                <w:color w:val="auto"/>
                <w:w w:val="97"/>
              </w:rPr>
              <w:t>transfer until the termination of applicable lock-up periods. See</w:t>
            </w:r>
          </w:p>
        </w:tc>
        <w:tc>
          <w:tcPr>
            <w:tcW w:w="0" w:type="dxa"/>
            <w:vAlign w:val="bottom"/>
          </w:tcPr>
          <w:p>
            <w:pPr>
              <w:spacing w:after="0"/>
              <w:rPr>
                <w:sz w:val="1"/>
                <w:szCs w:val="1"/>
                <w:color w:val="auto"/>
              </w:rPr>
            </w:pPr>
          </w:p>
        </w:tc>
      </w:tr>
      <w:tr>
        <w:trPr>
          <w:trHeight w:val="185"/>
        </w:trPr>
        <w:tc>
          <w:tcPr>
            <w:tcW w:w="4960" w:type="dxa"/>
            <w:vAlign w:val="bottom"/>
          </w:tcPr>
          <w:p>
            <w:pPr>
              <w:spacing w:after="0"/>
              <w:rPr>
                <w:sz w:val="16"/>
                <w:szCs w:val="16"/>
                <w:color w:val="auto"/>
              </w:rPr>
            </w:pPr>
          </w:p>
        </w:tc>
        <w:tc>
          <w:tcPr>
            <w:tcW w:w="4860" w:type="dxa"/>
            <w:vAlign w:val="bottom"/>
            <w:gridSpan w:val="6"/>
          </w:tcPr>
          <w:p>
            <w:pPr>
              <w:spacing w:after="0" w:line="185" w:lineRule="exact"/>
              <w:rPr>
                <w:rFonts w:ascii="Arial" w:cs="Arial" w:eastAsia="Arial" w:hAnsi="Arial"/>
                <w:sz w:val="18"/>
                <w:szCs w:val="18"/>
                <w:color w:val="auto"/>
                <w:w w:val="89"/>
              </w:rPr>
            </w:pPr>
            <w:hyperlink w:anchor="page141">
              <w:r>
                <w:rPr>
                  <w:rFonts w:ascii="Arial" w:cs="Arial" w:eastAsia="Arial" w:hAnsi="Arial"/>
                  <w:sz w:val="18"/>
                  <w:szCs w:val="18"/>
                  <w:color w:val="auto"/>
                  <w:w w:val="89"/>
                </w:rPr>
                <w:t>“</w:t>
              </w:r>
              <w:r>
                <w:rPr>
                  <w:rFonts w:ascii="Arial" w:cs="Arial" w:eastAsia="Arial" w:hAnsi="Arial"/>
                  <w:sz w:val="18"/>
                  <w:szCs w:val="18"/>
                  <w:i w:val="1"/>
                  <w:iCs w:val="1"/>
                  <w:color w:val="0000FF"/>
                  <w:w w:val="89"/>
                </w:rPr>
                <w:t>Certain Relationships and Related Person Transactions — Related</w:t>
              </w:r>
            </w:hyperlink>
          </w:p>
        </w:tc>
        <w:tc>
          <w:tcPr>
            <w:tcW w:w="0" w:type="dxa"/>
            <w:vAlign w:val="bottom"/>
          </w:tcPr>
          <w:p>
            <w:pPr>
              <w:spacing w:after="0"/>
              <w:rPr>
                <w:sz w:val="1"/>
                <w:szCs w:val="1"/>
                <w:color w:val="auto"/>
              </w:rPr>
            </w:pPr>
          </w:p>
        </w:tc>
      </w:tr>
      <w:tr>
        <w:trPr>
          <w:trHeight w:val="152"/>
        </w:trPr>
        <w:tc>
          <w:tcPr>
            <w:tcW w:w="4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720" w:type="dxa"/>
            <w:vAlign w:val="bottom"/>
            <w:tcBorders>
              <w:top w:val="single" w:sz="8" w:color="0000FF"/>
            </w:tcBorders>
            <w:gridSpan w:val="4"/>
          </w:tcPr>
          <w:p>
            <w:pPr>
              <w:spacing w:after="0" w:line="152" w:lineRule="exact"/>
              <w:rPr>
                <w:rFonts w:ascii="Arial" w:cs="Arial" w:eastAsia="Arial" w:hAnsi="Arial"/>
                <w:sz w:val="17"/>
                <w:szCs w:val="17"/>
                <w:i w:val="1"/>
                <w:iCs w:val="1"/>
                <w:color w:val="0000FF"/>
                <w:w w:val="97"/>
              </w:rPr>
            </w:pPr>
            <w:hyperlink w:anchor="page141">
              <w:r>
                <w:rPr>
                  <w:rFonts w:ascii="Arial" w:cs="Arial" w:eastAsia="Arial" w:hAnsi="Arial"/>
                  <w:sz w:val="17"/>
                  <w:szCs w:val="17"/>
                  <w:i w:val="1"/>
                  <w:iCs w:val="1"/>
                  <w:color w:val="0000FF"/>
                  <w:w w:val="97"/>
                </w:rPr>
                <w:t>Party Transactions Entered into in Connection with the Business</w:t>
              </w:r>
            </w:hyperlink>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960" w:type="dxa"/>
            <w:vAlign w:val="bottom"/>
          </w:tcPr>
          <w:p>
            <w:pPr>
              <w:spacing w:after="0"/>
              <w:rPr>
                <w:sz w:val="13"/>
                <w:szCs w:val="13"/>
                <w:color w:val="auto"/>
              </w:rPr>
            </w:pPr>
          </w:p>
        </w:tc>
        <w:tc>
          <w:tcPr>
            <w:tcW w:w="4860" w:type="dxa"/>
            <w:vAlign w:val="bottom"/>
            <w:gridSpan w:val="6"/>
          </w:tcPr>
          <w:p>
            <w:pPr>
              <w:spacing w:after="0" w:line="152" w:lineRule="exact"/>
              <w:rPr>
                <w:rFonts w:ascii="Arial" w:cs="Arial" w:eastAsia="Arial" w:hAnsi="Arial"/>
                <w:sz w:val="17"/>
                <w:szCs w:val="17"/>
                <w:i w:val="1"/>
                <w:iCs w:val="1"/>
                <w:color w:val="0000FF"/>
                <w:w w:val="95"/>
              </w:rPr>
            </w:pPr>
            <w:hyperlink w:anchor="page141">
              <w:r>
                <w:rPr>
                  <w:rFonts w:ascii="Arial" w:cs="Arial" w:eastAsia="Arial" w:hAnsi="Arial"/>
                  <w:sz w:val="17"/>
                  <w:szCs w:val="17"/>
                  <w:i w:val="1"/>
                  <w:iCs w:val="1"/>
                  <w:color w:val="0000FF"/>
                  <w:w w:val="95"/>
                </w:rPr>
                <w:t>Combination — ISMMS Lock-up Agreement and Shareholder Lock-</w:t>
              </w:r>
            </w:hyperlink>
          </w:p>
        </w:tc>
        <w:tc>
          <w:tcPr>
            <w:tcW w:w="0" w:type="dxa"/>
            <w:vAlign w:val="bottom"/>
          </w:tcPr>
          <w:p>
            <w:pPr>
              <w:spacing w:after="0"/>
              <w:rPr>
                <w:sz w:val="1"/>
                <w:szCs w:val="1"/>
                <w:color w:val="auto"/>
              </w:rPr>
            </w:pPr>
          </w:p>
        </w:tc>
      </w:tr>
      <w:tr>
        <w:trPr>
          <w:trHeight w:val="152"/>
        </w:trPr>
        <w:tc>
          <w:tcPr>
            <w:tcW w:w="4960" w:type="dxa"/>
            <w:vAlign w:val="bottom"/>
          </w:tcPr>
          <w:p>
            <w:pPr>
              <w:spacing w:after="0"/>
              <w:rPr>
                <w:sz w:val="13"/>
                <w:szCs w:val="13"/>
                <w:color w:val="auto"/>
              </w:rPr>
            </w:pPr>
          </w:p>
        </w:tc>
        <w:tc>
          <w:tcPr>
            <w:tcW w:w="4780" w:type="dxa"/>
            <w:vAlign w:val="bottom"/>
            <w:tcBorders>
              <w:top w:val="single" w:sz="8" w:color="0000FF"/>
            </w:tcBorders>
            <w:gridSpan w:val="4"/>
          </w:tcPr>
          <w:p>
            <w:pPr>
              <w:spacing w:after="0" w:line="152" w:lineRule="exact"/>
              <w:rPr>
                <w:rFonts w:ascii="Arial" w:cs="Arial" w:eastAsia="Arial" w:hAnsi="Arial"/>
                <w:sz w:val="17"/>
                <w:szCs w:val="17"/>
                <w:i w:val="1"/>
                <w:iCs w:val="1"/>
                <w:color w:val="0000FF"/>
              </w:rPr>
            </w:pPr>
            <w:hyperlink w:anchor="page141">
              <w:r>
                <w:rPr>
                  <w:rFonts w:ascii="Arial" w:cs="Arial" w:eastAsia="Arial" w:hAnsi="Arial"/>
                  <w:sz w:val="17"/>
                  <w:szCs w:val="17"/>
                  <w:i w:val="1"/>
                  <w:iCs w:val="1"/>
                  <w:color w:val="0000FF"/>
                </w:rPr>
                <w:t>up Agreement</w:t>
              </w:r>
              <w:r>
                <w:rPr>
                  <w:rFonts w:ascii="Arial" w:cs="Arial" w:eastAsia="Arial" w:hAnsi="Arial"/>
                  <w:sz w:val="17"/>
                  <w:szCs w:val="17"/>
                  <w:color w:val="000000"/>
                </w:rPr>
                <w:t>”.”</w:t>
              </w:r>
            </w:hyperlink>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Arial" w:cs="Arial" w:eastAsia="Arial" w:hAnsi="Arial"/>
                <w:sz w:val="18"/>
                <w:szCs w:val="18"/>
                <w:b w:val="1"/>
                <w:bCs w:val="1"/>
                <w:color w:val="auto"/>
              </w:rPr>
              <w:t>Nasdaq symbols</w:t>
            </w:r>
          </w:p>
        </w:tc>
        <w:tc>
          <w:tcPr>
            <w:tcW w:w="980" w:type="dxa"/>
            <w:vAlign w:val="bottom"/>
            <w:gridSpan w:val="2"/>
            <w:shd w:val="clear" w:color="auto" w:fill="0000FF"/>
          </w:tcPr>
          <w:p>
            <w:pPr>
              <w:spacing w:after="0" w:line="20" w:lineRule="exact"/>
              <w:rPr>
                <w:sz w:val="1"/>
                <w:szCs w:val="1"/>
                <w:color w:val="auto"/>
              </w:rPr>
            </w:pPr>
          </w:p>
        </w:tc>
        <w:tc>
          <w:tcPr>
            <w:tcW w:w="38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4960" w:type="dxa"/>
            <w:vAlign w:val="bottom"/>
            <w:vMerge w:val="continue"/>
          </w:tcPr>
          <w:p>
            <w:pPr>
              <w:spacing w:after="0"/>
              <w:rPr>
                <w:sz w:val="21"/>
                <w:szCs w:val="21"/>
                <w:color w:val="auto"/>
              </w:rPr>
            </w:pPr>
          </w:p>
        </w:tc>
        <w:tc>
          <w:tcPr>
            <w:tcW w:w="4860" w:type="dxa"/>
            <w:vAlign w:val="bottom"/>
            <w:gridSpan w:val="6"/>
          </w:tcPr>
          <w:p>
            <w:pPr>
              <w:spacing w:after="0"/>
              <w:rPr>
                <w:sz w:val="20"/>
                <w:szCs w:val="20"/>
                <w:color w:val="auto"/>
              </w:rPr>
            </w:pPr>
            <w:r>
              <w:rPr>
                <w:rFonts w:ascii="Arial" w:cs="Arial" w:eastAsia="Arial" w:hAnsi="Arial"/>
                <w:sz w:val="18"/>
                <w:szCs w:val="18"/>
                <w:color w:val="auto"/>
                <w:w w:val="94"/>
              </w:rPr>
              <w:t>Our common stock and public warrants are listed on the Nasdaq</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19"/>
                <w:szCs w:val="19"/>
                <w:color w:val="auto"/>
              </w:rPr>
            </w:pPr>
          </w:p>
        </w:tc>
        <w:tc>
          <w:tcPr>
            <w:tcW w:w="4860" w:type="dxa"/>
            <w:vAlign w:val="bottom"/>
            <w:gridSpan w:val="6"/>
          </w:tcPr>
          <w:p>
            <w:pPr>
              <w:spacing w:after="0"/>
              <w:rPr>
                <w:sz w:val="20"/>
                <w:szCs w:val="20"/>
                <w:color w:val="auto"/>
              </w:rPr>
            </w:pPr>
            <w:r>
              <w:rPr>
                <w:rFonts w:ascii="Arial" w:cs="Arial" w:eastAsia="Arial" w:hAnsi="Arial"/>
                <w:sz w:val="18"/>
                <w:szCs w:val="18"/>
                <w:color w:val="auto"/>
              </w:rPr>
              <w:t>under the symbols SMFR and SMFRW, respectively.</w:t>
            </w:r>
          </w:p>
        </w:tc>
        <w:tc>
          <w:tcPr>
            <w:tcW w:w="0" w:type="dxa"/>
            <w:vAlign w:val="bottom"/>
          </w:tcPr>
          <w:p>
            <w:pPr>
              <w:spacing w:after="0"/>
              <w:rPr>
                <w:sz w:val="1"/>
                <w:szCs w:val="1"/>
                <w:color w:val="auto"/>
              </w:rPr>
            </w:pPr>
          </w:p>
        </w:tc>
      </w:tr>
      <w:tr>
        <w:trPr>
          <w:trHeight w:val="227"/>
        </w:trPr>
        <w:tc>
          <w:tcPr>
            <w:tcW w:w="4960" w:type="dxa"/>
            <w:vAlign w:val="bottom"/>
          </w:tcPr>
          <w:p>
            <w:pPr>
              <w:spacing w:after="0"/>
              <w:rPr>
                <w:sz w:val="20"/>
                <w:szCs w:val="20"/>
                <w:color w:val="auto"/>
              </w:rPr>
            </w:pPr>
            <w:r>
              <w:rPr>
                <w:rFonts w:ascii="Arial" w:cs="Arial" w:eastAsia="Arial" w:hAnsi="Arial"/>
                <w:sz w:val="18"/>
                <w:szCs w:val="18"/>
                <w:b w:val="1"/>
                <w:bCs w:val="1"/>
                <w:color w:val="auto"/>
              </w:rPr>
              <w:t>Risk factors</w:t>
            </w:r>
          </w:p>
        </w:tc>
        <w:tc>
          <w:tcPr>
            <w:tcW w:w="4860" w:type="dxa"/>
            <w:vAlign w:val="bottom"/>
            <w:gridSpan w:val="6"/>
          </w:tcPr>
          <w:p>
            <w:pPr>
              <w:spacing w:after="0"/>
              <w:rPr>
                <w:rFonts w:ascii="Arial" w:cs="Arial" w:eastAsia="Arial" w:hAnsi="Arial"/>
                <w:sz w:val="18"/>
                <w:szCs w:val="18"/>
                <w:color w:val="auto"/>
                <w:highlight w:val="white"/>
                <w:w w:val="89"/>
              </w:rPr>
            </w:pPr>
            <w:r>
              <w:rPr>
                <w:rFonts w:ascii="Arial" w:cs="Arial" w:eastAsia="Arial" w:hAnsi="Arial"/>
                <w:sz w:val="18"/>
                <w:szCs w:val="18"/>
                <w:color w:val="auto"/>
                <w:highlight w:val="white"/>
                <w:w w:val="89"/>
              </w:rPr>
              <w:t>See “</w:t>
            </w:r>
            <w:hyperlink w:anchor="page17">
              <w:r>
                <w:rPr>
                  <w:rFonts w:ascii="Arial" w:cs="Arial" w:eastAsia="Arial" w:hAnsi="Arial"/>
                  <w:sz w:val="18"/>
                  <w:szCs w:val="18"/>
                  <w:i w:val="1"/>
                  <w:iCs w:val="1"/>
                  <w:color w:val="0000FF"/>
                  <w:w w:val="89"/>
                </w:rPr>
                <w:t>Risk Factors</w:t>
              </w:r>
            </w:hyperlink>
            <w:r>
              <w:rPr>
                <w:rFonts w:ascii="Arial" w:cs="Arial" w:eastAsia="Arial" w:hAnsi="Arial"/>
                <w:sz w:val="18"/>
                <w:szCs w:val="18"/>
                <w:color w:val="auto"/>
                <w:highlight w:val="white"/>
                <w:w w:val="89"/>
              </w:rPr>
              <w:t>” and other information included in this prospectus</w:t>
            </w:r>
          </w:p>
        </w:tc>
        <w:tc>
          <w:tcPr>
            <w:tcW w:w="0" w:type="dxa"/>
            <w:vAlign w:val="bottom"/>
          </w:tcPr>
          <w:p>
            <w:pPr>
              <w:spacing w:after="0"/>
              <w:rPr>
                <w:sz w:val="1"/>
                <w:szCs w:val="1"/>
                <w:color w:val="auto"/>
              </w:rPr>
            </w:pPr>
          </w:p>
        </w:tc>
      </w:tr>
      <w:tr>
        <w:trPr>
          <w:trHeight w:val="172"/>
        </w:trPr>
        <w:tc>
          <w:tcPr>
            <w:tcW w:w="4960" w:type="dxa"/>
            <w:vAlign w:val="bottom"/>
          </w:tcPr>
          <w:p>
            <w:pPr>
              <w:spacing w:after="0"/>
              <w:rPr>
                <w:sz w:val="14"/>
                <w:szCs w:val="14"/>
                <w:color w:val="auto"/>
              </w:rPr>
            </w:pPr>
          </w:p>
        </w:tc>
        <w:tc>
          <w:tcPr>
            <w:tcW w:w="4860" w:type="dxa"/>
            <w:vAlign w:val="bottom"/>
            <w:gridSpan w:val="6"/>
          </w:tcPr>
          <w:p>
            <w:pPr>
              <w:spacing w:after="0" w:line="172" w:lineRule="exact"/>
              <w:rPr>
                <w:sz w:val="20"/>
                <w:szCs w:val="20"/>
                <w:color w:val="auto"/>
              </w:rPr>
            </w:pPr>
            <w:r>
              <w:rPr>
                <w:rFonts w:ascii="Arial" w:cs="Arial" w:eastAsia="Arial" w:hAnsi="Arial"/>
                <w:sz w:val="18"/>
                <w:szCs w:val="18"/>
                <w:color w:val="auto"/>
                <w:highlight w:val="white"/>
                <w:w w:val="93"/>
              </w:rPr>
              <w:t>for a discussion of factors you should consider before investing in</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19"/>
                <w:szCs w:val="19"/>
                <w:color w:val="auto"/>
              </w:rPr>
            </w:pPr>
          </w:p>
        </w:tc>
        <w:tc>
          <w:tcPr>
            <w:tcW w:w="4860" w:type="dxa"/>
            <w:vAlign w:val="bottom"/>
            <w:gridSpan w:val="6"/>
          </w:tcPr>
          <w:p>
            <w:pPr>
              <w:spacing w:after="0"/>
              <w:rPr>
                <w:sz w:val="20"/>
                <w:szCs w:val="20"/>
                <w:color w:val="auto"/>
              </w:rPr>
            </w:pPr>
            <w:r>
              <w:rPr>
                <w:rFonts w:ascii="Arial" w:cs="Arial" w:eastAsia="Arial" w:hAnsi="Arial"/>
                <w:sz w:val="18"/>
                <w:szCs w:val="18"/>
                <w:color w:val="auto"/>
                <w:highlight w:val="white"/>
              </w:rPr>
              <w:t>our securities.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9820"/>
          </w:cols>
          <w:pgMar w:left="1000" w:top="1440" w:right="1079" w:bottom="1440" w:gutter="0" w:footer="0" w:header="0"/>
        </w:sectPr>
      </w:pPr>
    </w:p>
    <w:bookmarkStart w:id="17" w:name="page18"/>
    <w:bookmarkEnd w:id="17"/>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70" w:lineRule="exact"/>
        <w:rPr>
          <w:sz w:val="20"/>
          <w:szCs w:val="20"/>
          <w:color w:val="auto"/>
        </w:rPr>
      </w:pPr>
    </w:p>
    <w:p>
      <w:pPr>
        <w:jc w:val="both"/>
        <w:ind w:firstLine="318"/>
        <w:spacing w:after="0" w:line="264" w:lineRule="auto"/>
        <w:rPr>
          <w:rFonts w:ascii="Arial" w:cs="Arial" w:eastAsia="Arial" w:hAnsi="Arial"/>
          <w:sz w:val="17"/>
          <w:szCs w:val="17"/>
          <w:i w:val="1"/>
          <w:iCs w:val="1"/>
          <w:color w:val="0000FF"/>
        </w:rPr>
      </w:pPr>
      <w:r>
        <w:rPr>
          <w:rFonts w:ascii="Arial" w:cs="Arial" w:eastAsia="Arial" w:hAnsi="Arial"/>
          <w:sz w:val="17"/>
          <w:szCs w:val="17"/>
          <w:i w:val="1"/>
          <w:iCs w:val="1"/>
          <w:color w:val="auto"/>
        </w:rPr>
        <w:t xml:space="preserve">You should carefully review and consider the following risk factors and the other information contained in this prospectus, including our financial </w:t>
      </w:r>
      <w:hyperlink w:anchor="page85">
        <w:r>
          <w:rPr>
            <w:rFonts w:ascii="Arial" w:cs="Arial" w:eastAsia="Arial" w:hAnsi="Arial"/>
            <w:sz w:val="17"/>
            <w:szCs w:val="17"/>
            <w:i w:val="1"/>
            <w:iCs w:val="1"/>
            <w:color w:val="auto"/>
          </w:rPr>
          <w:t>statements and notes to the financial statements and the section titled “</w:t>
        </w:r>
        <w:r>
          <w:rPr>
            <w:rFonts w:ascii="Arial" w:cs="Arial" w:eastAsia="Arial" w:hAnsi="Arial"/>
            <w:sz w:val="17"/>
            <w:szCs w:val="17"/>
            <w:i w:val="1"/>
            <w:iCs w:val="1"/>
            <w:u w:val="single" w:color="auto"/>
            <w:color w:val="0000FF"/>
          </w:rPr>
          <w:t>Management’s Discussion and Analysis of Financial Condition and Results of</w:t>
        </w:r>
      </w:hyperlink>
      <w:r>
        <w:rPr>
          <w:rFonts w:ascii="Arial" w:cs="Arial" w:eastAsia="Arial" w:hAnsi="Arial"/>
          <w:sz w:val="17"/>
          <w:szCs w:val="17"/>
          <w:i w:val="1"/>
          <w:iCs w:val="1"/>
          <w:color w:val="auto"/>
        </w:rPr>
        <w:t xml:space="preserve"> </w:t>
      </w:r>
      <w:hyperlink w:anchor="page85">
        <w:r>
          <w:rPr>
            <w:rFonts w:ascii="Arial" w:cs="Arial" w:eastAsia="Arial" w:hAnsi="Arial"/>
            <w:sz w:val="17"/>
            <w:szCs w:val="17"/>
            <w:i w:val="1"/>
            <w:iCs w:val="1"/>
            <w:u w:val="single" w:color="auto"/>
            <w:color w:val="0000FF"/>
          </w:rPr>
          <w:t>Operations</w:t>
        </w:r>
        <w:r>
          <w:rPr>
            <w:rFonts w:ascii="Arial" w:cs="Arial" w:eastAsia="Arial" w:hAnsi="Arial"/>
            <w:sz w:val="17"/>
            <w:szCs w:val="17"/>
            <w:i w:val="1"/>
            <w:iCs w:val="1"/>
            <w:color w:val="000000"/>
          </w:rPr>
          <w:t>” in this prospectus, before deciding whether to invest in our common stock. We cannot assure you that any of the events discussed below will not</w:t>
        </w:r>
      </w:hyperlink>
      <w:r>
        <w:rPr>
          <w:rFonts w:ascii="Arial" w:cs="Arial" w:eastAsia="Arial" w:hAnsi="Arial"/>
          <w:sz w:val="17"/>
          <w:szCs w:val="17"/>
          <w:i w:val="1"/>
          <w:iCs w:val="1"/>
          <w:color w:val="0000FF"/>
        </w:rPr>
        <w:t xml:space="preserve"> </w:t>
      </w:r>
      <w:r>
        <w:rPr>
          <w:rFonts w:ascii="Arial" w:cs="Arial" w:eastAsia="Arial" w:hAnsi="Arial"/>
          <w:sz w:val="17"/>
          <w:szCs w:val="17"/>
          <w:i w:val="1"/>
          <w:iCs w:val="1"/>
          <w:color w:val="000000"/>
        </w:rPr>
        <w:t>occur. These events could have a material and adverse impact on our business, financial condition, results of operations and prospects. Unless otherwise indicated, references to our business being harmed in these risk factors will include harm to our business, reputation, financial condition, results of operations, net revenue and future prospects. In such event, the trading price of our common stock could decline, and you could lose all or part of your investment. We may face additional risks and uncertainties that are not presently known to us, or that we currently deem immaterial, which may also impair our business or financial condition. The following discussion should be read in conjunction with the financial statements and notes to the financial statements included herein.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Industry and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 has affected and may further materially and adversely affect our business and financial results.</w:t>
      </w:r>
    </w:p>
    <w:p>
      <w:pPr>
        <w:spacing w:after="0" w:line="164"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The COVID-19 pandemic, together with related precautionary measures, began to materially disrupt our business in April 2020 and may continue to disrupt our business for an unknown period of time. The territories in which we market, sell, distribute and perform our tests and performs our health information and data science services are attempting to address the COVID-19 pandemic in varying ways, including stay-at-home orders, temporarily closing businesses, restricting gatherings, restricting travel, and mandating social distancing and face coverings. Certain jurisdictions have begun re-opening only to return to restrictions due to increases in new COVID-19 cases and the emergence of new variant strains of COVID-19. Even in areas where “stay-at-home” restrictions have been lifted and the number of cases of COVID-19 has declined, many individuals remain cautious about resuming activities such as preventive-care medical visits. Medical practices continue to be cautious about allowing individuals, such as sales representatives, into their offices. Many individuals continue to work from home rather than from an office setting. The level and nature of the disruption caused by COVID-19 is unpredictable, may be cyclical and long-lasting and may vary from location to location, and the emergence of new variant strains of COVID-19 in regions that have reopened has necessitated, and may in the future necessitate, renewed government restrictions. As a result, we experienced a significant impact to our 2020 operating results, including our order volumes, revenues, margins, and cash utilization, among other measures.</w:t>
      </w:r>
    </w:p>
    <w:p>
      <w:pPr>
        <w:spacing w:after="0" w:line="32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Beginning in March 2020, we undertook temporary precautionary measures intended to help minimize the risk of the virus to our employees, including requiring most employees to work remotely; suspending field-based, face-to-face interactions by our sales force; requiring on-site employees to undergo COVID-19 testing, wear personal protective equipment (including face masks or shields) and maintain social distancing; pausing all non-essential travel for our employees; and limiting employee attendance at industry events and in-person work-related meetings, to the extent those events and meetings are continuing. Our current partners also took similar precautions, including suspending face-to-face interactions between sales representatives and healthcare providers.</w:t>
      </w:r>
    </w:p>
    <w:p>
      <w:pPr>
        <w:spacing w:after="0" w:line="143"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We expect to adjust our precautionary measures at our various locations based on local recovery levels and applicable governmental regulations. For example, a portion of our sales force has recommenced field-based interactions, although access to healthcare providers remains limited and the resumption of normal activities is expected to be gradual. Our business could be negatively affected if it takes excessive, ineffective or inadequate precautions.</w:t>
      </w:r>
    </w:p>
    <w:p>
      <w:pPr>
        <w:spacing w:after="0" w:line="8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COVID-19 pandemic has materially impacted our business, and may continue to impact our business for an unknown period of time. Such impacts may include the following:</w:t>
      </w:r>
    </w:p>
    <w:p>
      <w:pPr>
        <w:spacing w:after="0" w:line="128" w:lineRule="exact"/>
        <w:rPr>
          <w:sz w:val="20"/>
          <w:szCs w:val="20"/>
          <w:color w:val="auto"/>
        </w:rPr>
      </w:pPr>
    </w:p>
    <w:p>
      <w:pPr>
        <w:jc w:val="both"/>
        <w:ind w:left="640" w:hanging="316"/>
        <w:spacing w:after="0" w:line="255"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Healthcare providers or patients have canceled or delayed scheduling, and for an extended period of time may continue to cancel or delay scheduling, standard wellness visits and other non-emergency appointments and procedures (including oncology and pregnancy-related screenings), contributing to a decline in orders for our products or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440" w:right="339" w:bottom="1440" w:gutter="0" w:footer="0" w:header="0"/>
        </w:sectPr>
      </w:pPr>
    </w:p>
    <w:bookmarkStart w:id="18" w:name="page19"/>
    <w:bookmarkEnd w:id="18"/>
    <w:p>
      <w:pPr>
        <w:spacing w:after="0" w:line="119" w:lineRule="exact"/>
        <w:rPr>
          <w:sz w:val="20"/>
          <w:szCs w:val="20"/>
          <w:color w:val="auto"/>
        </w:rPr>
      </w:pPr>
    </w:p>
    <w:p>
      <w:pPr>
        <w:ind w:left="640" w:hanging="316"/>
        <w:spacing w:after="0"/>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Restrictions on travel, commerce and shipping may prevent patients and pathologists from shipping samples to our clinical laboratories;</w:t>
      </w:r>
    </w:p>
    <w:p>
      <w:pPr>
        <w:spacing w:after="0" w:line="175" w:lineRule="exact"/>
        <w:rPr>
          <w:rFonts w:ascii="Arial" w:cs="Arial" w:eastAsia="Arial" w:hAnsi="Arial"/>
          <w:sz w:val="17"/>
          <w:szCs w:val="17"/>
          <w:color w:val="auto"/>
        </w:rPr>
      </w:pPr>
    </w:p>
    <w:p>
      <w:pPr>
        <w:ind w:left="640" w:hanging="316"/>
        <w:spacing w:after="0" w:line="365" w:lineRule="auto"/>
        <w:tabs>
          <w:tab w:leader="none" w:pos="635" w:val="left"/>
        </w:tabs>
        <w:numPr>
          <w:ilvl w:val="0"/>
          <w:numId w:val="9"/>
        </w:numPr>
        <w:rPr>
          <w:rFonts w:ascii="Arial" w:cs="Arial" w:eastAsia="Arial" w:hAnsi="Arial"/>
          <w:sz w:val="15"/>
          <w:szCs w:val="15"/>
          <w:color w:val="auto"/>
        </w:rPr>
      </w:pPr>
      <w:r>
        <w:rPr>
          <w:rFonts w:ascii="Arial" w:cs="Arial" w:eastAsia="Arial" w:hAnsi="Arial"/>
          <w:sz w:val="15"/>
          <w:szCs w:val="15"/>
          <w:color w:val="auto"/>
        </w:rPr>
        <w:t>Illnesses, quarantines, financial hardships, restrictions on travel, commerce and shipping, or other consequences of the pandemic, may disrupt our supply chain or other business relationships, and it or other parties may assert rights under force majeure clauses to excuse performance;</w:t>
      </w:r>
    </w:p>
    <w:p>
      <w:pPr>
        <w:spacing w:after="0" w:line="58" w:lineRule="exact"/>
        <w:rPr>
          <w:rFonts w:ascii="Arial" w:cs="Arial" w:eastAsia="Arial" w:hAnsi="Arial"/>
          <w:sz w:val="15"/>
          <w:szCs w:val="15"/>
          <w:color w:val="auto"/>
        </w:rPr>
      </w:pPr>
    </w:p>
    <w:p>
      <w:pPr>
        <w:ind w:left="640" w:hanging="316"/>
        <w:spacing w:after="0" w:line="264"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experienced, and for an extended period of time may continue to experience, reduced volumes at our clinical laboratories and it may need to suspend operations at some or all of our clinical laboratories;</w:t>
      </w:r>
    </w:p>
    <w:p>
      <w:pPr>
        <w:spacing w:after="0" w:line="127" w:lineRule="exact"/>
        <w:rPr>
          <w:rFonts w:ascii="Arial" w:cs="Arial" w:eastAsia="Arial" w:hAnsi="Arial"/>
          <w:sz w:val="18"/>
          <w:szCs w:val="18"/>
          <w:color w:val="auto"/>
        </w:rPr>
      </w:pPr>
    </w:p>
    <w:p>
      <w:pPr>
        <w:ind w:left="640" w:hanging="316"/>
        <w:spacing w:after="0" w:line="365" w:lineRule="auto"/>
        <w:tabs>
          <w:tab w:leader="none" w:pos="635" w:val="left"/>
        </w:tabs>
        <w:numPr>
          <w:ilvl w:val="0"/>
          <w:numId w:val="9"/>
        </w:numPr>
        <w:rPr>
          <w:rFonts w:ascii="Arial" w:cs="Arial" w:eastAsia="Arial" w:hAnsi="Arial"/>
          <w:sz w:val="15"/>
          <w:szCs w:val="15"/>
          <w:color w:val="auto"/>
        </w:rPr>
      </w:pPr>
      <w:r>
        <w:rPr>
          <w:rFonts w:ascii="Arial" w:cs="Arial" w:eastAsia="Arial" w:hAnsi="Arial"/>
          <w:sz w:val="15"/>
          <w:szCs w:val="15"/>
          <w:color w:val="auto"/>
        </w:rPr>
        <w:t>We have taken, and may take additional, cost cutting measures, which may hinder our efforts to commercialize our products or delay the development of future products and services. Further, we might not realize all of the cost savings it expects to achieve as a result of those efforts;</w:t>
      </w:r>
    </w:p>
    <w:p>
      <w:pPr>
        <w:spacing w:after="0" w:line="58" w:lineRule="exact"/>
        <w:rPr>
          <w:rFonts w:ascii="Arial" w:cs="Arial" w:eastAsia="Arial" w:hAnsi="Arial"/>
          <w:sz w:val="15"/>
          <w:szCs w:val="15"/>
          <w:color w:val="auto"/>
        </w:rPr>
      </w:pPr>
    </w:p>
    <w:p>
      <w:pPr>
        <w:ind w:left="640" w:hanging="316"/>
        <w:spacing w:after="0"/>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and our partners have postponed or cancelled clinical studies, which may delay or prevent our launch of future products and services;</w:t>
      </w:r>
    </w:p>
    <w:p>
      <w:pPr>
        <w:spacing w:after="0" w:line="175" w:lineRule="exact"/>
        <w:rPr>
          <w:rFonts w:ascii="Arial" w:cs="Arial" w:eastAsia="Arial" w:hAnsi="Arial"/>
          <w:sz w:val="17"/>
          <w:szCs w:val="17"/>
          <w:color w:val="auto"/>
        </w:rPr>
      </w:pPr>
    </w:p>
    <w:p>
      <w:pPr>
        <w:ind w:left="640" w:hanging="316"/>
        <w:spacing w:after="0" w:line="264"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workforce, much of which has been asked to work remotely in an effort to reduce the spread of COVID-19, may be infected by the virus or otherwise distracted;</w:t>
      </w:r>
    </w:p>
    <w:p>
      <w:pPr>
        <w:spacing w:after="0" w:line="127" w:lineRule="exact"/>
        <w:rPr>
          <w:rFonts w:ascii="Arial" w:cs="Arial" w:eastAsia="Arial" w:hAnsi="Arial"/>
          <w:sz w:val="18"/>
          <w:szCs w:val="18"/>
          <w:color w:val="auto"/>
        </w:rPr>
      </w:pPr>
    </w:p>
    <w:p>
      <w:pPr>
        <w:jc w:val="both"/>
        <w:ind w:left="640" w:hanging="316"/>
        <w:spacing w:after="0" w:line="271" w:lineRule="auto"/>
        <w:tabs>
          <w:tab w:leader="none" w:pos="635" w:val="left"/>
        </w:tabs>
        <w:numPr>
          <w:ilvl w:val="0"/>
          <w:numId w:val="9"/>
        </w:numPr>
        <w:rPr>
          <w:rFonts w:ascii="Arial" w:cs="Arial" w:eastAsia="Arial" w:hAnsi="Arial"/>
          <w:sz w:val="17"/>
          <w:szCs w:val="17"/>
          <w:color w:val="auto"/>
        </w:rPr>
      </w:pPr>
      <w:r>
        <w:rPr>
          <w:rFonts w:ascii="Arial" w:cs="Arial" w:eastAsia="Arial" w:hAnsi="Arial"/>
          <w:sz w:val="17"/>
          <w:szCs w:val="17"/>
          <w:color w:val="auto"/>
        </w:rPr>
        <w:t>A combination of factors, including infection from the virus, supply shortfalls, and inability to obtain or maintain equipment, could adversely affect our lab capacity and our ability to meet the demand for our testing services. In addition, in April of 2020 we began offering a COVID-19 test and by devoting lab capacity and supplies to that test, we may experience capacity limitations and supply shortfalls that adversely affect our ability to provide women’s health and oncology testing, and other tests that may generate more revenue and higher profits; and</w:t>
      </w:r>
    </w:p>
    <w:p>
      <w:pPr>
        <w:spacing w:after="0" w:line="124" w:lineRule="exact"/>
        <w:rPr>
          <w:rFonts w:ascii="Arial" w:cs="Arial" w:eastAsia="Arial" w:hAnsi="Arial"/>
          <w:sz w:val="17"/>
          <w:szCs w:val="17"/>
          <w:color w:val="auto"/>
        </w:rPr>
      </w:pPr>
    </w:p>
    <w:p>
      <w:pPr>
        <w:ind w:left="640" w:right="20" w:hanging="316"/>
        <w:spacing w:after="0" w:line="264"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inaccurately estimate the duration or severity of the COVID-19 pandemic, which could cause us to misalign our staffing, spending, activities and precautionary measures with current or future market conditions.</w:t>
      </w:r>
    </w:p>
    <w:p>
      <w:pPr>
        <w:spacing w:after="0" w:line="12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Despite our efforts, the ultimate impact of COVID-19, or the impact of the emergence of new strains of the virus and any future resurgences of COVID-19 or variant strains, depends on factors beyond our knowledge or control, including the duration and severity of the pandemic, third-party actions taken to contain its spread and mitigate its public health effects and short- and long-term changes in the behaviors of medical professionals and patients resulting from the pandemic.</w:t>
      </w:r>
    </w:p>
    <w:p>
      <w:pPr>
        <w:spacing w:after="0" w:line="138"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Additionally, the anticipated economic consequences of the COVID-19 pandemic have adversely impacted financial markets, resulting in high share price volatility, reduced market liquidity, and substantial declines in the market prices of the securities of many publicly traded companies. Volatile or declining markets for equities could adversely affect our ability to raise capital in the future when needed through the sale of shares of common stock or other equity or equity-linked securities. If these market conditions persist when and if we need to raise capital, and if we are able to sell shares of our common stock under then prevailing market conditions, we might have to accept lower prices for our shares and issue a larger number of shares than might have been the case under better market conditions, resulting in significant dilution of the interests of our stockholders.</w:t>
      </w:r>
    </w:p>
    <w:p>
      <w:pPr>
        <w:spacing w:after="0" w:line="126" w:lineRule="exact"/>
        <w:rPr>
          <w:sz w:val="20"/>
          <w:szCs w:val="20"/>
          <w:color w:val="auto"/>
        </w:rPr>
      </w:pPr>
    </w:p>
    <w:p>
      <w:pPr>
        <w:jc w:val="both"/>
        <w:ind w:right="20"/>
        <w:spacing w:after="0" w:line="365" w:lineRule="auto"/>
        <w:rPr>
          <w:sz w:val="20"/>
          <w:szCs w:val="20"/>
          <w:color w:val="auto"/>
        </w:rPr>
      </w:pPr>
      <w:r>
        <w:rPr>
          <w:rFonts w:ascii="Arial" w:cs="Arial" w:eastAsia="Arial" w:hAnsi="Arial"/>
          <w:sz w:val="15"/>
          <w:szCs w:val="15"/>
          <w:b w:val="1"/>
          <w:bCs w:val="1"/>
          <w:i w:val="1"/>
          <w:iCs w:val="1"/>
          <w:color w:val="auto"/>
        </w:rPr>
        <w:t>Due to the high degree of uncertainty regarding the implementation and impact of the CARES Act and other legislation related to COVID-19, there can be no assurance that we will be able to comply with the applicable terms and conditions of the CARES Act and retain such assistance.</w:t>
      </w:r>
    </w:p>
    <w:p>
      <w:pPr>
        <w:spacing w:after="0" w:line="5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On March 27, 2020, the CARES Act was signed into law, aimed at providing emergency assistance and health care for individuals, families, and businesses affected by the COVID-19 pandemic and generally supporting the U.S. economy. The CARES Act, among other things, includes provisions relating to refundable payroll tax credits, deferment of employer social security payments, net operating loss carryback periods, alternative minimum tax credit refunds, and modifications to the net interest deduction limitations. The CARES Act and similar legislation intended to provide assistance related to the COVID-19 pandemic also authorized $175.0 billion in funding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440" w:right="339" w:bottom="1440" w:gutter="0" w:footer="0" w:header="0"/>
        </w:sectPr>
      </w:pPr>
    </w:p>
    <w:bookmarkStart w:id="19" w:name="page20"/>
    <w:bookmarkEnd w:id="19"/>
    <w:p>
      <w:pPr>
        <w:spacing w:after="0" w:line="11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distributed by the U.S. Department of Health and Human Services, or the HHS, to eligible health care providers. This funding, known as the Provider Relief Fund, is designated to fund eligible healthcare providers’ healthcare-related expenses or lost revenues attributable to COVID-19. On December 27, 2020, the Consolidated Appropriations Act, 2021 was signed into law, which adds $3.0 billion to the Provider Relief Fund. Payments from the Provider Relief Fund are subject to certain eligibility criteria, as well as reporting and auditing requirements, but do not need to be repaid to the U.S. government if recipients comply with the applicable terms and conditions.</w:t>
      </w:r>
    </w:p>
    <w:p>
      <w:pPr>
        <w:spacing w:after="0" w:line="141"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In 2020, we received $5.4 million as part of the stimulus, comprised of $2.6 million received under the Provider Relief Fund, or PRF, distribution and $2.8 million received under the Employee Retention Credit, or ERC, distribution. During the three months ended March 31, 2021, we received an additional $5.6 million under the PRF distribution. PRF distributions to healthcare providers are not loans and will not be required to be repaid; however, as a condition to receiving these payments, providers must agree to certain terms and conditions and submit sufficient documentation demonstrating that the funds are being used for healthcare-related expenses or lost revenue attributable to the COVID-19 pandemic. ERC distributions are refundable tax credits for 50% of qualified wages paid to employees during the pandemic. A company is eligible for the ERC if it has not received a Paycheck Protection Program loan under the Cares Act and (1) its operations have been fully or partially suspended because of COVID-19 or (2) its gross receipts in a calendar quarter in 2020 declined by more than 50% from the same period in 2019. At the time of applying for the ERC, we concluded that the eligibility requirements were met. However, subsequent to the filing of the application, our revenue was revised due to a change in estimate as a result of finalizing its accounting records, which impacted the applicable periods and calculations for determining eligibility, and may no longer meet the eligibility requirements. As such, we have deferred the recognition of the ERC distribution and recorded the proceeds in other liabilities on the balance sheets as of December 31, 2020 and March 31, 2021. See Note 2 to our audited financial statements and Note 2 to our unaudited condensed financial statements contained elsewhere in this prospectus.</w:t>
      </w:r>
    </w:p>
    <w:p>
      <w:pPr>
        <w:spacing w:after="0" w:line="10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Due to the high degree of uncertainty regarding the implementation of the CARES Act, the Consolidated Appropriations Act, 2021 and other stimulus legislation, and due to our revenue revisions, there can be no assurance that the terms and conditions of the PRF, ERC or other relief programs will not change or be interpreted in ways that affect our ability to comply with such terms and conditions in the future, which could affect our ability to retain such assistance. We will continue to monitor our compliance with the terms and conditions of the PRF, including demonstrating that the distributions received have been used for healthcare-related expenses or lost revenue attributable to COVID-19, and the ERC. If we are unable to comply with current or future terms and conditions, our ability to retain some or all of the distributions received may be impacted, and we may be subject to actions including payment recoupment, audits and inquiries by governmental authorities, and criminal, civil or administrative penalties.</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Other companies or institutions may develop and market novel or improved technologies, which may make our technologies less competitive or obsolete.</w:t>
      </w:r>
    </w:p>
    <w:p>
      <w:pPr>
        <w:spacing w:after="0" w:line="199"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operate in a rapidly evolving and highly competitive industry. There are a number of private and public companies that offer products or services or have announced that they are developing products or services that compete, or may one day compete, with our products or services. Some of our current and potential competitors possess greater brand recognition, financial and other resources and development capabilities than it does. As the fields of genomic analysis and health information become more widely known to the public, we anticipate that competition will further increase. We expect to compete with a broad range of organizations in the U.S. and other countries that are engaged in the development, production and commercialization of genetic screening products, including women’s health and oncology screening products, health information services, and analytics, and data science services, and other diagnostic products. These competitors include:</w:t>
      </w:r>
    </w:p>
    <w:p>
      <w:pPr>
        <w:spacing w:after="0" w:line="146" w:lineRule="exact"/>
        <w:rPr>
          <w:sz w:val="20"/>
          <w:szCs w:val="20"/>
          <w:color w:val="auto"/>
        </w:rPr>
      </w:pPr>
    </w:p>
    <w:p>
      <w:pPr>
        <w:ind w:left="640" w:hanging="316"/>
        <w:spacing w:after="0" w:line="264"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companies that offer clinical, research and data clinical services, molecular genetic testing and other clinical diagnostics, life science research and drug discovery services, data services and healthcare analytics, and consumer genetics products;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academic and scientific institutions;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440" w:right="339" w:bottom="1440" w:gutter="0" w:footer="0" w:header="0"/>
        </w:sectPr>
      </w:pPr>
    </w:p>
    <w:bookmarkStart w:id="20" w:name="page21"/>
    <w:bookmarkEnd w:id="20"/>
    <w:p>
      <w:pPr>
        <w:spacing w:after="0" w:line="119" w:lineRule="exact"/>
        <w:rPr>
          <w:sz w:val="20"/>
          <w:szCs w:val="20"/>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governmental agencies;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public and private research organizations.</w:t>
      </w:r>
    </w:p>
    <w:p>
      <w:pPr>
        <w:spacing w:after="0" w:line="164"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We may be unable to compete effectively against our competitors either because their products and services are superior or because they may have more expertise, experience, financial resources, or stronger business relationships. These competitors may have broader product lines and greater name recognition than we do. Furthermore, we must compete successfully in our existing markets, including women’s health and oncology, but also in any new markets it expands into. Even if we do develop new marketable products or services, our current and future competitors may develop products and services that are more commercially attractive than ours, and they may bring those products and services to market earlier or more effectively than it. If we are unable to compete successfully against current or future competitors, we may be unable to increase market acceptance for and sales of our tests and services, which could prevent us from increasing or sustaining our revenues or achieving sustained profitability.</w:t>
      </w:r>
    </w:p>
    <w:p>
      <w:pPr>
        <w:spacing w:after="0" w:line="10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face intense competition. If we do not continue to innovate and provide products and services that are useful to users, we may not remain competitive, which could harm our business and operating results.</w:t>
      </w:r>
    </w:p>
    <w:p>
      <w:pPr>
        <w:spacing w:after="0" w:line="128"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Our business environment is rapidly evolving and intensely competitive. Our businesses face changing technologies, shifting provider and patient needs, and frequent introductions of rival products and services. To compete successfully, we must accurately anticipate technology developments and deliver innovative, relevant and useful products, services, and technologies in a timely manner. As our businesses evolve, the competitive pressure to innovate will encompass a wider range of products and services. We must continue to invest significant resources in research and development, including through acquisitions and collaborations, joint ventures and partnerships, in order to enhance our current diagnostics and health information and data science technologies, and existing and new products and services based off these technologies.</w:t>
      </w:r>
    </w:p>
    <w:p>
      <w:pPr>
        <w:spacing w:after="0" w:line="12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have many competitors in different industries. Our current and potential domestic and international competitors range from large and established companies to emerging start-ups in addition to academic and scientific institutions, and public and private research organizations. Some competitors have longer operating histories in various sectors. They can use their experience and resources in ways that could affect our competitive position, including by making acquisitions, continuing to invest heavily in research and development and in talent, aggressively initiating intellectual property claims (whether or not meritorious), and continuing to compete aggressively for our customers and partners in the market for health information and data science products and services. Our competitors may be able to innovate and provide products and services faster than we can or may foresee the need for products and services before we do.</w:t>
      </w:r>
    </w:p>
    <w:p>
      <w:pPr>
        <w:spacing w:after="0" w:line="146"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Our operating results may also suffer if our products and services are not responsive to the needs of our customers and partners. As technologies continue to develop, our competitors may be able to offer products and services that are, or that are seen to be, substantially similar to or better than our current products and services. This may force us to compete in different ways and expend significant resources in order to remain competitive. If our competitors are more successful than it in developing compelling products and services for or in attracting and retaining customers or partners in the market for health information and data science products and services, our operating results could be harmed.</w:t>
      </w:r>
    </w:p>
    <w:p>
      <w:pPr>
        <w:spacing w:after="0" w:line="12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If third-party payors, including managed care organizations, private health insurers and government health plans, do not provide adequate reimbursement for our tests, or seek to amend or renegotiate their fee reimbursement schedules, or if we are unable to comply with their requirements for reimbursement, our commercial success could be negatively affected.</w:t>
      </w:r>
    </w:p>
    <w:p>
      <w:pPr>
        <w:spacing w:after="0" w:line="13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Our ability to increase the number of billable tests and our revenue therefrom will depend on our success in achieving reimbursement for our tests from third-party payors. Reimbursement by a payor may depend on a number of factors, including a payer’s determination that a test is appropriate, medically necessary, cost-effective and has received prior authorization. The commercial success of our current and future products, if approved, will depend on the extent to which our customers receive coverage and adequate reimbursement from third-party payors, including as managed care organizations and government payers (</w:t>
      </w:r>
      <w:r>
        <w:rPr>
          <w:rFonts w:ascii="Arial" w:cs="Arial" w:eastAsia="Arial" w:hAnsi="Arial"/>
          <w:sz w:val="18"/>
          <w:szCs w:val="18"/>
          <w:i w:val="1"/>
          <w:iCs w:val="1"/>
          <w:color w:val="auto"/>
        </w:rPr>
        <w:t>e.g.</w:t>
      </w:r>
      <w:r>
        <w:rPr>
          <w:rFonts w:ascii="Arial" w:cs="Arial" w:eastAsia="Arial" w:hAnsi="Arial"/>
          <w:sz w:val="18"/>
          <w:szCs w:val="18"/>
          <w:color w:val="auto"/>
        </w:rPr>
        <w:t>, Medicare and Medicaid).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440" w:right="339" w:bottom="1440" w:gutter="0" w:footer="0" w:header="0"/>
        </w:sectPr>
      </w:pPr>
    </w:p>
    <w:bookmarkStart w:id="21" w:name="page22"/>
    <w:bookmarkEnd w:id="21"/>
    <w:p>
      <w:pPr>
        <w:spacing w:after="0" w:line="119"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Since each payer makes its own decision as to whether to establish a policy or enter into a contract to cover our tests, as well as the amount it will reimburse for a test, seeking these approvals is a time-consuming and costly process. In addition, the determination by a payer to cover and the amount it will reimburse for our tests will likely be made on an indication-by-indication basis and may consider our billing practices and reimbursements from other payors and from our patient billing programs. To date, we have obtained policy-level reimbursement approval or contractual reimbursement for some indications for our tests from most of the large commercial third-party payors in the United States, and the Centers for Medicare &amp; Medicaid Services, or CMS, provides reimbursement for our multi-gene tests for hereditary breast and ovarian cancer-related disorders as well as other tests. We believe that establishing adequate reimbursement from Medicare is an important factor in gaining adoption from healthcare providers. Our claims for reimbursement from third-party payors may be denied upon submission, and we must appeal the claims. The appeals process is time consuming and expensive and may not result in payment. In cases where there is not a contracted rate for reimbursement, there is typically a greater coinsurance or copayment requirement from the patient, which may result in further delay or decreased likelihood of collection.</w:t>
      </w:r>
    </w:p>
    <w:p>
      <w:pPr>
        <w:spacing w:after="0" w:line="319"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 significant portion of the payments for our tests are paid or reimbursed under insurance programs with third-party payors. To contain reimbursement and utilization rates, third-party payors often attempt to, or do in fact, amend or renegotiate their fee reimbursement schedules. Loss of revenue caused by third-party payor cost containment efforts or an inability to negotiate satisfactory reimbursement rates could have a material adverse effect on our revenue and results of operations.</w:t>
      </w:r>
    </w:p>
    <w:p>
      <w:pPr>
        <w:spacing w:after="0" w:line="138"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Furthermore, in cases where we or our partners have established reimbursement rates with third-party payors, we face additional challenges in complying with their procedural requirements for reimbursement. These requirements often vary from payer to payer and are reassessed by third party payors on a regular basis, and we have needed additional time and resources to comply with them. We have also experienced, and may continue to experience, delays in or denials of coverage if it does not adequately comply with these requirements. Our third-party payors have also requested, and in the future may request, audits of the amounts paid to it. We have been required to repay certain amounts to payers as a result of such audits, and we could be adversely affected if we are required to repay other payers for alleged overpayments due to lack of compliance with their reimbursement policies. In addition, we have experienced, and may continue to experience, delays in reimbursement when we transition to being an in-network provider with a payer.</w:t>
      </w:r>
    </w:p>
    <w:p>
      <w:pPr>
        <w:spacing w:after="0" w:line="10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expect to continue to focus our resources on increasing adoption of, and expanding coverage and reimbursement for, our current tests and any future tests we may develop or acquire. If we fail to expand and maintain broad adoption of, and coverage and reimbursement for, our tests, our ability to generate revenue could be harmed and our future prospects and our business could suffer.</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limited experience with the development and commercialization of our databases and our health information and genomic platforms.</w:t>
      </w:r>
    </w:p>
    <w:p>
      <w:pPr>
        <w:spacing w:after="0" w:line="199"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We have limited experience with the development or commercialization of clinical or research products in connection with the databases it manages and to which it has access, and our Centrellis and Traversa platforms. our partners’ usage of an advanced machine learning engine for therapeutic decision-making are at an early stage of development and usage under current and proposed collaborations, and we are continuing to develop new processes that may support the development of new therapeutics applications such as the delivery of personalized clinically actional insights into clinical reports, clinical trial matching, real-world evidence trials, and clinical decision support, via an advanced programmable interface layer. Although our partners have invested significant financial resources to develop and utilize new technologies to support preclinical studies and other early research and development activities, and provide general and administrative support for these operations, our future success is dependent on our current and future partners’ ability to successfully derive actionable insights from the database and our platform, and our partners’ ability, where applicable, to obtain regulatory approval for new therapeutic solutions based off existing models or to obtain regulatory approval and marketing for, and to successfully commercialize, new therapeutics. The use of our platform and the databases it manages and to which it has access for these purposes will require additional regulatory investments for Centrellis, such as “good practice” quality guidelines and regulations, or GxP, and data quality and integrity controls.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440" w:right="339" w:bottom="1440" w:gutter="0" w:footer="0" w:header="0"/>
        </w:sectPr>
      </w:pPr>
    </w:p>
    <w:bookmarkStart w:id="22" w:name="page23"/>
    <w:bookmarkEnd w:id="22"/>
    <w:p>
      <w:pPr>
        <w:spacing w:after="0" w:line="11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Ethical, legal and social concerns related to the use of genomic medicine and health information analysis could reduce demand for our tests.</w:t>
      </w:r>
    </w:p>
    <w:p>
      <w:pPr>
        <w:spacing w:after="0" w:line="199"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Genomic medicine and health information analysis has raised ethical, legal and social issues regarding privacy rights and the appropriate uses of the resulting information. Domestic and international governmental and regulatory authorities could, for social or other purposes, such as data privacy, limit or regulate the use of health information or health information testing or prohibit testing for specific information derived from health information testing, including, for example, data on genetic predisposition to certain conditions, particularly for those that have no known cure. Similarly, these concerns may lead patients to refuse to use, or clinicians to be reluctant to order, genomic tests as part of health information assessment even if permissible, or lead patients to withhold or withdraw consent for our use of their data. These and other ethical, legal and social concerns may limit market acceptance of our tests or services or reduce the potential markets for our tests, or services either of which could have an adverse effect on our business, research, financial condition or results of operations.</w:t>
      </w:r>
    </w:p>
    <w:p>
      <w:pPr>
        <w:spacing w:after="0" w:line="14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fail to comply with federal and state laboratory licensing requirements or standards, we could lose the ability to perform our tests or experience disruptions to our business.</w:t>
      </w:r>
    </w:p>
    <w:p>
      <w:pPr>
        <w:spacing w:after="0" w:line="12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are subject to Clinical Laboratory Improvement Amendments of 1988, or CLIA, a federal law that regulates clinical laboratories that perform testing on specimens derived from humans for the purpose of providing information for the diagnosis, prevention or treatment of disease. CLIA regulations establish specific standards with respect to personnel qualifications, facility administration, proficiency testing, quality control, quality assurance and inspections. CLIA certification is also required in order for us to be eligible to bill state and federal healthcare programs, as well as many private third-party payors, for our tests. We have current CLIA, CAP, and other certifications to conduct our tests at our laboratories in Connecticut. To renew these certifications, we are subject to survey and inspection on a regular basis and at the request of the certifying bodies. Moreover, CLIA inspectors may make random inspections of our clinical reference laboratories.</w:t>
      </w:r>
    </w:p>
    <w:p>
      <w:pPr>
        <w:spacing w:after="0" w:line="14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would also be required to maintain in-state licenses if we were to conduct testing in other states. Several states require the licensure of out-of-state laboratories that accept specimens from certain states.</w:t>
      </w:r>
    </w:p>
    <w:p>
      <w:pPr>
        <w:spacing w:after="0" w:line="12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addition to having laboratory licenses in New York, our clinical reference laboratories are approved on test-specific bases for the tests they run as laboratory-developed tests, or LDTs, by the New York State Department of Health, or NYDOH. Other states may adopt similar licensure requirements in the future, which may require us to modify, delay or stop our operations in such jurisdictions. We may also be subject to regulation in foreign jurisdictions as we seek to expand international utilization of our tests or such jurisdictions adopt new licensure requirements, which may require review of our tests in order to offer them or may have other limitations such as restrictions on the transport of samples necessary for us to perform our tests that may limit our ability to make our tests available outside of the United States. Complying with licensure requirements in new jurisdictions may be expensive, time-consuming, and subject us to significant and unanticipated delays.</w:t>
      </w:r>
    </w:p>
    <w:p>
      <w:pPr>
        <w:spacing w:after="0" w:line="146"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Failure to comply with applicable clinical laboratory licensure requirements or standards may result in a range of enforcement actions, including license suspension, limitation, or revocation, directed plan of action, onsite monitoring, civil monetary penalties, criminal sanctions, and cancellation of the laboratory’s approval to receive Medicare and Medicaid payment for our services, as well as significant adverse publicity. Any sanction imposed under CLIA, its implementing regulations, or state or foreign laws or regulations governing clinical laboratory licensure, or our failure to renew our CLIA certifications, a state or foreign license, or accreditation, could have a material adverse effect on our business, financial condition and results of operations. Even if we were able to bring our laboratory back into compliance, we could incur significant expenses and potentially lose revenue in doing so.</w:t>
      </w:r>
    </w:p>
    <w:p>
      <w:pPr>
        <w:spacing w:after="0" w:line="99"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College of American Pathologists, or CAP, maintains a clinical laboratory accreditation program. CAP asserts that its program is “designed to go well beyond regulatory compliance” and helps laboratories achieve the highest standards of excellence to positively impact patient care. While not required to operate a CLIA-certified laboratory, many private insurers require CAP accreditation as a condition to contracting with clinical laboratories to cover their tests. In addition, some countries outside the United States require CAP accreditation as a condition to permitting clinical laboratories to test samples taken from their citizens. We have CAP accreditations for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440" w:right="339" w:bottom="1440" w:gutter="0" w:footer="0" w:header="0"/>
        </w:sectPr>
      </w:pPr>
    </w:p>
    <w:bookmarkStart w:id="23" w:name="page24"/>
    <w:bookmarkEnd w:id="23"/>
    <w:p>
      <w:pPr>
        <w:spacing w:after="0" w:line="119" w:lineRule="exact"/>
        <w:rPr>
          <w:sz w:val="20"/>
          <w:szCs w:val="20"/>
          <w:color w:val="auto"/>
        </w:rPr>
      </w:pPr>
    </w:p>
    <w:p>
      <w:pPr>
        <w:ind w:right="980"/>
        <w:spacing w:after="0" w:line="430" w:lineRule="auto"/>
        <w:rPr>
          <w:sz w:val="20"/>
          <w:szCs w:val="20"/>
          <w:color w:val="auto"/>
        </w:rPr>
      </w:pPr>
      <w:r>
        <w:rPr>
          <w:rFonts w:ascii="Arial" w:cs="Arial" w:eastAsia="Arial" w:hAnsi="Arial"/>
          <w:sz w:val="18"/>
          <w:szCs w:val="18"/>
          <w:color w:val="auto"/>
        </w:rPr>
        <w:t xml:space="preserve">laboratories. Failure to maintain CAP accreditation could have a material adverse effect on the sales of our tests and the results of our operations. </w:t>
      </w:r>
      <w:r>
        <w:rPr>
          <w:rFonts w:ascii="Arial" w:cs="Arial" w:eastAsia="Arial" w:hAnsi="Arial"/>
          <w:sz w:val="18"/>
          <w:szCs w:val="18"/>
          <w:b w:val="1"/>
          <w:bCs w:val="1"/>
          <w:color w:val="auto"/>
        </w:rPr>
        <w:t>Risks Related to Our Business Model</w:t>
      </w:r>
    </w:p>
    <w:p>
      <w:pPr>
        <w:jc w:val="both"/>
        <w:spacing w:after="0" w:line="264" w:lineRule="auto"/>
        <w:rPr>
          <w:sz w:val="20"/>
          <w:szCs w:val="20"/>
          <w:color w:val="auto"/>
        </w:rPr>
      </w:pPr>
      <w:r>
        <w:rPr>
          <w:rFonts w:ascii="Arial" w:cs="Arial" w:eastAsia="Arial" w:hAnsi="Arial"/>
          <w:sz w:val="18"/>
          <w:szCs w:val="18"/>
          <w:b w:val="1"/>
          <w:bCs w:val="1"/>
          <w:i w:val="1"/>
          <w:iCs w:val="1"/>
          <w:color w:val="auto"/>
        </w:rPr>
        <w:t>We rely on highly skilled personnel in a broad array of disciplines and, if we are unable to hire, retain or motivate these individuals, or maintain our corporate culture, we may not be able to maintain the quality of our services or grow effectively.</w:t>
      </w:r>
    </w:p>
    <w:p>
      <w:pPr>
        <w:spacing w:after="0" w:line="128"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Our performance, including our research and development programs and laboratory operations, largely depends on our continuing ability to identify, hire, develop, motivate and retain highly skilled personnel for all areas of our organization, including software developers, geneticists, biostatisticians, bioinformaticians, data scientists, certified laboratory directors and technicians and other scientific and technical personnel to process and interpret our tests and related data. In addition, we may need to continue to expand our sales force with qualified and experienced personnel. Competition in our industry for qualified employees is intense, and we may not be able to attract or retain qualified personnel in the future due to the competition for qualified personnel among life science and technology businesses as well as universities and public and private research institutions, particularly in the New York City and the tri-state area. Further, we may be unable to obtain the necessary visas for foreign personnel to work in the United States. In addition, our compensation arrangements, such as our equity award programs, may not always be successful in attracting new employees and retaining and motivating our existing employees. If we are not able to attract and retain the necessary personnel to accomplish our business objectives, we may experience constraints that could adversely affect our ability to scale our business, support our research and development efforts and our clinical laboratories. We believe that our corporate culture fosters innovation, creativity and teamwork. However, as our organization grows, we may find it increasingly difficult to maintain the beneficial aspects of our corporate culture. This could negatively impact our ability to retain and attract employees and our future success.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any member or change in structure of our senior management team could adversely affect our business.</w:t>
      </w:r>
    </w:p>
    <w:p>
      <w:pPr>
        <w:spacing w:after="0" w:line="164"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Our success depends in large part upon the skills, experience and performance of members of our executive management team and others in key leadership positions. The efforts of these persons will be critical to us as we continue to develop our technologies and test processes and focus on scaling our business. If we were to lose one or more key executives, including our founder and CEO, Eric Schadt, we may experience difficulties in competing effectively, developing our tests and technologies and implementing our business strategy. Only certain of our executives have employment contracts, and the majority of our employees are at-will, which means that either we or any employee may terminate their employment at any time or in the notice period set forth in an executive’s contract. We do not carry key person insurance for any of our executives or employees. In addition, we do not have a long-term retention agreement in place with our CEO. Furthermore, we compete against other leading companies in the diagnostics, health information, and data sciences markets for top talent. If such competitors offer better compensation or opportunities, there is no guarantee that we would be able to retain our key executives.</w:t>
      </w:r>
    </w:p>
    <w:p>
      <w:pPr>
        <w:spacing w:after="0" w:line="10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founder and CEO, Eric Schadt, and certain other of our employees have performed, and will continue to perform, duties for or on behalf of Mount Sinai.</w:t>
      </w:r>
    </w:p>
    <w:p>
      <w:pPr>
        <w:spacing w:after="0" w:line="128"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Our founder CEO, Eric Schadt, and certain of our other employees continue to perform duties for or on behalf of the Mount Sinai Health System, which refer to together with our related entities as Mount Sinai. In the case of Dr. Schadt, in addition to serving as our CEO and as a director, Dr. Schadt also serves as the Dean for Precision Medicine and a professor at Icahn School of Medicine at Mount Sinai, or ISMMS. We expect Dr. Schadt to continue to devote a substantial amount of time to the obligations of managing a public company while maintaining certain duties for Mount Sinai. Though we do not expect Dr. Schadt’s role as a CEO and a director to conflict with his roles at Mount Sinai, there can be no guarantee that such conflicts will not occur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440" w:right="339" w:bottom="1440" w:gutter="0" w:footer="0" w:header="0"/>
        </w:sectPr>
      </w:pPr>
    </w:p>
    <w:bookmarkStart w:id="24" w:name="page25"/>
    <w:bookmarkEnd w:id="24"/>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manage our future growth effectively, which could make it difficult to execute our business strategy.</w:t>
      </w:r>
    </w:p>
    <w:p>
      <w:pPr>
        <w:spacing w:after="0" w:line="164"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Our expected future growth could create a strain on our organizational, administrative and operational infrastructure, including data and laboratory operations, quality control, customer service, marketing and sales, and management. We may not be able to maintain the quality of or expected turnaround times for our products or services, or satisfy customer demand as it grows. We may need to continue expanding our sales force to facilitate our growth, and it may have difficulties locating, recruiting, training and retaining sales personnel. Our ability to manage our growth effectively will require us to continue to improve our operational, financial and management controls, as well as our reporting systems and procedures. As we grow, any failure of our controls or interruption of our facilities or systems could have a negative impact on our business and financial operations. We plan to develop and launch new versions of our Centrellis and Traversa platforms and our core diagnostic products, which will affect a broad range of business processes and functional areas. The time and resources required to implement these new systems is uncertain, and failure to complete these activities in a timely and efficient manner could adversely affect our operations. Future growth in our business could also make it difficult for it to maintain our corporate culture. If we are unable to manage our growth effectively, it may be difficult for us to execute our business strategy and our business could be harmed.</w:t>
      </w:r>
    </w:p>
    <w:p>
      <w:pPr>
        <w:spacing w:after="0" w:line="10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need to scale our infrastructure in advance of demand for our products and services, and our failure to generate sufficient demand for our products and services would have a negative impact on our business and our ability to attain profitability.</w:t>
      </w:r>
    </w:p>
    <w:p>
      <w:pPr>
        <w:spacing w:after="0" w:line="128"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Our success depends in large part on our ability to extend our market position, to provide customers with high-quality health reports and health information and data science services in a manner that differentiates us from our competitors, and to deploy technologies and achieve sufficient volumes to realize economies of scale. In order to execute our business model, we intend to continue to invest heavily in order to significantly scale our infrastructure, including our lab infrastructure and testing capacity and our information and computing systems, expand our commercial operations, customer service, billing and systems processes and enhance our internal quality assurance program. We will also need to enhance our capacity for data privacy management as we scale our infrastructure. We expect that much of this growth will be in advance of both demand for our products and services as well as our ability to diversify our offerings, including services related to Centrellis and Traversa and the databases we manage and to which we have access, and our ability to find appropriate partners through collaborations and acquisitions. Our current and future expense levels are to a large extent fixed and are largely based on our investment plans and our estimates of future revenue. Because the timing and amount of revenue from our products and services are difficult to forecast, when revenue does not meet our expectations, we may not be able to adjust our spending promptly or reduce our spending to levels commensurate with our revenue. Even if we are able to successfully scale our infrastructure and operations while successfully diversifying our offering, we cannot assure you that demand for our products and services, including our Centrellis platform, will increase at levels consistent with the growth of our infrastructure. If we fail to generate demand commensurate with this growth or if we fail to scale our infrastructure sufficiently in advance of demand to successfully meet such demand, our business, prospects, financial condition and results of operations could be adversely affected.</w:t>
      </w:r>
    </w:p>
    <w:p>
      <w:pPr>
        <w:spacing w:after="0" w:line="3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International expansion of our business could expose us to business, regulatory, political, operational, financial and economic risks associated with doing business outside of the United States.</w:t>
      </w:r>
    </w:p>
    <w:p>
      <w:pPr>
        <w:spacing w:after="0" w:line="12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When cleared, authorized or approved, we and our collaborators may market, sell, and distribute our products and services outside of the United States, and our business would be subject to risks associated with doing business outside of the United States, including an increase in our expenses and diversion of our management’s attention from the development of future products and services. Accordingly, our business and financial results in the future could be adversely affected due to a variety of factors, including:</w:t>
      </w:r>
    </w:p>
    <w:p>
      <w:pPr>
        <w:spacing w:after="0" w:line="138" w:lineRule="exact"/>
        <w:rPr>
          <w:sz w:val="20"/>
          <w:szCs w:val="20"/>
          <w:color w:val="auto"/>
        </w:rPr>
      </w:pPr>
    </w:p>
    <w:p>
      <w:pPr>
        <w:jc w:val="both"/>
        <w:ind w:left="640" w:hanging="316"/>
        <w:spacing w:after="0" w:line="255"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privacy, security and data use regulations, tax laws, export and import restrictions, economic sanctions and embargoes, employment laws, anticorruption laws, regulatory requirements, reimbursement or payer regimes and other governmental;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440" w:right="339" w:bottom="1440" w:gutter="0" w:footer="0" w:header="0"/>
        </w:sectPr>
      </w:pPr>
    </w:p>
    <w:bookmarkStart w:id="25" w:name="page26"/>
    <w:bookmarkEnd w:id="25"/>
    <w:p>
      <w:pPr>
        <w:spacing w:after="0" w:line="119" w:lineRule="exact"/>
        <w:rPr>
          <w:sz w:val="20"/>
          <w:szCs w:val="20"/>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approvals, permits and licenses;</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by us, our collaborators or our distributors to obtain regulatory clearance, authorization or approval for the use of our products and services in various countries;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additional potentially relevant third-party patent rights;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complexities and difficulties in obtaining intellectual property protection and enforcing our intellectual property;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payer reimbursement regimes, government payers or patient self-pay systems;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 negotiating favorable reimbursement negotiations with governmental authorities;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logistics and regulations associated with shipping samples, including infrastructure conditions and transportation delays;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limits in our ability to penetrate international markets if we are not able to conduct our clinical diagnostic services locally;</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the impact of local and regional financial crises on demand and payment for our products and services and exposure to foreign currency exchange rate fluctuations;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terrorism and political unrest, and outbreak of disease;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boycotts, curtailment of trade and other business restrictions; and</w:t>
      </w:r>
    </w:p>
    <w:p>
      <w:pPr>
        <w:spacing w:after="0" w:line="164" w:lineRule="exact"/>
        <w:rPr>
          <w:rFonts w:ascii="Arial" w:cs="Arial" w:eastAsia="Arial" w:hAnsi="Arial"/>
          <w:sz w:val="18"/>
          <w:szCs w:val="18"/>
          <w:color w:val="auto"/>
        </w:rPr>
      </w:pPr>
    </w:p>
    <w:p>
      <w:pPr>
        <w:jc w:val="both"/>
        <w:ind w:left="640" w:hanging="316"/>
        <w:spacing w:after="0" w:line="252"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and compliance risks that relate to maintaining accurate information and control over sales and distributors’ activities that may fall within the purview of the Foreign Corrupt Practices Act of 1977, or FCPA, its books and records provisions, or its anti-bribery provisions or laws similar to the FCPA in other jurisdictions in which we may in the future operate, such as the United Kingdom’s Bribery Act of 2010 and anti-bribery requirements of member states in the European Union, or EU.</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Any of these factors could significantly harm our future international expansion and operations and, consequently, our revenue and results of operations.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U.S. or global economic conditions could adversely affect our business, financial condition or results of operations.</w:t>
      </w:r>
    </w:p>
    <w:p>
      <w:pPr>
        <w:spacing w:after="0" w:line="16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financial markets. A severe or prolonged economic downturn could result in a variety of risks to our business, including weakened demand for our products and services and our ability to raise additional capital when needed on favorable terms, if at all. A weak or declining economy could strain our collaborators and suppliers, possibly resulting in supply disruption, or cause delays in their payments to us. Any of the foregoing could harm our business and we cannot anticipate all of the ways in which the current economic climate and financial market conditions could adversely impact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440" w:right="339" w:bottom="1440" w:gutter="0" w:footer="0" w:header="0"/>
        </w:sectPr>
      </w:pPr>
    </w:p>
    <w:bookmarkStart w:id="26" w:name="page27"/>
    <w:bookmarkEnd w:id="26"/>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rely on a limited number of suppliers or, in some cases, single suppliers, for some of our laboratory instruments and materials and may not be able to find replacements or immediately transition to alternative suppliers or service providers.</w:t>
      </w:r>
    </w:p>
    <w:p>
      <w:pPr>
        <w:spacing w:after="0" w:line="128"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We have sourced and will continue to source components of our diagnostic testing workflow, including sequencers and other laboratory equipment, reagents, lab supplies and other laboratory services and materials and related services, from third parties.</w:t>
      </w:r>
    </w:p>
    <w:p>
      <w:pPr>
        <w:spacing w:after="0" w:line="12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Our failure to maintain a continued supply of our sequencers and other laboratory equipment, reagents, lab supplies and other laboratory services and materials, along with the right to use certain hardware and software and related services, would adversely impact our business, financial condition, and results of operations. In particular, while we are seeking to validate our tests on additional sequencing platforms we have not, to date, validated viable alternative sequencing platform on which our testing could be run in a commercially viable manner. These efforts will require significant resources, expenditures and time and attention of management, and there is no guarantee that we will be successful in implementing any such sequencing platforms in a commercially sustainable way. We also cannot guarantee that we will appropriately prioritize or select alternative sequencing platforms on which to focus our efforts, in particular given our limited product and research and development resources and various business initiatives, which could result in increased costs and delayed timelines or otherwise adversely impact our business and results of operations.</w:t>
      </w:r>
    </w:p>
    <w:p>
      <w:pPr>
        <w:spacing w:after="0" w:line="128"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Because we rely on third-party manufacturers, we do not control the manufacture of these components, including whether such components will meet our quality control requirements, nor the ability of our suppliers to comply with applicable legal and regulatory requirements. In many cases, our suppliers are not contractually required to supply these components to the quality or performance standards that we require. If the supply of components we receive does not meet our quality control or performance standards, we may not be able to use the components, or if we use them not knowing that they are of inadequate quality, which occasionally occurs with respect to certain reagents, our tests may not work properly or at all, or may provide erroneous results, and we may be subject to significant delays caused by interruption in production or manufacturing or to lost revenue from such interruption or from spoiled tests. In addition, any natural or other disaster, acts of war or terrorism, shipping embargoes, labor unrest, political instability, outbreak of disease or similar events at our third-party manufacturers' facilities that cause a loss of manufacturing capacity would heighten the risks that it faces.</w:t>
      </w:r>
    </w:p>
    <w:p>
      <w:pPr>
        <w:spacing w:after="0" w:line="10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In the event of any adverse developments with our sole suppliers, or if any of our sole suppliers modifies any of the components they supply to us, our ability to supply our products may be interrupted, and obtaining substitute components could be difficult or require us to re-design or re-validate our products. Our failure to maintain a continued supply of components, or a supply that meets our quality control requirements, or changes to or termination of our agreements or inability to renew our agreements with these parties or enter into new agreements with other suppliers could result in the loss of access to important components of our tests and impact our test performance or affect our ability to perform our tests in a timely manner or at all, which could impair, delay or suspend our commercialization activities. In the event that we transition to a new supplier from any of our sole suppliers, doing so could be time-consuming and expensive, may result in interruptions in our ability to supply our products to the market, could affect the performance of our tests or could require that we re-validate our affected tests using replacement equipment and supplies, which could delay the performance of our tests, impact diagnostic solutions and heath information derived from such tests, and result in increased costs. Any of these occurrences could have a material adverse effect on our business, financial condition and results of operations.</w:t>
      </w:r>
    </w:p>
    <w:p>
      <w:pPr>
        <w:spacing w:after="0" w:line="1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We rely on a limited number of product and service providers for data infrastructure and analytics capabilities, and any disruption of, or interference with, our use of data and workflow services could adversely affect our business, financial condition, and results of operations, and we may not be able to find replacements or immediately transition to alternative products or service providers.</w:t>
      </w:r>
    </w:p>
    <w:p>
      <w:pPr>
        <w:spacing w:after="0" w:line="135"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We currently rely upon third-party services for data storage and workflow management, including cloud storage solution providers, such as Amazon Web Services, or AWS, and Google Cloud Platform, or GCP. We rely on each of AWS and GCP features to complete several vital workflows in our health information and data science service delivery. To varying degrees some of those services are proprietary to how each platform performs in connection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440" w:right="339" w:bottom="1440" w:gutter="0" w:footer="0" w:header="0"/>
        </w:sectPr>
      </w:pPr>
    </w:p>
    <w:bookmarkStart w:id="27" w:name="page28"/>
    <w:bookmarkEnd w:id="27"/>
    <w:p>
      <w:pPr>
        <w:spacing w:after="0" w:line="11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with our current usage of the services. Further, we have also built several proprietary workflows with our vendor and partner Command Health where we maintains versions of developed software on such platforms.</w:t>
      </w:r>
    </w:p>
    <w:p>
      <w:pPr>
        <w:spacing w:after="0" w:line="12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Nearly all of our data storage and analytics are conducted on, and the data and content we generate on our platforms are processed through, servers hosted by these providers, particularly AWS and GCP. We also rely on email service providers, bandwidth providers, internet service providers and mobile networks to deliver communications to patients, physicians and partners and to allow patients, physicians and our partners to access various offerings from our platforms. If our third-party vendors are unable or unwilling to provide the services necessary to support our business, or if our agreements with such vendors are terminated, our operations could be significantly disrupted. Some of our vendor agreements may be unilaterally terminated by the licensor for convenience, including with respect to AWS or GCP, and if such agreements are terminated, we may not be able to enter into similar relationships in the future on reasonable terms or at all.</w:t>
      </w:r>
    </w:p>
    <w:p>
      <w:pPr>
        <w:spacing w:after="0" w:line="132"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Any damage to, or failure of, our systems or the systems of our third-party data centers or our other third-party providers could result in interruptions to the availability or functionality of database and platforms. As a result, we could lose health information data and miss opportunities to acquire and retain patients, physicians and partners including health systems and pharmaceutical and biotech companies, which could result in decreased revenue. If for any reason our arrangements with our data centers or third-party providers are terminated or interrupted, such termination or interruption could adversely affect our business, financial condition and results of operations. We exercise little control over these providers, which increases our vulnerability to problems with the services they provide. We could incur additional expense in arranging for new or redesigned facilities, technology, services and support. In addition, the failure of our third-party data centers or any other third-party providers to meet our capacity needs or any system failure as a result of reliance on third parties, including network, software or hardware failure, which causes a delay or interruption in our services and products, including our ability to handle existing or increased processing of data on our platforms, could have a material adverse effect on our business, revenues, operating results and financial condition.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current and future products and services may never achieve significant commercial market acceptance.</w:t>
      </w:r>
    </w:p>
    <w:p>
      <w:pPr>
        <w:spacing w:after="0" w:line="16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Our success depends on the market’s confidence that we can provide data-driven research and diagnostic products and services that improve clinical outcomes, lower healthcare costs and enable better product development by pharmaceutical and biotech, or Biopharma, companies. Failure of our products and services, or those jointly developed with our collaborators, to perform as expected or to be updated to meet market demands could significantly impair our operating results and our reputation. We believe patients, health systems, clinicians, academic institutions and Biopharma companies are likely to be particularly sensitive to defects, errors, inaccuracies and delays with our products and services. Furthermore, inadequate performance of these products or services may result in lower confidence in our Centrellis platform in general.</w:t>
      </w:r>
    </w:p>
    <w:p>
      <w:pPr>
        <w:spacing w:after="0" w:line="12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and our collaborators may not succeed in achieving significant commercial market acceptance for our current or future products and services due to a number of factors, including:</w:t>
      </w:r>
    </w:p>
    <w:p>
      <w:pPr>
        <w:spacing w:after="0" w:line="128" w:lineRule="exact"/>
        <w:rPr>
          <w:sz w:val="20"/>
          <w:szCs w:val="20"/>
          <w:color w:val="auto"/>
        </w:rPr>
      </w:pPr>
    </w:p>
    <w:p>
      <w:pPr>
        <w:jc w:val="both"/>
        <w:ind w:left="640" w:hanging="316"/>
        <w:spacing w:after="0" w:line="255"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demonstrate the utility of our platforms including Centrellis and Traversa, and related products and services and their potential advantages over existing clinical AI technology, life sciences research, clinical diagnostic and drug discovery technologies to academic institutions, Biopharma companies and the medical community;</w:t>
      </w:r>
    </w:p>
    <w:p>
      <w:pPr>
        <w:spacing w:after="0" w:line="135" w:lineRule="exact"/>
        <w:rPr>
          <w:rFonts w:ascii="Arial" w:cs="Arial" w:eastAsia="Arial" w:hAnsi="Arial"/>
          <w:sz w:val="18"/>
          <w:szCs w:val="18"/>
          <w:color w:val="auto"/>
        </w:rPr>
      </w:pPr>
    </w:p>
    <w:p>
      <w:pPr>
        <w:ind w:left="640" w:hanging="316"/>
        <w:spacing w:after="0" w:line="294" w:lineRule="auto"/>
        <w:tabs>
          <w:tab w:leader="none" w:pos="635"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ability, and that of our collaborators, to perform clinical trials or other research to gather adequate evidence and/or to secure and maintain FDA and other regulatory clearance authorization or approval for our products or products developed based off our platform;</w:t>
      </w:r>
    </w:p>
    <w:p>
      <w:pPr>
        <w:spacing w:after="0" w:line="104" w:lineRule="exact"/>
        <w:rPr>
          <w:rFonts w:ascii="Arial" w:cs="Arial" w:eastAsia="Arial" w:hAnsi="Arial"/>
          <w:sz w:val="17"/>
          <w:szCs w:val="17"/>
          <w:color w:val="auto"/>
        </w:rPr>
      </w:pPr>
    </w:p>
    <w:p>
      <w:pPr>
        <w:ind w:left="640" w:hanging="316"/>
        <w:spacing w:after="0" w:line="294" w:lineRule="auto"/>
        <w:tabs>
          <w:tab w:leader="none" w:pos="635"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agreement by third-party payors to reimburse our products or services, the scope and extent of which will affect patients’ willingness or ability to pay for our products or services and will likely heavily influence physicians’ decisions to recommend our products or services;</w:t>
      </w:r>
    </w:p>
    <w:p>
      <w:pPr>
        <w:spacing w:after="0" w:line="104" w:lineRule="exact"/>
        <w:rPr>
          <w:rFonts w:ascii="Arial" w:cs="Arial" w:eastAsia="Arial" w:hAnsi="Arial"/>
          <w:sz w:val="17"/>
          <w:szCs w:val="17"/>
          <w:color w:val="auto"/>
        </w:rPr>
      </w:pPr>
    </w:p>
    <w:p>
      <w:pPr>
        <w:ind w:left="640" w:hanging="316"/>
        <w:spacing w:after="0" w:line="264"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rate of adoption of our platforms and related products and services by academic institutions, clinicians, patients, key opinion leaders, advocacy groups and Biopharma companies;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440" w:right="339" w:bottom="1440" w:gutter="0" w:footer="0" w:header="0"/>
        </w:sectPr>
      </w:pPr>
    </w:p>
    <w:bookmarkStart w:id="28" w:name="page29"/>
    <w:bookmarkEnd w:id="28"/>
    <w:p>
      <w:pPr>
        <w:spacing w:after="0" w:line="119" w:lineRule="exact"/>
        <w:rPr>
          <w:sz w:val="20"/>
          <w:szCs w:val="20"/>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our investments in product and services, and technological innovation and commercial growth.</w:t>
      </w:r>
    </w:p>
    <w:p>
      <w:pPr>
        <w:spacing w:after="0" w:line="16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Additionally, our customers and collaborators, including Mount Sinai, may decide to decrease or discontinue their use of our products and services due to changes in their research and development plans, failures in their clinical trials, financial constraints, the regulatory environment, negative publicity about our products and services, competing products or the reimbursement landscape, all of which are circumstances outside of our control. We may not be successful in addressing these or other factors that might affect the market acceptance of our products, services and technologies. Failure to achieve widespread market acceptance of our platform and related products and services would materially harm our business, financial condition and results of operations.</w:t>
      </w:r>
    </w:p>
    <w:p>
      <w:pPr>
        <w:spacing w:after="0" w:line="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Our projections are subject to significant risks, assumptions, estimates and uncertainties, including assumptions regarding adoption of our products and services. As a result, our projected revenues, market share, expenses and profitability may differ materially from our expectations in any given quarter or fiscal year.</w:t>
      </w:r>
    </w:p>
    <w:p>
      <w:pPr>
        <w:spacing w:after="0" w:line="135"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We operate in rapidly changing and competitive industries and our projections are subject to the risks and assumptions made by our management with respect to these industries. Operating results are difficult to forecast as they generally depend on our assessment of the timing of adoption of our current and future products and services, which is uncertain. Furthermore, as we invest in the continued development of new businesses that have yet to achieve significant commercial success, whether because of competition or otherwise, we may not recover the often substantial up-front costs of developing and marketing those products and services or recover the opportunity cost of diverting management and financial resources away from other products or services. Additionally, our business may be affected by reductions in customer or partner demand as a result of a number of factors which may be difficult to predict. Similarly, our assumptions and expectations with respect to margins and the pricing of our products and services may not prove to be accurate as a result of competitive pressures or customer or partner demands. This may result in decreased revenue, and we may be unable to adopt measures in a timely manner to compensate for any unexpected shortfall in revenue. This inability could cause our operating results in a given quarter or year to be higher or lower than expected. Any failure to achieve our projected operating results could harm the trading price of our securities and our financial position.</w:t>
      </w:r>
    </w:p>
    <w:p>
      <w:pPr>
        <w:spacing w:after="0" w:line="10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estimated the sizes of the markets for our current and future products and services, and these markets may be smaller than we estimate.</w:t>
      </w:r>
    </w:p>
    <w:p>
      <w:pPr>
        <w:spacing w:after="0" w:line="199"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Our estimates of the annual addressable markets for our current products and services and those under development are based on a number of internal and third-party estimates, including, without limitation, the number of patients who have developed one or more of a broad range of cancers, the number of individuals who are at a higher risk for developing one or more of a broad range of cancers, the number of individuals who have developed or are at a higher risk of developing certain disorders, the number of individuals with certain infectious diseases. The estimates also depend on whether we or our collaborators are able to engage, diagnose or treat patients through or using our products and services, the number of potential clinical tests utilized per treatment course per patient, the ongoing engagement by patients, physicians and health systems on our platforms, and the assumed prices at which we can sell our current and future products and services for markets that have not been established.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As a result, our estimates of the annual addressable market for our current or future products and services may prove to be incorrect. If the actual number of patients who would benefit from our products or services, the price at which we can sell future products and services or the annual addressable market for our products or services is smaller than we have estimated, it may impair our sales growth and have an adverse impact on our business.</w:t>
      </w:r>
    </w:p>
    <w:p>
      <w:pPr>
        <w:spacing w:after="0" w:line="32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Uncertainty in the development and commercialization of our enhanced or new tests or services could materially adversely affect our business, financial condition and results of operations.</w:t>
      </w:r>
    </w:p>
    <w:p>
      <w:pPr>
        <w:spacing w:after="0" w:line="12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Our success will depend in part on our ability to effectively introduce enhanced or new offerings. The focus of our research and development efforts has expanded beyond our current products and services, focused substantially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440" w:right="339" w:bottom="1440" w:gutter="0" w:footer="0" w:header="0"/>
        </w:sectPr>
      </w:pPr>
    </w:p>
    <w:bookmarkStart w:id="29" w:name="page30"/>
    <w:bookmarkEnd w:id="29"/>
    <w:p>
      <w:pPr>
        <w:spacing w:after="0" w:line="11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on women’s health and oncology, as we are now also applying our expertise in processing and analyzing new areas, such as rare diseases. In recent years we have developed and/or launched several new products or enhanced versions of existing products, including products leveraging alternative sequencing technologies, and we expect to continue our efforts in all of these areas and more. The development and launch of enhanced or new tests requires the completion of certain clinical development and commercialization activities that are complex, costly, time-intensive and uncertain, and requires us to accurately anticipate patients', clinicians', payors' and other counterparties' attitudes and needs as well as emerging technology and industry trends. This process is conducted in various stages, and each stage presents the risk that we will not achieve our goals.</w:t>
      </w:r>
    </w:p>
    <w:p>
      <w:pPr>
        <w:spacing w:after="0" w:line="126"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We have relatively limited experience developing and commercializing products and services outside of the fields of women’s health and oncology diagnostics, and we may not be successful in our current or future efforts to do so. We also have limited experience forecasting our future financial performance from our new products and services, and our actual results may fall below our financial guidance or other projections, or the expectations of analysts or investors, which could cause the price of our common stock and warrants to decline. We may experience research and development, regulatory, marketing and other difficulties that could delay or prevent our introduction of enhanced or new tests and result in increased costs and the diversion of management's attention and resources from other business matters, such as from our current product and service offerings, which currently represent the significant majority of our current revenues. For example, any tests that we may enhance or develop may not prove to be clinically effective in clinical trials or commercially, or may not meet our desired target product profile, be offered at acceptable cost and with the sensitivity, specificity and other test performance metrics necessary to address the relevant clinical need or commercial opportunity; our test performance in commercial experience may be inconsistent with our validation or other clinical data; we may not be successful in achieving market awareness and demand, whether through our own sales and marketing operations or through collaborative arrangements; healthcare providers may not order or use, or third-party payors may not reimburse for, any tests that we may enhance or develop; or we may otherwise have to abandon a test or service in which we have invested substantial resources. For example, we are subject to the risk that the biological characteristics of the genetic mutations we seek to target, and upon which our technologies rely, are uncertain and difficult to predict. We may also experience unforeseen difficulties when implementing updates to our processes.</w:t>
      </w:r>
    </w:p>
    <w:p>
      <w:pPr>
        <w:spacing w:after="0" w:line="324"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We cannot assure you that we can successfully complete the development of any new or enhanced product, or that we can establish or maintain the collaborative relationships that may be essential to our collaborators’ goals, including clinical development or commercialization efforts. For example, clinical development requires large numbers of patient specimens and, for certain products, may require large, prospective, and controlled clinical trials. We may not be able to identify and help enroll patients or collect a sufficient amount of appropriate health data in a timely manner; or we may experience delays during data analysis process due to slower than anticipated supplies of patient data, or due to changes in study design or inputs, or other unforeseen circumstances; or we or our collaborators may be unable to afford or manage the large-sized clinical trials that some of our planned future products may require. Further, the publication of clinical data in peer-reviewed journals is a crucial step in commercializing and obtaining reimbursement for certain diagnostic solutions such as the ones offered by us, and our inability to control when, if ever, results are published may delay or limit our ability to derive sufficient revenues from any diagnostic solution that is the subject of or component in a study. Peer-reviewed publications regarding our products may be limited by many factors, including delays in the completion of, poor design of, or lack of compelling data from, clinical studies, as well as delays in the review, acceptance and publication process. If our diagnostic solutions or the technology underlying our current and future diagnostic solutions do not receive sufficient favorable exposure in peer-reviewed publications, the rate of clinician adoption of our diagnostic solutions and positive reimbursement coverage determinations for our diagnostic solutions could be negatively affected.</w:t>
      </w:r>
    </w:p>
    <w:p>
      <w:pPr>
        <w:spacing w:after="0" w:line="319"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In addition, development of the data necessary to obtain regulatory clearance and approval of tests is time-consuming and carries with it the risk of not yielding the desired results. The performance achieved in published studies may not be repeated in later studies that may be required to obtain premarket clearance or approval from the Food and Drug Administration, or FDA. Limited results from earlier-stage verification studies may not predict results from studies in larger numbers of subjects drawn from more diverse populations over longer periods of time. Unfavorable results from ongoing preclinical and clinical studies may delay, limit or prevent regulatory approvals or clearances or commercialization of our product candidates, or could result in delays, modifications or abandonment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440" w:right="339" w:bottom="1440" w:gutter="0" w:footer="0" w:header="0"/>
        </w:sectPr>
      </w:pPr>
    </w:p>
    <w:bookmarkStart w:id="30" w:name="page31"/>
    <w:bookmarkEnd w:id="30"/>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ongoing analytical or future clinical studies, or abandonment of a product development program, any of which could have a material adverse effect on our business, operating results or financial condition.</w:t>
      </w:r>
    </w:p>
    <w:p>
      <w:pPr>
        <w:spacing w:after="0" w:line="128"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These and other factors beyond our control could result in delays or other difficulties in the research and development, approval, production, launch, marketing or distribution of enhanced or new tests and could adversely affect our competitive position and results of operations.</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We currently use, and in the future expect to increase our use of, information and rights from customers, strategic partners, and collaborators for several aspects of our operations, and if we cannot maintain current and enter new relationships with these parties with adequate access and authorization to such information, our business will suffer.</w:t>
      </w:r>
    </w:p>
    <w:p>
      <w:pPr>
        <w:spacing w:after="0" w:line="13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Accessing, combining, curating, and analyzing health information, including longitudinal patient medical history data and genetic data, are core features of the Centrellis platform and key elements of our long term business model. The regulatory landscape around the storage, processing and deidentification of genetic data is evolving globally and greatly impacts the ability of us, our strategic partners and collaborators to process and use the data in connection with our products and services.</w:t>
      </w:r>
    </w:p>
    <w:p>
      <w:pPr>
        <w:spacing w:after="0" w:line="138"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have limited resources to conduct our health information services, data analysis, life sciences research, clinical diagnostics and drug discovery operations and have not yet fully established infrastructure for sales, marketing or distribution in connection with our products and services. Accordingly, we have entered into service and collaboration agreements under which our partners, including health systems, have provided, and may in the future provide, funding, data access, and other resources for developing and potentially commercializing our products and services. These collaborations may result in us incurring significant expenses in pursuit of potential products and services, and we may not be successful in identifying, developing or commercializing any potential products or services.</w:t>
      </w:r>
    </w:p>
    <w:p>
      <w:pPr>
        <w:spacing w:after="0" w:line="143"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Our future success depends in part on our ability to maintain and grow our existing relationships, including with Mount Sinai, and to establish new relationships. Many factors may impact the success of such collaborations, including our ability to perform our obligations, our collaborators’ satisfaction with our products and services, our collaborators’ performance of their obligations to us, our collaborators’ internal priorities, resource allocation decisions and competitive opportunities, the ability to obtain regulatory approvals, disagreements with collaborators, the costs required of either party to the collaboration and related financing needs, and operating, legal and other risks in any relevant jurisdiction. Our ability to support such collaborations may also depend on factors outside of our control including the willingness of patients to engage with us and share their data, societal perspectives on privacy, and the willingness of health systems to establish collaborations, relationships and programs utilizing their data, all of which may impact the utility of these databases and the insights we will be able to generate from expanding datasets. In addition to reducing our revenue or delaying the development of our future products and services, the loss of one or more of these relationships may reduce our access to research, longitudinal patient health data, clinical trials or computing technologies that facilitate the collection and incorporation of new information into the databases we manage and to which we have access. All of the risks relating to product and service development, regulatory clearance, authorization or approval and commercialization described herein apply to us derivatively through the activities of our collaborators. We engage in conversations with companies regarding potential collaborations on an ongoing basis. These conversations may not result in a commercial agreement. Even if an agreement is reached, the resulting relationship may not be successful, and any products and services developed as part of the collaboration may not produce successful outcomes. Speculation in the industry about our existing or potential collaborations can be a catalyst for adverse speculation about us, or our products or services, which can adversely affect our reputation and our business.</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products and services do not perform as expected, we may not realize the expected benefits of such products and services.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success of our products depends on the market’s confidence that we can provide reliable products and services that enable high quality diagnostic testing and health information services with high sensitivity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440" w:right="339" w:bottom="1440" w:gutter="0" w:footer="0" w:header="0"/>
        </w:sectPr>
      </w:pPr>
    </w:p>
    <w:bookmarkStart w:id="31" w:name="page32"/>
    <w:bookmarkEnd w:id="31"/>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specificity and short turnaround times. There is no guarantee that the accuracy and reproducibility we have demonstrated to date will continue as our product deliveries increase and our product and service portfolio expands.</w:t>
      </w:r>
    </w:p>
    <w:p>
      <w:pPr>
        <w:spacing w:after="0" w:line="128"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Our products and services use a number of complex and sophisticated biochemical and bioinformatics processes, many of which are highly sensitive to external factors. An operational, technological or other failure in one of these complex processes or fluctuations in external variables may result in sensitivity or specificity rates that are lower than we anticipate or result in longer than expected turnaround times. In addition, labs are required to validate their processes before using our products for clinical purposes. These validations are outside of our control. If our products do not perform, or are perceived to not have performed, as expected or favorably in it to competitive products, our operating results, reputation, and business will suffer, and we may also be subject to legal claims arising from product limitations, errors, or inaccuracies.</w:t>
      </w:r>
    </w:p>
    <w:p>
      <w:pPr>
        <w:spacing w:after="0" w:line="12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If our sales and development or other collaborations and commercial relationships are not successful and we are not able to offset the resulting impact through our own efforts or through agreements with new partners, our commercialization activities may be impaired and our financial results could be adversely affected.</w:t>
      </w:r>
    </w:p>
    <w:p>
      <w:pPr>
        <w:spacing w:after="0" w:line="135"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5"/>
          <w:szCs w:val="15"/>
          <w:color w:val="auto"/>
        </w:rPr>
        <w:t>Part of our business strategy is to develop relationships with health systems, biopharma companies, and other partners to utilize our products and to provide access to data. Developing and commercializing products with third parties reduces our control over such development and commercialization efforts and subjects us to the various risks inherent in a joint effort with a third party, such as delays, operational issues, technical difficulties and other contingencies outside of our influence or control. The financial condition of these third parties could weaken, or they could terminate their relationship with us and/or stop sharing data or other information; reduce their marketing efforts relating to our products; develop and commercialize, or otherwise utilize competing products in addition to or in lieu of our tests; merge with or be acquired by a competitor of us or a company that chooses to de-prioritize the efforts to utilize our products or provide us with adequate data; or otherwise breach their agreements with us. Further, we must expend resources to operationalize our existing collaborations with our health system partners, which requires substantial effort in areas such as integrations for testing workflow, EMR, consents, marketing, and billing. To the extent, we are not successful at operationalizing existing collaborations with health partners, we may not be able to further improve or pursue new agreements with additional partners. Furthermore, our partners may misappropriate our trade secrets or use our proprietary information in such a way as to expose us to litigation and potential liability; and our compliance risk may increase to the extent that we are responsible for our partners' activities. Disagreements or disputes with our health systems and other partners, including disagreements over customers, proprietary or other rights or our or their compliance with financial or other contractual obligations, might cause delays or impair the development or commercialization of our products, services, and technologies, lead to additional responsibilities for us with respect to new products, services and technologies, or result in litigation or arbitration, any of which would divert management attention and resources and be time-consuming and expensive. As is typical for companies in our industry, it is continually evaluating and pursuing various strategic or commercial relationships, some of which may involve the sale and issuance of our common stock, which could result in additional dilution of the percentage ownership of our stockholders and could cause the price of our common stock and warrants to decline.</w:t>
      </w:r>
    </w:p>
    <w:p>
      <w:pPr>
        <w:spacing w:after="0" w:line="32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If our relationships are not successful, our ability to develop and improve of products, services and technologies, and to successfully execute our commercial strategy regarding such products, services and technologies, could be compromised.</w:t>
      </w:r>
    </w:p>
    <w:p>
      <w:pPr>
        <w:spacing w:after="0" w:line="12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are unable to deploy and maintain effective sales, marketing and medical affairs capabilities, we will have difficulty achieving market awareness and selling our products and services.</w:t>
      </w:r>
    </w:p>
    <w:p>
      <w:pPr>
        <w:spacing w:after="0" w:line="128"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To achieve commercial success for our tests and our future products and services, we must continue to develop and grow our sales, marketing and medical affairs organizations to effectively explain to healthcare providers the reliability, effectiveness and benefits of our current and future products and services as compared to alternatives. We may not be able to successfully manage our dispersed or inside sales forces or our sales force may not be effective. Because of the competition for their services, we may be unable to hire, partner with or retain additional qualified sales representatives or marketing or medical affairs personnel, either as our employees or independent contractors or through independent sales or other third-party organizations. Market competition for commercial, marketing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440" w:right="339" w:bottom="1440" w:gutter="0" w:footer="0" w:header="0"/>
        </w:sectPr>
      </w:pPr>
    </w:p>
    <w:bookmarkStart w:id="32" w:name="page33"/>
    <w:bookmarkEnd w:id="32"/>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medical affairs talent is significant, and we may not be able to hire or retain such talent on commercially reasonable terms, if at all.</w:t>
      </w:r>
    </w:p>
    <w:p>
      <w:pPr>
        <w:spacing w:after="0" w:line="164"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Establishing and maintaining sales, marketing and medical affairs capabilities will be expensive and time-consuming. Our expenses associated with maintaining our sales force may be disproportionate to the revenues we may be able to generate on sales of the certain tests or any future products or services.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never become profitable.</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Sema4 has incurred losses since Sema4 was formed and we expect to continue to generate significant operating losses for the foreseeable future. As of December 31, 2020 and March 31, 2021, we have an accumulated deficit of approximately $330.1 million and $521.0 million, respectively. We expect to continue investing significantly toward development and commercialization of our health information technology and other products and services. If our revenue does not grow significantly, we will not be profitable. We cannot be certain that the revenue from the sale of any products or services based on our technologies will be sufficient to make us profitable.</w:t>
      </w:r>
    </w:p>
    <w:p>
      <w:pPr>
        <w:spacing w:after="0" w:line="14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Our operating results could be subject to significant fluctuation, which could increase the volatility of our stock and warrant price and cause losses to our stockholders.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revenues and results of operations may fluctuate significantly, depending on a variety of factors, including the following:</w:t>
      </w:r>
    </w:p>
    <w:p>
      <w:pPr>
        <w:spacing w:after="0" w:line="164" w:lineRule="exact"/>
        <w:rPr>
          <w:sz w:val="20"/>
          <w:szCs w:val="20"/>
          <w:color w:val="auto"/>
        </w:rPr>
      </w:pPr>
    </w:p>
    <w:p>
      <w:pPr>
        <w:ind w:left="640" w:hanging="316"/>
        <w:spacing w:after="0"/>
        <w:tabs>
          <w:tab w:leader="none" w:pos="6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our success in marketing and selling, and changes in demand for, our tests, and the level of reimbursement and collection obtained for such tests;</w:t>
      </w:r>
    </w:p>
    <w:p>
      <w:pPr>
        <w:spacing w:after="0" w:line="198" w:lineRule="exact"/>
        <w:rPr>
          <w:rFonts w:ascii="Arial" w:cs="Arial" w:eastAsia="Arial" w:hAnsi="Arial"/>
          <w:sz w:val="15"/>
          <w:szCs w:val="15"/>
          <w:color w:val="auto"/>
        </w:rPr>
      </w:pPr>
    </w:p>
    <w:p>
      <w:pPr>
        <w:jc w:val="both"/>
        <w:ind w:left="640" w:hanging="316"/>
        <w:spacing w:after="0" w:line="255"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seasonal and environmental variations affecting healthcare provider recommendations for our tests and patient compliance with healthcare provider recommendations, including without limitation holidays, weather events, and circumstances such as the outbreak of coronavirus or influenza that may limit patient access to medical practices for diagnostic tests and preventive services;</w:t>
      </w:r>
    </w:p>
    <w:p>
      <w:pPr>
        <w:spacing w:after="0" w:line="135"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success in collecting payments from third-party payors, patients and collaborative partners, variation in the timing of these payments and recognition of these payments as revenues;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pricing of our tests, including potential changes in CMS or other reimbursement rates;</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circumstances affecting our ability to provide our tests, including weather events, supply shortages, or regulatory or other circumstances that adversely affect our ability to manufacture our tests or process tests in our clinical laboratories;</w:t>
      </w:r>
    </w:p>
    <w:p>
      <w:pPr>
        <w:spacing w:after="0" w:line="127" w:lineRule="exact"/>
        <w:rPr>
          <w:rFonts w:ascii="Arial" w:cs="Arial" w:eastAsia="Arial" w:hAnsi="Arial"/>
          <w:sz w:val="18"/>
          <w:szCs w:val="18"/>
          <w:color w:val="auto"/>
        </w:rPr>
      </w:pPr>
    </w:p>
    <w:p>
      <w:pPr>
        <w:ind w:left="640" w:hanging="316"/>
        <w:spacing w:after="0" w:line="365" w:lineRule="auto"/>
        <w:tabs>
          <w:tab w:leader="none" w:pos="635" w:val="left"/>
        </w:tabs>
        <w:numPr>
          <w:ilvl w:val="0"/>
          <w:numId w:val="16"/>
        </w:numPr>
        <w:rPr>
          <w:rFonts w:ascii="Arial" w:cs="Arial" w:eastAsia="Arial" w:hAnsi="Arial"/>
          <w:sz w:val="15"/>
          <w:szCs w:val="15"/>
          <w:color w:val="auto"/>
        </w:rPr>
      </w:pPr>
      <w:r>
        <w:rPr>
          <w:rFonts w:ascii="Arial" w:cs="Arial" w:eastAsia="Arial" w:hAnsi="Arial"/>
          <w:sz w:val="15"/>
          <w:szCs w:val="15"/>
          <w:color w:val="auto"/>
        </w:rPr>
        <w:t>circumstances affecting our ability to provide health information and data science services to biopharma partners, including software or hardware failures, insufficient capacity, regulatory changes or other circumstances that adversely affect the ability of us to deliver these services;</w:t>
      </w:r>
    </w:p>
    <w:p>
      <w:pPr>
        <w:spacing w:after="0" w:line="58" w:lineRule="exact"/>
        <w:rPr>
          <w:rFonts w:ascii="Arial" w:cs="Arial" w:eastAsia="Arial" w:hAnsi="Arial"/>
          <w:sz w:val="15"/>
          <w:szCs w:val="15"/>
          <w:color w:val="auto"/>
        </w:rPr>
      </w:pPr>
    </w:p>
    <w:p>
      <w:pPr>
        <w:ind w:left="640" w:hanging="316"/>
        <w:spacing w:after="0" w:line="264"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the amount and timing of our selling and marketing costs and our ability to manage costs and expenses and effectively implement our business;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research and development activities, including the timing of clinical trials; and</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collect, use, and commercialize data in a changing regulatory environment at a time when the public is growing increasingly concerned about privacy.</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revenue growth rate could decline over time, and it may experience downward pressure on our operating margins in the future.</w:t>
      </w:r>
    </w:p>
    <w:p>
      <w:pPr>
        <w:spacing w:after="0" w:line="17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revenue growth rate could decline over time as a result of a number of factors, including increasing competition and the continued expansion of our business into a variety of new fields. Changes in geographic mix and product and service mix and an increasing competition for tests may also affect our revenue growth rate.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440" w:right="339" w:bottom="1440" w:gutter="0" w:footer="0" w:header="0"/>
        </w:sectPr>
      </w:pPr>
    </w:p>
    <w:bookmarkStart w:id="33" w:name="page34"/>
    <w:bookmarkEnd w:id="33"/>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may also experience a decline in our revenue growth rate as our revenues increase to higher levels, if there is a decrease in the rate of adoption of our products, services, and technologies, among other factors.</w:t>
      </w:r>
    </w:p>
    <w:p>
      <w:pPr>
        <w:spacing w:after="0" w:line="12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addition to a decline in our revenue growth rate, we may also experience downward pressure on our gross operating margins resulting from a variety of factors, such as the continued expansion of our business into new fields, including new products and services, as well as significant investments in new areas, all of which may have margins lower than those that we generate from testing. We may also experience downward pressure on our gross operating margins from increasing competition and increased costs for many aspects of our business. We may also pay increased fees to our partners as well as increased acquisition costs. We may also face an increase in infrastructure costs, supporting other businesses. Additionally, our expenditures to promote new products and services or to distribute certain products and services or increased investment in our innovation efforts across our Centrellis platform may affect our operating margins.</w:t>
      </w:r>
    </w:p>
    <w:p>
      <w:pPr>
        <w:spacing w:after="0" w:line="14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Due to these factors and the evolving nature of our business, our historical projected revenue growth rate and historical gross operating margins may not be indicative of our future performance.</w:t>
      </w:r>
    </w:p>
    <w:p>
      <w:pPr>
        <w:spacing w:after="0" w:line="12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may need to raise additional capital to fund our existing operations, develop additional products and services, commercialize new products and services or expand our operations.</w:t>
      </w:r>
    </w:p>
    <w:p>
      <w:pPr>
        <w:spacing w:after="0" w:line="128"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Sema4 has incurred net losses and negative cash flows from operations since its inception, including net losses of $241.3 million, $29.7 million and $23.9 million for the years ended December 31, 2020, 2019 and 2018, respectively, and net losses of $191.0 million and $27.0 million for the three months ended March 31, 2021 and 2020, respectively. As of March 31, 2021, we had an accumulated deficit of $521.0 million. We expect to continue to generate significant operating losses for the foreseeable future, and we may therefore also seek to sell common or preferred equity or convertible debt securities, enter into a credit facility or another form of third-party funding or seek other debt financing.</w:t>
      </w:r>
    </w:p>
    <w:p>
      <w:pPr>
        <w:spacing w:after="0" w:line="128"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We may also consider raising additional capital in the future to expand our business, to pursue strategic investments, to take advantage of financing opportunities or for other reasons, including to:</w:t>
      </w:r>
    </w:p>
    <w:p>
      <w:pPr>
        <w:spacing w:after="0" w:line="128" w:lineRule="exact"/>
        <w:rPr>
          <w:sz w:val="20"/>
          <w:szCs w:val="20"/>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 our sales and marketing efforts to drive market adoption of our current and future products and services;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fund development efforts for our current and future products and services;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expand our products and services into other disease indications and clinical applications;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acquire, license or invest in technologies;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acquire or invest in complementary businesses or assets;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finance capital expenditures and general and administrative expenses.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present and future funding requirements will depend on many factors, including:</w:t>
      </w:r>
    </w:p>
    <w:p>
      <w:pPr>
        <w:spacing w:after="0" w:line="164" w:lineRule="exact"/>
        <w:rPr>
          <w:sz w:val="20"/>
          <w:szCs w:val="20"/>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achieve revenue growth;</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our rate of progress in establishing payer coverage and reimbursement arrangements with commercial third-party payors and government payers;</w:t>
      </w:r>
    </w:p>
    <w:p>
      <w:pPr>
        <w:spacing w:after="0" w:line="198" w:lineRule="exact"/>
        <w:rPr>
          <w:rFonts w:ascii="Arial" w:cs="Arial" w:eastAsia="Arial" w:hAnsi="Arial"/>
          <w:sz w:val="15"/>
          <w:szCs w:val="15"/>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expanding our laboratory operations and offerings, including our sales and marketing efforts;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rate of progress in, and cost of the sales and marketing activities associated with, establishing adoption of our Centrellis solution;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our rate of progress in, and cost of research and development activities associated with, products and services in research and early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440" w:right="339" w:bottom="1440" w:gutter="0" w:footer="0" w:header="0"/>
        </w:sectPr>
      </w:pPr>
    </w:p>
    <w:bookmarkStart w:id="34" w:name="page35"/>
    <w:bookmarkEnd w:id="34"/>
    <w:p>
      <w:pPr>
        <w:spacing w:after="0" w:line="119" w:lineRule="exact"/>
        <w:rPr>
          <w:sz w:val="20"/>
          <w:szCs w:val="20"/>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 of competing technological, product and market developments;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costs related to international expansion;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potential cost of and delays in product development as a result of any regulatory oversight applicable to our products and services.</w:t>
      </w:r>
    </w:p>
    <w:p>
      <w:pPr>
        <w:spacing w:after="0" w:line="176"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various ways we could raise additional capital carry potential risks. If we raise funds by issuing equity securities, dilution to our stockholders could result. Any preferred equity securities issued also could provide for rights, preferences or privileges senior to those of holders of our common stock. If we raise funds by issuing debt securities, those debt securities would have rights, preferences and privileges senior to those of holders of our common stock. The terms of debt securities issued or borrowings pursuant to a credit agreement could impose significant restrictions on our operations. If we raise funds through collaborations and licensing arrangements, we might be required to relinquish significant rights to our technologies or products and services or grant licenses on terms that are not favorable to us.</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expect to make significant investments in our continued research and development of new products and services, which may not be successful.</w:t>
      </w:r>
    </w:p>
    <w:p>
      <w:pPr>
        <w:spacing w:after="0" w:line="199"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are seeking to leverage and deploy our Centrellis and Traversa platforms to develop a pipeline of future disease-specific research, diagnostic and therapeutic products and services. For example, we are attempting to extend current products into additional indications and sample types, and we are developing our population health program, and our pharmacogenomics solutions with a view toward advancing the development of tests designed to identify genetic variants for drug response that are associated with medically actionable and clinically relevant data to make more informed treatment decisions. We expect to incur significant expenses to advance these development efforts, but they may not be successful.</w:t>
      </w:r>
    </w:p>
    <w:p>
      <w:pPr>
        <w:spacing w:after="0" w:line="128"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Developing new products and services is a speculative and risky endeavor. Products or services that initially show promise may fail to achieve the desired results or may not achieve acceptable levels of analytical accuracy or clinical utility. We may need to alter our products in development and repeat analysis or clinical studies before we identify a potentially successful product or service. Product development is expensive, may take years to complete and can have uncertain outcomes. Failure can occur at any stage of the development. If, after development, a product or service appears successful, we or our collaborators may, depending on the nature of the product or service, still need to obtain FDA and other regulatory clearances, authorizations or approvals before we can market it. In the case of clinical products, the FDA’s clearance, authorization or approval pathways are likely to involve significant time, as well as additional research, development and clinical study expenditures. The FDA may not clear, authorize or approve any future product or service we develop. Even if we develop a product or service that receives regulatory clearance, authorization or approval, or succeeds in initial product testing, we or our collaborators would need to commit substantial resources to commercialize, sell and market it before it could be profitable, and the product or service may never be commercially successful. Additionally, development of any product or service may be disrupted or made less viable by the development of competing products or services.</w:t>
      </w:r>
    </w:p>
    <w:p>
      <w:pPr>
        <w:spacing w:after="0" w:line="10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New potential products and services may fail at any stage of development or recalled after commercialization and if we determine that any of our current or future products or services are unlikely to succeed, we may abandon them without any return on our investment. If we are unsuccessful in developing additional products or services, our potential for growth may be impaired.</w:t>
      </w:r>
    </w:p>
    <w:p>
      <w:pPr>
        <w:spacing w:after="0" w:line="1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We have identified material weaknesses, some of which have a pervasive effect across the organization, and may identify additional material weaknesses or significant deficiencies, in our internal controls over financial reporting. Our failure to remedy these matters could result in a material misstatement of our financial statements.</w:t>
      </w:r>
    </w:p>
    <w:p>
      <w:pPr>
        <w:spacing w:after="0" w:line="135"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In the course of preparing Sema4’s financial statements for 2020, 2019 and 2018, we identified material weaknesses in our internal control over financial reporting which could, if not remediated, result in material misstatements in our financial statements.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The material weaknesses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440" w:right="339" w:bottom="1440" w:gutter="0" w:footer="0" w:header="0"/>
        </w:sectPr>
      </w:pPr>
    </w:p>
    <w:bookmarkStart w:id="35" w:name="page36"/>
    <w:bookmarkEnd w:id="35"/>
    <w:p>
      <w:pPr>
        <w:spacing w:after="0" w:line="11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identified related to the fact that we did not design and maintain accounting policies, procedures and controls to ensure complete, accurate and timely financial reporting in accordance with U.S. GAAP. Specifically, the material weaknesses identified included the following:</w:t>
      </w:r>
    </w:p>
    <w:p>
      <w:pPr>
        <w:spacing w:after="0" w:line="128" w:lineRule="exact"/>
        <w:rPr>
          <w:sz w:val="20"/>
          <w:szCs w:val="20"/>
          <w:color w:val="auto"/>
        </w:rPr>
      </w:pPr>
    </w:p>
    <w:p>
      <w:pPr>
        <w:ind w:left="640" w:hanging="316"/>
        <w:spacing w:after="0" w:line="264"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did not design and maintain accounting policies, processes and controls to analyze, account for and report our revenue arrangements in accordance with ASC 606, Revenue from Contracts with Customers, and ASC 605, Revenue Recognition.</w:t>
      </w:r>
    </w:p>
    <w:p>
      <w:pPr>
        <w:spacing w:after="0" w:line="127" w:lineRule="exact"/>
        <w:rPr>
          <w:rFonts w:ascii="Arial" w:cs="Arial" w:eastAsia="Arial" w:hAnsi="Arial"/>
          <w:sz w:val="18"/>
          <w:szCs w:val="18"/>
          <w:color w:val="auto"/>
        </w:rPr>
      </w:pPr>
    </w:p>
    <w:p>
      <w:pPr>
        <w:jc w:val="both"/>
        <w:ind w:left="640" w:hanging="316"/>
        <w:spacing w:after="0" w:line="252"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did not design and maintain formal accounting policies, procedures and controls to achieve complete, accurate and timely financial accounting, reporting and disclosures, including controls over the preparation and review of account reconciliations and journal entries; the accounting for cost capitalization policies in accordance with ASC 330, Inventory, and ASC 350-40, Intangibles – Goodwill and Other – Internal-Use Software; and the application of ASC 840, Leases.</w:t>
      </w:r>
    </w:p>
    <w:p>
      <w:pPr>
        <w:spacing w:after="0" w:line="137"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had not developed and effectively communicated to our employees our accounting policies and procedures, which resulted in inconsistent practices. Since these entity level programs have a pervasive effect across the organization, management has determined that these circumstances constitute a material weakness.</w:t>
      </w:r>
    </w:p>
    <w:p>
      <w:pPr>
        <w:spacing w:after="0" w:line="135"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accounting and operating systems lacked controls over access, and program change management that are needed to ensure access to financial data is adequately restricted to appropriate personnel.</w:t>
      </w:r>
    </w:p>
    <w:p>
      <w:pPr>
        <w:spacing w:after="0" w:line="127" w:lineRule="exact"/>
        <w:rPr>
          <w:rFonts w:ascii="Arial" w:cs="Arial" w:eastAsia="Arial" w:hAnsi="Arial"/>
          <w:sz w:val="18"/>
          <w:szCs w:val="18"/>
          <w:color w:val="auto"/>
        </w:rPr>
      </w:pPr>
    </w:p>
    <w:p>
      <w:pPr>
        <w:jc w:val="both"/>
        <w:ind w:left="640" w:hanging="316"/>
        <w:spacing w:after="0" w:line="250"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do not have sufficient, qualified finance and accounting staff with the appropriate U.S. GAAP technical accounting expertise to identify, evaluate and account for accounting and financial reporting, and effectively design and implement systems and processes that allow for the timely production of accurate financial information in accordance with internal financial reporting timelines, commensurate with our size and the nature and complexity of our operations. As a result, we did not design and maintain formal accounting policies, processes and controls related to complex transactions necessary for an effective financial reporting process.</w:t>
      </w:r>
    </w:p>
    <w:p>
      <w:pPr>
        <w:spacing w:after="0" w:line="141" w:lineRule="exact"/>
        <w:rPr>
          <w:sz w:val="20"/>
          <w:szCs w:val="20"/>
          <w:color w:val="auto"/>
        </w:rPr>
      </w:pPr>
    </w:p>
    <w:p>
      <w:pPr>
        <w:jc w:val="both"/>
        <w:ind w:firstLine="318"/>
        <w:spacing w:after="0" w:line="268" w:lineRule="auto"/>
        <w:rPr>
          <w:rFonts w:ascii="Arial" w:cs="Arial" w:eastAsia="Arial" w:hAnsi="Arial"/>
          <w:sz w:val="17"/>
          <w:szCs w:val="17"/>
          <w:color w:val="auto"/>
        </w:rPr>
      </w:pPr>
      <w:r>
        <w:rPr>
          <w:rFonts w:ascii="Arial" w:cs="Arial" w:eastAsia="Arial" w:hAnsi="Arial"/>
          <w:sz w:val="17"/>
          <w:szCs w:val="17"/>
          <w:color w:val="auto"/>
        </w:rPr>
        <w:t>Our management is in the process of implementing a remediation plan that is expected to include policies and procedures to support internal control over financial reporting for a public company as well as supplementing the accounting and finance function with robust technical accounting and financial reporting experience and training. However, we cannot guarantee that the steps we have taken or may subsequently take have been or will be sufficient to remediate the material weaknesses or ensure that our internal controls are effective. For a discussion of our remediation plan and actions, see the section titled “</w:t>
      </w:r>
      <w:hyperlink w:anchor="page85">
        <w:r>
          <w:rPr>
            <w:rFonts w:ascii="Arial" w:cs="Arial" w:eastAsia="Arial" w:hAnsi="Arial"/>
            <w:sz w:val="17"/>
            <w:szCs w:val="17"/>
            <w:u w:val="single" w:color="auto"/>
            <w:color w:val="0000FF"/>
          </w:rPr>
          <w:t>Management's Discussion and Analysis of Financial Condition and Results of Operations—Internal Controls</w:t>
        </w:r>
      </w:hyperlink>
      <w:r>
        <w:rPr>
          <w:rFonts w:ascii="Arial" w:cs="Arial" w:eastAsia="Arial" w:hAnsi="Arial"/>
          <w:sz w:val="17"/>
          <w:szCs w:val="17"/>
          <w:color w:val="auto"/>
        </w:rPr>
        <w:t>.”</w:t>
      </w:r>
    </w:p>
    <w:p>
      <w:pPr>
        <w:spacing w:after="0" w:line="128"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In addition, prior to the consummation of the Business Combination, following the issuance of the SEC Statement (as defined below), on April 12, 2021, after consultation with CMLS’s prior independent registered public accounting firm, CMLS’s management and CMLS’s audit committee concluded that, in light of the SEC Statement, it was appropriate to restate CMLS’s previously issued audited financial statements as of and for the period ended December 31, 2020 (the “Restatement”). See “—</w:t>
      </w:r>
      <w:r>
        <w:rPr>
          <w:rFonts w:ascii="Arial" w:cs="Arial" w:eastAsia="Arial" w:hAnsi="Arial"/>
          <w:sz w:val="18"/>
          <w:szCs w:val="18"/>
          <w:i w:val="1"/>
          <w:iCs w:val="1"/>
          <w:color w:val="auto"/>
        </w:rPr>
        <w:t>Risks Related to Our Common Stock and Warrants—Our warrants are accounted for as liabilities and the changes in value</w:t>
      </w:r>
      <w:r>
        <w:rPr>
          <w:rFonts w:ascii="Arial" w:cs="Arial" w:eastAsia="Arial" w:hAnsi="Arial"/>
          <w:sz w:val="18"/>
          <w:szCs w:val="18"/>
          <w:color w:val="auto"/>
        </w:rPr>
        <w:t xml:space="preserve"> </w:t>
      </w:r>
      <w:r>
        <w:rPr>
          <w:rFonts w:ascii="Arial" w:cs="Arial" w:eastAsia="Arial" w:hAnsi="Arial"/>
          <w:sz w:val="18"/>
          <w:szCs w:val="18"/>
          <w:i w:val="1"/>
          <w:iCs w:val="1"/>
          <w:color w:val="auto"/>
        </w:rPr>
        <w:t>of our warrants could have a material effect on our financial results</w:t>
      </w:r>
      <w:r>
        <w:rPr>
          <w:rFonts w:ascii="Arial" w:cs="Arial" w:eastAsia="Arial" w:hAnsi="Arial"/>
          <w:sz w:val="18"/>
          <w:szCs w:val="18"/>
          <w:color w:val="auto"/>
        </w:rPr>
        <w:t>.” As part of such process, CMLS identified a material weakness in CMLS’s internal</w:t>
      </w:r>
      <w:r>
        <w:rPr>
          <w:rFonts w:ascii="Arial" w:cs="Arial" w:eastAsia="Arial" w:hAnsi="Arial"/>
          <w:sz w:val="18"/>
          <w:szCs w:val="18"/>
          <w:i w:val="1"/>
          <w:iCs w:val="1"/>
          <w:color w:val="auto"/>
        </w:rPr>
        <w:t xml:space="preserve"> </w:t>
      </w:r>
      <w:r>
        <w:rPr>
          <w:rFonts w:ascii="Arial" w:cs="Arial" w:eastAsia="Arial" w:hAnsi="Arial"/>
          <w:sz w:val="18"/>
          <w:szCs w:val="18"/>
          <w:color w:val="auto"/>
        </w:rPr>
        <w:t>controls over financial reporting.</w:t>
      </w:r>
    </w:p>
    <w:p>
      <w:pPr>
        <w:spacing w:after="0" w:line="143" w:lineRule="exact"/>
        <w:rPr>
          <w:sz w:val="20"/>
          <w:szCs w:val="20"/>
          <w:color w:val="auto"/>
        </w:rPr>
      </w:pPr>
    </w:p>
    <w:p>
      <w:pPr>
        <w:jc w:val="both"/>
        <w:ind w:firstLine="318"/>
        <w:spacing w:after="0" w:line="267" w:lineRule="auto"/>
        <w:rPr>
          <w:rFonts w:ascii="Arial" w:cs="Arial" w:eastAsia="Arial" w:hAnsi="Arial"/>
          <w:sz w:val="17"/>
          <w:szCs w:val="17"/>
          <w:color w:val="auto"/>
        </w:rPr>
      </w:pPr>
      <w:r>
        <w:rPr>
          <w:rFonts w:ascii="Arial" w:cs="Arial" w:eastAsia="Arial" w:hAnsi="Arial"/>
          <w:sz w:val="17"/>
          <w:szCs w:val="17"/>
          <w:color w:val="auto"/>
        </w:rPr>
        <w:t>Furthermore, as a public company, we are required to comply with certain rules and requirements related to our disclosure controls and procedures and our internal control over financial reporting. Any failure to develop or maintain effective controls as a public company, or any difficulties encountered in their implementation or improvement, could harm our operating results or cause us to fail to meet our reporting obligations and may result in a restatement of our financial statements for prior periods. For more information, see “</w:t>
      </w:r>
      <w:hyperlink w:anchor="page57">
        <w:r>
          <w:rPr>
            <w:rFonts w:ascii="Arial" w:cs="Arial" w:eastAsia="Arial" w:hAnsi="Arial"/>
            <w:sz w:val="17"/>
            <w:szCs w:val="17"/>
            <w:i w:val="1"/>
            <w:iCs w:val="1"/>
            <w:u w:val="single" w:color="auto"/>
            <w:color w:val="0000FF"/>
          </w:rPr>
          <w:t xml:space="preserve">Risk </w:t>
        </w:r>
      </w:hyperlink>
      <w:r>
        <w:rPr>
          <w:rFonts w:ascii="Arial" w:cs="Arial" w:eastAsia="Arial" w:hAnsi="Arial"/>
          <w:sz w:val="17"/>
          <w:szCs w:val="17"/>
          <w:color w:val="auto"/>
        </w:rPr>
        <w:t xml:space="preserve">Factors—Risks </w:t>
      </w:r>
      <w:hyperlink w:anchor="page57">
        <w:r>
          <w:rPr>
            <w:rFonts w:ascii="Arial" w:cs="Arial" w:eastAsia="Arial" w:hAnsi="Arial"/>
            <w:sz w:val="17"/>
            <w:szCs w:val="17"/>
            <w:i w:val="1"/>
            <w:iCs w:val="1"/>
            <w:u w:val="single" w:color="auto"/>
            <w:color w:val="0000FF"/>
          </w:rPr>
          <w:t>Related to Being a Public Company</w:t>
        </w:r>
      </w:hyperlink>
      <w:r>
        <w:rPr>
          <w:rFonts w:ascii="Arial" w:cs="Arial" w:eastAsia="Arial" w:hAnsi="Arial"/>
          <w:sz w:val="17"/>
          <w:szCs w:val="17"/>
          <w:color w:val="auto"/>
        </w:rPr>
        <w:t>—</w:t>
      </w:r>
      <w:r>
        <w:rPr>
          <w:rFonts w:ascii="Arial" w:cs="Arial" w:eastAsia="Arial" w:hAnsi="Arial"/>
          <w:sz w:val="17"/>
          <w:szCs w:val="17"/>
          <w:i w:val="1"/>
          <w:iCs w:val="1"/>
          <w:color w:val="auto"/>
        </w:rPr>
        <w:t>Our internal controls over</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reporting may not be effective and our independent registered public accounting firm may not be able to certify as to their effectiveness, which could have a significant and adverse effect on our business and reputation.</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440" w:right="339" w:bottom="1440" w:gutter="0" w:footer="0" w:header="0"/>
        </w:sectPr>
      </w:pPr>
    </w:p>
    <w:bookmarkStart w:id="36" w:name="page37"/>
    <w:bookmarkEnd w:id="36"/>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 forwards and certain other tax attributes may be limited.</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At December 31, 2020, our total gross deferred tax assets were $61.4million. Due to our lack of earnings history, future deductible temporary differences related to compensation and uncertainties surrounding our ability to generate future taxable income, our net deferred tax assets have been fully offset by a valuation allowance. The deferred tax assets are primarily comprised of federal and state tax net operating losses and tax credit carryforwards, and tax deductible temporary differences.</w:t>
      </w:r>
    </w:p>
    <w:p>
      <w:pPr>
        <w:spacing w:after="0" w:line="138"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Furthermore, under Section 382 of the Internal Revenue Code of 1986, as amended, or the Internal Revenue Code, if a corporation undergoes an “ownership change,” the corporation’s ability to use its pre-change net operating loss carryforwards, or NOLs, and other pre-change tax attributes (such as research tax credits) to offset its future taxable income may be limited. In general, an “ownership change” occurs if there is a cumulative change in its ownership by “5% shareholders” that exceeds 50 percentage points over a rolling three-year period. Our existing NOLs and tax credit carryovers may be subject to limitations arising from previous ownership changes, and if we undergo one or more ownership changes in connection with completed acquisitions, including the Business Combination, or future transactions in our stock, our ability to utilize NOLs and tax credit carryovers could be further limited by Section 382 of the Internal Revenue Code. As a result, if we earn future taxable income, our ability to use our pre-change net operating loss and tax credit carryforwards to offset U.S. federal taxable income may be subject to limitations, which could potentially result in increased future tax liability to us. In addition, the Tax Cuts and Jobs Act limits the deduction for NOLs to 80% of current year taxable income and eliminates NOL carrybacks. Further, there may also be periods during which the use of NOLs is suspended or otherwise limited, which could accelerate or permanently increase state liability.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Key Relationships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third-party laboratories to perform certain elements of our service offerings.</w:t>
      </w:r>
    </w:p>
    <w:p>
      <w:pPr>
        <w:spacing w:after="0" w:line="164"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A limited but meaningful portion of our genomic analysis services is performed by third-party laboratories and service providers, while the remaining portion is performed in our laboratories. The third-party laboratories are subject to contractual obligations to perform these services for us, but are not otherwise under our control. We therefore do not control the capacity and quality control efforts of these third-party laboratories other than through our ability to enforce contractual obligations on volume and quality systems, and we have no control over such laboratories’ compliance with applicable legal and regulatory requirements. We also have no control over the timeliness of such laboratories’ performance of their obligations to us, and the third-party laboratories that we have contracted with have in the past had, and occasionally continue to have, issues with delivering results to us or resolving issues with us within the time frames we expected or established in our contracts with them, which sometimes results in longer than expected turnaround times for, or negatively impacts the performance of, these tests and services. In the event of any adverse developments with these third-party laboratories or their ability to perform their obligations in a timely manner and in accordance with the standards that we and our customers expect, our ability to service customers may be delayed, interrupted or otherwise adversely affected, which could result in a loss of customers and harm to our reputation. Furthermore, when these issues arise, we have had to expend time, management’s attention and other resources to address and remedy such issues.</w:t>
      </w:r>
    </w:p>
    <w:p>
      <w:pPr>
        <w:spacing w:after="0" w:line="321"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We may not have sufficient alternative backup if one or more of the third-party laboratories that we contract with are unable to satisfy their obligations to us with sufficient performance, quality and timeliness, including as a result of the COVID-19 pandemic. Any natural or other disaster, acts of war or terrorism, shipping embargoes, labor unrest, political instability, outbreaks of disease or similar events at one or more of these third-party laboratories’ facilities that causes a loss of capacity would heighten the risks that we face. Changes to or termination of agreements or inability to renew agreements with these third-party laboratories or enter into new agreements with other laboratories that are able to perform such portions of our service offerings could impair, delay or suspend our efforts to market and sell these services. In addition, certain third-party payors, including some state Medicaid payers, that we are under contract with may take the position that sending out testing to third-party laboratories and billing for such tests is contrary to the terms of its provider agreement and may refuse to pay us for the testing. If any of these events occur, our business, financial condition and results of operations could suffer. Further, some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440" w:right="339" w:bottom="1440" w:gutter="0" w:footer="0" w:header="0"/>
        </w:sectPr>
      </w:pPr>
    </w:p>
    <w:bookmarkStart w:id="37" w:name="page38"/>
    <w:bookmarkEnd w:id="37"/>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laws impose anti-markup restrictions that prevent an entity from realizing a profit margin on outsourced testing. If we are unable to markup outsourced testing, our revenues and operating margins may suffer.</w:t>
      </w:r>
    </w:p>
    <w:p>
      <w:pPr>
        <w:spacing w:after="0" w:line="12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rely on Mount Sinai, a related party, and its clinicians for a portion of our test volume in connection with our diagnostic solutions and for data programs, and we have entered into certain other arrangements with Mount Sinai.</w:t>
      </w:r>
    </w:p>
    <w:p>
      <w:pPr>
        <w:spacing w:after="0" w:line="128"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We rely on Mount Sinai, which is a related party, and its clinicians for a portion of our test volumes in connection with our diagnostic solutions and for a significant portion of the de-identified clinical records in our databases. In 2020, orders from Mount Sinai clinicians accounted for 5.5% of our total test volume, down from 12.8% in 2019. In addition, we sublease certain facilities from Mount Sinai, we provide certain research and data services to Mount Sinai, and we and Mount Sinai have entered into certain collaborative and commercial arrangements. Furthermore, we may in the future enter into other contracts for services or other engagements with Mount Sinai. See “</w:t>
      </w:r>
      <w:r>
        <w:rPr>
          <w:rFonts w:ascii="Arial" w:cs="Arial" w:eastAsia="Arial" w:hAnsi="Arial"/>
          <w:sz w:val="15"/>
          <w:szCs w:val="15"/>
          <w:i w:val="1"/>
          <w:iCs w:val="1"/>
          <w:color w:val="auto"/>
        </w:rPr>
        <w:t>Certain Relationships and Related Party Transactions — Related Party Transactions – Sema4</w:t>
      </w:r>
      <w:r>
        <w:rPr>
          <w:rFonts w:ascii="Arial" w:cs="Arial" w:eastAsia="Arial" w:hAnsi="Arial"/>
          <w:sz w:val="15"/>
          <w:szCs w:val="15"/>
          <w:color w:val="auto"/>
        </w:rPr>
        <w:t>”.</w:t>
      </w:r>
    </w:p>
    <w:p>
      <w:pPr>
        <w:spacing w:after="0" w:line="98"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Mount Sinai is primarily made up of not-for-profit hospitals, a medical and graduate school and employed clinicians. The charitable missions of the Mount Sinai entities include patient care, teaching and research. As such, the Mount Sinai entities are required to deal with us strictly on an arms-length, fair market value basis, and the interests of Mount Sinai may not necessarily be aligned with our interests or those of our other stockholders.</w:t>
      </w:r>
    </w:p>
    <w:p>
      <w:pPr>
        <w:spacing w:after="0" w:line="118"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We are subject to risks as a result of our reliance on Mount Sinai, and if our transactions and relationship with Mount Sinai were to cease, our business could be disrupted and it could have a material adverse effect on our business, research, financial condition and results of operations.</w:t>
      </w:r>
    </w:p>
    <w:p>
      <w:pPr>
        <w:spacing w:after="0" w:line="10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addition, ISMMS is one of our significant stockholders. Following the expiration of the lock-up period under the ISMMS Lock-Up Agreement, ISMMS may choose to dispose of some or all of the shares of our common stock held by it. Any disposal of shares of common stock by ISMMS, or the perception that these sales could occur, could cause the market price of our stock or warrants to decline.</w:t>
      </w:r>
    </w:p>
    <w:p>
      <w:pPr>
        <w:spacing w:after="0" w:line="1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rely on commercial courier delivery services to transport samples to our facilities in a timely and cost-efficient manner and if these delivery services are disrupted, our business could be harmed.</w:t>
      </w:r>
    </w:p>
    <w:p>
      <w:pPr>
        <w:spacing w:after="0" w:line="128"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Our core business depends on our ability to quickly and reliably deliver test results to our customers. We typically receive blood, saliva, or tissue samples for analysis at our laboratory facilities within days of collection from the patient. Disruptions and errors in these delivery service and accessioning errors and breaches, whether due to error by the courier service, labor disruptions, bad weather, natural disaster, terrorist acts or threats, outbreaks of disease or for other reasons, could adversely affect specimen integrity, our ability to process or store samples in a timely manner and to service our customers, and ultimately our reputation and our business. In addition, if we are unable to continue to obtain expedited delivery services on commercially reasonable terms, our operating results may be adversely affected.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Regulatory and Compliance</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subject to increased compliance risks as a result of our rapid growth, including our dependence on our sales, marketing and billing efforts.</w:t>
      </w:r>
    </w:p>
    <w:p>
      <w:pPr>
        <w:spacing w:after="0" w:line="199"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have had to expand our training and compliance efforts in line with our increasing reliance on personnel in our sales, marketing and billing functions, and our expansion of these functions in line with the overall growth in our business. We continue to monitor our personnel, but we have in the past experienced, and may in the future experience, situations in which employees fail to strictly adhere to our policies. In addition, sales and marketing activities in the healthcare space are subject to various rules and regulations. Moreover, our billing and marketing messaging can be complex and nuanced, and there may be errors or misunderstandings in our employees' communication of such messaging. Furthermore, we utilize text messaging, email, phone calls and other similar methods to communicate with patients who are existing or potential users of our products for various business purposes. These activities subject us to laws and regulations relating to communications with consumers, such as the CAN-SPAM Act and the Telephone Consumer Protection Act, violations of which could subject us to claims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440" w:right="339" w:bottom="1440" w:gutter="0" w:footer="0" w:header="0"/>
        </w:sectPr>
      </w:pPr>
    </w:p>
    <w:bookmarkStart w:id="38" w:name="page39"/>
    <w:bookmarkEnd w:id="38"/>
    <w:p>
      <w:pPr>
        <w:spacing w:after="0" w:line="119"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consumers, who may seek actual or statutory damages, which could be material in the aggregate. As we continues to scale up our sales and marketing efforts in line with the growth in our business, in particular our increased pace of product launches as well as further geographical expansion, we face an increased need to continuously monitor and improve our policies, processes and procedures to maintain compliance with a growing number and variety of laws and regulations, including with respect to consumer marketing. To the extent that there is any violation, whether actual, perceived or alleged, of our policies or applicable laws and regulations, we may incur additional training and compliance costs, may receive inquiries from third-party payors or other third parties, or be held liable or otherwise responsible for such acts of non-compliance. Any of the foregoing could adversely affect our cash flow and financial condition.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use hazardous materials in a manner that causes injury, we could be liable for resulting damages.</w:t>
      </w:r>
    </w:p>
    <w:p>
      <w:pPr>
        <w:spacing w:after="0" w:line="16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Our activities currently require the use of hazardous chemicals and biological material. We cannot eliminate the risk of accidental contamination or injury to employees or third parties from the use, storage, handling or disposal of these materials. In the event of contamination or injury, we could be held liable for any resulting damages, and any liability could exceed our resources or any applicable insurance coverage we may have. Additionally, we are subject on an ongoing basis to federal, state and local laws and regulations governing the use, storage, handling and disposal of these materials and specified waste products. The cost of compliance with these laws and regulations may become significant, and our failure to comply may result in substantial fines or other consequences, and either could negatively affect our operating results.</w:t>
      </w:r>
    </w:p>
    <w:p>
      <w:pPr>
        <w:spacing w:after="0" w:line="1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and our partners will have to maintain compliance with FDA requirements for research, products and services and failure to maintain compliance with FDA requirements may prevent or delay the marketing of our products and services.</w:t>
      </w:r>
    </w:p>
    <w:p>
      <w:pPr>
        <w:spacing w:after="0" w:line="128"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5"/>
          <w:szCs w:val="15"/>
          <w:color w:val="auto"/>
        </w:rPr>
        <w:t>Even if we have obtained marketing authorization, we will have to comply with the scope of that clearance, authorization or approval. Failure to secure and to comply with clearance, authorization or approval or the additional, extensive and ongoing post-marketing obligations imposed by the FDA or other regulatory requirements of other regulatory agencies could result in unanticipated compliance expenditures, a range of administrative enforcement actions, injunctions and criminal prosecution. FDA post-market obligations include, among other things, compliance with the FDA QSR, establishing registration and device listings, labeling requirements, reporting of certain adverse events and malfunctions, and reporting of certain recalls. In addition, circumstances may arise that cause us to recall equipment used in connection with our research, products and services. Such recalls could have an adverse effect on our ability to provide those products and services, which in turn would adversely affect our financial condition. our collaborators will also be required to maintain FDA clearance, authorization or approval for the products and services that we jointly develop. Any failure by us or our collaborators to maintain such clearance, authorization or approval could impair or cause a delay in our ability to profit from these collaborations.</w:t>
      </w: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changes in FDA enforcement discretion for LDTs could subject our operations to much more significant regulatory requirements.</w:t>
      </w:r>
    </w:p>
    <w:p>
      <w:pPr>
        <w:spacing w:after="0" w:line="176"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 xml:space="preserve">We currently offer a laboratory-develop test, or LDT, version of certain tests. The FDA has a policy of enforcement discretion with respect to, or LDTs, whereby the FDA does not actively enforce its medical device regulatory requirements for such tests. However, in October 2014, the FDA issued two draft guidance documents stating that the FDA intended to modify its policy of enforcement discretion with respect to LDTs in a risk-based manner consistent with the existing classification of medical devices. Although the FDA halted finalization of the guidance in November 2016 to allow for further public discussion on an appropriate oversight approach to LDTs and to give Congressional authorizing committees the opportunity to develop a legislative solution, it is unclear if Congress or the FDA will modify the current approach to the regulation of LDTs in a way that would subject our current or future services marketed as LDTs to the enforcement of FDA regulatory requirements. The FDA Commissioner and the Director of the Center for Devices and Radiological Health, or CDRH, have expressed significant concerns regarding disparities between some LDTs and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diagnostics that have been reviewed, cleared, authorized or approved by the FDA. If the FDA were to determine that certain tests offered by us as LDTs are not within the policy for LDTs for any reason, including new rules, policies or guidance, or due to changes in statute, our tests may become subject to extensive FDA requirements or our business may otherwise be adversely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440" w:right="339" w:bottom="1440" w:gutter="0" w:footer="0" w:header="0"/>
        </w:sectPr>
      </w:pPr>
    </w:p>
    <w:bookmarkStart w:id="39" w:name="page40"/>
    <w:bookmarkEnd w:id="39"/>
    <w:p>
      <w:pPr>
        <w:spacing w:after="0" w:line="119"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 xml:space="preserve">affected. If the FDA were to disagree with our LDT status or modify our approach to regulating LDTs, we could experience reduced revenue or increased costs, which could adversely affect our business, prospects, results of operations and financial condition. If required, the regulatory marketing authorization process required to bring our current or future LDTs into compliance may involve, among other things, successfully completing additional clinical validations and submitting to and obtaining clearance from the FDA for a premarket clearance (510(k)) submission or authorization for a </w:t>
      </w:r>
      <w:r>
        <w:rPr>
          <w:rFonts w:ascii="Arial" w:cs="Arial" w:eastAsia="Arial" w:hAnsi="Arial"/>
          <w:sz w:val="15"/>
          <w:szCs w:val="15"/>
          <w:i w:val="1"/>
          <w:iCs w:val="1"/>
          <w:color w:val="auto"/>
        </w:rPr>
        <w:t>de novo</w:t>
      </w:r>
      <w:r>
        <w:rPr>
          <w:rFonts w:ascii="Arial" w:cs="Arial" w:eastAsia="Arial" w:hAnsi="Arial"/>
          <w:sz w:val="15"/>
          <w:szCs w:val="15"/>
          <w:color w:val="auto"/>
        </w:rPr>
        <w:t xml:space="preserve"> or approval of a PMA. Furthermore, pending legislative proposals, if passed, such as the VALID Act, could create new or different regulatory and compliance burdens on us and could have a negative effect on our ability to keep products on the market or develop new products, which could have a material effect on our business. In the event that the FDA requires marketing authorization of our LDTs in the future, the FDA may not ultimately grant any clearance, authorization or approval requested by us in a timely manner, or at all. In addition, if the FDA inspects our laboratory in relation to the marketing of any FDA-authorized test, any enforcement action the FDA takes might not be limited to the FDA-authorized test carried by us and could encompass our other testing services.</w:t>
      </w:r>
    </w:p>
    <w:p>
      <w:pPr>
        <w:spacing w:after="0" w:line="107"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Recently, the FDA has also taken a more active role in certain diagnostic areas, including the oversight of pharmacogenetic, or PGx, and COVID-19 tests. In 2019, the FDA contacted several laboratories to demand changes to PGx test reports and marketing materials. In February 2020, the FDA issued a statement indicating that it continues to have concerns about the claims that certain clinical laboratories make with respect to their PGx tests, and published tables that list PGx associations for which the FDA has determined that the data support therapeutic management recommendations, a potential impact on safety or response, or a potential impact on pharmacokinetic properties only, respectively. To date, however, the FDA has not provided any general guidance on the types of claims or other characteristics that will cause a PGx test to fall outside FDA’s enforcement discretion. As such, the extent to which the FDA will allow any laboratory to offer PGx tests in their current form without meeting FDA regulatory requirements for medical devices is unclear at this time.</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For each product and service we are developing that may require FDA premarket review prior to marketing, the FDA may not grant clearance, authorization or premarket approval and failure to obtain necessary approvals for our future products and services would adversely affect our ability to grow our business.</w:t>
      </w:r>
    </w:p>
    <w:p>
      <w:pPr>
        <w:spacing w:after="0" w:line="13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 xml:space="preserve">Before we begin to manufacture, label and market additional clinical diagnostic products for commercial diagnostic use in the United States, we may be required to obtain either clearance, marketing authorization or approval from the FDA, unless an exemption applies or the FDA exercises its enforcement discretion and refrains from enforcing its requirements. For example, the FDA currently has a policy of refraining from enforcing its medical device requirements with respect to LDTs, which the FDA considers to be a type of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test that is designed, manufactured and used within a single properly licensed laboratory.</w:t>
      </w:r>
    </w:p>
    <w:p>
      <w:pPr>
        <w:spacing w:after="0" w:line="141"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 xml:space="preserve">The process of obtaining PMA is much more rigorous, costly, lengthy and uncertain than the 510(k) clearance process. In the PMA approval process, the FDA must determine that a proposed device is safe and effective for its intended use based, in part, on extensive data, including, but not limited to, technical, preclinical, clinical trial, manufacturing and labeling data. Conversely, in the 510(k) clearance process, the FDA must determine that a proposed device is “substantially equivalent” to a legally marketed “predicate” device in order for the product to be cleared for marketing. To be “substantially equivalent,” the proposed device must have the same intended use as the predicate device, and either have the same technological characteristics or if it has different technological characteristics as the predicate device, the proposed device must be as safe and effective as, and not raise different questions of safety or effectiveness than, the predicate device. Clinical data is sometimes required to support substantial equivalence. For lower-risk devices that would otherwise automatically be placed into Class III, which require a PMA because no predicate device is available and the devices do not fall within an existing 510(k)-exempt classification, an applicant may submit a </w:t>
      </w:r>
      <w:r>
        <w:rPr>
          <w:rFonts w:ascii="Arial" w:cs="Arial" w:eastAsia="Arial" w:hAnsi="Arial"/>
          <w:sz w:val="15"/>
          <w:szCs w:val="15"/>
          <w:i w:val="1"/>
          <w:iCs w:val="1"/>
          <w:color w:val="auto"/>
        </w:rPr>
        <w:t>de novo</w:t>
      </w:r>
      <w:r>
        <w:rPr>
          <w:rFonts w:ascii="Arial" w:cs="Arial" w:eastAsia="Arial" w:hAnsi="Arial"/>
          <w:sz w:val="15"/>
          <w:szCs w:val="15"/>
          <w:color w:val="auto"/>
        </w:rPr>
        <w:t xml:space="preserve"> request to down classify the device into Class II or Class I, which would not require a PMA. In the </w:t>
      </w:r>
      <w:r>
        <w:rPr>
          <w:rFonts w:ascii="Arial" w:cs="Arial" w:eastAsia="Arial" w:hAnsi="Arial"/>
          <w:sz w:val="15"/>
          <w:szCs w:val="15"/>
          <w:i w:val="1"/>
          <w:iCs w:val="1"/>
          <w:color w:val="auto"/>
        </w:rPr>
        <w:t xml:space="preserve">de novo </w:t>
      </w:r>
      <w:r>
        <w:rPr>
          <w:rFonts w:ascii="Arial" w:cs="Arial" w:eastAsia="Arial" w:hAnsi="Arial"/>
          <w:sz w:val="15"/>
          <w:szCs w:val="15"/>
          <w:color w:val="auto"/>
        </w:rPr>
        <w:t>process, the FDA must determine that general and special controls are sufficient to provide reasonable assurance of the safety and effectiveness of a</w:t>
      </w:r>
      <w:r>
        <w:rPr>
          <w:rFonts w:ascii="Arial" w:cs="Arial" w:eastAsia="Arial" w:hAnsi="Arial"/>
          <w:sz w:val="15"/>
          <w:szCs w:val="15"/>
          <w:i w:val="1"/>
          <w:iCs w:val="1"/>
          <w:color w:val="auto"/>
        </w:rPr>
        <w:t xml:space="preserve"> </w:t>
      </w:r>
      <w:r>
        <w:rPr>
          <w:rFonts w:ascii="Arial" w:cs="Arial" w:eastAsia="Arial" w:hAnsi="Arial"/>
          <w:sz w:val="15"/>
          <w:szCs w:val="15"/>
          <w:color w:val="auto"/>
        </w:rPr>
        <w:t>device, which is low to moderate risk and has no predicate. In other words, the applicant must justify the “down-classification” to Class I or II for a new product type that would otherwise automatically be placed into Class III, but is lower risk. Clinical data may be required. For laboratory tests for which FDA clearance, authorization or approval is required, the FDA may also require data to support analytical and clinical validity.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440" w:right="339" w:bottom="1440" w:gutter="0" w:footer="0" w:header="0"/>
        </w:sectPr>
      </w:pPr>
    </w:p>
    <w:bookmarkStart w:id="40" w:name="page41"/>
    <w:bookmarkEnd w:id="40"/>
    <w:p>
      <w:pPr>
        <w:spacing w:after="0" w:line="119"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 xml:space="preserve">The 510(k),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and PMA processes can be expensive and lengthy and require the payment of significant fees, unless an exemption applies. The FDA’s 510(k) clearance pathway usually takes from three to nine months from submission, but it can take longer for a novel type of product. The FDA’s </w:t>
      </w:r>
      <w:r>
        <w:rPr>
          <w:rFonts w:ascii="Arial" w:cs="Arial" w:eastAsia="Arial" w:hAnsi="Arial"/>
          <w:sz w:val="17"/>
          <w:szCs w:val="17"/>
          <w:i w:val="1"/>
          <w:iCs w:val="1"/>
          <w:color w:val="auto"/>
        </w:rPr>
        <w:t>de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novo </w:t>
      </w:r>
      <w:r>
        <w:rPr>
          <w:rFonts w:ascii="Arial" w:cs="Arial" w:eastAsia="Arial" w:hAnsi="Arial"/>
          <w:sz w:val="17"/>
          <w:szCs w:val="17"/>
          <w:color w:val="auto"/>
        </w:rPr>
        <w:t>classification pathway usually takes from six to 12 months, but for many applicants can take up to 18 months or more.</w:t>
      </w:r>
    </w:p>
    <w:p>
      <w:pPr>
        <w:spacing w:after="0" w:line="11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process of obtaining a PMA generally takes from one to three years, or even longer, from the time the PMA is submitted to the FDA until an approval is obtained. Any delay or failure to obtain necessary regulatory clearances, authorizations or approvals would have a material adverse effect on our business, financial condition and prospects.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FDA can delay, limit or deny clearance, authorization or approval of a device for many reasons, including:</w:t>
      </w:r>
    </w:p>
    <w:p>
      <w:pPr>
        <w:spacing w:after="0" w:line="164" w:lineRule="exact"/>
        <w:rPr>
          <w:sz w:val="20"/>
          <w:szCs w:val="20"/>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inability to demonstrate to the satisfaction of the FDA that the products are safe or effective for their intended uses;</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disagreement of the FDA with the design, conduct or implementation of the clinical trials or the analysis or interpretation of data from preclinical studies, analytical studies or clinical trials;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serious and unexpected adverse device effects experienced by participants in clinical trials;</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data from preclinical studies, analytical studies and clinical trials may be insufficient to support clearance, authorization or approval, where required;</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inability to demonstrate that the clinical and other benefits of the device outweigh the risks;</w:t>
      </w:r>
    </w:p>
    <w:p>
      <w:pPr>
        <w:spacing w:after="0" w:line="164" w:lineRule="exact"/>
        <w:rPr>
          <w:rFonts w:ascii="Arial" w:cs="Arial" w:eastAsia="Arial" w:hAnsi="Arial"/>
          <w:sz w:val="18"/>
          <w:szCs w:val="18"/>
          <w:color w:val="auto"/>
        </w:rPr>
      </w:pPr>
    </w:p>
    <w:p>
      <w:pPr>
        <w:jc w:val="both"/>
        <w:ind w:left="640" w:hanging="316"/>
        <w:spacing w:after="0" w:line="277" w:lineRule="auto"/>
        <w:tabs>
          <w:tab w:leader="none" w:pos="635"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 advisory committee, if convened by the FDA, may recommend against approval of a PMA or other application or may recommend that the FDA require, as a condition of approval, additional preclinical studies or clinical trials, limitations on approved labeling or distribution and use restrictions, or even if an advisory committee makes a favorable recommendation, the FDA may still not approve the product;</w:t>
      </w:r>
    </w:p>
    <w:p>
      <w:pPr>
        <w:spacing w:after="0" w:line="118" w:lineRule="exact"/>
        <w:rPr>
          <w:rFonts w:ascii="Arial" w:cs="Arial" w:eastAsia="Arial" w:hAnsi="Arial"/>
          <w:sz w:val="17"/>
          <w:szCs w:val="17"/>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FDA may identify deficiencies in our marketing application;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FDA may identify deficiencies in our or our collaborators’ manufacturing processes, facilities or analytical methods;</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potential for policies or regulations of the FDA or applicable foreign regulatory bodies to change significantly in a manner rendering clinical data or regulatory filings insufficient for clearance, authorization or approval; and</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FDA or foreign regulatory authorities may audit clinical trial data and conclude that the data is not sufficiently reliable to support a PMA.</w:t>
      </w:r>
    </w:p>
    <w:p>
      <w:pPr>
        <w:spacing w:after="0" w:line="176"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There are numerous FDA personnel assigned to review different aspects of marketing submissions, which can present uncertainties based on their ability to exercise judgment and discretion during the review process. During the course of review, the FDA may request or require additional data and information, and the development and provision of these data and information may be time-consuming and expensive. The process of obtaining regulatory clearances, authorizations or approvals to market a medical device can be costly and time-consuming, and we may not be able to obtain these clearances, authorizations or approvals on a timely basis, or at all for our products in development. If we are unable to obtain clearance, authorization or approval for any products for which it plans to seek clearance, authorization or approval, our business may be harmed.</w:t>
      </w:r>
    </w:p>
    <w:p>
      <w:pPr>
        <w:spacing w:after="0" w:line="126" w:lineRule="exact"/>
        <w:rPr>
          <w:sz w:val="20"/>
          <w:szCs w:val="20"/>
          <w:color w:val="auto"/>
        </w:rPr>
      </w:pPr>
    </w:p>
    <w:p>
      <w:pPr>
        <w:jc w:val="both"/>
        <w:spacing w:after="0" w:line="294" w:lineRule="auto"/>
        <w:rPr>
          <w:sz w:val="20"/>
          <w:szCs w:val="20"/>
          <w:color w:val="auto"/>
        </w:rPr>
      </w:pPr>
      <w:r>
        <w:rPr>
          <w:rFonts w:ascii="Arial" w:cs="Arial" w:eastAsia="Arial" w:hAnsi="Arial"/>
          <w:sz w:val="17"/>
          <w:szCs w:val="17"/>
          <w:b w:val="1"/>
          <w:bCs w:val="1"/>
          <w:i w:val="1"/>
          <w:iCs w:val="1"/>
          <w:color w:val="auto"/>
        </w:rPr>
        <w:t>Modifications to our products with FDA marketing authorization may require new FDA clearances, authorizations or approvals, or may require it to cease marketing or recall the modified clinical diagnostic products or future clinical products until clearances are obtained.</w:t>
      </w:r>
    </w:p>
    <w:p>
      <w:pPr>
        <w:spacing w:after="0" w:line="10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 xml:space="preserve">Any modification to a 510(k)-cleared device that significantly affects its safety or effectiveness, or that constitutes a major change in its intended use, could require a new 510(k) clearance, a new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authorization or approval of a PMA. The FDA requires every manufacturer to make this determination in the first instance, but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440" w:right="339" w:bottom="1440" w:gutter="0" w:footer="0" w:header="0"/>
        </w:sectPr>
      </w:pPr>
    </w:p>
    <w:bookmarkStart w:id="41" w:name="page42"/>
    <w:bookmarkEnd w:id="41"/>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FDA may review any manufacturer’s decision. The FDA may not agree with our decisions regarding whether new clearances, authorizations or approvals are necessary.</w:t>
      </w:r>
    </w:p>
    <w:p>
      <w:pPr>
        <w:spacing w:after="0" w:line="12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For any product approved pursuant to a PMA, we would be required to seek supplemental approval for many types of modifications to the approved product. The FDA requires manufacturers in the first instance to determine whether a PMA supplement or other regulatory filing is needed or whether the change may be reported via the PMA Annual Report, but may disagree with a company’s assessment.</w:t>
      </w:r>
    </w:p>
    <w:p>
      <w:pPr>
        <w:spacing w:after="0" w:line="135"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If the FDA disagrees with our determination, which it may not review until we submit an annual report or the FDA conducts an inspection or other inquiry, and requires us to seek new clearances, authorizations or approvals for modifications to its previously cleared, authorized or approved clinical diagnostic products for which we have concluded new clearances, authorizations or approvals are unnecessary, we may be required to cease marketing or distribution of these clinical diagnostic products or to recall the modified products until we obtain clearance, authorization or approval. We may also be subject to enforcement action, including, among other things, significant regulatory fines or penalties.</w:t>
      </w:r>
    </w:p>
    <w:p>
      <w:pPr>
        <w:spacing w:after="0" w:line="128"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In addition, for example, we plan to match our test reports for certain indications to identified mutations with FDA-approved targeted therapies or relevant clinical trials of targeted therapies. If a patient or physician who orders a test using one of our products is unable to obtain, or be reimbursed for the use of, targeted therapies because they are not indicated in the FDA-approved label for treatment, the patient is unable to enroll in an identified clinical trial due to the enrollment criteria of the trial, or some other reason, the ordering physician may conclude the test report does not contain actionable information. If physicians do not believe our products consistently generate actionable information about their patients’ disease or condition, they may be less likely to use our products.</w:t>
      </w:r>
    </w:p>
    <w:p>
      <w:pPr>
        <w:spacing w:after="0" w:line="9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Furthermore, we cannot provide assurance that customers will always use these products in the manner in which they are intended. Any intentional or unintentional misuse of these products by customers could lead to substantial civil and criminal monetary and non-monetary penalties, and could result in significant legal and investigatory fees.</w:t>
      </w:r>
    </w:p>
    <w:p>
      <w:pPr>
        <w:spacing w:after="0" w:line="1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business is subject to various complex laws and regulations applicable to clinical diagnostics. We could be subject to significant fines and penalties if we or our partners fail to comply with these laws and regulations.</w:t>
      </w:r>
    </w:p>
    <w:p>
      <w:pPr>
        <w:spacing w:after="0" w:line="12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a provider of clinical diagnostic products and services, we and our partners are subject to extensive and frequently changing federal, state, local and foreign laws and regulations governing various aspects of our business.</w:t>
      </w:r>
    </w:p>
    <w:p>
      <w:pPr>
        <w:spacing w:after="0" w:line="12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particular, the clinical laboratory and healthcare industry is subject to significant governmental certification and licensing regulations, as well as federal, state and foreign laws regarding:</w:t>
      </w:r>
    </w:p>
    <w:p>
      <w:pPr>
        <w:spacing w:after="0" w:line="128" w:lineRule="exact"/>
        <w:rPr>
          <w:sz w:val="20"/>
          <w:szCs w:val="20"/>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test ordering and billing practices;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marketing, sales and pricing practices;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health information privacy and security, including HIPAA and comparable state laws;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insurance;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anti-markup legislation;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fraud and abuse;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consumer protection.</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are also required to comply with FDA regulations, including with respect to its labeling and promotion activities. In addition, advertising and marketing of its clinical products are subject to regulation by the Federal Trade Commission, or FTC, and advertising of laboratory services is regulated by certain state laws. Violation of any FDA requirement could result in enforcement actions, such as seizures, injunctions, civil penalties and criminal prosecutions, and violation of any FTC or state law requirement could result in injunctions and other remedies, all of which could have a material adverse effect on our business. Most states also have similar regulatory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440" w:right="339" w:bottom="1440" w:gutter="0" w:footer="0" w:header="0"/>
        </w:sectPr>
      </w:pPr>
    </w:p>
    <w:bookmarkStart w:id="42" w:name="page43"/>
    <w:bookmarkEnd w:id="42"/>
    <w:p>
      <w:pPr>
        <w:spacing w:after="0" w:line="11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enforcement authority for devices. Additionally, most foreign countries have authorities comparable to the FDA and processes for obtaining marketing approvals. Obtaining and maintaining these approvals, and complying with all laws and regulations, may subject us to similar risks and delays as thosewe could experience under FDA, FTC and state regulation. We incur various costs in complying and overseeing compliance with these laws and regulations. The growth of our business and sales organization, the acquisition of additional businesses or products and services and our expansion outside of the U.S. may increase the potential of violating these laws, regulations or our internal policies and procedures.</w:t>
      </w:r>
    </w:p>
    <w:p>
      <w:pPr>
        <w:spacing w:after="0" w:line="128"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Healthcare policy has been a subject of extensive discussion in the executive and legislative branches of the federal and many state governments and healthcare laws and regulations are subject to change. Development of the existing commercialization strategy for our tests and planned development of products in our pipeline has been based on existing healthcare policies. We cannot predict what additional changes, if any, will be proposed or adopted or the effect that such proposals or adoption may have on our business, financial condition and results of operations.</w:t>
      </w:r>
    </w:p>
    <w:p>
      <w:pPr>
        <w:spacing w:after="0" w:line="12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If we or our partners, fail to comply with these laws and regulations, it could incur significant fines and penalties and our reputation and prospects could suffer. Additionally, any such partners could be forced to cease offering our products and services in certain jurisdictions, which could materially disrupt our business. An adverse outcome could include us being required to pay treble damages, incur civil and criminal penalties, paying attorneys’ fees, entering into a corporate integrity agreement, being excluded from participation in government healthcare programs, including Medicare and Medicaid, and other adverse actions that could materially and adversely affect our business, financial condition and results of operations.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with the HIPAA security, privacy and breach notification regulations may increase our costs.</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HIPAA privacy, security and breach notification regulations, including the expanded requirements under HITECH, establish comprehensive federal standards with respect to the uses and disclosures of protected health information, or PHI, by health plans, healthcare providers and healthcare clearinghouses, in addition to setting standards to protect the confidentiality, integrity and security of PHI. The regulations establish a complex regulatory framework on a variety of subjects, including:</w:t>
      </w:r>
    </w:p>
    <w:p>
      <w:pPr>
        <w:spacing w:after="0" w:line="138" w:lineRule="exact"/>
        <w:rPr>
          <w:sz w:val="20"/>
          <w:szCs w:val="20"/>
          <w:color w:val="auto"/>
        </w:rPr>
      </w:pPr>
    </w:p>
    <w:p>
      <w:pPr>
        <w:ind w:left="640" w:hanging="316"/>
        <w:spacing w:after="0" w:line="294" w:lineRule="auto"/>
        <w:tabs>
          <w:tab w:leader="none" w:pos="635"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circumstances under which uses and disclosures of PHI are permitted or required without a specific authorization by the patient, including but not limited to treatment purposes, activities to obtain payments for our services, and our healthcare operations activities;</w:t>
      </w:r>
    </w:p>
    <w:p>
      <w:pPr>
        <w:spacing w:after="0" w:line="104" w:lineRule="exact"/>
        <w:rPr>
          <w:rFonts w:ascii="Arial" w:cs="Arial" w:eastAsia="Arial" w:hAnsi="Arial"/>
          <w:sz w:val="17"/>
          <w:szCs w:val="17"/>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patient’s rights to access, amend and receive an accounting of certain disclosures of PHI;</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requirements to notify individuals if there is a breach of their PHI;</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contents of notices of privacy practices for PHI;</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administrative, technical and physical safeguards required of entities that use or receive PHI;</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deidentification of PHI;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protection of computing systems maintaining electronic PHI.</w:t>
      </w:r>
    </w:p>
    <w:p>
      <w:pPr>
        <w:spacing w:after="0" w:line="16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We have implemented practices intended to meet the requirements of the HIPAA privacy, security and breach notification regulations, as required by law. We are required to comply with federal privacy, security and breach notification regulations as well as varying state privacy, security and breach notification laws and regulations, which may be more stringent than federal HIPAA requirements. In addition, for healthcare data transfers from other countries relating to citizens of those countries, we must comply with the laws of those countries. The federal privacy regulations under HIPAA restrict our ability to use or disclose patient identifiable data, without patient authorization, for purposes other than payment, treatment, healthcare operations and certain other specified disclosures such as public health and governmental oversight of the healthcare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440" w:right="339" w:bottom="1440" w:gutter="0" w:footer="0" w:header="0"/>
        </w:sectPr>
      </w:pPr>
    </w:p>
    <w:bookmarkStart w:id="43" w:name="page44"/>
    <w:bookmarkEnd w:id="43"/>
    <w:p>
      <w:pPr>
        <w:spacing w:after="0" w:line="119"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HIPAA provides for significant fines and other penalties for wrongful use or disclosure of PHI, including potential civil and criminal fines and penalties. Computer networks are always vulnerable to breach and unauthorized persons may in the future be able to exploit weaknesses in the security systems of our computer networks and gain access to PHI. Additionally, we share PHI with third-parties who are legally obligated to safeguard and maintain the confidentiality of PHI. Unauthorized persons may be able to gain access to PHI stored in such third-parties computer networks. Any wrongful use or disclosure of PHI by us or such third-parties, including disclosure due to data theft or unauthorized access to us or our third-parties computer networks, could subject it to fines or penalties that could adversely affect our business and results of operations. Although the HIPAA statute and regulations do not expressly provide for a private right of damages, we could also be liable for damages under state laws to private parties for the wrongful use or disclosure of confidential health information or other private personal information.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our activities may subject it to risks under federal and state laws prohibiting ‘kickbacks’ and false or fraudulent claims.</w:t>
      </w:r>
    </w:p>
    <w:p>
      <w:pPr>
        <w:spacing w:after="0" w:line="164"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In addition to FDA marketing and promotion restrictions, several other types of state and federal healthcare fraud and abuse laws have been applied in recent years to restrict certain marketing practices in the healthcare product and service industry and to regulate billing practices and financial relationships with healthcare providers, hospitals and other healthcare providers. These laws include a federal law commonly known as the Medicare/Medicaid anti-kickback law, and several similar state laws, which prohibit payments intended to induce healthcare providers or others either to refer patients or to acquire or arrange for or recommend the acquisition of healthcare products or services. While the federal law applies only to referrals, products or services for which payment may be made by a federal healthcare program, state laws often apply regardless of whether federal funds may be involved. These laws constrain the sales, marketing and other promotional activities of manufacturers of medical devices and providers of laboratory services by limiting the kinds of financial arrangements, including sales programs, that may be used with hospitals, healthcare providers, laboratories and other potential purchasers or prescribers of medical devices and laboratory services. Other federal and state laws generally prohibit individuals or entities from knowingly presenting, or causing to be presented, claims for payment from Medicare, Medicaid, or other third-party payors that are false or fraudulent, or are for items or services that were not provided as claimed.</w:t>
      </w:r>
    </w:p>
    <w:p>
      <w:pPr>
        <w:spacing w:after="0" w:line="135"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In 2018, Congress passed EKRA as part of the Substance Use-Disorder Prevention that Promotes Opioid Recovery and Treatment for Patients and Communities Act. Similar to the Medicare/Medicaid anti-kickback law, EKRA imposes criminal penalties for knowing or willful payment or offer, or solicitation or receipt, of any remuneration, whether directly or indirectly, overtly or covertly, in cash or in kind, in exchange for the referral or inducement of laboratory testing (among other healthcare services) unless a specific exception applies. However, unlike the Medicare/Medicaid anti-kickback law, EKRA is not limited to services covered by federal or state healthcare programs but applies more broadly to services covered by “healthcare benefit programs,” including commercial insurers. As currently drafted, EKRA potentially expands the universe of arrangements that could be subject to government enforcement under federal fraud and abuse laws. In addition, while the Medicare/Medicaid anti-kickback law includes certain exceptions that are widely relied upon in the healthcare industry, not all of those same exceptions apply under EKRA. Because EKRA is a relatively new law, there is no agency guidance or court precedent to indicate how and to what extent it will be applied and enforced. We cannot assure you that our relationships with healthcare providers, hospitals, customers, our own sales representatives, or any other party will not be subject to scrutiny or will survive regulatory challenge under EKRA.</w:t>
      </w:r>
    </w:p>
    <w:p>
      <w:pPr>
        <w:spacing w:after="0" w:line="109"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Additionally, to avoid liability under federal false claims laws, we or our partners must carefully and accurately code claims for reimbursement, proactively monitor the accuracy and appropriateness of claims and payments received, diligently investigate any credible information indicating that it may have received an overpayment, and promptly return any overpayments. Medicare payments are subject to audit, including through the Comprehensive Error Rate Testing, or CERT, program, and payments may be recouped by CMS if it is determined that they were improperly made. Currently, a small percentage of our revenues are generated by payments from Medicare. The federal anti-kickback statute and certain state-level false claims laws prescribe civil and criminal penalties (including fines) for noncompliance that can be substantial. In addition, various states have enacted false claim laws analogous to the federal laws that apply where a claim is submitted to any third-party payor and not only a governmental payer program. While we continually strive to comply with these complex requirements, interpretations of the applicability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440" w:right="339" w:bottom="1440" w:gutter="0" w:footer="0" w:header="0"/>
        </w:sectPr>
      </w:pPr>
    </w:p>
    <w:bookmarkStart w:id="44" w:name="page45"/>
    <w:bookmarkEnd w:id="44"/>
    <w:p>
      <w:pPr>
        <w:spacing w:after="0" w:line="11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of these laws to marketing and billing practices are constantly evolving and even an unsuccessful challenge could cause adverse publicity and be costly to respond to, and thus could harm our business and prospects. Our failure to comply with applicable laws could result in various adverse consequences that could have a material adverse effect upon our business, including the exclusion of our products and services from government programs and the imposition of civil or criminal sanctions.</w:t>
      </w:r>
    </w:p>
    <w:p>
      <w:pPr>
        <w:spacing w:after="0" w:line="1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Our business could be harmed by the loss, suspension or other restriction on a license, certification or accreditation, or by the imposition of a fine or penalties, under CLIA, our implementing regulations or other state, federal and foreign laws and regulations affecting licensure or certification, or by future changes in these laws or regulations.</w:t>
      </w:r>
    </w:p>
    <w:p>
      <w:pPr>
        <w:spacing w:after="0" w:line="135"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Federal law requires virtually all clinical laboratories to comply with CLIA, which generally involves becoming certified by the federal and state government for the testing that will be performed and complying with various operational, personnel, facilities administration, quality and proficiency testing requirements intended to ensure that testing services are accurate and reliable. CLIA certification is also a prerequisite to be eligible to bill state and federal healthcare programs, as well as many private third-party payors, for laboratory research and clinical diagnostic testing services. For example, as a condition of our CLIA certification, a laboratory may be subject to survey and inspection every other year, additional random inspections and surprise inspections based on complaints received by state or federal regulators. The biennial survey and inspection is conducted by CMS, a CMS agent or, if the laboratory holds a CLIA certificate of accreditation, a CMS-approved accreditation organization, such as CAP. Sanctions for failure to comply with CLIA requirements, including proficiency testing violations, may include suspension, revocation or limitation of a laboratory’s CLIA certificate, which is necessary to conduct business, as well as the imposition of significant civil, administrative or criminal sanctions against the lab, its owners and other individuals. In addition, we are subject to regulation under certain state laws and regulations governing laboratory licensure. Some states have enacted laboratory licensure and compliance laws that are more stringent than CLIA. Changes in state licensure laws that affect our ability to offer and provide research and diagnostic products and services across state or foreign country lines could materially and adversely affect our business. In addition, state and foreign requirements for laboratory certification may be costly or difficult to meet and could affect our ability to receive specimens from certain states or foreign countries.</w:t>
      </w:r>
    </w:p>
    <w:p>
      <w:pPr>
        <w:spacing w:after="0" w:line="31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Any sanction imposed under CLIA, its implementing regulations or state or foreign laws or regulations governing licensure, or our failure to renew a CLIA certificate, a state or foreign license or accreditation, could have a material adverse effect on our business.</w:t>
      </w:r>
    </w:p>
    <w:p>
      <w:pPr>
        <w:spacing w:after="0" w:line="128" w:lineRule="exact"/>
        <w:rPr>
          <w:sz w:val="20"/>
          <w:szCs w:val="20"/>
          <w:color w:val="auto"/>
        </w:rPr>
      </w:pPr>
    </w:p>
    <w:p>
      <w:pPr>
        <w:jc w:val="both"/>
        <w:spacing w:after="0" w:line="365" w:lineRule="auto"/>
        <w:rPr>
          <w:sz w:val="20"/>
          <w:szCs w:val="20"/>
          <w:color w:val="auto"/>
        </w:rPr>
      </w:pPr>
      <w:r>
        <w:rPr>
          <w:rFonts w:ascii="Arial" w:cs="Arial" w:eastAsia="Arial" w:hAnsi="Arial"/>
          <w:sz w:val="15"/>
          <w:szCs w:val="15"/>
          <w:b w:val="1"/>
          <w:bCs w:val="1"/>
          <w:i w:val="1"/>
          <w:iCs w:val="1"/>
          <w:color w:val="auto"/>
        </w:rPr>
        <w:t>We may never obtain approval in the EU or in any other foreign country for any of our products or services and, even if we do, we or our partners and collaborators may never be able to commercialize them in another jurisdiction, which would limit our ability to realize their full market potential.</w:t>
      </w:r>
    </w:p>
    <w:p>
      <w:pPr>
        <w:spacing w:after="0" w:line="58"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In order to eventually market any of our current or future products and services in any particular foreign jurisdiction, we must establish compliance with numerous and varying regulatory requirements on a jurisdiction-by-jurisdiction basis regarding quality, safety, performance, privacy and efficacy. In addition, clinical trials or clinical investigations conducted in one country may not be accepted by regulatory authorities in other countries, and regulatory clearance, authorization or approval in one country does not guarantee regulatory clearance, authorization or approval in any other country. Approval processes vary among countries and can involve additional product testing and validation and additional administrative review periods.</w:t>
      </w:r>
    </w:p>
    <w:p>
      <w:pPr>
        <w:spacing w:after="0" w:line="98"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Seeking foreign regulatory clearance, authorization or approval could result in difficulties and costs for us and our collaborators and require additional preclinical studies, clinical trials or clinical investigations which could be costly and time-consuming. Regulatory requirements and ethical approval obligations can vary widely from country to country and could delay or prevent the introduction of our products and services in those countries. The foreign regulatory clearance, authorization or approval process involves all of the risks and uncertainties associated with FDA clearance, authorization or approval. We currently have limited experience in obtaining regulatory clearance, authorization or approval in international markets. If we or our collaborators fail to comply with regulatory requirements in international markets or to obtain and maintain required regulatory clearances, authorizations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440" w:right="339" w:bottom="1440" w:gutter="0" w:footer="0" w:header="0"/>
        </w:sectPr>
      </w:pPr>
    </w:p>
    <w:bookmarkStart w:id="45" w:name="page46"/>
    <w:bookmarkEnd w:id="45"/>
    <w:p>
      <w:pPr>
        <w:spacing w:after="0" w:line="11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approvals in international markets, or if those approvals are delayed, our target market will be reduced and our ability to realize the full market potential of our products and services will be unrealized.</w:t>
      </w:r>
    </w:p>
    <w:p>
      <w:pPr>
        <w:spacing w:after="0" w:line="128"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Complying with numerous statutes and regulations pertaining to our business is an expensive and time-consuming process, and any failure to comply could result in substantial penalties.</w:t>
      </w:r>
    </w:p>
    <w:p>
      <w:pPr>
        <w:spacing w:after="0" w:line="128"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Our operations are subject to other extensive federal, state, local and foreign laws and regulations, all of which are subject to change. These laws and regulations currently include, among others:</w:t>
      </w:r>
    </w:p>
    <w:p>
      <w:pPr>
        <w:spacing w:after="0" w:line="128" w:lineRule="exact"/>
        <w:rPr>
          <w:sz w:val="20"/>
          <w:szCs w:val="20"/>
          <w:color w:val="auto"/>
        </w:rPr>
      </w:pPr>
    </w:p>
    <w:p>
      <w:pPr>
        <w:ind w:left="640" w:hanging="316"/>
        <w:spacing w:after="0" w:line="264"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HIPAA, which establishes comprehensive federal standards with respect to the privacy and security of protected health information and requirements for the use of certain standardized electronic transactions;</w:t>
      </w:r>
    </w:p>
    <w:p>
      <w:pPr>
        <w:spacing w:after="0" w:line="127" w:lineRule="exact"/>
        <w:rPr>
          <w:rFonts w:ascii="Arial" w:cs="Arial" w:eastAsia="Arial" w:hAnsi="Arial"/>
          <w:sz w:val="18"/>
          <w:szCs w:val="18"/>
          <w:color w:val="auto"/>
        </w:rPr>
      </w:pPr>
    </w:p>
    <w:p>
      <w:pPr>
        <w:ind w:left="640" w:hanging="316"/>
        <w:spacing w:after="0" w:line="365" w:lineRule="auto"/>
        <w:tabs>
          <w:tab w:leader="none" w:pos="635" w:val="left"/>
        </w:tabs>
        <w:numPr>
          <w:ilvl w:val="0"/>
          <w:numId w:val="24"/>
        </w:numPr>
        <w:rPr>
          <w:rFonts w:ascii="Arial" w:cs="Arial" w:eastAsia="Arial" w:hAnsi="Arial"/>
          <w:sz w:val="15"/>
          <w:szCs w:val="15"/>
          <w:color w:val="auto"/>
        </w:rPr>
      </w:pPr>
      <w:r>
        <w:rPr>
          <w:rFonts w:ascii="Arial" w:cs="Arial" w:eastAsia="Arial" w:hAnsi="Arial"/>
          <w:sz w:val="15"/>
          <w:szCs w:val="15"/>
          <w:color w:val="auto"/>
        </w:rPr>
        <w:t>amendments to HIPAA under HITECH, which strengthen and expand HIPAA privacy and security compliance requirements, increase penalties for violators and expand vicarious liability, extend enforcement authority to state attorneys general, and impose requirements for breach notification;</w:t>
      </w:r>
    </w:p>
    <w:p>
      <w:pPr>
        <w:spacing w:after="0" w:line="58" w:lineRule="exact"/>
        <w:rPr>
          <w:rFonts w:ascii="Arial" w:cs="Arial" w:eastAsia="Arial" w:hAnsi="Arial"/>
          <w:sz w:val="15"/>
          <w:szCs w:val="15"/>
          <w:color w:val="auto"/>
        </w:rPr>
      </w:pPr>
    </w:p>
    <w:p>
      <w:pPr>
        <w:jc w:val="both"/>
        <w:ind w:left="640" w:hanging="316"/>
        <w:spacing w:after="0" w:line="255"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General Data Protection Regulation, or GDPR, which imposes strict privacy and security requirements on controllers and processors of European personal data, including enhanced protections for “special categories” of personal data, including sensitive information such as health and genetic information of data subjects;</w:t>
      </w:r>
    </w:p>
    <w:p>
      <w:pPr>
        <w:spacing w:after="0" w:line="135" w:lineRule="exact"/>
        <w:rPr>
          <w:rFonts w:ascii="Arial" w:cs="Arial" w:eastAsia="Arial" w:hAnsi="Arial"/>
          <w:sz w:val="18"/>
          <w:szCs w:val="18"/>
          <w:color w:val="auto"/>
        </w:rPr>
      </w:pPr>
    </w:p>
    <w:p>
      <w:pPr>
        <w:jc w:val="both"/>
        <w:ind w:left="640" w:hanging="316"/>
        <w:spacing w:after="0" w:line="277" w:lineRule="auto"/>
        <w:tabs>
          <w:tab w:leader="none" w:pos="635"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CCPA, which, among other things, regulates how subject businesses may collect, use, disclose and/or sell the personal information of consumers who reside in California, affords rights to consumers that they may exercise against businesses that collect their information, and requires implementation of reasonable security measures to safeguard personal information of California consumers;</w:t>
      </w:r>
    </w:p>
    <w:p>
      <w:pPr>
        <w:spacing w:after="0" w:line="118" w:lineRule="exact"/>
        <w:rPr>
          <w:rFonts w:ascii="Arial" w:cs="Arial" w:eastAsia="Arial" w:hAnsi="Arial"/>
          <w:sz w:val="17"/>
          <w:szCs w:val="17"/>
          <w:color w:val="auto"/>
        </w:rPr>
      </w:pPr>
    </w:p>
    <w:p>
      <w:pPr>
        <w:jc w:val="both"/>
        <w:ind w:left="640" w:hanging="316"/>
        <w:spacing w:after="0" w:line="250"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federal Anti-Kickback Statute, which prohibits knowingly and willfully offering, paying, soliciting or receiving remuneration, directly or indirectly, overtly or covertly, in cash or in kind, to induce or in return for the referral of an individual, for the furnishing of or arrangement for the furnishing of any item or service for which payment may be made in whole or in part by a federal healthcare program, or the purchasing, leasing, ordering, arranging for, or recommend purchasing, leasing or ordering, any good, facility, item or service for which payment may be made, in whole or in part, under a federal healthcare program;</w:t>
      </w:r>
    </w:p>
    <w:p>
      <w:pPr>
        <w:spacing w:after="0" w:line="140"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EKRA, which prohibits payments for referrals to recovery homes, clinical treatment facilities, and laboratories and reaches beyond federal health care programs, to include private insurance;</w:t>
      </w:r>
    </w:p>
    <w:p>
      <w:pPr>
        <w:spacing w:after="0" w:line="127" w:lineRule="exact"/>
        <w:rPr>
          <w:rFonts w:ascii="Arial" w:cs="Arial" w:eastAsia="Arial" w:hAnsi="Arial"/>
          <w:sz w:val="18"/>
          <w:szCs w:val="18"/>
          <w:color w:val="auto"/>
        </w:rPr>
      </w:pPr>
    </w:p>
    <w:p>
      <w:pPr>
        <w:jc w:val="both"/>
        <w:ind w:left="640" w:hanging="316"/>
        <w:spacing w:after="0" w:line="252"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federal physician self-referral law, known as the Stark Law, which prohibits a physician from making a referral to an entity for certain designated health services covered by the Medicare program, including laboratory and pathology services, if the physician or an immediate family member has a financial relationship with the entity unless an exception applies, and prohibits an entity from billing for designated health services furnished pursuant to a prohibited referral;</w:t>
      </w:r>
    </w:p>
    <w:p>
      <w:pPr>
        <w:spacing w:after="0" w:line="13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federal false claims law, which imposes liability on any person or entity that, among other things, knowingly presents, or causes to be presented, a false or fraudulent claim for payment to the federal government;</w:t>
      </w:r>
    </w:p>
    <w:p>
      <w:pPr>
        <w:spacing w:after="0" w:line="127" w:lineRule="exact"/>
        <w:rPr>
          <w:rFonts w:ascii="Arial" w:cs="Arial" w:eastAsia="Arial" w:hAnsi="Arial"/>
          <w:sz w:val="18"/>
          <w:szCs w:val="18"/>
          <w:color w:val="auto"/>
        </w:rPr>
      </w:pPr>
    </w:p>
    <w:p>
      <w:pPr>
        <w:jc w:val="both"/>
        <w:ind w:left="640" w:hanging="316"/>
        <w:spacing w:after="0" w:line="277" w:lineRule="auto"/>
        <w:tabs>
          <w:tab w:leader="none" w:pos="635"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118" w:lineRule="exact"/>
        <w:rPr>
          <w:rFonts w:ascii="Arial" w:cs="Arial" w:eastAsia="Arial" w:hAnsi="Arial"/>
          <w:sz w:val="17"/>
          <w:szCs w:val="17"/>
          <w:color w:val="auto"/>
        </w:rPr>
      </w:pPr>
    </w:p>
    <w:p>
      <w:pPr>
        <w:jc w:val="both"/>
        <w:ind w:left="640" w:hanging="316"/>
        <w:spacing w:after="0" w:line="255"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HIPAA fraud and abuse provisions, which create new federal criminal statutes that prohibit, among other things, defrauding health care benefit programs, willfully obstructing a criminal investigation of a healthcare offense and falsifying or concealing a material fact or making any materially false statements in connection with the payment for healthcare benefits, items or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440" w:right="339" w:bottom="1440" w:gutter="0" w:footer="0" w:header="0"/>
        </w:sectPr>
      </w:pPr>
    </w:p>
    <w:bookmarkStart w:id="46" w:name="page47"/>
    <w:bookmarkEnd w:id="46"/>
    <w:p>
      <w:pPr>
        <w:spacing w:after="0" w:line="119" w:lineRule="exact"/>
        <w:rPr>
          <w:sz w:val="20"/>
          <w:szCs w:val="20"/>
          <w:color w:val="auto"/>
        </w:rPr>
      </w:pPr>
    </w:p>
    <w:p>
      <w:pPr>
        <w:jc w:val="both"/>
        <w:ind w:left="640" w:hanging="316"/>
        <w:spacing w:after="0" w:line="255"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federal and state fraud and abuse laws, such as anti-kickback laws, prohibitions on self-referral, fee-splitting restrictions, insurance fraud laws, anti-markup laws, prohibitions on the provision of tests at no or discounted cost to induce physician or patient adoption, and false claims acts, which may extend to services reimbursable by any third-party payer, including private insurers;</w:t>
      </w:r>
    </w:p>
    <w:p>
      <w:pPr>
        <w:spacing w:after="0" w:line="135"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21st Century Cures Act information blocking prohibition, which prohibits covered actors from engaging in certain practices that are likely to interfere with the access, exchange, or use of electronic health information;</w:t>
      </w:r>
    </w:p>
    <w:p>
      <w:pPr>
        <w:spacing w:after="0" w:line="127" w:lineRule="exact"/>
        <w:rPr>
          <w:rFonts w:ascii="Arial" w:cs="Arial" w:eastAsia="Arial" w:hAnsi="Arial"/>
          <w:sz w:val="18"/>
          <w:szCs w:val="18"/>
          <w:color w:val="auto"/>
        </w:rPr>
      </w:pPr>
    </w:p>
    <w:p>
      <w:pPr>
        <w:jc w:val="both"/>
        <w:ind w:left="640" w:hanging="316"/>
        <w:spacing w:after="0" w:line="252"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Physician Payments Sunshine Act and similar state laws that require reporting of certain payments and other transfers of value made by applicable manufacturers, directly or indirectly, to or on behalf of covered recipients including physicians (defined to include doctors, dentists, optometrists, podiatrists and chiropractors) and teaching hospitals as well as ownership and investment interests held by physicians and their immediate family members.</w:t>
      </w:r>
    </w:p>
    <w:p>
      <w:pPr>
        <w:spacing w:after="0" w:line="137" w:lineRule="exact"/>
        <w:rPr>
          <w:rFonts w:ascii="Arial" w:cs="Arial" w:eastAsia="Arial" w:hAnsi="Arial"/>
          <w:sz w:val="18"/>
          <w:szCs w:val="18"/>
          <w:color w:val="auto"/>
        </w:rPr>
      </w:pPr>
    </w:p>
    <w:p>
      <w:pPr>
        <w:ind w:left="640" w:hanging="316"/>
        <w:spacing w:after="0" w:line="365" w:lineRule="auto"/>
        <w:tabs>
          <w:tab w:leader="none" w:pos="635" w:val="left"/>
        </w:tabs>
        <w:numPr>
          <w:ilvl w:val="0"/>
          <w:numId w:val="25"/>
        </w:numPr>
        <w:rPr>
          <w:rFonts w:ascii="Arial" w:cs="Arial" w:eastAsia="Arial" w:hAnsi="Arial"/>
          <w:sz w:val="15"/>
          <w:szCs w:val="15"/>
          <w:color w:val="auto"/>
        </w:rPr>
      </w:pPr>
      <w:r>
        <w:rPr>
          <w:rFonts w:ascii="Arial" w:cs="Arial" w:eastAsia="Arial" w:hAnsi="Arial"/>
          <w:sz w:val="15"/>
          <w:szCs w:val="15"/>
          <w:color w:val="auto"/>
        </w:rPr>
        <w:t>Beginning in 2022, applicable manufacturers also will be required to report such information regarding its relationships with physician assistants, nurse practitioners, clinical nurse specialists, certified registered nurse anesthetists and certified nurse midwives during the previous year;</w:t>
      </w:r>
    </w:p>
    <w:p>
      <w:pPr>
        <w:spacing w:after="0" w:line="58" w:lineRule="exact"/>
        <w:rPr>
          <w:rFonts w:ascii="Arial" w:cs="Arial" w:eastAsia="Arial" w:hAnsi="Arial"/>
          <w:sz w:val="15"/>
          <w:szCs w:val="15"/>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state laws that limit or prohibit the provision of certain payments and other transfers of value to certain covered healthcare providers;</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prohibition on reassignment of Medicare claims, which, subject to certain exceptions, precludes the reassignment of Medicare claims to any other party;</w:t>
      </w:r>
    </w:p>
    <w:p>
      <w:pPr>
        <w:spacing w:after="0" w:line="127" w:lineRule="exact"/>
        <w:rPr>
          <w:rFonts w:ascii="Arial" w:cs="Arial" w:eastAsia="Arial" w:hAnsi="Arial"/>
          <w:sz w:val="18"/>
          <w:szCs w:val="18"/>
          <w:color w:val="auto"/>
        </w:rPr>
      </w:pPr>
    </w:p>
    <w:p>
      <w:pPr>
        <w:ind w:left="640" w:right="20" w:hanging="316"/>
        <w:spacing w:after="0" w:line="365" w:lineRule="auto"/>
        <w:tabs>
          <w:tab w:leader="none" w:pos="635" w:val="left"/>
        </w:tabs>
        <w:numPr>
          <w:ilvl w:val="0"/>
          <w:numId w:val="25"/>
        </w:numPr>
        <w:rPr>
          <w:rFonts w:ascii="Arial" w:cs="Arial" w:eastAsia="Arial" w:hAnsi="Arial"/>
          <w:sz w:val="15"/>
          <w:szCs w:val="15"/>
          <w:color w:val="auto"/>
        </w:rPr>
      </w:pPr>
      <w:r>
        <w:rPr>
          <w:rFonts w:ascii="Arial" w:cs="Arial" w:eastAsia="Arial" w:hAnsi="Arial"/>
          <w:sz w:val="15"/>
          <w:szCs w:val="15"/>
          <w:color w:val="auto"/>
        </w:rPr>
        <w:t>state laws that prohibit other specified practices, such as billing clinicians for testing that they order; waiving coinsurance, copayments, deductibles and other amounts owed by patients; billing a state Medicaid program at a price that is higher than what is charged to one or more other payers;</w:t>
      </w:r>
    </w:p>
    <w:p>
      <w:pPr>
        <w:spacing w:after="0" w:line="58" w:lineRule="exact"/>
        <w:rPr>
          <w:rFonts w:ascii="Arial" w:cs="Arial" w:eastAsia="Arial" w:hAnsi="Arial"/>
          <w:sz w:val="15"/>
          <w:szCs w:val="15"/>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similar foreign laws and regulations that may apply to it in the countries in which we operate or may operate in the future; and</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laws that relate to maintaining accurate information and control over activities that may fall within the purview of the U.S. Foreign Corrupt Practices Act, its books and records provisions, or anti-bribery provisions.</w:t>
      </w:r>
    </w:p>
    <w:p>
      <w:pPr>
        <w:spacing w:after="0" w:line="128"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We have adopted policies and procedures designed to comply with these laws and regulations. In the ordinary course of our business, we conduct internal reviews of our compliance with these laws. Our compliance may also be subject to governmental review. The growth of our business and our expansion outside of the United States may increase the potential of violating these laws or our internal policies and procedures. The risk of us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it successfully defends against it, could cause it to incur significant legal expenses and divert our management’s attention from the operation of our business. If our operations are found to be in violation of any of these laws and regulations, it may be subject to any applicable penalty associated with the violation, including significant administrative, civil and criminal penalties, damages, fines, imprisonment, exclusion from participation in Federal healthcare programs, refunding of payments received by it and curtailment or cessation of our operations, which may impact existing contracts with key payors, collaborators, health systems, and commercial partners. Any of the foregoing consequences could seriously harm our business and our financial results.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uncertainty related to healthcare reform, pricing, coverage and reimbursement, which could reduce our revenue.</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Healthcare reform laws, including the Patient Protection and Affordable Care Act, ACA, and the Protecting Access to Medicare Act of 2014, or PAMA, are significantly affecting the U.S. healthcare and medical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440" w:right="339" w:bottom="1440" w:gutter="0" w:footer="0" w:header="0"/>
        </w:sectPr>
      </w:pPr>
    </w:p>
    <w:bookmarkStart w:id="47" w:name="page48"/>
    <w:bookmarkEnd w:id="47"/>
    <w:p>
      <w:pPr>
        <w:spacing w:after="0" w:line="119"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industry. Existing legislation, and possible future legal and regulatory changes, including potential repeal or modification of the ACA, elimination of penalties regarding the individual mandate for coverage, or approval of health plans that allow lower levels of coverage for preventive services, could materially change the structure and finances of the health insurance system and the methodology for reimbursing medical services, drugs and devices, including our current and future products and services. The ACA has also been the subject of various legal challenges and in December 2018, a federal district court in Texas found that the ACA’s “individual mandate” was unconstitutional such that the whole of the ACA is invalid. The decision was appealed, and in December 2019, the Fifth Circuit Court of Appeals affirmed certain portions of the district court’s decision but remanded to the district court to determine if any portions of the ACA may still be valid. If the plaintiffs in this case, or in any other case challenging the ACA, are ultimately successful, insurance coverage for our tests could be materially and adversely affected. Any change in reimbursement policy could result in a change in patient cost-sharing, which could adversely affect a provider’s willingness to prescribe and patient’s willingness and ability to use our tests and any other product or service we may develop. Healthcare reforms, which may intend to reduce healthcare costs, may have the effect of discouraging third-party payors from covering certain kinds of medical products and services, particularly newly developed technologies, or other products or tests we may develop in the future. We cannot predict whether future healthcare reform initiatives will be implemented at the federal or state level or the effect any such future legislation or regulation will have on it. The taxes imposed by new legislation, cost reduction measures and the expansion in the government’s role in the U.S. healthcare industry may result in decreased profits to us, which may adversely affect our business, financial condition and results of operations.</w:t>
      </w:r>
    </w:p>
    <w:p>
      <w:pPr>
        <w:spacing w:after="0" w:line="324"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PAMA presents significant uncertainty for future CMS reimbursement rates for our tests. Because Medicare currently covers a significant number of patients, any reduction in the CMS reimbursement rate for our tests would negatively affect our revenues and our business prospects. Under PAMA, CMS reimbursement rates for clinical diagnostic laboratory tests are updated every three years, or annually for clinical laboratory tests that are considered "advanced diagnostic laboratory tests". The CMS reimbursement rates for clinical diagnostic laboratory tests are updated based on the volume-weighted median of private payer rates for each clinical diagnostic laboratory test based on data submitted by certain applicable laboratories. Further, laboratories that fail to report or erroneously report required payment information may be subject to substantial civil money penalties. There can be no assurance under PAMA that adequate CMS reimbursement rates will continue to be assigned to our tests. Congress could modify or repeal PAMA in the future or CMS could modify regulations under PAMA, and any such action could have the effect of reducing the CMS reimbursement rate for our tests. Further, it is possible that Medicare or other federal payers that provide reimbursement for our tests may suspend, revoke or discontinue coverage at any time, may require co-payments from patients, or may reduce the reimbursement rates payable to it. Any such action could have a negative impact on our revenues.</w:t>
      </w:r>
    </w:p>
    <w:p>
      <w:pPr>
        <w:spacing w:after="0" w:line="109"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Coverage of our screening products that it may develop may also depend, in whole or in part, on whether payers determine, or courts and/or regulatory authorities determine, coverage is required under applicable federal or state laws mandating coverage of certain cancer screening services.</w:t>
      </w:r>
    </w:p>
    <w:p>
      <w:pPr>
        <w:spacing w:after="0" w:line="5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Several states have laws mandating coverage for preventive services, such as certain cancer screening services, applicable to certain health insurers. However, not all of these laws apply to our current tests and not all of these laws presently mandate coverage for patients within the certain age ranges. We and payers may disagree about how these mandates apply to our tests and we may find the mandates difficult to enforce. Further, if the ACA is repealed, replaced or overturned, or even if it is not, states may decide to modify their laws, which may include repeal of those coverage mandates that we believe currently apply to our oncology tests.</w:t>
      </w:r>
    </w:p>
    <w:p>
      <w:pPr>
        <w:spacing w:after="0" w:line="14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Outside of the U.S., we would largely depend on public or government-controlled payers for coverage of our oncology tests. As compared to many more routine diagnostic tests, our oncology tests are more complicated, expensive and are performed in a central, specialized lab. In order to accommodate the unique characteristics of our diagnostic products, public payers in certain non-U.S. markets have designed reimbursement frameworks specifically for each test type. These payers could decide to modify or discontinue these special frameworks, potentially leading to lower reimbursement prices or the impossibility of providing the test in the market. These changes could also impose additional administrative burdens on us, if it were to ever sell our tests in foreign jurisdictions, including complex public tendering procedures, or on ordering physicians, which could adversely affect the number of payers covering the test or the number of orders placed. Public payers could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440" w:right="339" w:bottom="1440" w:gutter="0" w:footer="0" w:header="0"/>
        </w:sectPr>
      </w:pPr>
    </w:p>
    <w:bookmarkStart w:id="48" w:name="page49"/>
    <w:bookmarkEnd w:id="48"/>
    <w:p>
      <w:pPr>
        <w:spacing w:after="0" w:line="11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reimbursement of our tests upon performance of our tests locally or, even in laboratories owned or operated by the payers. Any such change would adversely affect our ability to continue to serve those patients through our labs. We may develop future oncologic tests that could be performed locally by laboratory partners and in hospitals around the world, however those developments efforts may be unsuccessful and any such tests that we may develop may not be approved by regulators or accepted by payers or patients.</w:t>
      </w:r>
    </w:p>
    <w:p>
      <w:pPr>
        <w:spacing w:after="0" w:line="1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Product and professional liability suits against us could result in expensive and time-consuming litigation, payment of substantial damages and increases in our insurance rates.</w:t>
      </w:r>
    </w:p>
    <w:p>
      <w:pPr>
        <w:spacing w:after="0" w:line="12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sale and use of our solutions, products and services could lead to product or professional liability claims, including class action lawsuits. We may also be subject to liability for errors in the test results including health information it provides to healthcare providers or patients or for a misunderstanding of, or inappropriate reliance upon, the information it provides. Claims could also arise out of clinical studies we may conduct or any of our other activities. A product or professional liability claim could result in substantial damages, be costly and time consuming to defend, and cause material harm to our business, reputation or financial condition. We cannot assure you that our liability insurance would protect our assets from the financial impact of defending a product or professional liability claim. Any claim brought against us, with or without merit, could increase our liability insurance rates or prevent it from securing insurance coverage in the future.</w:t>
      </w:r>
    </w:p>
    <w:p>
      <w:pPr>
        <w:spacing w:after="0" w:line="14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Errors, defects, or mistakes in our products or services, and operations could harm our reputation, decrease market acceptance of our products or services.</w:t>
      </w:r>
    </w:p>
    <w:p>
      <w:pPr>
        <w:spacing w:after="0" w:line="12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are creating new products and services, many of which are initially based on largely untested technologies. As all of our products and services progress, we or others may determine that it made product or service-level scientific or technological mistakes. The diagnostic and testing processes utilize a number of complex and sophisticated molecular, biochemical, informatics, and mechanical processes, many of which are highly sensitive to external factors. An operational or technological failure in one of these complex processes or fluctuations in external factors may result in less efficient processing or variation between testing runs. Refinements to our processes may initially result in unanticipated issues that reduce the efficiency or increase variability. In particular, sequencing, which is a key component of these processes, could be inefficient with higher than expected variability thereby increasing total sequencing costs and reducing the number of samples we can process in a given time period. Therefore, inefficient or variable processes can cause variability in our operating results and damage our reputation.</w:t>
      </w:r>
    </w:p>
    <w:p>
      <w:pPr>
        <w:spacing w:after="0" w:line="128"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In addition, our laboratory operations could result in any number of errors or defects. our quality assurance system may fail to prevent it from inadvertent problems with samples, sample quality, lab processes including sequencing, software, data upload or analysis, raw materials, reagent manufacturing, assay quality or design, or other components or processes. In addition, our assays may have quality or design errors, and it may have inadequate procedures or instrumentation to process samples, assemble our proprietary primer mixes and commercial materials, upload and analyze data, or otherwise conduct our laboratory operations. If we provide products or services with undiscovered errors to our customers, our clinical diagnostics may falsely indicate a patient has a disease or genetic variant, fail to assess a patient’s risk of getting a disease or having a child with a disease, or fail to detect disease or variant in a patient who requires or could benefit from treatment or intervention. We believe our customers are likely to be particularly sensitive to product and service defects, errors and delays, including if our products and services fail to indicate the presence of residual disease with high accuracy from clinical specimens or if we fail to list or inaccurately indicate the presence or absence of disease in our test report or analysis. In drug discovery, such errors may interfere with our collaborators’ clinical studies or result in adverse safety or efficacy profiles for their products in development. This may harm our customers’ businesses and may cause it to incur significant costs, divert the attention of key personnel, encourage regulatory enforcement action against it, create a significant customer relations problem for us and cause our reputation to suffer. We may also be subject to warranty and liability claims for damages related to errors or defects in our products or services. Any of these developments could harm our business and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440" w:right="339" w:bottom="1440" w:gutter="0" w:footer="0" w:header="0"/>
        </w:sectPr>
      </w:pPr>
    </w:p>
    <w:bookmarkStart w:id="49" w:name="page50"/>
    <w:bookmarkEnd w:id="49"/>
    <w:p>
      <w:pPr>
        <w:spacing w:after="0" w:line="11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subject to increasingly complex taxation rules and practices, which may affect how it conducts our business and our results of operations.</w:t>
      </w:r>
    </w:p>
    <w:p>
      <w:pPr>
        <w:spacing w:after="0" w:line="199"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As our business grows, we are required to comply with increasingly complex taxation rules and practices. We are subject to tax in multiple U.S. tax jurisdictions and may be subject to foreign tax jurisdictions in the future. The development of our tax strategies requires additional expertise and may impact how it conducts our business. Our future effective tax rates could be unfavorably affected by changes in, or interpretations of, tax rules and regulations in the jurisdictions in which we do business or by changes in the valuation of our deferred tax assets and liabilities. Furthermore, we provide for certain tax liabilities that involve significant judgment. We are and may be subject to the examination of our tax returns by federal, state and foreign tax authorities. If our tax strategies are ineffective or it is not in compliance with domestic and international tax laws, as applicable, our financial position, operating results and cash flows could be adversely affected.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and Trade Secrets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inability to effectively protect our proprietary products, processes, and technologies, including the confidentiality of our trade secrets, could harm our competitive position.</w:t>
      </w:r>
    </w:p>
    <w:p>
      <w:pPr>
        <w:spacing w:after="0" w:line="128"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We currently rely upon trade secret protection and copyright, as well as non-disclosure agreements and invention assignment agreements with our employees, consultants and third parties, and to a limited extent patent protection, to protect our confidential and proprietary information. Although our competitors have utilized and are expected to continue utilizing similar methods and have aggregated and are expected to continue to aggregate similar databases of genetic testing information, our success will depend upon our ability to develop proprietary methods and databases and to defend any advantages afforded to is by our methods and databases relative to our competitors. If we do not protect our intellectual property adequately, competitors may be able to use our methods and databases and thereby erode any competitive advantages we may have.</w:t>
      </w:r>
    </w:p>
    <w:p>
      <w:pPr>
        <w:spacing w:after="0" w:line="126"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We will be able to protect our proprietary rights from unauthorized use by third parties only to the extent that our proprietary technologies are covered by valid and enforceable patents or are effectively maintained as trade secrets. In this regard, we have applied, and we intend to continue applying, for patents covering such aspects of our technologies as it deems appropriate. However, we expect that potential patent coverage it may obtain will not be sufficient to prevent substantial competition. In this regard, we believe it is probable that others will independently develop similar or alternative technologies or design around those technologies for which we may obtain patent protection. In addition, any patent applications we file may be challenged and may not result in issued patents or may be invalidated or narrowed in scope after they are issued. Questions as to inventorship or ownership may also arise. Any finding that our patents or applications are unenforceable could harm our ability to prevent others from practicing the related technology, and a finding that others have inventorship or ownership rights to our patents and applications could require it to obtain certain rights to practice related technologies, which may not be available on favorable terms, if at all. If we initiate lawsuits to protect or enforce our patents, or litigate against third-party claims, which would be expensive, and we lose, it may lose some of our intellectual property rights. Furthermore, these lawsuits may divert the attention of our management and technical personnel.</w:t>
      </w:r>
    </w:p>
    <w:p>
      <w:pPr>
        <w:spacing w:after="0" w:line="13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expect to rely substantially upon trade secrets and proprietary know-how protection for our confidential and proprietary information, and we have taken security measures to protect this information. These measures, however, may not provide adequate protection for our trade secrets, know-how or other confidential information. Among other things, we seek to protect our trade secrets and confidential information by entering into confidentiality agreements with employees and consultants. There can be no assurance that any confidentiality agreements that we have with our employees and consultants will provide meaningful protection for our trade secrets and confidential information or will provide adequate remedies in the event of unauthorized use or disclosure of such information. Accordingly, there also can be no assurance that our trade secrets will not otherwise become known or be independently developed by competitors. 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If any of our confidential or proprietary information, such as our trade secrets, were to be disclosed or misappropriated, or if any such information was independently developed by a competitor, our competitive position could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440" w:right="339" w:bottom="1440" w:gutter="0" w:footer="0" w:header="0"/>
        </w:sectPr>
      </w:pPr>
    </w:p>
    <w:bookmarkStart w:id="50" w:name="page51"/>
    <w:bookmarkEnd w:id="50"/>
    <w:p>
      <w:pPr>
        <w:spacing w:after="0" w:line="11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Any inability to effectively protect our proprietary technologies under certain jurisdictions and legal regimes could harm our competitive position.</w:t>
      </w:r>
    </w:p>
    <w:p>
      <w:pPr>
        <w:spacing w:after="0" w:line="199"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Our success and ability to compete in certain jurisdictions and under certain legal regimes depend to a large extent on our ability to develop proprietary products and technologies and to maintain adequate protection of our intellectual property in the United States and other countries; this becomes increasingly important as we expand our operations and enter into strategic collaborations with partners to develop and commercialize products. The laws of some foreign countries do not protect proprietary rights to the same extent as the laws of the United States, and we may encounter difficulties in establishing and enforcing its proprietary rights outside of the United States. In addition, the proprietary positions of companies developing and commercializing tools for molecular diagnostics, including our own, generally are uncertain and involve complex legal and factual questions. This uncertainty may materially affect our ability to defend or obtain patents or to address the patents and patent applications owned or controlled by our collaborators and licensors.</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Any of these factors could adversely affect our ability to obtain commercially relevant or competitively advantageous patent protection for our products.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patent regulations or standards are modified, such changes could have a negative impact on our business.</w:t>
      </w:r>
    </w:p>
    <w:p>
      <w:pPr>
        <w:spacing w:after="0" w:line="164"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From time to time, the U.S. Supreme Court, other federal courts, the U.S. Congress or the USPTO may change the standards of patentability and validity of patents within the cancer screening and diagnostics space, and any such changes could have a negative impact on our business.</w:t>
      </w:r>
    </w:p>
    <w:p>
      <w:pPr>
        <w:spacing w:after="0" w:line="10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 xml:space="preserve">There have been several cases involving “gene patents” and diagnostic claims that have been considered by the U.S. Supreme Court. In March 2012, the Supreme Court </w:t>
      </w:r>
      <w:r>
        <w:rPr>
          <w:rFonts w:ascii="Arial" w:cs="Arial" w:eastAsia="Arial" w:hAnsi="Arial"/>
          <w:sz w:val="18"/>
          <w:szCs w:val="18"/>
          <w:i w:val="1"/>
          <w:iCs w:val="1"/>
          <w:color w:val="auto"/>
        </w:rPr>
        <w:t>in Mayo Collaborative Services v. Prometheus Laboratories, Inc,</w:t>
      </w:r>
      <w:r>
        <w:rPr>
          <w:rFonts w:ascii="Arial" w:cs="Arial" w:eastAsia="Arial" w:hAnsi="Arial"/>
          <w:sz w:val="18"/>
          <w:szCs w:val="18"/>
          <w:color w:val="auto"/>
        </w:rPr>
        <w:t xml:space="preserve"> found a patented diagnostic method claim unpatentable because the relationship between a metabolite concentration and optimized dosage was a patent-ineligible “law of nature.” In June 2013, the Supreme Court ruled in </w:t>
      </w:r>
      <w:r>
        <w:rPr>
          <w:rFonts w:ascii="Arial" w:cs="Arial" w:eastAsia="Arial" w:hAnsi="Arial"/>
          <w:sz w:val="18"/>
          <w:szCs w:val="18"/>
          <w:i w:val="1"/>
          <w:iCs w:val="1"/>
          <w:color w:val="auto"/>
        </w:rPr>
        <w:t xml:space="preserve">ACLU v. Myriad Genetics, Inc, </w:t>
      </w:r>
      <w:r>
        <w:rPr>
          <w:rFonts w:ascii="Arial" w:cs="Arial" w:eastAsia="Arial" w:hAnsi="Arial"/>
          <w:sz w:val="18"/>
          <w:szCs w:val="18"/>
          <w:color w:val="auto"/>
        </w:rPr>
        <w:t>that an isolated genomic DNA sequence is not patent eligible while cDNA is eligible. The</w:t>
      </w:r>
      <w:r>
        <w:rPr>
          <w:rFonts w:ascii="Arial" w:cs="Arial" w:eastAsia="Arial" w:hAnsi="Arial"/>
          <w:sz w:val="18"/>
          <w:szCs w:val="18"/>
          <w:i w:val="1"/>
          <w:iCs w:val="1"/>
          <w:color w:val="auto"/>
        </w:rPr>
        <w:t xml:space="preserve"> Prometheus </w:t>
      </w:r>
      <w:r>
        <w:rPr>
          <w:rFonts w:ascii="Arial" w:cs="Arial" w:eastAsia="Arial" w:hAnsi="Arial"/>
          <w:sz w:val="18"/>
          <w:szCs w:val="18"/>
          <w:color w:val="auto"/>
        </w:rPr>
        <w:t>and</w:t>
      </w:r>
      <w:r>
        <w:rPr>
          <w:rFonts w:ascii="Arial" w:cs="Arial" w:eastAsia="Arial" w:hAnsi="Arial"/>
          <w:sz w:val="18"/>
          <w:szCs w:val="18"/>
          <w:i w:val="1"/>
          <w:iCs w:val="1"/>
          <w:color w:val="auto"/>
        </w:rPr>
        <w:t xml:space="preserve"> Myriad </w:t>
      </w:r>
      <w:r>
        <w:rPr>
          <w:rFonts w:ascii="Arial" w:cs="Arial" w:eastAsia="Arial" w:hAnsi="Arial"/>
          <w:sz w:val="18"/>
          <w:szCs w:val="18"/>
          <w:color w:val="auto"/>
        </w:rPr>
        <w:t>decisions,</w:t>
      </w:r>
      <w:r>
        <w:rPr>
          <w:rFonts w:ascii="Arial" w:cs="Arial" w:eastAsia="Arial" w:hAnsi="Arial"/>
          <w:sz w:val="18"/>
          <w:szCs w:val="18"/>
          <w:i w:val="1"/>
          <w:iCs w:val="1"/>
          <w:color w:val="auto"/>
        </w:rPr>
        <w:t xml:space="preserve"> </w:t>
      </w:r>
      <w:r>
        <w:rPr>
          <w:rFonts w:ascii="Arial" w:cs="Arial" w:eastAsia="Arial" w:hAnsi="Arial"/>
          <w:sz w:val="18"/>
          <w:szCs w:val="18"/>
          <w:color w:val="auto"/>
        </w:rPr>
        <w:t>as well as subsequent case law, affect the legal concept of subject matter eligibility by seemingly narrowing the scope of the statute defining patentable inventions.</w:t>
      </w:r>
    </w:p>
    <w:p>
      <w:pPr>
        <w:spacing w:after="0" w:line="143"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 xml:space="preserve">In December 2014 and again in 2019, the USPTO published revised guidelines for patent examiners to apply when examining process claims for patent eligibility in view of several recent Supreme Court decisions, including </w:t>
      </w:r>
      <w:r>
        <w:rPr>
          <w:rFonts w:ascii="Arial" w:cs="Arial" w:eastAsia="Arial" w:hAnsi="Arial"/>
          <w:sz w:val="15"/>
          <w:szCs w:val="15"/>
          <w:i w:val="1"/>
          <w:iCs w:val="1"/>
          <w:color w:val="auto"/>
        </w:rPr>
        <w:t>Mayo, Association for Molecular Pathology v. Myriad Genetics, Inc</w:t>
      </w:r>
      <w:r>
        <w:rPr>
          <w:rFonts w:ascii="Arial" w:cs="Arial" w:eastAsia="Arial" w:hAnsi="Arial"/>
          <w:sz w:val="15"/>
          <w:szCs w:val="15"/>
          <w:color w:val="auto"/>
        </w:rPr>
        <w:t xml:space="preserve">., and </w:t>
      </w:r>
      <w:r>
        <w:rPr>
          <w:rFonts w:ascii="Arial" w:cs="Arial" w:eastAsia="Arial" w:hAnsi="Arial"/>
          <w:sz w:val="15"/>
          <w:szCs w:val="15"/>
          <w:i w:val="1"/>
          <w:iCs w:val="1"/>
          <w:color w:val="auto"/>
        </w:rPr>
        <w:t>Alice</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Corporation Pty. Ltd. v. CLS Bank International, </w:t>
      </w:r>
      <w:r>
        <w:rPr>
          <w:rFonts w:ascii="Arial" w:cs="Arial" w:eastAsia="Arial" w:hAnsi="Arial"/>
          <w:sz w:val="15"/>
          <w:szCs w:val="15"/>
          <w:color w:val="auto"/>
        </w:rPr>
        <w:t>and others. The guidance indicates that claims directed to a law of nature, a natural phenomenon, or an</w:t>
      </w:r>
      <w:r>
        <w:rPr>
          <w:rFonts w:ascii="Arial" w:cs="Arial" w:eastAsia="Arial" w:hAnsi="Arial"/>
          <w:sz w:val="15"/>
          <w:szCs w:val="15"/>
          <w:i w:val="1"/>
          <w:iCs w:val="1"/>
          <w:color w:val="auto"/>
        </w:rPr>
        <w:t xml:space="preserve"> </w:t>
      </w:r>
      <w:r>
        <w:rPr>
          <w:rFonts w:ascii="Arial" w:cs="Arial" w:eastAsia="Arial" w:hAnsi="Arial"/>
          <w:sz w:val="15"/>
          <w:szCs w:val="15"/>
          <w:color w:val="auto"/>
        </w:rPr>
        <w:t>abstract idea that do not meet the eligibility requirements should be rejected as non-statutory, patent ineligible subject matter. While these guidelines may be subject to review and modification by the USPTO over time, we cannot assure you that our intellectual property strategy or patent portfolio will not be negatively impacted by the decisions described above, rulings in other cases or changes in guidance or procedures issued by the USPTO.</w:t>
      </w:r>
    </w:p>
    <w:p>
      <w:pPr>
        <w:spacing w:after="0" w:line="99"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Additional substantive changes to patent law, whether new or associated with the America Invents Act — which substantially revised the U.S. patent system — may affect our ability to obtain, enforce or defend our patents. Accordingly, it is not clear what, if any, impact these substantive changes will ultimately have on the cost of prosecuting our patent applications, our ability to obtain patents based on our discoveries and our ability to enforce or defend our issued patents, all of which could have a material adverse effect on our business.</w:t>
      </w:r>
    </w:p>
    <w:p>
      <w:pPr>
        <w:spacing w:after="0" w:line="1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are not able to adequately protect our trade secrets and other proprietary information, including the databases it manages and to which it has access, the value of our technology and products could be significantly diminished.</w:t>
      </w:r>
    </w:p>
    <w:p>
      <w:pPr>
        <w:spacing w:after="0" w:line="12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rely on trade secret and proprietary know-how protection for our confidential and proprietary information and have taken security measures to protect this information. These measures, however, may not provide adequate protection. For example, we have a policy of requiring our consultants, advisors and collaborators, including, for example, our strategic collaborators with whom we seek to develop and commercialize products, to enter into confidentiality agreements and our employees to enter into invention, non-disclosure and in certain cases non-compete agreements. However, breaches of our physical or electronic security systems, or breaches caused by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440" w:right="339" w:bottom="1440" w:gutter="0" w:footer="0" w:header="0"/>
        </w:sectPr>
      </w:pPr>
    </w:p>
    <w:bookmarkStart w:id="51" w:name="page52"/>
    <w:bookmarkEnd w:id="51"/>
    <w:p>
      <w:pPr>
        <w:spacing w:after="0" w:line="119"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employees who failing to abide by their confidentiality obligations during or upon termination of their employment with us, could compromise these protection efforts. Any action we take to enforce our rights may be time-consuming, expensive, and possibly unsuccessful. Even if successful, the resulting remedy may not adequately compensate us for the harm caused by the breach. These risks are heightened in countries where laws or law enforcement practices may not protect proprietary rights as fully as in the United States or Europe. Any unauthorized use or disclosure of, or access to, our trade secrets, know-how or other proprietary information, whether accidentally or through willful misconduct, could have a material adverse effect on our programs and our strategy, and on our ability to compete effectively.</w:t>
      </w:r>
    </w:p>
    <w:p>
      <w:pPr>
        <w:spacing w:after="0" w:line="14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it may not be able to build name recognition in our markets of interest, and our business may be adversely affected.</w:t>
      </w:r>
    </w:p>
    <w:p>
      <w:pPr>
        <w:spacing w:after="0" w:line="128"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Failure to maintain our trademark registrations, or to obtain new trademark registrations in the future, could limit our ability to protect our trademarks and impede our marketing efforts in the countries in which we operate. We may not be able to protect our rights to trademarks and trade names which we may need to build name recognition with potential partners or customers in our markets of interest. As a means to enforce our trademark rights and prevent infringement, we may be required to file trademark claims against third parties or initiate trademark opposition proceedings. This can be expensive and time-consuming, and possibly unsuccessful. our registered or unregistered trademarks or trade names may be challenged, infringed, circumvented, declared generic or determined to infringe on other marks.</w:t>
      </w:r>
    </w:p>
    <w:p>
      <w:pPr>
        <w:spacing w:after="0" w:line="143"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Our pending trademark applications in the United States and in other foreign jurisdictions where we may file may not be successful. Even if these applications result in registered trademarks, third parties may challenge these trademarks in the future. Over the long term, if we are unable to establish name recognition based on our trademarks and trade names, then it may not be able to compete effectively, and our business may be adversely affected.</w:t>
      </w:r>
    </w:p>
    <w:p>
      <w:pPr>
        <w:spacing w:after="0" w:line="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Litigation or other proceedings resulting from either third-party claims of patent infringement, or asserting infringement by third parties of our technology, could be costly, time-consuming, and could limit our ability to commercialize our products or services.</w:t>
      </w:r>
    </w:p>
    <w:p>
      <w:pPr>
        <w:spacing w:after="0" w:line="128"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Our success depends in part on our non-infringement of the patents or intellectual property rights of third parties, and our ability to successfully prevent third parties from infringing our intellectual property. We operate in a crowded technology area in which there has been substantial litigation and other proceedings regarding patent and other intellectual property rights in the genetic diagnostics industry. Third parties, including our competitors, have asserted and may in the future assert that we are infringing their intellectual property rights. We may also become subject to and/or initiate future intellectual property litigation as our product portfolio and the level of competition in our industry grow.</w:t>
      </w:r>
    </w:p>
    <w:p>
      <w:pPr>
        <w:spacing w:after="0" w:line="128"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Because the U.S. Patent &amp; Trademark Office, or USPTO, maintains patent applications in secrecy until a patent application publishes or the patent is issued, we have no way of knowing if others may have filed patent applications covering technologies used by it or our partners. Additionally, there may be third-party patents, patent applications and other intellectual property relevant to our technologies that may block or compete with our technologies. From time-to-time we have received correspondence from third parties alleging to hold intellectual property rights that could block our development or commercialization of products. While none of these inquiries to date have had any material effect on it, we may receive inquiries in the future that could have a material effect on our business. Even if third-party claims are without merit, defending a lawsuit may result in substantial expense to us and may divert the attention of management and key personnel. In addition, we cannot provide assurance that it would prevail in any such suits to the extent necessary to conduct our business according to our strategic plan or that the damages or other remedies, if any, awarded against it would not be substantial. Claims of intellectual property infringement may require that we, or our strategic partners, enter into unsustainably high royalty or license agreements with third parties that may only be available on unacceptable terms, if at all. In addition, we could experience delays in product introductions or sales growth while we attempt to develop non-infringing alternatives. These claims could also result in injunctions against the further development and commercial sale of services or products containing our technologies, which would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440" w:right="339" w:bottom="1440" w:gutter="0" w:footer="0" w:header="0"/>
        </w:sectPr>
      </w:pPr>
    </w:p>
    <w:bookmarkStart w:id="52" w:name="page53"/>
    <w:bookmarkEnd w:id="52"/>
    <w:p>
      <w:pPr>
        <w:spacing w:after="0" w:line="119"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Further, patents and patent applications owned by us may become the subject of interference proceedings in the USPTO to determine priority of invention, which could result in substantial cost to us as well as a possible adverse decision as to the priority of invention of the patent or patent application involved. An adverse decision in an interference proceeding may result in the loss of rights under a patent or patent application subject to such a proceeding. We cannot predict whether, or offer any assurance that, the patent infringement claims may initiate in the future will be successful. We are and may become subject to counterclaims by patent infringement defendants. Our patents may be declared invalid or unenforceable, or narrowed in scope. Even if we prevail in an infringement action, we cannot assure you that it would be adequately compensated for the harm to our business. If we are unable to enjoin third-party infringement, our revenues may be adversely impacted and it may lose market share; and such third-party product may continue to exist in the market, but fail to meet our regulatory or safety standards, thereby causing irreparable harm to our reputation as a provider of quality products, which in turn could result in loss of market share and have a material adverse effect on our business, financial condition and our results of operations.</w:t>
      </w:r>
    </w:p>
    <w:p>
      <w:pPr>
        <w:spacing w:after="0" w:line="10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addition, our agreements with some of our customers, suppliers, and other entities with whom we do business require us to defend or indemnify these parties to the extent they become involved in patent infringement claims, including the types of claims described in this risk factor. We have agreed, and may in the future agree, to defend or indemnify third parties if we determine it to be in the best interests of our business relationships. If we are required or agree to defend or indemnify third parties in connection with any infringement claims, we could incur significant costs and expenses that could adversely affect our business, financial condition and results of operations.</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use of open-source software could subject it to possible litigation or cause us to subject our platform to unwanted open-source license conditions that could negatively impact our sales.</w:t>
      </w:r>
    </w:p>
    <w:p>
      <w:pPr>
        <w:spacing w:after="0" w:line="12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A limited but meaningful portion of our platforms and products incorporate open-source software, and it will incorporate open-source software into other offerings or products in the future. Such open-source software is generally licensed by its authors or other third parties under open-source licenses. There is little legal precedent governing the interpretation of certain terms of these licenses, and therefore the potential impact of these terms on our business is unknown and may result in unanticipated obligations regarding our products and technologies. If an author or other third party that distributes such open-source software were to allege that we had not complied with the conditions of one or more of these licenses, we could be required to incur significant legal expenses defending against such allegations. In addition, if we combine our proprietary software with open-source software in a certain manner, under some open-source licenses, we could be required to release the source code of our proprietary software, which could substantially help our competitors develop products that are similar to or better than our products.</w:t>
      </w:r>
    </w:p>
    <w:p>
      <w:pPr>
        <w:spacing w:after="0" w:line="12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rely on strategic collaborative and licensing arrangements with third parties to develop critical intellectual property. We may not be able to successfully establish and maintain such intellectual property.</w:t>
      </w:r>
    </w:p>
    <w:p>
      <w:pPr>
        <w:spacing w:after="0" w:line="12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development and commercialization of our products and services rely, directly or indirectly, upon strategic collaborations and licensing agreements with third parties. Such arrangements provide us with intellectual property and other business rights crucial to our product development and commercialization. We have incorporated licensed technology into our tests. Our dependence on licensing, collaboration and other similar agreements with third parties may subject it to a number of risks. There can be no assurance that any current contractual arrangements between us and third parties or between our strategic partners and other third parties will be continued on materially similar terms and will not be breached or terminated early. Any failure to obtain or retain the rights to necessary technologies on acceptable commercial terms could require us to re-configure our products and services, which could negatively impact their commercial sale or increase the associated costs, either of which could materially harm our business and adversely affect our future revenues and ability to achieve sustained profitability.</w:t>
      </w:r>
    </w:p>
    <w:p>
      <w:pPr>
        <w:spacing w:after="0" w:line="12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expect to continue and expand our reliance on collaborative and licensing arrangements. Establishing new strategic collaborations and licensing arrangements is difficult and time-consuming. Discussions with potential collaborators or licensors may not lead to the establishment of collaborations on favorable terms, if at all. To the extent we agree to work exclusively with one collaborator in a given area, our opportunities to collaborate with other entities could be limited. Potential collaborators or licensors may reject collaborations with it based upon their assessment of our financial, regulatory or intellectual property position or other factors. Even if we successfully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440" w:right="339" w:bottom="1440" w:gutter="0" w:footer="0" w:header="0"/>
        </w:sectPr>
      </w:pPr>
    </w:p>
    <w:bookmarkStart w:id="53" w:name="page54"/>
    <w:bookmarkEnd w:id="53"/>
    <w:p>
      <w:pPr>
        <w:spacing w:after="0" w:line="11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establish new collaborations, these relationships may never result in the successful commercialization of any product or service. In addition, the success of the projects that require collaboration with third parties will be dependent on the continued success of such collaborators. There is no guarantee that our collaborators will continue to be successful and, as a result, we may expend considerable time and resources developing products or services that will not ultimately be commercialized.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Cybersecurity, Privacy and Information Technology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Interruption, interference with, or failure of our information technology and communications systems could hurt our ability to effectively provide our products and services, which could harm our reputation, financial condition, and operating results.</w:t>
      </w:r>
    </w:p>
    <w:p>
      <w:pPr>
        <w:spacing w:after="0" w:line="128"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The availability of our products and services and fulfillment of our customer contracts depend on the continuing operation of our information technology and communications systems. Our systems are vulnerable to damage, interference, or interruption from terrorist attacks, natural disasters, the effects of climate change (such as sea level rise, drought, flooding, wildfires, and increased storm severity), power loss, telecommunications failures, computer viruses, ransomware attacks, computer denial of service attacks, phishing schemes, or other attempts to harm or access our systems. Some of our data centers are located in areas with a high risk of major earthquakes or other natural disasters. Our data centers are also subject to break-ins, sabotage, and intentional acts of vandalism, and, in some cases, to potential disruptions resulting from problems experienced by facility operators. Some of our systems are not fully redundant, and disaster recovery planning cannot account for all eventualities.</w:t>
      </w:r>
    </w:p>
    <w:p>
      <w:pPr>
        <w:spacing w:after="0" w:line="10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occurrence of a natural disaster, closure of a facility, or other unanticipated problems at our data centers could result in lengthy interruptions in our service. In addition, our products and services are highly technical and complex and may contain errors or vulnerabilities, which could result in interruptions in or failure of our services or systems.</w:t>
      </w:r>
    </w:p>
    <w:p>
      <w:pPr>
        <w:spacing w:after="0" w:line="135" w:lineRule="exact"/>
        <w:rPr>
          <w:sz w:val="20"/>
          <w:szCs w:val="20"/>
          <w:color w:val="auto"/>
        </w:rPr>
      </w:pPr>
    </w:p>
    <w:p>
      <w:pPr>
        <w:jc w:val="both"/>
        <w:spacing w:after="0" w:line="365" w:lineRule="auto"/>
        <w:rPr>
          <w:sz w:val="20"/>
          <w:szCs w:val="20"/>
          <w:color w:val="auto"/>
        </w:rPr>
      </w:pPr>
      <w:r>
        <w:rPr>
          <w:rFonts w:ascii="Arial" w:cs="Arial" w:eastAsia="Arial" w:hAnsi="Arial"/>
          <w:sz w:val="15"/>
          <w:szCs w:val="15"/>
          <w:b w:val="1"/>
          <w:bCs w:val="1"/>
          <w:i w:val="1"/>
          <w:iCs w:val="1"/>
          <w:color w:val="auto"/>
        </w:rPr>
        <w:t>Security breaches, privacy issues, loss of data and other incidents could compromise sensitive, protected, or personal information related to our business, could prevent it from accessing critical information, and could expose it to regulatory liability, which could adversely affect our business.</w:t>
      </w:r>
    </w:p>
    <w:p>
      <w:pPr>
        <w:spacing w:after="0" w:line="58"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In the ordinary course of our business, we collect and store sensitive data, including PHI, personally identifiable information, genetic information, credit card information, intellectual property and proprietary business information owned or controlled by us or our customers, payers and other parties. We manage and maintain our applications and data utilizing a combination of on-site systems, managed data center systems and cloud-based systems. We also communicate PHI and other sensitive patient data through our various customer tools and platforms. In addition to storing and transmitting sensitive data that is subject to multiple legal protections, these applications and data encompass a wide variety of business-critical information including research and development information, commercial information, and business and financial information. We face a number of risks relative to protecting this critical information, including loss of access risk, inappropriate disclosure, inappropriate modification, and the risk of our being unable to adequately monitor and modify our controls over our critical information. Any technical problems that may arise in connection with the data that we access and our systems, including those that are hosted by third-party providers, could result in interruptions to our business and operations or exposure to security vulnerabilities. These types of problems may be caused by a variety of factors, including infrastructure changes, intentional or accidental human actions or omissions, software errors, malware, viruses, security attacks, fraud, spikes in customer usage and denial of service issues. From time to time, large third-party web hosting providers have experienced outages or other problems that have resulted in their systems being offline and inaccessible. Such outages could materially impact our business and operations.</w:t>
      </w:r>
    </w:p>
    <w:p>
      <w:pPr>
        <w:spacing w:after="0" w:line="13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secure processing, storage, maintenance and transmission of this critical information are vital to our operations and business strategy, and it devotes significant resources to protecting such information. Although we take what we believe to be reasonable and appropriate measures, including a formal, dedicated enterprise security program, to protect sensitive information from various compromises (including unauthorized access, disclosure, or modification or lack of availability), our information technology and infrastructure may be vulnerable to attacks by hackers or viruses or breached due to employee error, malfeasance or other disruptions. Any such breach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440" w:right="339" w:bottom="1440" w:gutter="0" w:footer="0" w:header="0"/>
        </w:sectPr>
      </w:pPr>
    </w:p>
    <w:bookmarkStart w:id="54" w:name="page55"/>
    <w:bookmarkEnd w:id="54"/>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interruption could compromise our networks and the information stored therein could be accessed by unauthorized parties, altered, publicly disclosed, lost or stolen.</w:t>
      </w:r>
    </w:p>
    <w:p>
      <w:pPr>
        <w:spacing w:after="0" w:line="12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Further, our some of customer tools and platforms are currently accessible through a portal and there is no guarantee that we can protect our portal from a security breach. Unauthorized access, loss or dissemination could also disrupt our operations (including our ability to conduct our analyses, provide test results, bill payers or patients, process claims and appeals, provide customer assistance, conduct research and development activities, collect, process and prepare company financial information, provide information about our tests and other patient and physician education and outreach efforts through our website, and manage the administrative aspects of our business) and damage our reputation, any of which could adversely affect our business. In addition to data security risks, we also face privacy risks. Should we actually violate, or be perceived to have violated, any privacy promises it makes to patients or consumers, it could be subject to a complaint from an affected individual or interested privacy regulator, such as the FTC, a state Attorney General, an EU Member State Data Protection Authority, or a data protection authority in another international jurisdiction. This risk is heightened given the sensitivity of the data we collect.</w:t>
      </w:r>
    </w:p>
    <w:p>
      <w:pPr>
        <w:spacing w:after="0" w:line="13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Any security compromise that causes an apparent privacy violation could also result in legal claims or proceedings; liability under federal, state, foreign, or multinational laws that regulate the privacy, security, or breach of personal information, such as but not limited to the HIPAA, HITECH, state data security and data breach notification laws, the EU’s GDPR, the UK Data Protection Act of 2018; and related regulatory penalties. Penalties for failure to comply with a requirement of HIPAA or HITECH vary significantly, and, depending on the knowledge and culpability of the HIPAA-regulated entity, may include civil monetary penalties of up to $1.5 million per calendar year for each provision of HIPAA that is violated. A person who knowingly obtains or discloses individually identifiable health information in violation of HIPAA may face a criminal penalty of up to $50,000 and up to one-year imprisonment. The criminal penalties increase if the wrongful conduct involves false pretenses or the intent to sell, transfer or use identifiable health information for commercial advantage, personal gain or malicious harm. Penalties for unfair or deceptive acts or practices under the FTC Act or state Unfair and Deceptive Acts and Practices, or UDAP, statutes may also vary significantly.</w:t>
      </w:r>
    </w:p>
    <w:p>
      <w:pPr>
        <w:spacing w:after="0" w:line="132"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There has been unprecedented activity in the development of data protection regulation around the world. As a result, the interpretation and application of consumer, health-related and data protection laws in the United States, Europe and elsewhere are often uncertain, contradictory and in flux. The GDPR took effect on May 25, 2018. The GDPR took effect on May 25, 2018. The GDPR applies to any entity established in the EU as well as extraterritorially to any entity outside the EU that offers goods or services to, or monitors the behavior of, individuals who are located in the EU. The GDPR imposes strict requirements on controllers and processors of personal data, including enhanced protections for “special categories” of personal data, which includes sensitive information such as health and genetic information of data subjects. The GDPR also grants individuals various rights in relation to their personal data, including the rights of access, rectification, objection to certain processing and deletion. The GDPR provides an individual with an express right to seek legal remedies if the individual believes his or her rights have been violated. Failure to comply with the requirements of the GDPR or the related national data protection laws of the member states of the EU, which may deviate from or be more restrictive than the GDPR, may result in significant administrative fines issued by EU regulators. Maximum penalties for violations of the GDPR are capped at 20M euros or 4% of an organization’s annual global revenue, whichever is greater.</w:t>
      </w:r>
    </w:p>
    <w:p>
      <w:pPr>
        <w:spacing w:after="0" w:line="135"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Further, the United Kingdom’s decision to leave the EU, often referred to as Brexit, has created uncertainty with regard to data protection regulation in the United Kingdom. In particular, it is still unclear whether the transfer of personal information from the EU to the United Kingdom will in the future remain lawful under the GDPR. The United Kingdom-EU post-Brexit trade deal provides that transfers of personal information to the United Kingdom will not be treated as restricted transfers to a non-EU country for a period of up to six months from January 1, 2021. However, unless the EU Commission makes an “adequacy finding” with respect to the United Kingdom before the end of that transition period, from that date the United Kingdom will be a “third country” under the GDPR and transfers of personal information from the EU to the United Kingdom will require an “adequacy mechanism,” such as the SCCs.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440" w:right="339" w:bottom="1440" w:gutter="0" w:footer="0" w:header="0"/>
        </w:sectPr>
      </w:pPr>
    </w:p>
    <w:bookmarkStart w:id="55" w:name="page56"/>
    <w:bookmarkEnd w:id="55"/>
    <w:p>
      <w:pPr>
        <w:spacing w:after="0" w:line="119"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5"/>
          <w:szCs w:val="15"/>
          <w:color w:val="auto"/>
        </w:rPr>
        <w:t>Additionally, the implementation of GDPR has led other jurisdictions to either amend or propose legislation to amend their existing data privacy and cybersecurity laws to resemble the requirements of GDPR. For example, on June 28, 2018, California adopted the CCPA. The CCPA regulates how certain for-profit businesses that meet one or more CCPA applicability thresholds collect, use, and disclose the personal information of consumers who reside in California. Among other things, the CCPA confers to California consumers the right to receive notice of the categories of personal information that will be collected by a business, how the business will use and share the personal information, and the third parties who will receive the personal information; the CCPA also confers rights to access, delete, or transfer personal information; and the right to receive equal service and pricing from a business after exercising a consumer right granted by the CCPA. In addition, the CCPA allows California consumers the right to opt out of the “sale” of their personal information, which the CCPA defines broadly as any disclosure of personal information to a third party in exchange for monetary or other valuable consideration. The CCPA also requires a business to implement reasonable security procedures to safeguard personal information against unauthorized access, use, or disclosure. California amended the law in September 2018 to exempt all PHI collected by certain parties subject to HIPAA, and further amended the law in September 2020 to clarify that de-identified data as defined under HIPAA will also be exempt from the CCPA. The California Attorney General’s final regulations implementing the CCPA took effect on August 14, 2020. The CCPA provides for civil penalties for violations, as well as a private right of action for data breaches resulting from a business’s failure to implement and maintain reasonable data security procedures that is expected to increase data breach litigation. In addition, California voters recently approved the California Privacy Rights Act of 2020, or CPRA, that is scheduled to go into effect on January 1, 2023. The CPRA would, among other things, amend the CCPA to give California residents the ability to limit the use of their sensitive information, provide for penalties for CPRA violations concerning California residents under the age of 16, and establish a new California Privacy Protection Agency to implement and enforce the law. Other jurisdictions in the United States are beginning to propose laws similar to CCPA. Some observers have noted that the CCPA could mark the beginning of a trend toward more stringent privacy legislation, which could increase our potential liability and adversely affect our business, results of operations, and financial condition.</w:t>
      </w:r>
    </w:p>
    <w:p>
      <w:pPr>
        <w:spacing w:after="0" w:line="200" w:lineRule="exact"/>
        <w:rPr>
          <w:sz w:val="20"/>
          <w:szCs w:val="20"/>
          <w:color w:val="auto"/>
        </w:rPr>
      </w:pPr>
    </w:p>
    <w:p>
      <w:pPr>
        <w:spacing w:after="0" w:line="334"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It is possible the GDPR, CCPA and other emerging United States and international data protection laws may be interpreted and applied in manner that is inconsistent with our practices. If so, this could result in government-imposed fines or orders requiring that we change our practices, which could adversely affect our business. In addition, these privacy laws and regulations may differ from country to country and state to state, and our obligations under these laws and regulations vary based on the nature of our activities in the particular jurisdiction, such as whether we collect samples from individuals in the local jurisdiction, perform testing in the local jurisdiction, or process personal information regarding employees or other individuals in the local jurisdiction. Complying with these various laws and regulations could cause us to incur substantial costs or require it to change our business practices and compliance procedures in a manner adverse to our business. We can provide no assurance that it is or will remain in compliance with diverse privacy and data security requirements in all of the jurisdictions in which it does business. Failure to comply with privacy and data security requirements could result in a variety of consequences, or damage to our reputation, any of which could have a material adverse effect on our business.</w:t>
      </w:r>
    </w:p>
    <w:p>
      <w:pPr>
        <w:spacing w:after="0" w:line="10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Data privacy and security concerns relating to our technology and our practices could damage our reputation, subject it to significant legal and financial exposure, and deter current and potential users or customers from using our products and services. Software bugs or defects, security breaches, and attacks on our systems could result in the improper disclosure and use of user data and interference with our users and customers’ ability to use our products and services, harming our business operations and reputation.</w:t>
      </w:r>
    </w:p>
    <w:p>
      <w:pPr>
        <w:spacing w:after="0" w:line="12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Concerns about our practices with regard to the collection, use, disclosure, or security of personal information or other data-privacy-related matters, even if unfounded, could harm our reputation, financial condition, and operating results. Our policies and practices may change over time as expectations regarding privacy and data change.</w:t>
      </w:r>
    </w:p>
    <w:p>
      <w:pPr>
        <w:spacing w:after="0" w:line="135"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Our products and services involve the storage and transmission of protected health information and other personal information, proprietary information, and bugs, theft, misuse, defects, vulnerabilities in our products and services, and security breaches expose it to a risk of loss of this information, improper use and disclosure of such information, litigation, and other potential liability. Systems and control failures, security breaches, failure to comply with our privacy policies, and/or inadvertent disclosure of user data could result in government and legal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440" w:right="339" w:bottom="1440" w:gutter="0" w:footer="0" w:header="0"/>
        </w:sectPr>
      </w:pPr>
    </w:p>
    <w:bookmarkStart w:id="56" w:name="page57"/>
    <w:bookmarkEnd w:id="56"/>
    <w:p>
      <w:pPr>
        <w:spacing w:after="0" w:line="119" w:lineRule="exact"/>
        <w:rPr>
          <w:sz w:val="20"/>
          <w:szCs w:val="20"/>
          <w:color w:val="auto"/>
        </w:rPr>
      </w:pPr>
    </w:p>
    <w:p>
      <w:pPr>
        <w:jc w:val="both"/>
        <w:spacing w:after="0" w:line="365" w:lineRule="auto"/>
        <w:rPr>
          <w:sz w:val="20"/>
          <w:szCs w:val="20"/>
          <w:color w:val="auto"/>
        </w:rPr>
      </w:pPr>
      <w:r>
        <w:rPr>
          <w:rFonts w:ascii="Arial" w:cs="Arial" w:eastAsia="Arial" w:hAnsi="Arial"/>
          <w:sz w:val="15"/>
          <w:szCs w:val="15"/>
          <w:color w:val="auto"/>
        </w:rPr>
        <w:t>exposure, seriously harm our reputation and brand and, therefore, our business, and impair our ability to attract and retain users or customers. We expect to continue to expend significant resources to maintain security protections that shield against bugs, theft, misuse, or security vulnerabilities or breaches.</w:t>
      </w:r>
    </w:p>
    <w:p>
      <w:pPr>
        <w:spacing w:after="0" w:line="5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experience cyber-attacks and other attempts to gain unauthorized access to our systems on a regular basis. We may experience future security issues, whether due to employee error or malfeasance or system errors or vulnerabilities in our or other parties’ systems, which could result in significant legal and financial exposure. Government inquiries and enforcement actions, litigation, and adverse press coverage could harm our business. We may be unable to anticipate or detect attacks or vulnerabilities or implement adequate preventative measures. Attacks and security issues could also compromise trade secrets and other sensitive information, harming our business.</w:t>
      </w:r>
    </w:p>
    <w:p>
      <w:pPr>
        <w:spacing w:after="0" w:line="14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While we have dedicated significant resources to privacy and security incident response capabilities, including dedicated worldwide incident response teams, our response process may not be adequate, may fail to accurately assess the severity of an incident, may not respond quickly enough, or may fail to sufficiently remediate an incident. As a result, we may suffer significant legal, reputational, or financial exposure, which could harm our business, financial condition, and operating results.</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depend on our scientific computing and information technology and management systems and any failure of these systems could harm our business.</w:t>
      </w:r>
    </w:p>
    <w:p>
      <w:pPr>
        <w:spacing w:after="0" w:line="199"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We depend on scientific computing and information technology and management systems, including third-party cloud computing infrastructure, operating systems and artificial intelligence platforms, for significant elements of our operations, including our laboratory information management system, clinical database, analytical platform, laboratory workflow tools, customer and collaborator reporting and related functions. We also depend on our proprietary workflow software to support new product and service launches and regulatory compliance.</w:t>
      </w:r>
    </w:p>
    <w:p>
      <w:pPr>
        <w:spacing w:after="0" w:line="12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use complex software processes and bioinformatic pipelines to manage samples and evaluate sequencing result data. These are subject to initial design or ongoing modifications which may result in unanticipated issues that could cause variability in patient results, leading to service disruptions or errors, resulting in liability.</w:t>
      </w:r>
    </w:p>
    <w:p>
      <w:pPr>
        <w:spacing w:after="0" w:line="135"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have installed, and expects to expand, a number of enterprise software systems that affect a broad range of business processes and functional areas, including systems laboratory operations, handling human resources, financial controls and reporting, contract management, regulatory compliance and other infrastructure operations, and patient consent and information management. In addition to these business systems, we have installed, and intends to extend, the capabilities of both our preventative and detective security controls by augmenting the monitoring and alerting functions, the network design and the automatic countermeasure operations of our technical systems. These information technology and telecommunications systems support a variety of functions, including laboratory operations, test validation, sample tracking, quality control, customer service support, billing and reimbursement, research and development activities, scientific and medical curation and general administrative activities. In addition, our third-party billing and collections provider depends upon technology and telecommunications systems provided by outside vendors.</w:t>
      </w:r>
    </w:p>
    <w:p>
      <w:pPr>
        <w:spacing w:after="0" w:line="12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Information technology and telecommunications systems are vulnerable to damage from a variety of sources, including telecommunications or network failures, malicious internal or external human acts and natural disasters. Moreover, despite network security and back-up measures, some of our servers are potentially vulnerable to physical or electronic break-ins, computer viruses and similar disruptive problems. Despite the precautionary measures we have taken to prevent unanticipated problems that could affect our information technology and telecommunications systems, failures or significant downtime of these systems or those used by our collaborators or subcontractors could prevent it from conducting our comprehensive screening analysis, clinical diagnostics and drug discovery, preparing and providing reports to researchers, clinicians and our collaborators, billing payers, handling physician inquiries, conducting research and development activities and managing the administrative aspects of our business. Any disruption or loss of information technology or telecommunications systems on which critical aspects of our operations depend could have an adverse effect on our business and our reputation, and we may be unable to regain or repair our reputation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440" w:right="339" w:bottom="1440" w:gutter="0" w:footer="0" w:header="0"/>
        </w:sectPr>
      </w:pPr>
    </w:p>
    <w:bookmarkStart w:id="57" w:name="page58"/>
    <w:bookmarkEnd w:id="57"/>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Being a Public Company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will incur increased costs and demands on management as a result of compliance with laws and regulations applicable to public companies, which could harm our operating results.</w:t>
      </w:r>
    </w:p>
    <w:p>
      <w:pPr>
        <w:spacing w:after="0" w:line="128"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Prior to the Business Combination, Sema4 had never been a public company. We could incur significant legal, accounting and other expenses, including costs associated with public company reporting requirements. In addition, the Sarbanes-Oxley Act of 2002, or the Sarbanes-Oxley Act, as well as rules implemented by the SEC and Nasdaq, impose a number of requirements on public companies, including with respect to corporate governance practices. The SEC and other regulators have continued to adopt new rules and regulations and make additional changes to existing regulations that require the company’s compliance. In addition, the Dodd-Frank Wall Street Reform and Consumer Protection Act, or the Dodd-Frank Act, enacted in 2010, includes significant corporate governance and executive-compensation-related provisions. Our management and other personnel will need to devote a substantial amount of time to these compliance and disclosure obligations. If these requirements divert the attention of our management and personnel from other aspects of our business concerns, they could have a material adverse effect on our business, financial condition and results of operations. Moreover, these rules and regulations applicable to public companies substantially could increase our legal, accounting and financial compliance costs, require that we hire additional personnel and make some activities more time consuming and costly. It may also be more expensive for us to obtain director and officer liability insurance as a public company.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market for our securities may not continue, which would adversely affect the liquidity and price of our securities.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price of our securities may fluctuate significantly due to general market and economic conditions. An active trading market for our securities following the Business Combination may never develop or, if developed, it may not be sustained. In addition, the price of our securities can vary due to general economic conditions and forecasts, our general business condition and the release of our financial reports.</w:t>
      </w:r>
    </w:p>
    <w:p>
      <w:pPr>
        <w:spacing w:after="0" w:line="1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the Business Combination’s benefits do not meet the expectations of investors, stockholders or financial analysts, the market price of our securities may decline.</w:t>
      </w:r>
    </w:p>
    <w:p>
      <w:pPr>
        <w:spacing w:after="0" w:line="128"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If the benefits of the Business Combination do not meet the expectations of investors or securities analysts, the market price of our securities may decline. In addition, fluctuations in the price of our securities could contribute to the loss of all or part of your investment. Prior to the Business Combination, there had not been a public market for Sema4’s stock and trading in the shares of Sema4’s common stock had not been active. Accordingly, the valuation ascribed to Sema4 and its common stock in the Business Combination may not be indicative of the trading price of our securities following the Business Combination. If an active market for our securities develops and continues, the trading price of our securities following the Business Combination could be volatile and subject to wide fluctuations in response to various factors, some of which are beyond our control.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spacing w:after="0" w:line="10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Factors affecting the trading price of our securities may include:</w:t>
      </w:r>
    </w:p>
    <w:p>
      <w:pPr>
        <w:spacing w:after="0" w:line="164" w:lineRule="exact"/>
        <w:rPr>
          <w:sz w:val="20"/>
          <w:szCs w:val="20"/>
          <w:color w:val="auto"/>
        </w:rPr>
      </w:pPr>
    </w:p>
    <w:p>
      <w:pPr>
        <w:ind w:left="640" w:hanging="316"/>
        <w:spacing w:after="0"/>
        <w:tabs>
          <w:tab w:leader="none" w:pos="6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actual or anticipated fluctuations in our quarterly financial results or the quarterly financial results of companies perceived to be similar to us;</w:t>
      </w:r>
    </w:p>
    <w:p>
      <w:pPr>
        <w:spacing w:after="0" w:line="175" w:lineRule="exact"/>
        <w:rPr>
          <w:rFonts w:ascii="Arial" w:cs="Arial" w:eastAsia="Arial" w:hAnsi="Arial"/>
          <w:sz w:val="17"/>
          <w:szCs w:val="17"/>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the market’s expectations about our operating results;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public’s reaction to our press releases, our other public announcements and our filings with the SEC;</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announcements of technological innovation, new products, acquisitions, strategic alliances, significant agreements by us or competitors;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440" w:right="339" w:bottom="1440" w:gutter="0" w:footer="0" w:header="0"/>
        </w:sectPr>
      </w:pPr>
    </w:p>
    <w:bookmarkStart w:id="58" w:name="page59"/>
    <w:bookmarkEnd w:id="58"/>
    <w:p>
      <w:pPr>
        <w:spacing w:after="0" w:line="119" w:lineRule="exact"/>
        <w:rPr>
          <w:sz w:val="20"/>
          <w:szCs w:val="20"/>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success of competitors;</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operating results falling below our financial guidance or other projections or failing to meet the expectation of securities analysts or investors in a particular period;</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financial estimates and recommendations by securities analysts concerning us or the market in general;</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operating and stock price performance of other companies that investors deem comparable to us;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market new and enhanced products on a timely basis;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laws and regulations affecting our business;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commencement of, or involvement in, litigation involving us;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volume of shares of our common stock available for public sale;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major change in our Board or management;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sales of substantial amounts of common stock by our directors, officers or significant stockholders or the perception that such sales could occur;</w:t>
      </w:r>
    </w:p>
    <w:p>
      <w:pPr>
        <w:spacing w:after="0" w:line="198" w:lineRule="exact"/>
        <w:rPr>
          <w:rFonts w:ascii="Arial" w:cs="Arial" w:eastAsia="Arial" w:hAnsi="Arial"/>
          <w:sz w:val="15"/>
          <w:szCs w:val="15"/>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expiration of the market stand-off or contractual lock-up agreements;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realization of any of the risk factors presented in this prospectus;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comply with the requirements of Nasdaq;</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comply with SOX or other laws or regulations;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actual, potential or perceived control, accounting or reporting problems;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accounting principles, policies and guidelines; and</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economic and political conditions such as recessions, interest rates, fuel prices, international currency fluctuations and acts of war or terrorism.</w:t>
      </w:r>
    </w:p>
    <w:p>
      <w:pPr>
        <w:spacing w:after="0" w:line="128"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Broad market and industry factors may materially harm the market price of our securities irrespective of our operating performance. The stock market in general and Nasdaq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us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spacing w:after="0" w:line="12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440" w:right="339" w:bottom="1440" w:gutter="0" w:footer="0" w:header="0"/>
        </w:sectPr>
      </w:pPr>
    </w:p>
    <w:bookmarkStart w:id="59" w:name="page60"/>
    <w:bookmarkEnd w:id="59"/>
    <w:p>
      <w:pPr>
        <w:spacing w:after="0" w:line="119" w:lineRule="exact"/>
        <w:rPr>
          <w:sz w:val="20"/>
          <w:szCs w:val="20"/>
          <w:color w:val="auto"/>
        </w:rPr>
      </w:pPr>
    </w:p>
    <w:p>
      <w:pPr>
        <w:jc w:val="both"/>
        <w:spacing w:after="0" w:line="294" w:lineRule="auto"/>
        <w:rPr>
          <w:sz w:val="20"/>
          <w:szCs w:val="20"/>
          <w:color w:val="auto"/>
        </w:rPr>
      </w:pPr>
      <w:r>
        <w:rPr>
          <w:rFonts w:ascii="Arial" w:cs="Arial" w:eastAsia="Arial" w:hAnsi="Arial"/>
          <w:sz w:val="17"/>
          <w:szCs w:val="17"/>
          <w:b w:val="1"/>
          <w:bCs w:val="1"/>
          <w:i w:val="1"/>
          <w:iCs w:val="1"/>
          <w:color w:val="auto"/>
        </w:rPr>
        <w:t>If securities or industry analysts do not publish or cease publishing research or reports about us, our business, or our market, or if they change their recommendations regarding our common stock adversely, then the price and trading volume of our common could decline.</w:t>
      </w:r>
    </w:p>
    <w:p>
      <w:pPr>
        <w:spacing w:after="0" w:line="10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may publish about us, our business, our market, or our competitors. Securities and industry analysts do not currently, and may never, publish securities or industry analysts commence coverage of us, our stock price and trading volume would likely be negatively impacted. If any of the analysts who may cover us change their recommendation regarding our stock adversely, or provide more favorable relative recommendations about our competitors, the price of our common stock would likely decline. If any analyst who may cover us were to cease coverage of us or fail to regularly publish reports on it, we could lose visibility in the financial markets, which could cause our stock price or trading volume to decline.</w:t>
      </w:r>
    </w:p>
    <w:p>
      <w:pPr>
        <w:spacing w:after="0" w:line="14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Changes in laws, regulations or rules, or a failure to comply with any laws, regulations or rules, may adversely affect our business, investments and results of operations.</w:t>
      </w:r>
    </w:p>
    <w:p>
      <w:pPr>
        <w:spacing w:after="0" w:line="128"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We are subject to laws, regulations and rules enacted by national, regional and local governments and Nasdaq. In particular, we are required to comply with certain SEC, Nasdaq and other legal or regulatory requirements. Compliance with, and monitoring of, applicable laws, regulations and rules may be difficult, time consuming and costly. Those laws, regulations or rules and their interpretation and application may also change from time to time and those changes could have a material adverse effect on our business, investments and results of operations. In addition, a failure to comply with applicable laws, regulations or rules, as interpreted and applied, could have a material adverse effect on our business and results of operations.</w:t>
      </w:r>
    </w:p>
    <w:p>
      <w:pPr>
        <w:spacing w:after="0" w:line="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Anti-takeover provisions contained in our Amended and Restated Certificate of Incorporation and Bylaws, as well as provisions of Delaware law, could impair a takeover attempt.</w:t>
      </w:r>
    </w:p>
    <w:p>
      <w:pPr>
        <w:spacing w:after="0" w:line="12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Amended and Restated Certificate of Incorporation contains provisions that may discourage unsolicited takeover proposals that stockholders may consider to be in their best interests. We are also subject to anti-takeover provisions under Delaware law, which could delay or prevent a change of control. Together, these provisions may make more difficult the removal of management and may discourage transactions that otherwise could involve payment of a premium over prevailing market prices for our securities. These provisions will include:</w:t>
      </w:r>
    </w:p>
    <w:p>
      <w:pPr>
        <w:spacing w:after="0" w:line="138" w:lineRule="exact"/>
        <w:rPr>
          <w:sz w:val="20"/>
          <w:szCs w:val="20"/>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the Board;</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requirement that directors may only be removed from the Board for cause;</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right of our Board to elect a director to fill a vacancy created by the expansion of our Board or the resignation, death or removal of a director in certain circumstances, which prevents stockholders from being able to fill vacancies on our Board;</w:t>
      </w:r>
    </w:p>
    <w:p>
      <w:pPr>
        <w:spacing w:after="0" w:line="12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27"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prohibition on stockholders calling a special meeting and the requirement that a meeting of stockholders may only be called by a majority of the board, our chairman of the board or our chief executive officer and may not be called by any other person, which may delay the ability of our stockholders to force consideration of a proposal or to take action, including the removal of directors;</w:t>
      </w:r>
    </w:p>
    <w:p>
      <w:pPr>
        <w:spacing w:after="0" w:line="135"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requirement that changes or amendments to certain provisions of our Amended and Restated Certificate of Incorporation must be approved by holders of at least two-thirds of our common stock;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440" w:right="339" w:bottom="1440" w:gutter="0" w:footer="0" w:header="0"/>
        </w:sectPr>
      </w:pPr>
    </w:p>
    <w:bookmarkStart w:id="60" w:name="page61"/>
    <w:bookmarkEnd w:id="60"/>
    <w:p>
      <w:pPr>
        <w:spacing w:after="0" w:line="119" w:lineRule="exact"/>
        <w:rPr>
          <w:sz w:val="20"/>
          <w:szCs w:val="20"/>
          <w:color w:val="auto"/>
        </w:rPr>
      </w:pPr>
    </w:p>
    <w:p>
      <w:pPr>
        <w:jc w:val="both"/>
        <w:ind w:left="640" w:hanging="316"/>
        <w:spacing w:after="0" w:line="255" w:lineRule="auto"/>
        <w:tabs>
          <w:tab w:leader="none" w:pos="6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or to propose matters to be acted upon at a meeting of stockholders, which may discourage or deter a potential acquirer from conducting a solicitation of proxies to elect the acquirer’s own slate of directors or otherwise attempting to obtain control of us.</w:t>
      </w:r>
    </w:p>
    <w:p>
      <w:pPr>
        <w:spacing w:after="0" w:line="1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JOBS Act permits “emerging growth companies” like us to take advantage of certain exemptions from various reporting requirements applicable to other public companies that are not emerging growth companies.</w:t>
      </w:r>
    </w:p>
    <w:p>
      <w:pPr>
        <w:spacing w:after="0" w:line="128"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We currently qualify as an “emerging growth company” as defined in Section 2(a)(19) of the Securities Act, as modified by the JOBS Act. As such, we take advantage of certain exemptions from various reporting requirements applicable to other public companies that are not emerging growth companies for as long as we continue to be an emerging growth company, including: (i) the exemption from the auditor attestation requirements with respect to internal control over financial reporting under Section 404 of SOX; (ii) the exemptions from say-on-pay, say-on-frequency and say-on-golden parachute voting requirements; and (iii) reduced disclosure obligations regarding executive compensation in our periodic reports and prospectus. As a result, our stockholders may not have access to certain information they deem important. We will remain an emerging growth company until the earliest of (i) the last day of the fiscal year: (a) following September 1, 2025, the fifth anniversary of our IPO; (b) in which we have total annual gross revenue of at least $1.07 billion; or (c) in which we are deemed to be a large accelerated filer, which means the market value of our common stock that is held by non-affiliates exceeds $700.0 million as of the prior June 30th, and (ii) the date on which we have issued more than $1.0 billion in non-convertible debt during the prior three-year period.</w:t>
      </w:r>
    </w:p>
    <w:p>
      <w:pPr>
        <w:spacing w:after="0" w:line="10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exemption from complying with new or revised accounting standards provided in Section 7(a)(2)(B) of the Securities Act as long as we are an emerging growth company. An emerging growth company can therefore delay the adoption of certain accounting standards until those standards would otherwise apply to private companies. The JOBS Act provides that a company can elect to opt out of the extended transition period and comply with the requirements that apply to non-emerging growth companies, but any such election to opt out is irrevocable. We have elected to avail ourselves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32"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prior June 30, or (ii) our annual revenues exceeded $100 million during such completed fiscal year and the market value of our common stock held by non-affiliates exceeds $700 million as of the prior June 30.</w:t>
      </w:r>
    </w:p>
    <w:p>
      <w:pPr>
        <w:spacing w:after="0" w:line="141"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We cannot predict if investors will find our common stock less attractive because we rely on these exemptions. If some investors find our common stock less attractive as a result, there may be a less active trading market for our common stock and our stock price may be more volatile.</w:t>
      </w:r>
    </w:p>
    <w:p>
      <w:pPr>
        <w:spacing w:after="0" w:line="10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internal controls over financial reporting may not be effective and our independent registered public accounting firm may not be able to certify as to their effectiveness, which could have a significant and adverse effect on our business and reputation.</w:t>
      </w:r>
    </w:p>
    <w:p>
      <w:pPr>
        <w:spacing w:after="0" w:line="128"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As a public company, we are required to comply with the SEC’s rules implementing Sections 302 and 404 of SOX, which require management to certify financial and other information in our quarterly and annual reports and provide an annual management report on the effectiveness of internal control over financial reporting. To comply with the requirements of being a public company, we will be required to provide management’s assessment on internal controls, and we may need to undertake various actions, such as implementing additional internal controls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440" w:right="339" w:bottom="1440" w:gutter="0" w:footer="0" w:header="0"/>
        </w:sectPr>
      </w:pPr>
    </w:p>
    <w:bookmarkStart w:id="61" w:name="page62"/>
    <w:bookmarkEnd w:id="61"/>
    <w:p>
      <w:pPr>
        <w:spacing w:after="0" w:line="11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and procedures and hiring additional accounting or internal audit staff. The standards required for a public company under Section 404 of SOX are significantly more stringent than those required of us as a privately-held company. Further, as an emerging growth company, our independent registered public accounting firm is not required to formally attest to the effectiveness of our internal controls over financial reporting pursuant to Section 404 until the date we are no longer an emerging growth company. At such time, our independent registered public accounting firm may issue a report that is adverse in the event that it is not satisfied with the level at which the controls of the company are documented, designed or operating.</w:t>
      </w:r>
    </w:p>
    <w:p>
      <w:pPr>
        <w:spacing w:after="0" w:line="128"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Testing and maintaining these controls can divert our management’s attention from other matters that are important to the operation of our business. If we identify material weaknesses in the internal control over financial reporting of the company or are unable to comply with the requirements of Section 404 or assert that our internal control over financial reporting is effective, or if our independent registered public accounting firm is unable to express an opinion as to the effectiveness of our internal controls over financial reporting when we no longer qualify as an emerging growth company, investors may lose confidence in the accuracy and completeness of our financial reports and the market price of our common stock could be negatively affected, and we could become subject to investigations by the SEC or other regulatory authorities, which could require additional financial and management resources.</w:t>
      </w:r>
    </w:p>
    <w:p>
      <w:pPr>
        <w:spacing w:after="0" w:line="99"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i w:val="1"/>
          <w:iCs w:val="1"/>
          <w:color w:val="auto"/>
        </w:rPr>
        <w:t>The Amended and Restated Certificate of Incorporation designates the Court of Chancery of the State of Delaware and federal court within the State of Delaware as the exclusive forum for certain types of actions and proceedings that the our stockholders may initiate, which could limit a stockholder’s ability to obtain a favorable judicial forum for disputes with us or our directors, officers or employees.</w:t>
      </w:r>
    </w:p>
    <w:p>
      <w:pPr>
        <w:spacing w:after="0" w:line="11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Amended and Restated Certificate of Incorporation designates the Court of Chancery of the State of Delaware and federal court within the State of Delaware as the exclusive forum for certain types of actions and proceedings that the our stockholders may initiate, which could limit a stockholder’s ability to obtain a favorable judicial forum for disputes with us or our directors, officers or employees.</w:t>
      </w:r>
    </w:p>
    <w:p>
      <w:pPr>
        <w:spacing w:after="0" w:line="13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Amended and Restated Certificate of Incorporation provides that, subject to limited exceptions, the Court of Chancery of the State of Delaware and federal court within the State of Delaware will be exclusive forums for any:</w:t>
      </w:r>
    </w:p>
    <w:p>
      <w:pPr>
        <w:spacing w:after="0" w:line="128" w:lineRule="exact"/>
        <w:rPr>
          <w:sz w:val="20"/>
          <w:szCs w:val="20"/>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derivative action or proceeding brought on our behalf;</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action asserting a claim of breach of a fiduciary duty owed by, or other wrongdoing by, any of our directors, officers, stockholders, employees or agents to us or our stockholders;</w:t>
      </w:r>
    </w:p>
    <w:p>
      <w:pPr>
        <w:spacing w:after="0" w:line="127"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action asserting a claim against the us or any of our directors, officers, stockholders, employees or agents arising pursuant to any provision of the General Corporation Law, the Company’s Amended and Restated Certificate of Incorporation or Bylaws or as to which the General Corporation Law confers jurisdiction on the Court of Chancery of the State of Delaware:</w:t>
      </w:r>
    </w:p>
    <w:p>
      <w:pPr>
        <w:spacing w:after="0" w:line="135"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action to interpret, apply, enforce or determine the validity of the Amended and Restated Certificate of Incorporation or the Bylaws; or</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action asserting a claim against us or any of our directors, officers, stockholders, employees or agents that is governed by the internal affairs doctrine.</w:t>
      </w:r>
    </w:p>
    <w:p>
      <w:pPr>
        <w:spacing w:after="0" w:line="128"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This choice of forum provision does not apply to actions brought to enforce a duty or liability created under the Exchange Act or any other claim for which federal courts have jurisdiction. Furthermore, in accordance with our Bylaws, unless we consent in writing to the selection of an alternative forum, the federal district courts of the United States will be, to the fullest extent permitted by law, the exclusive forum for the resolution of any complaint asserting a cause of action arising under the Securities Act. Any person or entity purchasing or otherwise acquiring or holding any interest in any of our securities shall be deemed to have notice of and consented to our exclusive forum provision in the Bylaws and the choice of forum provision in the Amended and Restated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440" w:right="339" w:bottom="1440" w:gutter="0" w:footer="0" w:header="0"/>
        </w:sectPr>
      </w:pPr>
    </w:p>
    <w:bookmarkStart w:id="62" w:name="page63"/>
    <w:bookmarkEnd w:id="62"/>
    <w:p>
      <w:pPr>
        <w:spacing w:after="0" w:line="119"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These provisions may limit a stockholder’s ability to bring a claim in a judicial forum that it finds favorable for disputes with us or any of our directors, officers, or other employees, which may discourage lawsuits with respect to such claims. Alternatively, if a court were to find the choice of forum provisions contained in our restated certificate of incorporation to be inapplicable or unenforceable in an action, it may incur additional costs associated with resolving such action in other jurisdictions, which could harm our business, results of operations and financial condition.</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stockholders will not be deemed to have waived our compliance with the federal securities laws and the regulations promulgated thereunder.</w:t>
      </w:r>
    </w:p>
    <w:p>
      <w:pPr>
        <w:spacing w:after="0" w:line="176"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Any person or entity purchasing or otherwise acquiring or holding any interest in any of our securities shall be deemed to have notice of and consented to its exclusive forum provisions, including the choice of forum provision. These provisions may limit a stockholders’ ability to bring a claim, and may result in increased costs for a stockholder to bring a claim in a judicial forum of their choosing for disputes with us or our directors, officers, or other employees, which may discourage lawsuits against us and our directors, officers, and other employees.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 and Warrants</w:t>
      </w:r>
    </w:p>
    <w:p>
      <w:pPr>
        <w:spacing w:after="0" w:line="1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We may amend the terms of the public warrants in a manner that may be adverse to holders with the approval by the holders of at least 50% of the then-outstanding public warrants. As a result, the exercise price of a holder’s public warrants could be increased, the exercise period could be shortened and the number of shares of our common stock purchasable upon exercise of a public warrant could be decreased, all without the approval of that warrant holder.</w:t>
      </w:r>
    </w:p>
    <w:p>
      <w:pPr>
        <w:spacing w:after="0" w:line="13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Our public warrants were issued in registered form under a warrant agreement between Continental Stock Transfer &amp; Trust Company, as warrant agent, and us. The warrant agreement provides that the terms of the public warrants may be amended without the consent of any holder to cure any ambiguity or correct any defective provision, but requires the approval by the holders of at least 50% of the then-outstanding public warrants to make any change that adversely affects the interests of the registered holders. Accordingly, we may amend the terms of the public warrants in a manner adverse to a holder if holders of at least 50% of the then-outstanding public warrants approve of such amendment. Although our ability to amend the terms of the public warrants with the consent of at least 50% of the then-outstanding public warrants is unlimited, examples of such amendments could be amendments to, among other things, increase the exercise price of the public warrants, convert the warrants into cash or stock, shorten the exercise period or decrease the number of shares of common stock purchasable upon exercise of a public warrant.</w:t>
      </w:r>
    </w:p>
    <w:p>
      <w:pPr>
        <w:spacing w:after="0" w:line="12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We may redeem unexpired public warrants prior to their exercise at a time that is disadvantageous to warrant holders, thereby making their public warrants worthless.</w:t>
      </w:r>
    </w:p>
    <w:p>
      <w:pPr>
        <w:spacing w:after="0" w:line="128"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We have the ability to redeem outstanding public warrants at any time after they become exercisable and prior to their expiration, at a price of $0.01 per public warrant; provided that the last reported sales price of our common stock equals or exceeds $18.00 per share (as adjusted for stock splits, stock dividends, reorganizations, recapitalizations and the like) for any 20 trading days within a 30 trading-day period ending on the third trading day prior to the date on which we give notice of such redemption to the warrant holders. If and when the public warrants become redeemable by us, we may exercise our redemption right even if we are unable to register or qualify the underlying securities for sale under all applicable state securities laws. We will use our best efforts to register or qualify such shares of common stock under the blue sky laws of the state of residence in those states in which the warrants were offered by us. Redemption of the outstanding public warrants could force the warrant holders: (i) to exercise their public warrants and pay the exercise price therefor at a time when it may be disadvantageous for them to do so; (ii) to sell their public warrants at the then-current market price when they might otherwise wish to hold their public warrants; or (iii) to accept the nominal redemption price which, at the time the outstanding public warrants are called for redemption, is likely to be substantially less than the market value of their public warrants. None of the private placement warrants will be redeemable by us so long as they are held by the Sponsor or its permitted transferees.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440" w:right="339" w:bottom="1440" w:gutter="0" w:footer="0" w:header="0"/>
        </w:sectPr>
      </w:pPr>
    </w:p>
    <w:bookmarkStart w:id="63" w:name="page64"/>
    <w:bookmarkEnd w:id="63"/>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warrants are exercisable for our common stock, which will increase the number of shares eligible for future resale in the public market and result in dilution to our stockholders.</w:t>
      </w:r>
    </w:p>
    <w:p>
      <w:pPr>
        <w:spacing w:after="0" w:line="12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public warrants are exercisable for 14,758,333 shares of common stock at $11.50 per share. Our private warrants are exercisable for 7,236,667 shares of common stock at $11.50 per share. The additional shares of our common stock issuable upon exercise of our warrants will result in dilution to the then existing holders of our common stock and increase the number of shares eligible for resale in the public market. Sales of substantial numbers of such shares in the public market could adversely affect the market price of our common stock.</w:t>
      </w:r>
    </w:p>
    <w:p>
      <w:pPr>
        <w:spacing w:after="0" w:line="1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unaudited pro forma financial information included elsewhere in this prospectus may not be indicative of our future operating results or financial position.</w:t>
      </w:r>
    </w:p>
    <w:p>
      <w:pPr>
        <w:spacing w:after="0" w:line="128" w:lineRule="exact"/>
        <w:rPr>
          <w:sz w:val="20"/>
          <w:szCs w:val="20"/>
          <w:color w:val="auto"/>
        </w:rPr>
      </w:pPr>
    </w:p>
    <w:p>
      <w:pPr>
        <w:jc w:val="both"/>
        <w:ind w:firstLine="318"/>
        <w:spacing w:after="0" w:line="265" w:lineRule="auto"/>
        <w:rPr>
          <w:rFonts w:ascii="Arial" w:cs="Arial" w:eastAsia="Arial" w:hAnsi="Arial"/>
          <w:sz w:val="17"/>
          <w:szCs w:val="17"/>
          <w:color w:val="0000FF"/>
        </w:rPr>
      </w:pPr>
      <w:r>
        <w:rPr>
          <w:rFonts w:ascii="Arial" w:cs="Arial" w:eastAsia="Arial" w:hAnsi="Arial"/>
          <w:sz w:val="17"/>
          <w:szCs w:val="17"/>
          <w:color w:val="auto"/>
        </w:rPr>
        <w:t xml:space="preserve">The pro forma financial information included in this prospectus is presented for informational purposes only and is it indicative of our future operating results or financial position. The pro forma statement of operations does not reflect future nonrecurring charges resulting from the Business Combination. The unaudited pro forma financial information does not reflect future events that may occur after the Business Combination and does not consider potential </w:t>
      </w:r>
      <w:hyperlink w:anchor="page73">
        <w:r>
          <w:rPr>
            <w:rFonts w:ascii="Arial" w:cs="Arial" w:eastAsia="Arial" w:hAnsi="Arial"/>
            <w:sz w:val="17"/>
            <w:szCs w:val="17"/>
            <w:color w:val="auto"/>
          </w:rPr>
          <w:t>impacts of future market conditions on revenues or expenses. The pro forma financial information included in the section entitled “</w:t>
        </w:r>
        <w:r>
          <w:rPr>
            <w:rFonts w:ascii="Arial" w:cs="Arial" w:eastAsia="Arial" w:hAnsi="Arial"/>
            <w:sz w:val="17"/>
            <w:szCs w:val="17"/>
            <w:u w:val="single" w:color="auto"/>
            <w:color w:val="0000FF"/>
          </w:rPr>
          <w:t>Unaudited Pro Forma</w:t>
        </w:r>
      </w:hyperlink>
      <w:r>
        <w:rPr>
          <w:rFonts w:ascii="Arial" w:cs="Arial" w:eastAsia="Arial" w:hAnsi="Arial"/>
          <w:sz w:val="17"/>
          <w:szCs w:val="17"/>
          <w:color w:val="auto"/>
        </w:rPr>
        <w:t xml:space="preserve"> </w:t>
      </w:r>
      <w:hyperlink w:anchor="page73">
        <w:r>
          <w:rPr>
            <w:rFonts w:ascii="Arial" w:cs="Arial" w:eastAsia="Arial" w:hAnsi="Arial"/>
            <w:sz w:val="17"/>
            <w:szCs w:val="17"/>
            <w:u w:val="single" w:color="auto"/>
            <w:color w:val="0000FF"/>
          </w:rPr>
          <w:t>Condensed Combined Financial Information</w:t>
        </w:r>
        <w:r>
          <w:rPr>
            <w:rFonts w:ascii="Arial" w:cs="Arial" w:eastAsia="Arial" w:hAnsi="Arial"/>
            <w:sz w:val="17"/>
            <w:szCs w:val="17"/>
            <w:color w:val="000000"/>
          </w:rPr>
          <w:t>” has been derived from CMLS’s and our historical financial statements and certain adjustments and assumptions</w:t>
        </w:r>
      </w:hyperlink>
      <w:r>
        <w:rPr>
          <w:rFonts w:ascii="Arial" w:cs="Arial" w:eastAsia="Arial" w:hAnsi="Arial"/>
          <w:sz w:val="17"/>
          <w:szCs w:val="17"/>
          <w:color w:val="0000FF"/>
        </w:rPr>
        <w:t xml:space="preserve"> </w:t>
      </w:r>
      <w:r>
        <w:rPr>
          <w:rFonts w:ascii="Arial" w:cs="Arial" w:eastAsia="Arial" w:hAnsi="Arial"/>
          <w:sz w:val="17"/>
          <w:szCs w:val="17"/>
          <w:color w:val="000000"/>
        </w:rPr>
        <w:t>have been made regarding our company after giving effect to the Business Combination. There may be differences between preliminary estimates in the pro forma financial information and the final acquisition accounting, which could result in material differences from the pro forma information presented in this prospectus in respect of our estimated financial position and results of operations.</w:t>
      </w:r>
    </w:p>
    <w:p>
      <w:pPr>
        <w:spacing w:after="0" w:line="128"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In addition, the assumptions used in preparing the pro forma financial information may not prove to be accurate and other factors may affect our financial condition or results of operations. Any potential decline in our financial condition or results of operations may cause significant variations in our stock price.</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warrants are accounted for as liabilities and the changes in value of our warrants could have a material effect on our financial results.</w:t>
      </w:r>
    </w:p>
    <w:p>
      <w:pPr>
        <w:spacing w:after="0" w:line="176"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On April 12, 2021, the Acting Director of the Division of Corporation Finance and Acting Chief Accountant of the SEC together issued a statement regarding the accounting and reporting considerations for warrants issued by special purpose acquisition companies entitled “Staff Statement on Accounting and Reporting Considerations for Warrants Issued by Special Purpose Acquisition Companies (“SPACs”)” (the “SEC Statement”). Specifically, the SEC Statement focused on certain settlement terms and provisions related to certain tender offers following a business combination, which terms are similar to those contained in the warrant agreement governing our warrants. As a result of the SEC Statement, we reevaluated the accounting treatment of our 14,758,333 public warrants and 7,236,667 private placement warrants, and determined to classify the warrants as derivative liabilities measured at fair value, with changes in fair value each period reported in earnings.</w:t>
      </w:r>
    </w:p>
    <w:p>
      <w:pPr>
        <w:spacing w:after="0" w:line="132"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As a result, included on CMLS’s balance sheet as of December 31, 2020 contained elsewhere in prospectus are derivative liabilities related to our warrants. Accounting Standards Codification 815, Derivatives and Hedging (“ASC 815”), provides for the remeasurement of the fair value of such derivatives at each balance sheet date, with a resulting non-cash gain or loss related to the change in the fair value being recognized in earnings in the statement of operations. As a result of the recurring fair value measurement, our financial statements and results of operations may fluctuate quarterly, based on factors, which are outside of our control. Due to the recurring fair value measurement, we expect that we will recognize non-cash gains or losses on our warrants each reporting period and that the amount of such gains or losses could be material.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and warrants may be volatile.</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price of our common stock and warrants may fluctuate due to a variety of factors, including:</w:t>
      </w:r>
    </w:p>
    <w:p>
      <w:pPr>
        <w:spacing w:after="0" w:line="164" w:lineRule="exact"/>
        <w:rPr>
          <w:sz w:val="20"/>
          <w:szCs w:val="20"/>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the industries in which we and our customers operate;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440" w:right="339" w:bottom="1440" w:gutter="0" w:footer="0" w:header="0"/>
        </w:sectPr>
      </w:pPr>
    </w:p>
    <w:bookmarkStart w:id="64" w:name="page65"/>
    <w:bookmarkEnd w:id="64"/>
    <w:p>
      <w:pPr>
        <w:spacing w:after="0" w:line="119" w:lineRule="exact"/>
        <w:rPr>
          <w:sz w:val="20"/>
          <w:szCs w:val="20"/>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variations in our operating performance and the performance of our competitors in general;</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material and adverse impact of the COVID-19 pandemic on the markets and the broader global economy;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or annual operating results;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public’s reaction to our press releases, our other public announcements and our filings with the SEC;</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failure or the failure of our competitors to meet analysts’ projections or guidance that we or our competitors may give to the market;</w:t>
      </w:r>
    </w:p>
    <w:p>
      <w:pPr>
        <w:spacing w:after="0" w:line="175" w:lineRule="exact"/>
        <w:rPr>
          <w:rFonts w:ascii="Arial" w:cs="Arial" w:eastAsia="Arial" w:hAnsi="Arial"/>
          <w:sz w:val="17"/>
          <w:szCs w:val="17"/>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laws and regulations affecting our business;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commencement of, or involvement in, litigation involving us;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publication of research reports by securities analysts about us or our competitors or our industry;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sales of shares of our common stock by the PIPE Investors;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volume of shares of our common stock available for public sale; and</w:t>
      </w:r>
    </w:p>
    <w:p>
      <w:pPr>
        <w:spacing w:after="0" w:line="164" w:lineRule="exact"/>
        <w:rPr>
          <w:rFonts w:ascii="Arial" w:cs="Arial" w:eastAsia="Arial" w:hAnsi="Arial"/>
          <w:sz w:val="18"/>
          <w:szCs w:val="18"/>
          <w:color w:val="auto"/>
        </w:rPr>
      </w:pPr>
    </w:p>
    <w:p>
      <w:pPr>
        <w:ind w:left="320" w:right="280" w:firstLine="4"/>
        <w:spacing w:after="0" w:line="516" w:lineRule="auto"/>
        <w:tabs>
          <w:tab w:leader="none" w:pos="633" w:val="left"/>
        </w:tabs>
        <w:numPr>
          <w:ilvl w:val="0"/>
          <w:numId w:val="32"/>
        </w:numPr>
        <w:rPr>
          <w:rFonts w:ascii="Arial" w:cs="Arial" w:eastAsia="Arial" w:hAnsi="Arial"/>
          <w:sz w:val="15"/>
          <w:szCs w:val="15"/>
          <w:color w:val="auto"/>
        </w:rPr>
      </w:pPr>
      <w:r>
        <w:rPr>
          <w:rFonts w:ascii="Arial" w:cs="Arial" w:eastAsia="Arial" w:hAnsi="Arial"/>
          <w:sz w:val="15"/>
          <w:szCs w:val="15"/>
          <w:color w:val="auto"/>
        </w:rPr>
        <w:t>general economic and political conditions such as recessions, interest rates, social, political and economic risks and acts of war or terrorism. These market and industry factors may materially reduce the market price of our common stock and warrants regardless of our operating performance.</w:t>
      </w:r>
    </w:p>
    <w:p>
      <w:pPr>
        <w:jc w:val="both"/>
        <w:spacing w:after="0" w:line="264" w:lineRule="auto"/>
        <w:rPr>
          <w:sz w:val="20"/>
          <w:szCs w:val="20"/>
          <w:color w:val="auto"/>
        </w:rPr>
      </w:pPr>
      <w:r>
        <w:rPr>
          <w:rFonts w:ascii="Arial" w:cs="Arial" w:eastAsia="Arial" w:hAnsi="Arial"/>
          <w:sz w:val="18"/>
          <w:szCs w:val="18"/>
          <w:b w:val="1"/>
          <w:bCs w:val="1"/>
          <w:i w:val="1"/>
          <w:iCs w:val="1"/>
          <w:color w:val="auto"/>
        </w:rPr>
        <w:t>A significant portion of our total outstanding shares are restricted from immediate resale but may be sold into the market in the near future. This could cause the market price of our common stock to drop significantly, even if our business is doing well.</w:t>
      </w:r>
    </w:p>
    <w:p>
      <w:pPr>
        <w:spacing w:after="0" w:line="12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28"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Immediately after Closing: (i) holders of former Sema4 common stock owned approximately 64.89% of our total outstanding common stock, (ii) holders of public shares owned 18.43% of our total outstanding common stock, (iii) holders of the Founder Shares owned 4.61% of our total outstanding common stock and (iv) the PIPE Investors owned approximately 12.07% of our total outstanding shares of common stock.</w:t>
      </w:r>
    </w:p>
    <w:p>
      <w:pPr>
        <w:spacing w:after="0" w:line="11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Although the Sponsor and certain of our stockholders are subject to certain lock-up restrictions regarding the transfer of our common stock, these shares may be sold after the expiration or early termination of the respective applicable lock-ups. This prospectus relates to the offer and sale from time to time by the Selling Securityholders named in this prospectus up to 236,223,401 shares of common stock and 7,236,667 warrants. As restrictions on resale end and the registration statement is available for use, the market price of our common stock could decline if the holders of currently restricted shares sell them or are perceived by the market as intending to sell them.</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Even though we consummated the Business Combination, there is no guarantee that the public warrants will ever be in the money, and they may expire worthless and the terms of our public warrants may be amended.</w:t>
      </w:r>
    </w:p>
    <w:p>
      <w:pPr>
        <w:spacing w:after="0" w:line="12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exercise price for the public warrants is $11.50 per share of common stock. There is no guarantee that the public warrants will ever be in the money prior to their expiration, and as such, the public warrants may expire worthless.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1440" w:right="339" w:bottom="1440" w:gutter="0" w:footer="0" w:header="0"/>
        </w:sectPr>
      </w:pPr>
    </w:p>
    <w:bookmarkStart w:id="65" w:name="page66"/>
    <w:bookmarkEnd w:id="65"/>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All of the securities offered by the Selling Securityholders pursuant to this prospectus will be sold by the Selling Securityholders for their respective accounts. We will not receive any of the proceeds from these sales.</w:t>
      </w:r>
    </w:p>
    <w:p>
      <w:pPr>
        <w:spacing w:after="0" w:line="128"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Assuming the exercise of all outstanding warrants for cash, we will receive an aggregate of approximately $252.9 million, but will not receive any proceeds from the sale of the shares of common stock issuable upon such exercise. We expect to use the net proceeds from the exercise of the warrants, if any, for investment in growth, and general corporate purposes. We will have broad discretion over the use of any proceeds from the exercise of the warrants. There is no assurance that the holders of the warrants will elect to exercise for cash any or all of such warrants. To the extent that any warrants are exercised on a “cashless basis,” the amount of cash we would receive from the exercise of the warrants will decrease.</w:t>
      </w:r>
    </w:p>
    <w:p>
      <w:pPr>
        <w:spacing w:after="0" w:line="12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Selling Securityholders will pay any underwriting discounts and commissions and expenses incurred by the Selling Securityholders for brokerage, accounting, tax or legal services or any other expenses incurred by the Selling Securityholders in disposing of the securities. We will bear the costs, fees and expenses incurred in effecting the registration of the securities covered by this prospectus, including all registration and filing fees, Nasdaq listing fees and fees and expenses of our counsel and our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1440" w:right="339" w:bottom="1440" w:gutter="0" w:footer="0" w:header="0"/>
        </w:sectPr>
      </w:pPr>
    </w:p>
    <w:bookmarkStart w:id="66" w:name="page67"/>
    <w:bookmarkEnd w:id="66"/>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DETERMINATION OF OFFERING PRICE</w:t>
      </w:r>
    </w:p>
    <w:p>
      <w:pPr>
        <w:spacing w:after="0" w:line="170" w:lineRule="exact"/>
        <w:rPr>
          <w:sz w:val="20"/>
          <w:szCs w:val="20"/>
          <w:color w:val="auto"/>
        </w:rPr>
      </w:pPr>
    </w:p>
    <w:p>
      <w:pPr>
        <w:ind w:firstLine="318"/>
        <w:spacing w:after="0" w:line="294" w:lineRule="auto"/>
        <w:rPr>
          <w:sz w:val="20"/>
          <w:szCs w:val="20"/>
          <w:color w:val="auto"/>
        </w:rPr>
      </w:pPr>
      <w:r>
        <w:rPr>
          <w:rFonts w:ascii="Arial" w:cs="Arial" w:eastAsia="Arial" w:hAnsi="Arial"/>
          <w:sz w:val="17"/>
          <w:szCs w:val="17"/>
          <w:color w:val="auto"/>
        </w:rPr>
        <w:t>The offering price of the shares of common stock underlying the public warrants and the private placement warrants offered hereby is determined by reference to the exercise price of the warrants of $11.50 per share. The public warrants are listed on the Nasdaq under the symbol “SMFRW.”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1440" w:right="339" w:bottom="1440" w:gutter="0" w:footer="0" w:header="0"/>
        </w:sectPr>
      </w:pPr>
    </w:p>
    <w:bookmarkStart w:id="67" w:name="page68"/>
    <w:bookmarkEnd w:id="67"/>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INFORMATION FOR COMMON STOCK AND DIVIDEND POLICY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7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Our common stock and public warrants are listed on the Nasdaq under the symbols “SMFR” and “SMFRW,” respectively. Prior to the Closing, CMLS’s units, Class A common stock and public warrants were listed on the Nasdaq under the symbols, “CMLFU”, “CMLF” and “CMLFW” respectively. On August 11, 2021, the closing sale price of our common stock was $12.25 per share and the closing price of the public warrants was $4.00 per warrant. As of July 28, 2021, there were approximately 119 holders of record of our common stock and 1 holder of record of the public warrants. Such numbers do not include beneficial owners holding our securities through nominee names.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70"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We have never declared or paid any cash dividends on our capital stock, and we do not currently intend to pay any cash dividends for the foreseeable future. We expect to retain future earnings, if any, to fund the development and growth of our business. Any future determination to pay dividends on our common stock will be at the discretion of our board of directors and will depend upon, among other factors, our financial condition, operating results, current and anticipated cash needs, plans for expansion and other factors that our board of directors may deem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1440" w:right="339" w:bottom="1440" w:gutter="0" w:footer="0" w:header="0"/>
        </w:sectPr>
      </w:pPr>
    </w:p>
    <w:bookmarkStart w:id="68" w:name="page69"/>
    <w:bookmarkEnd w:id="68"/>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FINANCIAL INFORMATION OF THE COMPANY</w:t>
      </w:r>
    </w:p>
    <w:p>
      <w:pPr>
        <w:spacing w:after="0" w:line="170"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 following table contains summary historical financial data for CMLS as of and for the period ended December 31, 2020 and as of and for the three months ended March 31, 2021. Such data as of and for the period ended and as of December 31, 2020 have been derived from the audited financial statements of CMLS, and such data as of for the three months ended March 31, 2021 have been derived from the unaudited financial statements of CMLS, which financial statements are included elsewhere in this prospectus. The information is only a summary and should be read in conjunction with CMLS’s financial statements and related notes contained elsewhere in this prospectus. CMLS’s historical results are not necessarily indicative of future results, and the results for any interim period are not necessarily indicative of the results that may be expected for a full fiscal year.</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For the Period from July</w:t>
            </w:r>
          </w:p>
        </w:tc>
        <w:tc>
          <w:tcPr>
            <w:tcW w:w="0" w:type="dxa"/>
            <w:vAlign w:val="bottom"/>
          </w:tcPr>
          <w:p>
            <w:pPr>
              <w:spacing w:after="0"/>
              <w:rPr>
                <w:sz w:val="1"/>
                <w:szCs w:val="1"/>
                <w:color w:val="auto"/>
              </w:rPr>
            </w:pPr>
          </w:p>
        </w:tc>
      </w:tr>
      <w:tr>
        <w:trPr>
          <w:trHeight w:val="133"/>
        </w:trPr>
        <w:tc>
          <w:tcPr>
            <w:tcW w:w="8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For the three months</w:t>
            </w:r>
          </w:p>
        </w:tc>
        <w:tc>
          <w:tcPr>
            <w:tcW w:w="140" w:type="dxa"/>
            <w:vAlign w:val="bottom"/>
          </w:tcPr>
          <w:p>
            <w:pPr>
              <w:spacing w:after="0"/>
              <w:rPr>
                <w:sz w:val="11"/>
                <w:szCs w:val="11"/>
                <w:color w:val="auto"/>
              </w:rPr>
            </w:pPr>
          </w:p>
        </w:tc>
        <w:tc>
          <w:tcPr>
            <w:tcW w:w="1420" w:type="dxa"/>
            <w:vAlign w:val="bottom"/>
          </w:tcPr>
          <w:p>
            <w:pPr>
              <w:jc w:val="center"/>
              <w:ind w:right="54"/>
              <w:spacing w:after="0" w:line="133" w:lineRule="exact"/>
              <w:rPr>
                <w:sz w:val="20"/>
                <w:szCs w:val="20"/>
                <w:color w:val="auto"/>
              </w:rPr>
            </w:pPr>
            <w:r>
              <w:rPr>
                <w:rFonts w:ascii="Arial" w:cs="Arial" w:eastAsia="Arial" w:hAnsi="Arial"/>
                <w:sz w:val="14"/>
                <w:szCs w:val="14"/>
                <w:b w:val="1"/>
                <w:bCs w:val="1"/>
                <w:color w:val="auto"/>
                <w:w w:val="92"/>
              </w:rPr>
              <w:t>10, 2020 (Inception)</w:t>
            </w:r>
          </w:p>
        </w:tc>
        <w:tc>
          <w:tcPr>
            <w:tcW w:w="0" w:type="dxa"/>
            <w:vAlign w:val="bottom"/>
          </w:tcPr>
          <w:p>
            <w:pPr>
              <w:spacing w:after="0"/>
              <w:rPr>
                <w:sz w:val="1"/>
                <w:szCs w:val="1"/>
                <w:color w:val="auto"/>
              </w:rPr>
            </w:pPr>
          </w:p>
        </w:tc>
      </w:tr>
      <w:tr>
        <w:trPr>
          <w:trHeight w:val="133"/>
        </w:trPr>
        <w:tc>
          <w:tcPr>
            <w:tcW w:w="8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Statement of Operations Data</w:t>
            </w:r>
          </w:p>
        </w:tc>
        <w:tc>
          <w:tcPr>
            <w:tcW w:w="12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56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2"/>
              </w:rPr>
              <w:t>Through December 31,</w:t>
            </w:r>
          </w:p>
        </w:tc>
        <w:tc>
          <w:tcPr>
            <w:tcW w:w="0" w:type="dxa"/>
            <w:vAlign w:val="bottom"/>
          </w:tcPr>
          <w:p>
            <w:pPr>
              <w:spacing w:after="0"/>
              <w:rPr>
                <w:sz w:val="1"/>
                <w:szCs w:val="1"/>
                <w:color w:val="auto"/>
              </w:rPr>
            </w:pPr>
          </w:p>
        </w:tc>
      </w:tr>
      <w:tr>
        <w:trPr>
          <w:trHeight w:val="185"/>
        </w:trPr>
        <w:tc>
          <w:tcPr>
            <w:tcW w:w="8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ended March 31, 2021</w:t>
            </w:r>
          </w:p>
        </w:tc>
        <w:tc>
          <w:tcPr>
            <w:tcW w:w="140" w:type="dxa"/>
            <w:vAlign w:val="bottom"/>
          </w:tcPr>
          <w:p>
            <w:pPr>
              <w:spacing w:after="0"/>
              <w:rPr>
                <w:sz w:val="16"/>
                <w:szCs w:val="16"/>
                <w:color w:val="auto"/>
              </w:rPr>
            </w:pPr>
          </w:p>
        </w:tc>
        <w:tc>
          <w:tcPr>
            <w:tcW w:w="1420" w:type="dxa"/>
            <w:vAlign w:val="bottom"/>
          </w:tcPr>
          <w:p>
            <w:pPr>
              <w:jc w:val="center"/>
              <w:ind w:right="54"/>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19"/>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1,845,158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206,195</w:t>
            </w:r>
          </w:p>
        </w:tc>
        <w:tc>
          <w:tcPr>
            <w:tcW w:w="0" w:type="dxa"/>
            <w:vAlign w:val="bottom"/>
          </w:tcPr>
          <w:p>
            <w:pPr>
              <w:spacing w:after="0"/>
              <w:rPr>
                <w:sz w:val="1"/>
                <w:szCs w:val="1"/>
                <w:color w:val="auto"/>
              </w:rPr>
            </w:pPr>
          </w:p>
        </w:tc>
      </w:tr>
      <w:tr>
        <w:trPr>
          <w:trHeight w:val="219"/>
        </w:trPr>
        <w:tc>
          <w:tcPr>
            <w:tcW w:w="8020" w:type="dxa"/>
            <w:vAlign w:val="bottom"/>
          </w:tcPr>
          <w:p>
            <w:pPr>
              <w:ind w:left="180"/>
              <w:spacing w:after="0"/>
              <w:rPr>
                <w:sz w:val="20"/>
                <w:szCs w:val="20"/>
                <w:color w:val="auto"/>
              </w:rPr>
            </w:pPr>
            <w:r>
              <w:rPr>
                <w:rFonts w:ascii="Arial" w:cs="Arial" w:eastAsia="Arial" w:hAnsi="Arial"/>
                <w:sz w:val="18"/>
                <w:szCs w:val="18"/>
                <w:b w:val="1"/>
                <w:bCs w:val="1"/>
                <w:color w:val="auto"/>
              </w:rPr>
              <w:t>Loss from operations</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(1,845,158)</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(206,195)</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8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earned on investments held in Trust Account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13,951</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Change in fair value of warrant liability</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(56,637,684)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(38,510,584)</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 Costs</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(1,204,771)</w:t>
            </w:r>
          </w:p>
        </w:tc>
        <w:tc>
          <w:tcPr>
            <w:tcW w:w="0" w:type="dxa"/>
            <w:vAlign w:val="bottom"/>
          </w:tcPr>
          <w:p>
            <w:pPr>
              <w:spacing w:after="0"/>
              <w:rPr>
                <w:sz w:val="1"/>
                <w:szCs w:val="1"/>
                <w:color w:val="auto"/>
              </w:rPr>
            </w:pPr>
          </w:p>
        </w:tc>
      </w:tr>
      <w:tr>
        <w:trPr>
          <w:trHeight w:val="218"/>
        </w:trPr>
        <w:tc>
          <w:tcPr>
            <w:tcW w:w="8020" w:type="dxa"/>
            <w:vAlign w:val="bottom"/>
          </w:tcPr>
          <w:p>
            <w:pPr>
              <w:ind w:left="20"/>
              <w:spacing w:after="0"/>
              <w:rPr>
                <w:sz w:val="20"/>
                <w:szCs w:val="20"/>
                <w:color w:val="auto"/>
              </w:rPr>
            </w:pPr>
            <w:r>
              <w:rPr>
                <w:rFonts w:ascii="Arial" w:cs="Arial" w:eastAsia="Arial" w:hAnsi="Arial"/>
                <w:sz w:val="18"/>
                <w:szCs w:val="18"/>
                <w:color w:val="auto"/>
              </w:rPr>
              <w:t>Loss before provision for income taxes</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(58,471,923)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(39,907,599)</w:t>
            </w: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8020" w:type="dxa"/>
            <w:vAlign w:val="bottom"/>
          </w:tcPr>
          <w:p>
            <w:pPr>
              <w:ind w:left="180"/>
              <w:spacing w:after="0"/>
              <w:rPr>
                <w:sz w:val="20"/>
                <w:szCs w:val="20"/>
                <w:color w:val="auto"/>
              </w:rPr>
            </w:pPr>
            <w:r>
              <w:rPr>
                <w:rFonts w:ascii="Arial" w:cs="Arial" w:eastAsia="Arial" w:hAnsi="Arial"/>
                <w:sz w:val="18"/>
                <w:szCs w:val="18"/>
                <w:b w:val="1"/>
                <w:bCs w:val="1"/>
                <w:color w:val="auto"/>
              </w:rPr>
              <w:t>Net 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(58,471,923)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(39,907,599)</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8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Weighted average shares outstanding of Class A redeemable common stock</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44,275,000</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44,275,000</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 income per share, Class A redeemable common stock</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of Class B non-redeemable common stock</w:t>
            </w:r>
          </w:p>
        </w:tc>
        <w:tc>
          <w:tcPr>
            <w:tcW w:w="12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11,068,750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10,633,062</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020" w:type="dxa"/>
            <w:vAlign w:val="bottom"/>
          </w:tcPr>
          <w:p>
            <w:pPr>
              <w:ind w:left="20"/>
              <w:spacing w:after="0" w:line="198" w:lineRule="exact"/>
              <w:rPr>
                <w:sz w:val="20"/>
                <w:szCs w:val="20"/>
                <w:color w:val="auto"/>
              </w:rPr>
            </w:pPr>
            <w:r>
              <w:rPr>
                <w:rFonts w:ascii="Arial" w:cs="Arial" w:eastAsia="Arial" w:hAnsi="Arial"/>
                <w:sz w:val="18"/>
                <w:szCs w:val="18"/>
                <w:b w:val="1"/>
                <w:bCs w:val="1"/>
                <w:color w:val="auto"/>
              </w:rPr>
              <w:t>Basic and diluted net loss per share, Class B non-redeemable common stock</w:t>
            </w: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rPr>
              <w:t>(5.28)</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rPr>
              <w:t>(3.75)</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1440" w:right="339" w:bottom="1440" w:gutter="0" w:footer="0" w:header="0"/>
        </w:sectPr>
      </w:pPr>
    </w:p>
    <w:bookmarkStart w:id="69" w:name="page70"/>
    <w:bookmarkEnd w:id="69"/>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For the Period from July</w:t>
            </w:r>
          </w:p>
        </w:tc>
        <w:tc>
          <w:tcPr>
            <w:tcW w:w="0" w:type="dxa"/>
            <w:vAlign w:val="bottom"/>
          </w:tcPr>
          <w:p>
            <w:pPr>
              <w:spacing w:after="0"/>
              <w:rPr>
                <w:sz w:val="1"/>
                <w:szCs w:val="1"/>
                <w:color w:val="auto"/>
              </w:rPr>
            </w:pPr>
          </w:p>
        </w:tc>
      </w:tr>
      <w:tr>
        <w:trPr>
          <w:trHeight w:val="133"/>
        </w:trPr>
        <w:tc>
          <w:tcPr>
            <w:tcW w:w="8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March 31</w:t>
            </w:r>
          </w:p>
        </w:tc>
        <w:tc>
          <w:tcPr>
            <w:tcW w:w="140" w:type="dxa"/>
            <w:vAlign w:val="bottom"/>
          </w:tcPr>
          <w:p>
            <w:pPr>
              <w:spacing w:after="0"/>
              <w:rPr>
                <w:sz w:val="11"/>
                <w:szCs w:val="11"/>
                <w:color w:val="auto"/>
              </w:rPr>
            </w:pPr>
          </w:p>
        </w:tc>
        <w:tc>
          <w:tcPr>
            <w:tcW w:w="1420" w:type="dxa"/>
            <w:vAlign w:val="bottom"/>
          </w:tcPr>
          <w:p>
            <w:pPr>
              <w:jc w:val="center"/>
              <w:ind w:right="53"/>
              <w:spacing w:after="0" w:line="133" w:lineRule="exact"/>
              <w:rPr>
                <w:sz w:val="20"/>
                <w:szCs w:val="20"/>
                <w:color w:val="auto"/>
              </w:rPr>
            </w:pPr>
            <w:r>
              <w:rPr>
                <w:rFonts w:ascii="Arial" w:cs="Arial" w:eastAsia="Arial" w:hAnsi="Arial"/>
                <w:sz w:val="14"/>
                <w:szCs w:val="14"/>
                <w:b w:val="1"/>
                <w:bCs w:val="1"/>
                <w:color w:val="auto"/>
                <w:w w:val="92"/>
              </w:rPr>
              <w:t>10, 2020 (Inception)</w:t>
            </w:r>
          </w:p>
        </w:tc>
        <w:tc>
          <w:tcPr>
            <w:tcW w:w="0" w:type="dxa"/>
            <w:vAlign w:val="bottom"/>
          </w:tcPr>
          <w:p>
            <w:pPr>
              <w:spacing w:after="0"/>
              <w:rPr>
                <w:sz w:val="1"/>
                <w:szCs w:val="1"/>
                <w:color w:val="auto"/>
              </w:rPr>
            </w:pPr>
          </w:p>
        </w:tc>
      </w:tr>
      <w:tr>
        <w:trPr>
          <w:trHeight w:val="133"/>
        </w:trPr>
        <w:tc>
          <w:tcPr>
            <w:tcW w:w="8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Balance Sheet Data</w:t>
            </w:r>
          </w:p>
        </w:tc>
        <w:tc>
          <w:tcPr>
            <w:tcW w:w="18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156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2"/>
              </w:rPr>
              <w:t>Through December 31,</w:t>
            </w:r>
          </w:p>
        </w:tc>
        <w:tc>
          <w:tcPr>
            <w:tcW w:w="0" w:type="dxa"/>
            <w:vAlign w:val="bottom"/>
          </w:tcPr>
          <w:p>
            <w:pPr>
              <w:spacing w:after="0"/>
              <w:rPr>
                <w:sz w:val="1"/>
                <w:szCs w:val="1"/>
                <w:color w:val="auto"/>
              </w:rPr>
            </w:pPr>
          </w:p>
        </w:tc>
      </w:tr>
      <w:tr>
        <w:trPr>
          <w:trHeight w:val="185"/>
        </w:trPr>
        <w:tc>
          <w:tcPr>
            <w:tcW w:w="80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2021 (Unaudited)</w:t>
            </w:r>
          </w:p>
        </w:tc>
        <w:tc>
          <w:tcPr>
            <w:tcW w:w="140" w:type="dxa"/>
            <w:vAlign w:val="bottom"/>
          </w:tcPr>
          <w:p>
            <w:pPr>
              <w:spacing w:after="0"/>
              <w:rPr>
                <w:sz w:val="16"/>
                <w:szCs w:val="16"/>
                <w:color w:val="auto"/>
              </w:rPr>
            </w:pPr>
          </w:p>
        </w:tc>
        <w:tc>
          <w:tcPr>
            <w:tcW w:w="1420" w:type="dxa"/>
            <w:vAlign w:val="bottom"/>
          </w:tcPr>
          <w:p>
            <w:pPr>
              <w:jc w:val="center"/>
              <w:ind w:right="53"/>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93"/>
        </w:trPr>
        <w:tc>
          <w:tcPr>
            <w:tcW w:w="80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627,415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1,094,681</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Prepaid expenses</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293,754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277,031</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921,169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1,371,712</w:t>
            </w:r>
          </w:p>
        </w:tc>
        <w:tc>
          <w:tcPr>
            <w:tcW w:w="0" w:type="dxa"/>
            <w:vAlign w:val="bottom"/>
          </w:tcPr>
          <w:p>
            <w:pPr>
              <w:spacing w:after="0"/>
              <w:rPr>
                <w:sz w:val="1"/>
                <w:szCs w:val="1"/>
                <w:color w:val="auto"/>
              </w:rPr>
            </w:pPr>
          </w:p>
        </w:tc>
      </w:tr>
      <w:tr>
        <w:trPr>
          <w:trHeight w:val="252"/>
        </w:trPr>
        <w:tc>
          <w:tcPr>
            <w:tcW w:w="8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marketable securities held in trust account</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442,774,870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442,763,951</w:t>
            </w:r>
          </w:p>
        </w:tc>
        <w:tc>
          <w:tcPr>
            <w:tcW w:w="0" w:type="dxa"/>
            <w:vAlign w:val="bottom"/>
          </w:tcPr>
          <w:p>
            <w:pPr>
              <w:spacing w:after="0"/>
              <w:rPr>
                <w:sz w:val="1"/>
                <w:szCs w:val="1"/>
                <w:color w:val="auto"/>
              </w:rPr>
            </w:pPr>
          </w:p>
        </w:tc>
      </w:tr>
      <w:tr>
        <w:trPr>
          <w:trHeight w:val="219"/>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443,696,039</w:t>
            </w:r>
          </w:p>
        </w:tc>
        <w:tc>
          <w:tcPr>
            <w:tcW w:w="10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444,135,663</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1,491,735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97,120</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Total Current Liabilities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1,491,735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97,120</w:t>
            </w:r>
          </w:p>
        </w:tc>
        <w:tc>
          <w:tcPr>
            <w:tcW w:w="0" w:type="dxa"/>
            <w:vAlign w:val="bottom"/>
          </w:tcPr>
          <w:p>
            <w:pPr>
              <w:spacing w:after="0"/>
              <w:rPr>
                <w:sz w:val="1"/>
                <w:szCs w:val="1"/>
                <w:color w:val="auto"/>
              </w:rPr>
            </w:pPr>
          </w:p>
        </w:tc>
      </w:tr>
      <w:tr>
        <w:trPr>
          <w:trHeight w:val="252"/>
        </w:trPr>
        <w:tc>
          <w:tcPr>
            <w:tcW w:w="8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 liability</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126,960,100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70,322,418</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underwriting fee payable</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15,496,250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15,496,250</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143,948,085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85,915,788</w:t>
            </w:r>
          </w:p>
        </w:tc>
        <w:tc>
          <w:tcPr>
            <w:tcW w:w="0" w:type="dxa"/>
            <w:vAlign w:val="bottom"/>
          </w:tcPr>
          <w:p>
            <w:pPr>
              <w:spacing w:after="0"/>
              <w:rPr>
                <w:sz w:val="1"/>
                <w:szCs w:val="1"/>
                <w:color w:val="auto"/>
              </w:rPr>
            </w:pPr>
          </w:p>
        </w:tc>
      </w:tr>
      <w:tr>
        <w:trPr>
          <w:trHeight w:val="232"/>
        </w:trPr>
        <w:tc>
          <w:tcPr>
            <w:tcW w:w="8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8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3"/>
        </w:trPr>
        <w:tc>
          <w:tcPr>
            <w:tcW w:w="8020" w:type="dxa"/>
            <w:vAlign w:val="bottom"/>
            <w:shd w:val="clear" w:color="auto" w:fill="CCEEFF"/>
          </w:tcPr>
          <w:p>
            <w:pPr>
              <w:ind w:left="20"/>
              <w:spacing w:after="0" w:line="173" w:lineRule="exact"/>
              <w:rPr>
                <w:sz w:val="20"/>
                <w:szCs w:val="20"/>
                <w:color w:val="auto"/>
              </w:rPr>
            </w:pPr>
            <w:r>
              <w:rPr>
                <w:rFonts w:ascii="Arial" w:cs="Arial" w:eastAsia="Arial" w:hAnsi="Arial"/>
                <w:sz w:val="18"/>
                <w:szCs w:val="18"/>
                <w:color w:val="auto"/>
                <w:w w:val="88"/>
              </w:rPr>
              <w:t>Class A common stock subject to possible redemption, 29,474,795 and 35,321,987 shares at $10.00 per share as</w:t>
            </w:r>
          </w:p>
        </w:tc>
        <w:tc>
          <w:tcPr>
            <w:tcW w:w="18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294,747,950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353,219,870</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March 31, 2021 and December 31, 2020, respectively</w:t>
            </w:r>
          </w:p>
        </w:tc>
        <w:tc>
          <w:tcPr>
            <w:tcW w:w="180" w:type="dxa"/>
            <w:vAlign w:val="bottom"/>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8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Preferred stock, $0.0001 par value; 1,000,000 shares authorized; none issued or outstanding</w:t>
            </w:r>
          </w:p>
        </w:tc>
        <w:tc>
          <w:tcPr>
            <w:tcW w:w="18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4"/>
        </w:trPr>
        <w:tc>
          <w:tcPr>
            <w:tcW w:w="80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1"/>
              </w:rPr>
              <w:t>Class A common stock, $0.0001 par value; 380,000,000 shares authorized; 14,800,205 and 8,953,013 shares</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8020" w:type="dxa"/>
            <w:vAlign w:val="bottom"/>
            <w:shd w:val="clear" w:color="auto" w:fill="CCEEFF"/>
          </w:tcPr>
          <w:p>
            <w:pPr>
              <w:ind w:left="180"/>
              <w:spacing w:after="0" w:line="172" w:lineRule="exact"/>
              <w:rPr>
                <w:sz w:val="20"/>
                <w:szCs w:val="20"/>
                <w:color w:val="auto"/>
              </w:rPr>
            </w:pPr>
            <w:r>
              <w:rPr>
                <w:rFonts w:ascii="Arial" w:cs="Arial" w:eastAsia="Arial" w:hAnsi="Arial"/>
                <w:sz w:val="18"/>
                <w:szCs w:val="18"/>
                <w:color w:val="auto"/>
                <w:w w:val="91"/>
              </w:rPr>
              <w:t>issued and outstanding (excluding 29,474,795 and 35,321,987 shares subject to possible redemption) as of</w:t>
            </w:r>
          </w:p>
        </w:tc>
        <w:tc>
          <w:tcPr>
            <w:tcW w:w="18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March 31, 2021 and December 31, 2020, respectively</w:t>
            </w:r>
          </w:p>
        </w:tc>
        <w:tc>
          <w:tcPr>
            <w:tcW w:w="180" w:type="dxa"/>
            <w:vAlign w:val="bottom"/>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8020" w:type="dxa"/>
            <w:vAlign w:val="bottom"/>
          </w:tcPr>
          <w:p>
            <w:pPr>
              <w:ind w:left="20"/>
              <w:spacing w:after="0" w:line="173" w:lineRule="exact"/>
              <w:rPr>
                <w:sz w:val="20"/>
                <w:szCs w:val="20"/>
                <w:color w:val="auto"/>
              </w:rPr>
            </w:pPr>
            <w:r>
              <w:rPr>
                <w:rFonts w:ascii="Arial" w:cs="Arial" w:eastAsia="Arial" w:hAnsi="Arial"/>
                <w:sz w:val="18"/>
                <w:szCs w:val="18"/>
                <w:color w:val="auto"/>
                <w:w w:val="94"/>
              </w:rPr>
              <w:t>Class B common stock, $0.00001 par value; 20,000,000 shares authorized; 11,068,750 shares issued and</w:t>
            </w:r>
          </w:p>
        </w:tc>
        <w:tc>
          <w:tcPr>
            <w:tcW w:w="18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1,107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24"/>
        </w:trPr>
        <w:tc>
          <w:tcPr>
            <w:tcW w:w="8020" w:type="dxa"/>
            <w:vAlign w:val="bottom"/>
          </w:tcPr>
          <w:p>
            <w:pPr>
              <w:ind w:left="180"/>
              <w:spacing w:after="0"/>
              <w:rPr>
                <w:sz w:val="20"/>
                <w:szCs w:val="20"/>
                <w:color w:val="auto"/>
              </w:rPr>
            </w:pPr>
            <w:r>
              <w:rPr>
                <w:rFonts w:ascii="Arial" w:cs="Arial" w:eastAsia="Arial" w:hAnsi="Arial"/>
                <w:sz w:val="18"/>
                <w:szCs w:val="18"/>
                <w:color w:val="auto"/>
              </w:rPr>
              <w:t>outstanding as of March 31, 2021 and December 31, 2020</w:t>
            </w:r>
          </w:p>
        </w:tc>
        <w:tc>
          <w:tcPr>
            <w:tcW w:w="18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103,376,938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44,905,602</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deficit</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(98,379,521)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(39,907,599)</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5,000,004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5,000,005</w:t>
            </w:r>
          </w:p>
        </w:tc>
        <w:tc>
          <w:tcPr>
            <w:tcW w:w="0" w:type="dxa"/>
            <w:vAlign w:val="bottom"/>
          </w:tcPr>
          <w:p>
            <w:pPr>
              <w:spacing w:after="0"/>
              <w:rPr>
                <w:sz w:val="1"/>
                <w:szCs w:val="1"/>
                <w:color w:val="auto"/>
              </w:rPr>
            </w:pPr>
          </w:p>
        </w:tc>
      </w:tr>
      <w:tr>
        <w:trPr>
          <w:trHeight w:val="218"/>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443,696,039</w:t>
            </w:r>
          </w:p>
        </w:tc>
        <w:tc>
          <w:tcPr>
            <w:tcW w:w="10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444,135,663</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1440" w:right="339" w:bottom="1440" w:gutter="0" w:footer="0" w:header="0"/>
        </w:sectPr>
      </w:pPr>
    </w:p>
    <w:bookmarkStart w:id="70" w:name="page71"/>
    <w:bookmarkEnd w:id="70"/>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For the Period from July</w:t>
            </w:r>
          </w:p>
        </w:tc>
        <w:tc>
          <w:tcPr>
            <w:tcW w:w="0" w:type="dxa"/>
            <w:vAlign w:val="bottom"/>
          </w:tcPr>
          <w:p>
            <w:pPr>
              <w:spacing w:after="0"/>
              <w:rPr>
                <w:sz w:val="1"/>
                <w:szCs w:val="1"/>
                <w:color w:val="auto"/>
              </w:rPr>
            </w:pPr>
          </w:p>
        </w:tc>
      </w:tr>
      <w:tr>
        <w:trPr>
          <w:trHeight w:val="133"/>
        </w:trPr>
        <w:tc>
          <w:tcPr>
            <w:tcW w:w="8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For the three months</w:t>
            </w:r>
          </w:p>
        </w:tc>
        <w:tc>
          <w:tcPr>
            <w:tcW w:w="140" w:type="dxa"/>
            <w:vAlign w:val="bottom"/>
          </w:tcPr>
          <w:p>
            <w:pPr>
              <w:spacing w:after="0"/>
              <w:rPr>
                <w:sz w:val="11"/>
                <w:szCs w:val="11"/>
                <w:color w:val="auto"/>
              </w:rPr>
            </w:pPr>
          </w:p>
        </w:tc>
        <w:tc>
          <w:tcPr>
            <w:tcW w:w="1420" w:type="dxa"/>
            <w:vAlign w:val="bottom"/>
          </w:tcPr>
          <w:p>
            <w:pPr>
              <w:jc w:val="center"/>
              <w:ind w:right="55"/>
              <w:spacing w:after="0" w:line="133" w:lineRule="exact"/>
              <w:rPr>
                <w:sz w:val="20"/>
                <w:szCs w:val="20"/>
                <w:color w:val="auto"/>
              </w:rPr>
            </w:pPr>
            <w:r>
              <w:rPr>
                <w:rFonts w:ascii="Arial" w:cs="Arial" w:eastAsia="Arial" w:hAnsi="Arial"/>
                <w:sz w:val="14"/>
                <w:szCs w:val="14"/>
                <w:b w:val="1"/>
                <w:bCs w:val="1"/>
                <w:color w:val="auto"/>
                <w:w w:val="92"/>
              </w:rPr>
              <w:t>10, 2020 (Inception)</w:t>
            </w:r>
          </w:p>
        </w:tc>
        <w:tc>
          <w:tcPr>
            <w:tcW w:w="0" w:type="dxa"/>
            <w:vAlign w:val="bottom"/>
          </w:tcPr>
          <w:p>
            <w:pPr>
              <w:spacing w:after="0"/>
              <w:rPr>
                <w:sz w:val="1"/>
                <w:szCs w:val="1"/>
                <w:color w:val="auto"/>
              </w:rPr>
            </w:pPr>
          </w:p>
        </w:tc>
      </w:tr>
      <w:tr>
        <w:trPr>
          <w:trHeight w:val="133"/>
        </w:trPr>
        <w:tc>
          <w:tcPr>
            <w:tcW w:w="8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Cash Flow Data</w:t>
            </w:r>
          </w:p>
        </w:tc>
        <w:tc>
          <w:tcPr>
            <w:tcW w:w="12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56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2"/>
              </w:rPr>
              <w:t>Through December 31,</w:t>
            </w:r>
          </w:p>
        </w:tc>
        <w:tc>
          <w:tcPr>
            <w:tcW w:w="0" w:type="dxa"/>
            <w:vAlign w:val="bottom"/>
          </w:tcPr>
          <w:p>
            <w:pPr>
              <w:spacing w:after="0"/>
              <w:rPr>
                <w:sz w:val="1"/>
                <w:szCs w:val="1"/>
                <w:color w:val="auto"/>
              </w:rPr>
            </w:pPr>
          </w:p>
        </w:tc>
      </w:tr>
      <w:tr>
        <w:trPr>
          <w:trHeight w:val="185"/>
        </w:trPr>
        <w:tc>
          <w:tcPr>
            <w:tcW w:w="8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ended March 31, 2021</w:t>
            </w:r>
          </w:p>
        </w:tc>
        <w:tc>
          <w:tcPr>
            <w:tcW w:w="140" w:type="dxa"/>
            <w:vAlign w:val="bottom"/>
          </w:tcPr>
          <w:p>
            <w:pPr>
              <w:spacing w:after="0"/>
              <w:rPr>
                <w:sz w:val="16"/>
                <w:szCs w:val="16"/>
                <w:color w:val="auto"/>
              </w:rPr>
            </w:pPr>
          </w:p>
        </w:tc>
        <w:tc>
          <w:tcPr>
            <w:tcW w:w="1420" w:type="dxa"/>
            <w:vAlign w:val="bottom"/>
          </w:tcPr>
          <w:p>
            <w:pPr>
              <w:jc w:val="center"/>
              <w:ind w:right="55"/>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06"/>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(58,471,923)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(39,907,599)</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180"/>
              <w:spacing w:after="0"/>
              <w:rPr>
                <w:sz w:val="20"/>
                <w:szCs w:val="20"/>
                <w:color w:val="auto"/>
              </w:rPr>
            </w:pPr>
            <w:r>
              <w:rPr>
                <w:rFonts w:ascii="Arial" w:cs="Arial" w:eastAsia="Arial" w:hAnsi="Arial"/>
                <w:sz w:val="18"/>
                <w:szCs w:val="18"/>
                <w:color w:val="auto"/>
              </w:rPr>
              <w:t>Interest earned on investments held in Trust Account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(10,919)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(13,951)</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56,637,684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38,510,584</w:t>
            </w:r>
          </w:p>
        </w:tc>
        <w:tc>
          <w:tcPr>
            <w:tcW w:w="0" w:type="dxa"/>
            <w:vAlign w:val="bottom"/>
          </w:tcPr>
          <w:p>
            <w:pPr>
              <w:spacing w:after="0"/>
              <w:rPr>
                <w:sz w:val="1"/>
                <w:szCs w:val="1"/>
                <w:color w:val="auto"/>
              </w:rPr>
            </w:pPr>
          </w:p>
        </w:tc>
      </w:tr>
      <w:tr>
        <w:trPr>
          <w:trHeight w:val="225"/>
        </w:trPr>
        <w:tc>
          <w:tcPr>
            <w:tcW w:w="8020" w:type="dxa"/>
            <w:vAlign w:val="bottom"/>
          </w:tcPr>
          <w:p>
            <w:pPr>
              <w:ind w:left="180"/>
              <w:spacing w:after="0"/>
              <w:rPr>
                <w:sz w:val="20"/>
                <w:szCs w:val="20"/>
                <w:color w:val="auto"/>
              </w:rPr>
            </w:pPr>
            <w:r>
              <w:rPr>
                <w:rFonts w:ascii="Arial" w:cs="Arial" w:eastAsia="Arial" w:hAnsi="Arial"/>
                <w:sz w:val="18"/>
                <w:szCs w:val="18"/>
                <w:color w:val="auto"/>
              </w:rPr>
              <w:t>Transaction costs</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1,204,771</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340"/>
              <w:spacing w:after="0"/>
              <w:rPr>
                <w:sz w:val="20"/>
                <w:szCs w:val="20"/>
                <w:color w:val="auto"/>
              </w:rPr>
            </w:pPr>
            <w:r>
              <w:rPr>
                <w:rFonts w:ascii="Arial" w:cs="Arial" w:eastAsia="Arial" w:hAnsi="Arial"/>
                <w:sz w:val="18"/>
                <w:szCs w:val="18"/>
                <w:color w:val="auto"/>
              </w:rPr>
              <w:t>Prepaid expenses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(16,723)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(277,031)</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1,394,615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97,120</w:t>
            </w:r>
          </w:p>
        </w:tc>
        <w:tc>
          <w:tcPr>
            <w:tcW w:w="0" w:type="dxa"/>
            <w:vAlign w:val="bottom"/>
          </w:tcPr>
          <w:p>
            <w:pPr>
              <w:spacing w:after="0"/>
              <w:rPr>
                <w:sz w:val="1"/>
                <w:szCs w:val="1"/>
                <w:color w:val="auto"/>
              </w:rPr>
            </w:pPr>
          </w:p>
        </w:tc>
      </w:tr>
      <w:tr>
        <w:trPr>
          <w:trHeight w:val="218"/>
        </w:trPr>
        <w:tc>
          <w:tcPr>
            <w:tcW w:w="8020" w:type="dxa"/>
            <w:vAlign w:val="bottom"/>
            <w:tcBorders>
              <w:bottom w:val="single" w:sz="8" w:color="CCEEFF"/>
            </w:tcBorders>
          </w:tcPr>
          <w:p>
            <w:pPr>
              <w:ind w:left="340"/>
              <w:spacing w:after="0"/>
              <w:rPr>
                <w:sz w:val="20"/>
                <w:szCs w:val="20"/>
                <w:color w:val="auto"/>
              </w:rPr>
            </w:pPr>
            <w:r>
              <w:rPr>
                <w:rFonts w:ascii="Arial" w:cs="Arial" w:eastAsia="Arial" w:hAnsi="Arial"/>
                <w:sz w:val="18"/>
                <w:szCs w:val="18"/>
                <w:b w:val="1"/>
                <w:bCs w:val="1"/>
                <w:color w:val="auto"/>
              </w:rPr>
              <w:t>Net cash used in operating activities</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(467,266)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(386,106)</w:t>
            </w:r>
          </w:p>
        </w:tc>
        <w:tc>
          <w:tcPr>
            <w:tcW w:w="0" w:type="dxa"/>
            <w:vAlign w:val="bottom"/>
          </w:tcPr>
          <w:p>
            <w:pPr>
              <w:spacing w:after="0"/>
              <w:rPr>
                <w:sz w:val="1"/>
                <w:szCs w:val="1"/>
                <w:color w:val="auto"/>
              </w:rPr>
            </w:pPr>
          </w:p>
        </w:tc>
      </w:tr>
      <w:tr>
        <w:trPr>
          <w:trHeight w:val="232"/>
        </w:trPr>
        <w:tc>
          <w:tcPr>
            <w:tcW w:w="8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of cash into Trust Account</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(442,750,000)</w:t>
            </w:r>
          </w:p>
        </w:tc>
        <w:tc>
          <w:tcPr>
            <w:tcW w:w="0" w:type="dxa"/>
            <w:vAlign w:val="bottom"/>
          </w:tcPr>
          <w:p>
            <w:pPr>
              <w:spacing w:after="0"/>
              <w:rPr>
                <w:sz w:val="1"/>
                <w:szCs w:val="1"/>
                <w:color w:val="auto"/>
              </w:rPr>
            </w:pPr>
          </w:p>
        </w:tc>
      </w:tr>
      <w:tr>
        <w:trPr>
          <w:trHeight w:val="219"/>
        </w:trPr>
        <w:tc>
          <w:tcPr>
            <w:tcW w:w="8020" w:type="dxa"/>
            <w:vAlign w:val="bottom"/>
            <w:tcBorders>
              <w:bottom w:val="single" w:sz="8" w:color="CCEEFF"/>
            </w:tcBorders>
          </w:tcPr>
          <w:p>
            <w:pPr>
              <w:ind w:left="340"/>
              <w:spacing w:after="0"/>
              <w:rPr>
                <w:sz w:val="20"/>
                <w:szCs w:val="20"/>
                <w:color w:val="auto"/>
              </w:rPr>
            </w:pPr>
            <w:r>
              <w:rPr>
                <w:rFonts w:ascii="Arial" w:cs="Arial" w:eastAsia="Arial" w:hAnsi="Arial"/>
                <w:sz w:val="18"/>
                <w:szCs w:val="18"/>
                <w:b w:val="1"/>
                <w:bCs w:val="1"/>
                <w:color w:val="auto"/>
              </w:rPr>
              <w:t>Net cash used in investing activities</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(442,750,000)</w:t>
            </w:r>
          </w:p>
        </w:tc>
        <w:tc>
          <w:tcPr>
            <w:tcW w:w="0" w:type="dxa"/>
            <w:vAlign w:val="bottom"/>
          </w:tcPr>
          <w:p>
            <w:pPr>
              <w:spacing w:after="0"/>
              <w:rPr>
                <w:sz w:val="1"/>
                <w:szCs w:val="1"/>
                <w:color w:val="auto"/>
              </w:rPr>
            </w:pPr>
          </w:p>
        </w:tc>
      </w:tr>
      <w:tr>
        <w:trPr>
          <w:trHeight w:val="232"/>
        </w:trPr>
        <w:tc>
          <w:tcPr>
            <w:tcW w:w="8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440" w:right="339" w:bottom="1440" w:gutter="0" w:footer="0" w:header="0"/>
        </w:sectPr>
      </w:pPr>
    </w:p>
    <w:p>
      <w:pPr>
        <w:ind w:left="20"/>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42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0"/>
        <w:spacing w:after="0"/>
        <w:rPr>
          <w:sz w:val="20"/>
          <w:szCs w:val="20"/>
          <w:color w:val="auto"/>
        </w:rPr>
      </w:pPr>
      <w:r>
        <w:rPr>
          <w:rFonts w:ascii="Arial" w:cs="Arial" w:eastAsia="Arial" w:hAnsi="Arial"/>
          <w:sz w:val="15"/>
          <w:szCs w:val="15"/>
          <w:color w:val="auto"/>
        </w:rPr>
        <w:t>Proceeds from sale of Units, net of underwriting discounts paid</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Proceeds from sale of Private Placement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42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Proceeds from promissory note – related party</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Repayment of promissory note –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42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Payment of offering costs</w:t>
      </w:r>
    </w:p>
    <w:p>
      <w:pPr>
        <w:spacing w:after="0" w:line="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right"/>
        <w:ind w:right="60"/>
        <w:spacing w:after="0"/>
        <w:rPr>
          <w:sz w:val="20"/>
          <w:szCs w:val="20"/>
          <w:color w:val="auto"/>
        </w:rPr>
      </w:pPr>
      <w:r>
        <w:rPr>
          <w:rFonts w:ascii="Arial" w:cs="Arial" w:eastAsia="Arial" w:hAnsi="Arial"/>
          <w:sz w:val="15"/>
          <w:szCs w:val="15"/>
          <w:color w:val="auto"/>
        </w:rPr>
        <w:t>433,895,000</w:t>
      </w:r>
    </w:p>
    <w:p>
      <w:pPr>
        <w:spacing w:after="0" w:line="53" w:lineRule="exact"/>
        <w:rPr>
          <w:sz w:val="20"/>
          <w:szCs w:val="20"/>
          <w:color w:val="auto"/>
        </w:rPr>
      </w:pPr>
    </w:p>
    <w:p>
      <w:pPr>
        <w:jc w:val="right"/>
        <w:ind w:right="60"/>
        <w:spacing w:after="0"/>
        <w:rPr>
          <w:sz w:val="20"/>
          <w:szCs w:val="20"/>
          <w:color w:val="auto"/>
        </w:rPr>
      </w:pPr>
      <w:r>
        <w:rPr>
          <w:rFonts w:ascii="Arial" w:cs="Arial" w:eastAsia="Arial" w:hAnsi="Arial"/>
          <w:sz w:val="17"/>
          <w:szCs w:val="17"/>
          <w:color w:val="auto"/>
        </w:rPr>
        <w:t>10,855,000</w:t>
      </w:r>
    </w:p>
    <w:p>
      <w:pPr>
        <w:spacing w:after="0" w:line="30"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112,837</w:t>
      </w:r>
    </w:p>
    <w:p>
      <w:pPr>
        <w:spacing w:after="0" w:line="18"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(165,081)</w:t>
      </w:r>
    </w:p>
    <w:p>
      <w:pPr>
        <w:spacing w:after="0" w:line="18"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(466,969)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-1433195</wp:posOffset>
            </wp:positionH>
            <wp:positionV relativeFrom="paragraph">
              <wp:posOffset>10795</wp:posOffset>
            </wp:positionV>
            <wp:extent cx="20447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44700" cy="825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444,230,787</w:t>
      </w:r>
    </w:p>
    <w:p>
      <w:pPr>
        <w:spacing w:after="0" w:line="56" w:lineRule="exact"/>
        <w:rPr>
          <w:sz w:val="20"/>
          <w:szCs w:val="20"/>
          <w:color w:val="auto"/>
        </w:rPr>
      </w:pPr>
    </w:p>
    <w:p>
      <w:pPr>
        <w:sectPr>
          <w:pgSz w:w="11900" w:h="16838" w:orient="portrait"/>
          <w:cols w:equalWidth="0" w:num="2">
            <w:col w:w="9560" w:space="720"/>
            <w:col w:w="96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33"/>
        </w:trPr>
        <w:tc>
          <w:tcPr>
            <w:tcW w:w="8020" w:type="dxa"/>
            <w:vAlign w:val="bottom"/>
            <w:tcBorders>
              <w:top w:val="single" w:sz="8" w:color="CCEEFF"/>
            </w:tcBorders>
            <w:shd w:val="clear" w:color="auto" w:fill="CCEEFF"/>
          </w:tcPr>
          <w:p>
            <w:pPr>
              <w:spacing w:after="0"/>
              <w:rPr>
                <w:sz w:val="20"/>
                <w:szCs w:val="20"/>
                <w:color w:val="auto"/>
              </w:rPr>
            </w:pPr>
          </w:p>
        </w:tc>
        <w:tc>
          <w:tcPr>
            <w:tcW w:w="62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spacing w:after="0"/>
              <w:rPr>
                <w:sz w:val="20"/>
                <w:szCs w:val="20"/>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Net Change in Cash</w:t>
            </w: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(467,266)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1,094,681</w:t>
            </w: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 Beginning of period</w:t>
            </w:r>
          </w:p>
        </w:tc>
        <w:tc>
          <w:tcPr>
            <w:tcW w:w="6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1,094,681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Cash – End of period</w:t>
            </w:r>
          </w:p>
        </w:tc>
        <w:tc>
          <w:tcPr>
            <w:tcW w:w="62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627,415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1,094,681</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8"/>
        </w:trPr>
        <w:tc>
          <w:tcPr>
            <w:tcW w:w="8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Non-Cash financing activities:</w:t>
            </w: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Initial classification of common stock subject to possible redemption</w:t>
            </w:r>
          </w:p>
        </w:tc>
        <w:tc>
          <w:tcPr>
            <w:tcW w:w="6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380,268,982</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8020" w:type="dxa"/>
            <w:vAlign w:val="bottom"/>
          </w:tcPr>
          <w:p>
            <w:pPr>
              <w:ind w:left="20"/>
              <w:spacing w:after="0" w:line="198" w:lineRule="exact"/>
              <w:rPr>
                <w:sz w:val="20"/>
                <w:szCs w:val="20"/>
                <w:color w:val="auto"/>
              </w:rPr>
            </w:pPr>
            <w:r>
              <w:rPr>
                <w:rFonts w:ascii="Arial" w:cs="Arial" w:eastAsia="Arial" w:hAnsi="Arial"/>
                <w:sz w:val="18"/>
                <w:szCs w:val="18"/>
                <w:color w:val="auto"/>
              </w:rPr>
              <w:t>Change in value of common stock subject to possible redemption</w:t>
            </w:r>
          </w:p>
        </w:tc>
        <w:tc>
          <w:tcPr>
            <w:tcW w:w="6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88"/>
              </w:rPr>
              <w:t>(58,471,923)</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2"/>
              <w:spacing w:after="0" w:line="198"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(27,049,112)</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Initial classification of warrant liabilities</w:t>
            </w:r>
          </w:p>
        </w:tc>
        <w:tc>
          <w:tcPr>
            <w:tcW w:w="6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31,811,834</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8020" w:type="dxa"/>
            <w:vAlign w:val="bottom"/>
          </w:tcPr>
          <w:p>
            <w:pPr>
              <w:ind w:left="20"/>
              <w:spacing w:after="0" w:line="198" w:lineRule="exact"/>
              <w:rPr>
                <w:sz w:val="20"/>
                <w:szCs w:val="20"/>
                <w:color w:val="auto"/>
              </w:rPr>
            </w:pPr>
            <w:r>
              <w:rPr>
                <w:rFonts w:ascii="Arial" w:cs="Arial" w:eastAsia="Arial" w:hAnsi="Arial"/>
                <w:sz w:val="18"/>
                <w:szCs w:val="18"/>
                <w:color w:val="auto"/>
              </w:rPr>
              <w:t>Deferred underwriting fee payable</w:t>
            </w:r>
          </w:p>
        </w:tc>
        <w:tc>
          <w:tcPr>
            <w:tcW w:w="6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2"/>
              <w:spacing w:after="0" w:line="198"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15,496,250</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Offering costs paid directly by Sponsor in consideration for the issuance of Class B common stock</w:t>
            </w:r>
          </w:p>
        </w:tc>
        <w:tc>
          <w:tcPr>
            <w:tcW w:w="6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8020" w:type="dxa"/>
            <w:vAlign w:val="bottom"/>
          </w:tcPr>
          <w:p>
            <w:pPr>
              <w:ind w:left="20"/>
              <w:spacing w:after="0" w:line="198" w:lineRule="exact"/>
              <w:rPr>
                <w:sz w:val="20"/>
                <w:szCs w:val="20"/>
                <w:color w:val="auto"/>
              </w:rPr>
            </w:pPr>
            <w:r>
              <w:rPr>
                <w:rFonts w:ascii="Arial" w:cs="Arial" w:eastAsia="Arial" w:hAnsi="Arial"/>
                <w:sz w:val="18"/>
                <w:szCs w:val="18"/>
                <w:color w:val="auto"/>
              </w:rPr>
              <w:t>Payment of offering costs through promissory note — related party</w:t>
            </w:r>
          </w:p>
        </w:tc>
        <w:tc>
          <w:tcPr>
            <w:tcW w:w="6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2"/>
              <w:spacing w:after="0" w:line="198"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52,244</w:t>
            </w:r>
          </w:p>
        </w:tc>
      </w:tr>
      <w:tr>
        <w:trPr>
          <w:trHeight w:val="20"/>
        </w:trPr>
        <w:tc>
          <w:tcPr>
            <w:tcW w:w="80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1440" w:right="339" w:bottom="1440" w:gutter="0" w:footer="0" w:header="0"/>
          <w:type w:val="continuous"/>
        </w:sectPr>
      </w:pPr>
    </w:p>
    <w:bookmarkStart w:id="71" w:name="page72"/>
    <w:bookmarkEnd w:id="71"/>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FINANCIAL INFORMATION OF SEMA4</w:t>
      </w:r>
    </w:p>
    <w:p>
      <w:pPr>
        <w:spacing w:after="0" w:line="170"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The selected historical statements of operations data of Sema4 for the years ended December 31, 2020, 2019 and 2018 and the historical balance sheet data as of December 31, 2020 and 2019 are derived from Sema4’s audited financial statements included elsewhere in this prospectus. The selected statements of operations data for the three months ended March 31, 2021 and 2020 and the selected balance sheet data as of March 31, 2021 are derived from Sema4’s unaudited interim condensed financial statements included elsewhere in this prospectus. Sema4’s historical results are not necessarily indicative of the results that may be expected in the future. You should read the following selected historical financial data together with “</w:t>
      </w:r>
      <w:r>
        <w:rPr>
          <w:rFonts w:ascii="Arial" w:cs="Arial" w:eastAsia="Arial" w:hAnsi="Arial"/>
          <w:sz w:val="15"/>
          <w:szCs w:val="15"/>
          <w:i w:val="1"/>
          <w:iCs w:val="1"/>
          <w:color w:val="auto"/>
        </w:rPr>
        <w:t>Management’s Discussion and Analysis of</w:t>
      </w:r>
      <w:r>
        <w:rPr>
          <w:rFonts w:ascii="Arial" w:cs="Arial" w:eastAsia="Arial" w:hAnsi="Arial"/>
          <w:sz w:val="15"/>
          <w:szCs w:val="15"/>
          <w:color w:val="auto"/>
        </w:rPr>
        <w:t xml:space="preserve"> </w:t>
      </w:r>
      <w:r>
        <w:rPr>
          <w:rFonts w:ascii="Arial" w:cs="Arial" w:eastAsia="Arial" w:hAnsi="Arial"/>
          <w:sz w:val="15"/>
          <w:szCs w:val="15"/>
          <w:i w:val="1"/>
          <w:iCs w:val="1"/>
          <w:color w:val="auto"/>
        </w:rPr>
        <w:t>Financial Conditions and Results of Operations</w:t>
      </w:r>
      <w:r>
        <w:rPr>
          <w:rFonts w:ascii="Arial" w:cs="Arial" w:eastAsia="Arial" w:hAnsi="Arial"/>
          <w:sz w:val="15"/>
          <w:szCs w:val="15"/>
          <w:color w:val="auto"/>
        </w:rPr>
        <w:t>” and Sema4 financial statements and related notes included elsewhere in this prospectus.</w:t>
      </w:r>
    </w:p>
    <w:p>
      <w:pPr>
        <w:spacing w:after="0" w:line="9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tables set forth Sema4’s historical financial information as of, and for the periods ended on, the dates indicated.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Pr>
          <w:p>
            <w:pPr>
              <w:spacing w:after="0"/>
              <w:rPr>
                <w:sz w:val="16"/>
                <w:szCs w:val="16"/>
                <w:color w:val="auto"/>
              </w:rPr>
            </w:pPr>
          </w:p>
        </w:tc>
        <w:tc>
          <w:tcPr>
            <w:tcW w:w="2600" w:type="dxa"/>
            <w:vAlign w:val="bottom"/>
            <w:gridSpan w:val="6"/>
          </w:tcPr>
          <w:p>
            <w:pPr>
              <w:jc w:val="right"/>
              <w:ind w:right="112"/>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Pr>
          <w:p>
            <w:pPr>
              <w:spacing w:after="0"/>
              <w:rPr>
                <w:sz w:val="16"/>
                <w:szCs w:val="16"/>
                <w:color w:val="auto"/>
              </w:rPr>
            </w:pPr>
          </w:p>
        </w:tc>
      </w:tr>
      <w:tr>
        <w:trPr>
          <w:trHeight w:val="378"/>
        </w:trPr>
        <w:tc>
          <w:tcPr>
            <w:tcW w:w="4680" w:type="dxa"/>
            <w:vAlign w:val="bottom"/>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w w:val="83"/>
              </w:rPr>
              <w:t>2019</w:t>
            </w:r>
          </w:p>
        </w:tc>
        <w:tc>
          <w:tcPr>
            <w:tcW w:w="10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2018</w:t>
            </w:r>
          </w:p>
        </w:tc>
      </w:tr>
      <w:tr>
        <w:trPr>
          <w:trHeight w:val="377"/>
        </w:trPr>
        <w:tc>
          <w:tcPr>
            <w:tcW w:w="4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40" w:type="dxa"/>
            <w:vAlign w:val="bottom"/>
            <w:gridSpan w:val="6"/>
          </w:tcPr>
          <w:p>
            <w:pPr>
              <w:jc w:val="right"/>
              <w:spacing w:after="0"/>
              <w:rPr>
                <w:sz w:val="20"/>
                <w:szCs w:val="20"/>
                <w:color w:val="auto"/>
              </w:rPr>
            </w:pPr>
            <w:r>
              <w:rPr>
                <w:rFonts w:ascii="Arial" w:cs="Arial" w:eastAsia="Arial" w:hAnsi="Arial"/>
                <w:sz w:val="14"/>
                <w:szCs w:val="14"/>
                <w:b w:val="1"/>
                <w:bCs w:val="1"/>
                <w:color w:val="auto"/>
              </w:rPr>
              <w:t>(in thousands, except per share amounts)</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0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186"/>
        </w:trPr>
        <w:tc>
          <w:tcPr>
            <w:tcW w:w="4680" w:type="dxa"/>
            <w:vAlign w:val="bottom"/>
          </w:tcPr>
          <w:p>
            <w:pPr>
              <w:ind w:left="20"/>
              <w:spacing w:after="0" w:line="187" w:lineRule="exact"/>
              <w:rPr>
                <w:sz w:val="20"/>
                <w:szCs w:val="20"/>
                <w:color w:val="auto"/>
              </w:rPr>
            </w:pPr>
            <w:r>
              <w:rPr>
                <w:rFonts w:ascii="Arial" w:cs="Arial" w:eastAsia="Arial" w:hAnsi="Arial"/>
                <w:sz w:val="18"/>
                <w:szCs w:val="18"/>
                <w:color w:val="auto"/>
                <w:w w:val="92"/>
              </w:rPr>
              <w:t>Diagnostic test revenue (including related party revenue of $33</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4680" w:type="dxa"/>
            <w:vAlign w:val="bottom"/>
          </w:tcPr>
          <w:p>
            <w:pPr>
              <w:ind w:left="20"/>
              <w:spacing w:after="0" w:line="186" w:lineRule="exact"/>
              <w:rPr>
                <w:sz w:val="20"/>
                <w:szCs w:val="20"/>
                <w:color w:val="auto"/>
              </w:rPr>
            </w:pPr>
            <w:r>
              <w:rPr>
                <w:rFonts w:ascii="Arial" w:cs="Arial" w:eastAsia="Arial" w:hAnsi="Arial"/>
                <w:sz w:val="18"/>
                <w:szCs w:val="18"/>
                <w:color w:val="auto"/>
                <w:w w:val="92"/>
              </w:rPr>
              <w:t>and $61 for the three months ended March 31, 2021 and 2020,</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78"/>
        </w:trPr>
        <w:tc>
          <w:tcPr>
            <w:tcW w:w="4680" w:type="dxa"/>
            <w:vAlign w:val="bottom"/>
          </w:tcPr>
          <w:p>
            <w:pPr>
              <w:ind w:left="20"/>
              <w:spacing w:after="0" w:line="178" w:lineRule="exact"/>
              <w:rPr>
                <w:sz w:val="20"/>
                <w:szCs w:val="20"/>
                <w:color w:val="auto"/>
              </w:rPr>
            </w:pPr>
            <w:r>
              <w:rPr>
                <w:rFonts w:ascii="Arial" w:cs="Arial" w:eastAsia="Arial" w:hAnsi="Arial"/>
                <w:sz w:val="18"/>
                <w:szCs w:val="18"/>
                <w:color w:val="auto"/>
              </w:rPr>
              <w:t>respectively; and of $285, $0 and $0 for the years ended</w:t>
            </w: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45"/>
        </w:trPr>
        <w:tc>
          <w:tcPr>
            <w:tcW w:w="4680" w:type="dxa"/>
            <w:vAlign w:val="bottom"/>
          </w:tcPr>
          <w:p>
            <w:pPr>
              <w:ind w:left="20"/>
              <w:spacing w:after="0" w:line="245" w:lineRule="exact"/>
              <w:rPr>
                <w:sz w:val="20"/>
                <w:szCs w:val="20"/>
                <w:color w:val="auto"/>
              </w:rPr>
            </w:pPr>
            <w:r>
              <w:rPr>
                <w:rFonts w:ascii="Arial" w:cs="Arial" w:eastAsia="Arial" w:hAnsi="Arial"/>
                <w:sz w:val="18"/>
                <w:szCs w:val="18"/>
                <w:color w:val="auto"/>
              </w:rPr>
              <w:t>December 31, 2020, 2019, and 2018, respectively)</w:t>
            </w:r>
            <w:r>
              <w:rPr>
                <w:rFonts w:ascii="Arial" w:cs="Arial" w:eastAsia="Arial" w:hAnsi="Arial"/>
                <w:sz w:val="22"/>
                <w:szCs w:val="22"/>
                <w:color w:val="auto"/>
                <w:vertAlign w:val="superscript"/>
              </w:rPr>
              <w:t>(1)</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62,760</w:t>
            </w:r>
          </w:p>
        </w:tc>
        <w:tc>
          <w:tcPr>
            <w:tcW w:w="100" w:type="dxa"/>
            <w:vAlign w:val="bottom"/>
          </w:tcPr>
          <w:p>
            <w:pPr>
              <w:spacing w:after="0"/>
              <w:rPr>
                <w:sz w:val="21"/>
                <w:szCs w:val="21"/>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46,070</w:t>
            </w:r>
          </w:p>
        </w:tc>
        <w:tc>
          <w:tcPr>
            <w:tcW w:w="100" w:type="dxa"/>
            <w:vAlign w:val="bottom"/>
          </w:tcPr>
          <w:p>
            <w:pPr>
              <w:spacing w:after="0"/>
              <w:rPr>
                <w:sz w:val="21"/>
                <w:szCs w:val="21"/>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175,351</w:t>
            </w:r>
          </w:p>
        </w:tc>
        <w:tc>
          <w:tcPr>
            <w:tcW w:w="100" w:type="dxa"/>
            <w:vAlign w:val="bottom"/>
          </w:tcPr>
          <w:p>
            <w:pPr>
              <w:spacing w:after="0"/>
              <w:rPr>
                <w:sz w:val="21"/>
                <w:szCs w:val="21"/>
                <w:color w:val="auto"/>
              </w:rPr>
            </w:pP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191,667</w:t>
            </w:r>
          </w:p>
        </w:tc>
        <w:tc>
          <w:tcPr>
            <w:tcW w:w="100" w:type="dxa"/>
            <w:vAlign w:val="bottom"/>
          </w:tcPr>
          <w:p>
            <w:pPr>
              <w:spacing w:after="0"/>
              <w:rPr>
                <w:sz w:val="21"/>
                <w:szCs w:val="21"/>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132,970</w:t>
            </w:r>
          </w:p>
        </w:tc>
      </w:tr>
      <w:tr>
        <w:trPr>
          <w:trHeight w:val="186"/>
        </w:trPr>
        <w:tc>
          <w:tcPr>
            <w:tcW w:w="4680" w:type="dxa"/>
            <w:vAlign w:val="bottom"/>
            <w:shd w:val="clear" w:color="auto" w:fill="CCEEFF"/>
          </w:tcPr>
          <w:p>
            <w:pPr>
              <w:ind w:left="240"/>
              <w:spacing w:after="0" w:line="187" w:lineRule="exact"/>
              <w:rPr>
                <w:sz w:val="20"/>
                <w:szCs w:val="20"/>
                <w:color w:val="auto"/>
              </w:rPr>
            </w:pPr>
            <w:r>
              <w:rPr>
                <w:rFonts w:ascii="Arial" w:cs="Arial" w:eastAsia="Arial" w:hAnsi="Arial"/>
                <w:sz w:val="18"/>
                <w:szCs w:val="18"/>
                <w:color w:val="auto"/>
                <w:w w:val="90"/>
              </w:rPr>
              <w:t>Other revenue (including related party revenue of $27 and $0</w:t>
            </w: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86"/>
        </w:trPr>
        <w:tc>
          <w:tcPr>
            <w:tcW w:w="4680" w:type="dxa"/>
            <w:vAlign w:val="bottom"/>
            <w:shd w:val="clear" w:color="auto" w:fill="CCEEFF"/>
          </w:tcPr>
          <w:p>
            <w:pPr>
              <w:ind w:left="400"/>
              <w:spacing w:after="0" w:line="186" w:lineRule="exact"/>
              <w:rPr>
                <w:sz w:val="20"/>
                <w:szCs w:val="20"/>
                <w:color w:val="auto"/>
              </w:rPr>
            </w:pPr>
            <w:r>
              <w:rPr>
                <w:rFonts w:ascii="Arial" w:cs="Arial" w:eastAsia="Arial" w:hAnsi="Arial"/>
                <w:sz w:val="18"/>
                <w:szCs w:val="18"/>
                <w:color w:val="auto"/>
                <w:w w:val="98"/>
              </w:rPr>
              <w:t>for the three months ended March 31, 2021 and 2020,</w:t>
            </w: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85"/>
        </w:trPr>
        <w:tc>
          <w:tcPr>
            <w:tcW w:w="4680" w:type="dxa"/>
            <w:vAlign w:val="bottom"/>
            <w:shd w:val="clear" w:color="auto" w:fill="CCEEFF"/>
          </w:tcPr>
          <w:p>
            <w:pPr>
              <w:ind w:left="400"/>
              <w:spacing w:after="0" w:line="186" w:lineRule="exact"/>
              <w:rPr>
                <w:sz w:val="20"/>
                <w:szCs w:val="20"/>
                <w:color w:val="auto"/>
              </w:rPr>
            </w:pPr>
            <w:r>
              <w:rPr>
                <w:rFonts w:ascii="Arial" w:cs="Arial" w:eastAsia="Arial" w:hAnsi="Arial"/>
                <w:sz w:val="18"/>
                <w:szCs w:val="18"/>
                <w:color w:val="auto"/>
                <w:w w:val="99"/>
              </w:rPr>
              <w:t>respectively; and of $3, $1,180 and $254 for the years</w:t>
            </w: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38"/>
        </w:trPr>
        <w:tc>
          <w:tcPr>
            <w:tcW w:w="46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3"/>
              </w:rPr>
              <w:t>ended December 31, 2020, 2019 and 2018, respectively)</w:t>
            </w:r>
          </w:p>
        </w:tc>
        <w:tc>
          <w:tcPr>
            <w:tcW w:w="2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3,971</w:t>
            </w:r>
          </w:p>
        </w:tc>
        <w:tc>
          <w:tcPr>
            <w:tcW w:w="10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4,507</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r>
      <w:tr>
        <w:trPr>
          <w:trHeight w:val="218"/>
        </w:trPr>
        <w:tc>
          <w:tcPr>
            <w:tcW w:w="468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64,351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46,655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179,322</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196,174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133,341</w:t>
            </w:r>
          </w:p>
        </w:tc>
      </w:tr>
      <w:tr>
        <w:trPr>
          <w:trHeight w:val="167"/>
        </w:trPr>
        <w:tc>
          <w:tcPr>
            <w:tcW w:w="4680" w:type="dxa"/>
            <w:vAlign w:val="bottom"/>
            <w:shd w:val="clear" w:color="auto" w:fill="CCEEFF"/>
          </w:tcPr>
          <w:p>
            <w:pPr>
              <w:ind w:left="180"/>
              <w:spacing w:after="0" w:line="167" w:lineRule="exact"/>
              <w:rPr>
                <w:sz w:val="20"/>
                <w:szCs w:val="20"/>
                <w:color w:val="auto"/>
              </w:rPr>
            </w:pPr>
            <w:r>
              <w:rPr>
                <w:rFonts w:ascii="Arial" w:cs="Arial" w:eastAsia="Arial" w:hAnsi="Arial"/>
                <w:sz w:val="18"/>
                <w:szCs w:val="18"/>
                <w:color w:val="auto"/>
                <w:w w:val="90"/>
              </w:rPr>
              <w:t>Cost of services (including related party expenses of $278 and</w:t>
            </w: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86"/>
        </w:trPr>
        <w:tc>
          <w:tcPr>
            <w:tcW w:w="4680" w:type="dxa"/>
            <w:vAlign w:val="bottom"/>
            <w:shd w:val="clear" w:color="auto" w:fill="CCEEFF"/>
          </w:tcPr>
          <w:p>
            <w:pPr>
              <w:ind w:left="180"/>
              <w:spacing w:after="0" w:line="186" w:lineRule="exact"/>
              <w:rPr>
                <w:sz w:val="20"/>
                <w:szCs w:val="20"/>
                <w:color w:val="auto"/>
              </w:rPr>
            </w:pPr>
            <w:r>
              <w:rPr>
                <w:rFonts w:ascii="Arial" w:cs="Arial" w:eastAsia="Arial" w:hAnsi="Arial"/>
                <w:sz w:val="18"/>
                <w:szCs w:val="18"/>
                <w:color w:val="auto"/>
                <w:w w:val="94"/>
              </w:rPr>
              <w:t>$574 for the three months ended March 31, 2021 and 2020,</w:t>
            </w: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78"/>
        </w:trPr>
        <w:tc>
          <w:tcPr>
            <w:tcW w:w="4680" w:type="dxa"/>
            <w:vAlign w:val="bottom"/>
            <w:shd w:val="clear" w:color="auto" w:fill="CCEEFF"/>
          </w:tcPr>
          <w:p>
            <w:pPr>
              <w:ind w:left="180"/>
              <w:spacing w:after="0" w:line="178" w:lineRule="exact"/>
              <w:rPr>
                <w:sz w:val="20"/>
                <w:szCs w:val="20"/>
                <w:color w:val="auto"/>
              </w:rPr>
            </w:pPr>
            <w:r>
              <w:rPr>
                <w:rFonts w:ascii="Arial" w:cs="Arial" w:eastAsia="Arial" w:hAnsi="Arial"/>
                <w:sz w:val="18"/>
                <w:szCs w:val="18"/>
                <w:color w:val="auto"/>
                <w:w w:val="93"/>
              </w:rPr>
              <w:t>respectively; and of $2,189, $1,859 and $4,122 for the years</w:t>
            </w: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45"/>
        </w:trPr>
        <w:tc>
          <w:tcPr>
            <w:tcW w:w="4680" w:type="dxa"/>
            <w:vAlign w:val="bottom"/>
            <w:shd w:val="clear" w:color="auto" w:fill="CCEEFF"/>
          </w:tcPr>
          <w:p>
            <w:pPr>
              <w:ind w:left="180"/>
              <w:spacing w:after="0" w:line="245" w:lineRule="exact"/>
              <w:rPr>
                <w:sz w:val="20"/>
                <w:szCs w:val="20"/>
                <w:color w:val="auto"/>
              </w:rPr>
            </w:pPr>
            <w:r>
              <w:rPr>
                <w:rFonts w:ascii="Arial" w:cs="Arial" w:eastAsia="Arial" w:hAnsi="Arial"/>
                <w:sz w:val="18"/>
                <w:szCs w:val="18"/>
                <w:color w:val="auto"/>
                <w:w w:val="94"/>
              </w:rPr>
              <w:t>ended December 31, 2020, 2019 and 2018, respectively)</w:t>
            </w:r>
            <w:r>
              <w:rPr>
                <w:rFonts w:ascii="Arial" w:cs="Arial" w:eastAsia="Arial" w:hAnsi="Arial"/>
                <w:sz w:val="22"/>
                <w:szCs w:val="22"/>
                <w:color w:val="auto"/>
                <w:w w:val="94"/>
                <w:vertAlign w:val="superscript"/>
              </w:rPr>
              <w:t>(1)</w:t>
            </w:r>
          </w:p>
        </w:tc>
        <w:tc>
          <w:tcPr>
            <w:tcW w:w="2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71,812</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39,239</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184,648</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119,623</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92,093</w:t>
            </w:r>
          </w:p>
        </w:tc>
      </w:tr>
      <w:tr>
        <w:trPr>
          <w:trHeight w:val="218"/>
        </w:trPr>
        <w:tc>
          <w:tcPr>
            <w:tcW w:w="468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Gross (loss) profit</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(5,326)</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76,551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41,248</w:t>
            </w:r>
          </w:p>
        </w:tc>
      </w:tr>
      <w:tr>
        <w:trPr>
          <w:trHeight w:val="21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21,383</w:t>
            </w:r>
          </w:p>
        </w:tc>
      </w:tr>
      <w:tr>
        <w:trPr>
          <w:trHeight w:val="225"/>
        </w:trPr>
        <w:tc>
          <w:tcPr>
            <w:tcW w:w="468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31,569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11,733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53,831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33,118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19,947</w:t>
            </w:r>
          </w:p>
        </w:tc>
      </w:tr>
      <w:tr>
        <w:trPr>
          <w:trHeight w:val="226"/>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100,742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19,449</w:t>
            </w:r>
          </w:p>
        </w:tc>
      </w:tr>
      <w:tr>
        <w:trPr>
          <w:trHeight w:val="225"/>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Related party expenses</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9,132</w:t>
            </w:r>
          </w:p>
        </w:tc>
      </w:tr>
      <w:tr>
        <w:trPr>
          <w:trHeight w:val="219"/>
        </w:trPr>
        <w:tc>
          <w:tcPr>
            <w:tcW w:w="4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Loss from operations</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(195,875)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(26,772)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(241,994)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(30,413)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(28,663)</w:t>
            </w:r>
          </w:p>
        </w:tc>
      </w:tr>
      <w:tr>
        <w:trPr>
          <w:trHeight w:val="391"/>
        </w:trPr>
        <w:tc>
          <w:tcPr>
            <w:tcW w:w="4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98"/>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25"/>
        </w:trPr>
        <w:tc>
          <w:tcPr>
            <w:tcW w:w="468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4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r>
      <w:tr>
        <w:trPr>
          <w:trHeight w:val="225"/>
        </w:trPr>
        <w:tc>
          <w:tcPr>
            <w:tcW w:w="4680" w:type="dxa"/>
            <w:vAlign w:val="bottom"/>
          </w:tcPr>
          <w:p>
            <w:pPr>
              <w:ind w:left="240"/>
              <w:spacing w:after="0"/>
              <w:rPr>
                <w:sz w:val="20"/>
                <w:szCs w:val="20"/>
                <w:color w:val="auto"/>
              </w:rPr>
            </w:pPr>
            <w:r>
              <w:rPr>
                <w:rFonts w:ascii="Arial" w:cs="Arial" w:eastAsia="Arial" w:hAnsi="Arial"/>
                <w:sz w:val="18"/>
                <w:szCs w:val="18"/>
                <w:color w:val="auto"/>
              </w:rPr>
              <w:t>Gain on extinguishment of debt</w:t>
            </w: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4,500</w:t>
            </w:r>
          </w:p>
        </w:tc>
      </w:tr>
      <w:tr>
        <w:trPr>
          <w:trHeight w:val="226"/>
        </w:trPr>
        <w:tc>
          <w:tcPr>
            <w:tcW w:w="4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w:t>
            </w:r>
          </w:p>
        </w:tc>
      </w:tr>
      <w:tr>
        <w:trPr>
          <w:trHeight w:val="218"/>
        </w:trPr>
        <w:tc>
          <w:tcPr>
            <w:tcW w:w="468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other income, net</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4,791</w:t>
            </w:r>
          </w:p>
        </w:tc>
      </w:tr>
      <w:tr>
        <w:trPr>
          <w:trHeight w:val="21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(23,872)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1440" w:right="339" w:bottom="1440" w:gutter="0" w:footer="0" w:header="0"/>
        </w:sectPr>
      </w:pPr>
    </w:p>
    <w:bookmarkStart w:id="72" w:name="page73"/>
    <w:bookmarkEnd w:id="72"/>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68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3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and comprehensive loss</w:t>
            </w: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(190,993)</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(26,990)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(29,704)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(23,872)</w:t>
            </w:r>
          </w:p>
        </w:tc>
        <w:tc>
          <w:tcPr>
            <w:tcW w:w="0" w:type="dxa"/>
            <w:vAlign w:val="bottom"/>
          </w:tcPr>
          <w:p>
            <w:pPr>
              <w:spacing w:after="0"/>
              <w:rPr>
                <w:sz w:val="1"/>
                <w:szCs w:val="1"/>
                <w:color w:val="auto"/>
              </w:rPr>
            </w:pPr>
          </w:p>
        </w:tc>
      </w:tr>
      <w:tr>
        <w:trPr>
          <w:trHeight w:val="391"/>
        </w:trPr>
        <w:tc>
          <w:tcPr>
            <w:tcW w:w="4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 dividends</w:t>
            </w:r>
          </w:p>
        </w:tc>
        <w:tc>
          <w:tcPr>
            <w:tcW w:w="3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2,951</w:t>
            </w:r>
          </w:p>
        </w:tc>
        <w:tc>
          <w:tcPr>
            <w:tcW w:w="0" w:type="dxa"/>
            <w:vAlign w:val="bottom"/>
          </w:tcPr>
          <w:p>
            <w:pPr>
              <w:spacing w:after="0"/>
              <w:rPr>
                <w:sz w:val="1"/>
                <w:szCs w:val="1"/>
                <w:color w:val="auto"/>
              </w:rPr>
            </w:pPr>
          </w:p>
        </w:tc>
      </w:tr>
      <w:tr>
        <w:trPr>
          <w:trHeight w:val="218"/>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(190,993)</w:t>
            </w: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(26,990)</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(32,743)</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(26,823)</w:t>
            </w:r>
          </w:p>
        </w:tc>
        <w:tc>
          <w:tcPr>
            <w:tcW w:w="0" w:type="dxa"/>
            <w:vAlign w:val="bottom"/>
          </w:tcPr>
          <w:p>
            <w:pPr>
              <w:spacing w:after="0"/>
              <w:rPr>
                <w:sz w:val="1"/>
                <w:szCs w:val="1"/>
                <w:color w:val="auto"/>
              </w:rPr>
            </w:pPr>
          </w:p>
        </w:tc>
      </w:tr>
      <w:tr>
        <w:trPr>
          <w:trHeight w:val="391"/>
        </w:trPr>
        <w:tc>
          <w:tcPr>
            <w:tcW w:w="46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0"/>
              </w:rPr>
              <w:t>Weighted average shares outstanding of Class A common stock</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4"/>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Basic and diluted net loss per share, Class A common stock</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(26,990)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(32,743)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(26,823)</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w w:val="90"/>
              </w:rPr>
              <w:t>Weighted average shares outstanding of Class B common stock</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680" w:type="dxa"/>
            <w:vAlign w:val="bottom"/>
            <w:tcBorders>
              <w:bottom w:val="single" w:sz="8" w:color="CCEEFF"/>
            </w:tcBorders>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443,864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4,044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Basic and diluted net loss per share, Class B common stock</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10" w:lineRule="exact"/>
        <w:rPr>
          <w:sz w:val="20"/>
          <w:szCs w:val="20"/>
          <w:color w:val="auto"/>
        </w:rPr>
      </w:pPr>
    </w:p>
    <w:p>
      <w:pPr>
        <w:ind w:left="320" w:hanging="314"/>
        <w:spacing w:after="0"/>
        <w:tabs>
          <w:tab w:leader="none" w:pos="320" w:val="left"/>
        </w:tabs>
        <w:numPr>
          <w:ilvl w:val="0"/>
          <w:numId w:val="33"/>
        </w:numPr>
        <w:rPr>
          <w:rFonts w:ascii="Arial" w:cs="Arial" w:eastAsia="Arial" w:hAnsi="Arial"/>
          <w:sz w:val="14"/>
          <w:szCs w:val="14"/>
          <w:b w:val="1"/>
          <w:bCs w:val="1"/>
          <w:color w:val="auto"/>
        </w:rPr>
      </w:pPr>
      <w:r>
        <w:rPr>
          <w:rFonts w:ascii="Arial" w:cs="Arial" w:eastAsia="Arial" w:hAnsi="Arial"/>
          <w:sz w:val="14"/>
          <w:szCs w:val="14"/>
          <w:color w:val="auto"/>
        </w:rPr>
        <w:t>Includes stock-based compensation expense as follows: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jc w:val="right"/>
              <w:ind w:right="78"/>
              <w:spacing w:after="0"/>
              <w:rPr>
                <w:sz w:val="20"/>
                <w:szCs w:val="20"/>
                <w:color w:val="auto"/>
              </w:rPr>
            </w:pPr>
            <w:r>
              <w:rPr>
                <w:rFonts w:ascii="Arial" w:cs="Arial" w:eastAsia="Arial" w:hAnsi="Arial"/>
                <w:sz w:val="14"/>
                <w:szCs w:val="14"/>
                <w:b w:val="1"/>
                <w:bCs w:val="1"/>
                <w:color w:val="auto"/>
              </w:rPr>
              <w:t>Three months ended March 31,</w:t>
            </w:r>
          </w:p>
        </w:tc>
        <w:tc>
          <w:tcPr>
            <w:tcW w:w="5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5"/>
              </w:rPr>
              <w:t>Year Ended December 31,</w:t>
            </w: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83"/>
        </w:trPr>
        <w:tc>
          <w:tcPr>
            <w:tcW w:w="30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2018</w:t>
            </w:r>
          </w:p>
        </w:tc>
      </w:tr>
      <w:tr>
        <w:trPr>
          <w:trHeight w:val="179"/>
        </w:trPr>
        <w:tc>
          <w:tcPr>
            <w:tcW w:w="3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center"/>
              <w:ind w:right="57"/>
              <w:spacing w:after="0"/>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26"/>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19,782</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8"/>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13,947</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r>
      <w:tr>
        <w:trPr>
          <w:trHeight w:val="225"/>
        </w:trPr>
        <w:tc>
          <w:tcPr>
            <w:tcW w:w="30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38,187</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26,650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1,281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1,135</w:t>
            </w:r>
          </w:p>
        </w:tc>
      </w:tr>
      <w:tr>
        <w:trPr>
          <w:trHeight w:val="226"/>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17,381</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r>
      <w:tr>
        <w:trPr>
          <w:trHeight w:val="225"/>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89,612</w:t>
            </w:r>
          </w:p>
        </w:tc>
        <w:tc>
          <w:tcPr>
            <w:tcW w:w="8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68,884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2,841</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3,306</w:t>
            </w:r>
          </w:p>
        </w:tc>
      </w:tr>
      <w:tr>
        <w:trPr>
          <w:trHeight w:val="238"/>
        </w:trPr>
        <w:tc>
          <w:tcPr>
            <w:tcW w:w="3080" w:type="dxa"/>
            <w:vAlign w:val="bottom"/>
            <w:tcBorders>
              <w:bottom w:val="single" w:sz="8" w:color="CCEEFF"/>
            </w:tcBorders>
            <w:shd w:val="clear" w:color="auto" w:fill="CCEEFF"/>
          </w:tcPr>
          <w:p>
            <w:pPr>
              <w:ind w:left="180"/>
              <w:spacing w:after="0" w:line="205" w:lineRule="exact"/>
              <w:rPr>
                <w:sz w:val="20"/>
                <w:szCs w:val="20"/>
                <w:color w:val="auto"/>
              </w:rPr>
            </w:pPr>
            <w:r>
              <w:rPr>
                <w:rFonts w:ascii="Arial" w:cs="Arial" w:eastAsia="Arial" w:hAnsi="Arial"/>
                <w:sz w:val="18"/>
                <w:szCs w:val="18"/>
                <w:color w:val="auto"/>
                <w:w w:val="86"/>
              </w:rPr>
              <w:t>Total stock-based compensation expense</w:t>
            </w: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164,962</w:t>
            </w: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78"/>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120,231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5,482</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5,605</w:t>
            </w:r>
          </w:p>
        </w:tc>
      </w:tr>
      <w:tr>
        <w:trPr>
          <w:trHeight w:val="20"/>
        </w:trPr>
        <w:tc>
          <w:tcPr>
            <w:tcW w:w="30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419"/>
        </w:trPr>
        <w:tc>
          <w:tcPr>
            <w:tcW w:w="3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2"/>
              </w:rPr>
              <w:t>As of March 31,</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80" w:type="dxa"/>
            <w:vAlign w:val="bottom"/>
            <w:tcBorders>
              <w:bottom w:val="single" w:sz="8" w:color="auto"/>
            </w:tcBorders>
          </w:tcPr>
          <w:p>
            <w:pPr>
              <w:spacing w:after="0"/>
              <w:rPr>
                <w:sz w:val="24"/>
                <w:szCs w:val="24"/>
                <w:color w:val="auto"/>
              </w:rPr>
            </w:pPr>
          </w:p>
        </w:tc>
      </w:tr>
      <w:tr>
        <w:trPr>
          <w:trHeight w:val="183"/>
        </w:trPr>
        <w:tc>
          <w:tcPr>
            <w:tcW w:w="3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r>
      <w:tr>
        <w:trPr>
          <w:trHeight w:val="179"/>
        </w:trPr>
        <w:tc>
          <w:tcPr>
            <w:tcW w:w="3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26"/>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Balance Sheet Data:</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5"/>
        </w:trPr>
        <w:tc>
          <w:tcPr>
            <w:tcW w:w="30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58,652</w:t>
            </w: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108,132</w:t>
            </w:r>
          </w:p>
        </w:tc>
        <w:tc>
          <w:tcPr>
            <w:tcW w:w="100" w:type="dxa"/>
            <w:vAlign w:val="bottom"/>
          </w:tcPr>
          <w:p>
            <w:pPr>
              <w:spacing w:after="0"/>
              <w:rPr>
                <w:sz w:val="19"/>
                <w:szCs w:val="19"/>
                <w:color w:val="auto"/>
              </w:rPr>
            </w:pPr>
          </w:p>
        </w:tc>
        <w:tc>
          <w:tcPr>
            <w:tcW w:w="580" w:type="dxa"/>
            <w:vAlign w:val="bottom"/>
          </w:tcPr>
          <w:p>
            <w:pPr>
              <w:jc w:val="right"/>
              <w:ind w:right="39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115,006</w:t>
            </w:r>
          </w:p>
        </w:tc>
      </w:tr>
      <w:tr>
        <w:trPr>
          <w:trHeight w:val="226"/>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251,642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203,839</w:t>
            </w:r>
          </w:p>
        </w:tc>
      </w:tr>
      <w:tr>
        <w:trPr>
          <w:trHeight w:val="225"/>
        </w:trPr>
        <w:tc>
          <w:tcPr>
            <w:tcW w:w="308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406,191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247,254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75,435</w:t>
            </w:r>
          </w:p>
        </w:tc>
      </w:tr>
      <w:tr>
        <w:trPr>
          <w:trHeight w:val="226"/>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Redeemable convertible preferred stock</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334,439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334,439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217,115</w:t>
            </w:r>
          </w:p>
        </w:tc>
      </w:tr>
      <w:tr>
        <w:trPr>
          <w:trHeight w:val="224"/>
        </w:trPr>
        <w:tc>
          <w:tcPr>
            <w:tcW w:w="3080" w:type="dxa"/>
            <w:vAlign w:val="bottom"/>
          </w:tcPr>
          <w:p>
            <w:pPr>
              <w:ind w:left="20"/>
              <w:spacing w:after="0"/>
              <w:rPr>
                <w:sz w:val="20"/>
                <w:szCs w:val="20"/>
                <w:color w:val="auto"/>
              </w:rPr>
            </w:pPr>
            <w:r>
              <w:rPr>
                <w:rFonts w:ascii="Arial" w:cs="Arial" w:eastAsia="Arial" w:hAnsi="Arial"/>
                <w:sz w:val="18"/>
                <w:szCs w:val="18"/>
                <w:color w:val="auto"/>
              </w:rPr>
              <w:t>Total stockholders’ deficit</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(521,044)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(330,051)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(88,711)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1440" w:right="339" w:bottom="1440" w:gutter="0" w:footer="0" w:header="0"/>
        </w:sectPr>
      </w:pPr>
    </w:p>
    <w:bookmarkStart w:id="73" w:name="page74"/>
    <w:bookmarkEnd w:id="73"/>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17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i w:val="1"/>
          <w:iCs w:val="1"/>
          <w:color w:val="auto"/>
        </w:rPr>
        <w:t>Defined terms included below have the same meaning as terms defined and included elsewhere in the prospectus. Unless otherwise indicated or the context otherwise requires, references in this section to (i) “we,” “us,” “our,” “Sema4 Holdings” and the “Company” refer to Sema4 Holdings Corp., a Delaware corporation (f/k/a CM Life Sciences, Inc., a Delaware corporation), and its consolidated subsidiary following the Closing, (ii) “CMLS” refer to CM Life Sciences, Inc., a Delaware corporation, prior to the Closing, and (iii) “Sema4” refer to Mount Sinai Genomics, Inc. d/b/a Sema4, a Delaware corporation, prior to the Closing.</w:t>
      </w:r>
    </w:p>
    <w:p>
      <w:pPr>
        <w:spacing w:after="0" w:line="14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selected unaudited pro forma condensed combined financial data is derived from the unaudited pro forma condensed combined balance sheet and unaudited pro forma condensed combined statements of operations included elsewhere in this prospectus.</w:t>
      </w:r>
    </w:p>
    <w:p>
      <w:pPr>
        <w:spacing w:after="0" w:line="128"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unaudited pro forma condensed combined financial statements are based on CMLS’s and Sema4’s historical financial statements as adjusted to give effect to the Business Combination and the PIPE Investment. The unaudited pro forma condensed combined balance sheet gives pro forma effect to the Business Combination, treated as a reverse recapitalization for accounting purposes, and the PIPE Investment as if they had been consummated on March 31, 2021. The unaudited pro forma condensed combined statements of operations for the three months ended March 31, 2021 and for the year ended December 31, 2020, give effect to the Business Combination and the PIPE Investment as if they had occurred on January 1, 2020, the beginning of the earliest period presented.</w:t>
      </w:r>
    </w:p>
    <w:p>
      <w:pPr>
        <w:spacing w:after="0" w:line="143"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unaudited pro forma condensed combined financial statements were prepared in accordance with Article 11 of SEC Regulation S-X, as amended by the final rule, Release No. 33-10786 “</w:t>
      </w:r>
      <w:r>
        <w:rPr>
          <w:rFonts w:ascii="Arial" w:cs="Arial" w:eastAsia="Arial" w:hAnsi="Arial"/>
          <w:sz w:val="17"/>
          <w:szCs w:val="17"/>
          <w:i w:val="1"/>
          <w:iCs w:val="1"/>
          <w:color w:val="auto"/>
        </w:rPr>
        <w:t>Amendments to Financial Disclosures about Acquired and Disposed Businesses</w:t>
      </w:r>
      <w:r>
        <w:rPr>
          <w:rFonts w:ascii="Arial" w:cs="Arial" w:eastAsia="Arial" w:hAnsi="Arial"/>
          <w:sz w:val="17"/>
          <w:szCs w:val="17"/>
          <w:color w:val="auto"/>
        </w:rPr>
        <w:t>.” Release No. 33-10786 replaces the existing pro forma adjustment criteria with simplified requirements to depict the accounting for the transaction (“Transaction Accounting Adjustments”) and present the reasonably estimable synergies and other transaction effects that have occurred or reasonably expected to occur (“Management’s Adjustments”). We have elected not to present Management’s Adjustments and will only be presenting Transaction Accounting Adjustments in the unaudited pro forma condensed combined financial statements. The adjustments presented in the unaudited pro forma condensed combined financial statements have been identified and presented to provide relevant information necessary for an understanding of our company upon consummation of the Business Combination and the PIPE Investment.</w:t>
      </w:r>
    </w:p>
    <w:p>
      <w:pPr>
        <w:spacing w:after="0" w:line="12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unaudited pro forma condensed combined financial statements are for illustrative purposes only. The financial results may have been different had the companies always been combined. You should not rely on the unaudited pro forma condensed combined financial information as being indicative of the historical results that would have been achieved had the companies always been combined or the future results that we will experience. CMLS and Sema4 had not had any historical relationship prior to the Business Combination. Accordingly, no pro forma adjustments were required to eliminate activities between the companies.</w:t>
      </w:r>
    </w:p>
    <w:p>
      <w:pPr>
        <w:spacing w:after="0" w:line="14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This information should be read together with CMLS’s and Sema4’s historical financial statements and related notes, “</w:t>
      </w:r>
      <w:r>
        <w:rPr>
          <w:rFonts w:ascii="Arial" w:cs="Arial" w:eastAsia="Arial" w:hAnsi="Arial"/>
          <w:sz w:val="18"/>
          <w:szCs w:val="18"/>
          <w:i w:val="1"/>
          <w:iCs w:val="1"/>
          <w:color w:val="auto"/>
        </w:rPr>
        <w:t>Unaudited Pro Forma Condensed</w:t>
      </w:r>
      <w:r>
        <w:rPr>
          <w:rFonts w:ascii="Arial" w:cs="Arial" w:eastAsia="Arial" w:hAnsi="Arial"/>
          <w:sz w:val="18"/>
          <w:szCs w:val="18"/>
          <w:color w:val="auto"/>
        </w:rPr>
        <w:t xml:space="preserve"> </w:t>
      </w:r>
      <w:r>
        <w:rPr>
          <w:rFonts w:ascii="Arial" w:cs="Arial" w:eastAsia="Arial" w:hAnsi="Arial"/>
          <w:sz w:val="18"/>
          <w:szCs w:val="18"/>
          <w:i w:val="1"/>
          <w:iCs w:val="1"/>
          <w:color w:val="auto"/>
        </w:rPr>
        <w:t>Combined Financial Information</w:t>
      </w:r>
      <w:r>
        <w:rPr>
          <w:rFonts w:ascii="Arial" w:cs="Arial" w:eastAsia="Arial" w:hAnsi="Arial"/>
          <w:sz w:val="18"/>
          <w:szCs w:val="18"/>
          <w:color w:val="auto"/>
        </w:rPr>
        <w:t>,”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and other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relating to CMLS and Sema4 included elsewhere in this prospectus.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unaudited pro forma condensed combined financial statements have been derived from and should be read in conjunction with:</w:t>
      </w:r>
    </w:p>
    <w:p>
      <w:pPr>
        <w:spacing w:after="0" w:line="164" w:lineRule="exact"/>
        <w:rPr>
          <w:sz w:val="20"/>
          <w:szCs w:val="20"/>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accompanying notes to the unaudited pro forma condensed combined financial statements;</w:t>
      </w:r>
    </w:p>
    <w:p>
      <w:pPr>
        <w:spacing w:after="0" w:line="164"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 audited historical financial statements of CMLS as of December 31, 2020 and for the period from July 10, 2020 (inception) through December 31, 2020 and (ii) unaudited historical condensed financial statements of CMLS as of and for the three months ended March 31, 2021 and the related notes, in each case,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1440" w:right="339" w:bottom="1440" w:gutter="0" w:footer="0" w:header="0"/>
        </w:sectPr>
      </w:pPr>
    </w:p>
    <w:bookmarkStart w:id="74" w:name="page75"/>
    <w:bookmarkEnd w:id="74"/>
    <w:p>
      <w:pPr>
        <w:spacing w:after="0" w:line="119" w:lineRule="exact"/>
        <w:rPr>
          <w:sz w:val="20"/>
          <w:szCs w:val="20"/>
          <w:color w:val="auto"/>
        </w:rPr>
      </w:pPr>
    </w:p>
    <w:p>
      <w:pPr>
        <w:jc w:val="both"/>
        <w:ind w:left="640" w:hanging="316"/>
        <w:spacing w:after="0" w:line="255" w:lineRule="auto"/>
        <w:tabs>
          <w:tab w:leader="none" w:pos="6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 audited historical financial statements of Sema4 as of and for the year ended December 31, 2020 and (ii) unaudited historical condensed financial statements of Sema4 as of and for the three months ended March 31, 2021 and the related notes, in each case, included elsewhere in this prospectus; and</w:t>
      </w:r>
    </w:p>
    <w:p>
      <w:pPr>
        <w:spacing w:after="0" w:line="135"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sections of the Proxy Statement entitled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and the other financial information included elsewhere in this prospectus.</w:t>
      </w:r>
    </w:p>
    <w:p>
      <w:pPr>
        <w:spacing w:after="0" w:line="12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unaudited pro forma condensed combined financial statements are for illustrative purposes only and are not necessarily indicative of what the actual results of operations and financial position would have been had the Business Combination and the PIPE Investment taken place on the dates indicated, nor are they indicative of the future consolidated results of operations or financial position of Sema4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1440"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31, 2021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Historical</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jc w:val="right"/>
              <w:ind w:right="13"/>
              <w:spacing w:after="0"/>
              <w:rPr>
                <w:sz w:val="20"/>
                <w:szCs w:val="20"/>
                <w:color w:val="auto"/>
              </w:rPr>
            </w:pPr>
            <w:r>
              <w:rPr>
                <w:rFonts w:ascii="Arial" w:cs="Arial" w:eastAsia="Arial" w:hAnsi="Arial"/>
                <w:sz w:val="14"/>
                <w:szCs w:val="14"/>
                <w:b w:val="1"/>
                <w:bCs w:val="1"/>
                <w:color w:val="auto"/>
              </w:rPr>
              <w:t>Actual</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vMerge w:val="continue"/>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Redemptions</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5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5(A)</w:t>
            </w:r>
          </w:p>
        </w:tc>
        <w:tc>
          <w:tcPr>
            <w:tcW w:w="320" w:type="dxa"/>
            <w:vAlign w:val="bottom"/>
          </w:tcPr>
          <w:p>
            <w:pPr>
              <w:spacing w:after="0"/>
              <w:rPr>
                <w:sz w:val="11"/>
                <w:szCs w:val="11"/>
                <w:color w:val="auto"/>
              </w:rPr>
            </w:pPr>
          </w:p>
        </w:tc>
        <w:tc>
          <w:tcPr>
            <w:tcW w:w="9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5"/>
              </w:rPr>
              <w:t>5(B)</w:t>
            </w:r>
          </w:p>
        </w:tc>
        <w:tc>
          <w:tcPr>
            <w:tcW w:w="160" w:type="dxa"/>
            <w:vAlign w:val="bottom"/>
          </w:tcPr>
          <w:p>
            <w:pPr>
              <w:spacing w:after="0"/>
              <w:rPr>
                <w:sz w:val="11"/>
                <w:szCs w:val="11"/>
                <w:color w:val="auto"/>
              </w:rPr>
            </w:pPr>
          </w:p>
        </w:tc>
        <w:tc>
          <w:tcPr>
            <w:tcW w:w="1040" w:type="dxa"/>
            <w:vAlign w:val="bottom"/>
          </w:tcPr>
          <w:p>
            <w:pPr>
              <w:jc w:val="center"/>
              <w:ind w:right="74"/>
              <w:spacing w:after="0" w:line="127" w:lineRule="exact"/>
              <w:rPr>
                <w:sz w:val="20"/>
                <w:szCs w:val="20"/>
                <w:color w:val="auto"/>
              </w:rPr>
            </w:pPr>
            <w:r>
              <w:rPr>
                <w:rFonts w:ascii="Arial" w:cs="Arial" w:eastAsia="Arial" w:hAnsi="Arial"/>
                <w:sz w:val="14"/>
                <w:szCs w:val="14"/>
                <w:b w:val="1"/>
                <w:bCs w:val="1"/>
                <w:color w:val="auto"/>
                <w:w w:val="90"/>
              </w:rPr>
              <w:t>Transaction</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33"/>
        </w:trPr>
        <w:tc>
          <w:tcPr>
            <w:tcW w:w="5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jc w:val="center"/>
              <w:ind w:right="74"/>
              <w:spacing w:after="0" w:line="133" w:lineRule="exact"/>
              <w:rPr>
                <w:sz w:val="20"/>
                <w:szCs w:val="20"/>
                <w:color w:val="auto"/>
              </w:rPr>
            </w:pPr>
            <w:r>
              <w:rPr>
                <w:rFonts w:ascii="Arial" w:cs="Arial" w:eastAsia="Arial" w:hAnsi="Arial"/>
                <w:sz w:val="14"/>
                <w:szCs w:val="14"/>
                <w:b w:val="1"/>
                <w:bCs w:val="1"/>
                <w:color w:val="auto"/>
                <w:w w:val="88"/>
              </w:rPr>
              <w:t>Accounting</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CMLS</w:t>
            </w:r>
          </w:p>
        </w:tc>
        <w:tc>
          <w:tcPr>
            <w:tcW w:w="320" w:type="dxa"/>
            <w:vAlign w:val="bottom"/>
          </w:tcPr>
          <w:p>
            <w:pPr>
              <w:spacing w:after="0"/>
              <w:rPr>
                <w:sz w:val="16"/>
                <w:szCs w:val="16"/>
                <w:color w:val="auto"/>
              </w:rPr>
            </w:pPr>
          </w:p>
        </w:tc>
        <w:tc>
          <w:tcPr>
            <w:tcW w:w="9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Sema4</w:t>
            </w:r>
          </w:p>
        </w:tc>
        <w:tc>
          <w:tcPr>
            <w:tcW w:w="160" w:type="dxa"/>
            <w:vAlign w:val="bottom"/>
          </w:tcPr>
          <w:p>
            <w:pPr>
              <w:spacing w:after="0"/>
              <w:rPr>
                <w:sz w:val="16"/>
                <w:szCs w:val="16"/>
                <w:color w:val="auto"/>
              </w:rPr>
            </w:pPr>
          </w:p>
        </w:tc>
        <w:tc>
          <w:tcPr>
            <w:tcW w:w="1040" w:type="dxa"/>
            <w:vAlign w:val="bottom"/>
          </w:tcPr>
          <w:p>
            <w:pPr>
              <w:jc w:val="center"/>
              <w:ind w:right="74"/>
              <w:spacing w:after="0"/>
              <w:rPr>
                <w:sz w:val="20"/>
                <w:szCs w:val="20"/>
                <w:color w:val="auto"/>
              </w:rPr>
            </w:pPr>
            <w:r>
              <w:rPr>
                <w:rFonts w:ascii="Arial" w:cs="Arial" w:eastAsia="Arial" w:hAnsi="Arial"/>
                <w:sz w:val="14"/>
                <w:szCs w:val="14"/>
                <w:b w:val="1"/>
                <w:bCs w:val="1"/>
                <w:color w:val="auto"/>
                <w:w w:val="89"/>
              </w:rPr>
              <w:t>Adjustments</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93"/>
              <w:spacing w:after="0"/>
              <w:rPr>
                <w:sz w:val="20"/>
                <w:szCs w:val="20"/>
                <w:color w:val="auto"/>
              </w:rPr>
            </w:pPr>
            <w:r>
              <w:rPr>
                <w:rFonts w:ascii="Arial" w:cs="Arial" w:eastAsia="Arial" w:hAnsi="Arial"/>
                <w:sz w:val="14"/>
                <w:szCs w:val="14"/>
                <w:b w:val="1"/>
                <w:bCs w:val="1"/>
                <w:color w:val="auto"/>
                <w:w w:val="89"/>
              </w:rPr>
              <w:t>Balance Sheet</w:t>
            </w:r>
          </w:p>
        </w:tc>
        <w:tc>
          <w:tcPr>
            <w:tcW w:w="0" w:type="dxa"/>
            <w:vAlign w:val="bottom"/>
          </w:tcPr>
          <w:p>
            <w:pPr>
              <w:spacing w:after="0"/>
              <w:rPr>
                <w:sz w:val="1"/>
                <w:szCs w:val="1"/>
                <w:color w:val="auto"/>
              </w:rPr>
            </w:pPr>
          </w:p>
        </w:tc>
      </w:tr>
      <w:tr>
        <w:trPr>
          <w:trHeight w:val="206"/>
        </w:trPr>
        <w:tc>
          <w:tcPr>
            <w:tcW w:w="564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ASSETS</w:t>
            </w:r>
          </w:p>
        </w:tc>
        <w:tc>
          <w:tcPr>
            <w:tcW w:w="2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6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497,393</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5(a)</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556,672</w:t>
            </w:r>
          </w:p>
        </w:tc>
        <w:tc>
          <w:tcPr>
            <w:tcW w:w="0" w:type="dxa"/>
            <w:vAlign w:val="bottom"/>
          </w:tcPr>
          <w:p>
            <w:pPr>
              <w:spacing w:after="0"/>
              <w:rPr>
                <w:sz w:val="1"/>
                <w:szCs w:val="1"/>
                <w:color w:val="auto"/>
              </w:rPr>
            </w:pPr>
          </w:p>
        </w:tc>
      </w:tr>
      <w:tr>
        <w:trPr>
          <w:trHeight w:val="225"/>
        </w:trPr>
        <w:tc>
          <w:tcPr>
            <w:tcW w:w="564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33,490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33,490</w:t>
            </w:r>
          </w:p>
        </w:tc>
        <w:tc>
          <w:tcPr>
            <w:tcW w:w="0" w:type="dxa"/>
            <w:vAlign w:val="bottom"/>
          </w:tcPr>
          <w:p>
            <w:pPr>
              <w:spacing w:after="0"/>
              <w:rPr>
                <w:sz w:val="1"/>
                <w:szCs w:val="1"/>
                <w:color w:val="auto"/>
              </w:rPr>
            </w:pPr>
          </w:p>
        </w:tc>
      </w:tr>
      <w:tr>
        <w:trPr>
          <w:trHeight w:val="226"/>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Due from related parties</w:t>
            </w: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25"/>
        </w:trPr>
        <w:tc>
          <w:tcPr>
            <w:tcW w:w="564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2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32,969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32,969</w:t>
            </w:r>
          </w:p>
        </w:tc>
        <w:tc>
          <w:tcPr>
            <w:tcW w:w="0" w:type="dxa"/>
            <w:vAlign w:val="bottom"/>
          </w:tcPr>
          <w:p>
            <w:pPr>
              <w:spacing w:after="0"/>
              <w:rPr>
                <w:sz w:val="1"/>
                <w:szCs w:val="1"/>
                <w:color w:val="auto"/>
              </w:rPr>
            </w:pPr>
          </w:p>
        </w:tc>
      </w:tr>
      <w:tr>
        <w:trPr>
          <w:trHeight w:val="226"/>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(5,482)</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5(b)</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9,882</w:t>
            </w:r>
          </w:p>
        </w:tc>
        <w:tc>
          <w:tcPr>
            <w:tcW w:w="0" w:type="dxa"/>
            <w:vAlign w:val="bottom"/>
          </w:tcPr>
          <w:p>
            <w:pPr>
              <w:spacing w:after="0"/>
              <w:rPr>
                <w:sz w:val="1"/>
                <w:szCs w:val="1"/>
                <w:color w:val="auto"/>
              </w:rPr>
            </w:pPr>
          </w:p>
        </w:tc>
      </w:tr>
      <w:tr>
        <w:trPr>
          <w:trHeight w:val="218"/>
        </w:trPr>
        <w:tc>
          <w:tcPr>
            <w:tcW w:w="564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140,530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491,911</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633,362</w:t>
            </w:r>
          </w:p>
        </w:tc>
        <w:tc>
          <w:tcPr>
            <w:tcW w:w="0" w:type="dxa"/>
            <w:vAlign w:val="bottom"/>
          </w:tcPr>
          <w:p>
            <w:pPr>
              <w:spacing w:after="0"/>
              <w:rPr>
                <w:sz w:val="1"/>
                <w:szCs w:val="1"/>
                <w:color w:val="auto"/>
              </w:rPr>
            </w:pPr>
          </w:p>
        </w:tc>
      </w:tr>
      <w:tr>
        <w:trPr>
          <w:trHeight w:val="226"/>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64,632</w:t>
            </w:r>
          </w:p>
        </w:tc>
        <w:tc>
          <w:tcPr>
            <w:tcW w:w="0" w:type="dxa"/>
            <w:vAlign w:val="bottom"/>
          </w:tcPr>
          <w:p>
            <w:pPr>
              <w:spacing w:after="0"/>
              <w:rPr>
                <w:sz w:val="1"/>
                <w:szCs w:val="1"/>
                <w:color w:val="auto"/>
              </w:rPr>
            </w:pPr>
          </w:p>
        </w:tc>
      </w:tr>
      <w:tr>
        <w:trPr>
          <w:trHeight w:val="225"/>
        </w:trPr>
        <w:tc>
          <w:tcPr>
            <w:tcW w:w="564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10,828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10,828</w:t>
            </w:r>
          </w:p>
        </w:tc>
        <w:tc>
          <w:tcPr>
            <w:tcW w:w="0" w:type="dxa"/>
            <w:vAlign w:val="bottom"/>
          </w:tcPr>
          <w:p>
            <w:pPr>
              <w:spacing w:after="0"/>
              <w:rPr>
                <w:sz w:val="1"/>
                <w:szCs w:val="1"/>
                <w:color w:val="auto"/>
              </w:rPr>
            </w:pPr>
          </w:p>
        </w:tc>
      </w:tr>
      <w:tr>
        <w:trPr>
          <w:trHeight w:val="226"/>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3,596</w:t>
            </w:r>
          </w:p>
        </w:tc>
        <w:tc>
          <w:tcPr>
            <w:tcW w:w="0" w:type="dxa"/>
            <w:vAlign w:val="bottom"/>
          </w:tcPr>
          <w:p>
            <w:pPr>
              <w:spacing w:after="0"/>
              <w:rPr>
                <w:sz w:val="1"/>
                <w:szCs w:val="1"/>
                <w:color w:val="auto"/>
              </w:rPr>
            </w:pPr>
          </w:p>
        </w:tc>
      </w:tr>
      <w:tr>
        <w:trPr>
          <w:trHeight w:val="225"/>
        </w:trPr>
        <w:tc>
          <w:tcPr>
            <w:tcW w:w="5640" w:type="dxa"/>
            <w:vAlign w:val="bottom"/>
          </w:tcPr>
          <w:p>
            <w:pPr>
              <w:ind w:left="20"/>
              <w:spacing w:after="0"/>
              <w:rPr>
                <w:sz w:val="20"/>
                <w:szCs w:val="20"/>
                <w:color w:val="auto"/>
              </w:rPr>
            </w:pPr>
            <w:r>
              <w:rPr>
                <w:rFonts w:ascii="Arial" w:cs="Arial" w:eastAsia="Arial" w:hAnsi="Arial"/>
                <w:sz w:val="18"/>
                <w:szCs w:val="18"/>
                <w:color w:val="auto"/>
              </w:rPr>
              <w:t>Cash and marketable securities held in trust account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442,775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(442,775)</w:t>
            </w:r>
          </w:p>
        </w:tc>
        <w:tc>
          <w:tcPr>
            <w:tcW w:w="600" w:type="dxa"/>
            <w:vAlign w:val="bottom"/>
          </w:tcPr>
          <w:p>
            <w:pPr>
              <w:jc w:val="right"/>
              <w:spacing w:after="0"/>
              <w:rPr>
                <w:sz w:val="20"/>
                <w:szCs w:val="20"/>
                <w:color w:val="auto"/>
              </w:rPr>
            </w:pPr>
            <w:r>
              <w:rPr>
                <w:rFonts w:ascii="Arial" w:cs="Arial" w:eastAsia="Arial" w:hAnsi="Arial"/>
                <w:sz w:val="18"/>
                <w:szCs w:val="18"/>
                <w:color w:val="auto"/>
              </w:rPr>
              <w:t>5(c)</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56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443,696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219,586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49,136</w:t>
            </w:r>
          </w:p>
        </w:tc>
        <w:tc>
          <w:tcPr>
            <w:tcW w:w="6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712,418</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5640" w:type="dxa"/>
            <w:vAlign w:val="bottom"/>
            <w:shd w:val="clear" w:color="auto" w:fill="CCEEFF"/>
          </w:tcPr>
          <w:p>
            <w:pPr>
              <w:ind w:left="20"/>
              <w:spacing w:after="0" w:line="173" w:lineRule="exact"/>
              <w:rPr>
                <w:sz w:val="20"/>
                <w:szCs w:val="20"/>
                <w:color w:val="auto"/>
              </w:rPr>
            </w:pPr>
            <w:r>
              <w:rPr>
                <w:rFonts w:ascii="Arial" w:cs="Arial" w:eastAsia="Arial" w:hAnsi="Arial"/>
                <w:sz w:val="18"/>
                <w:szCs w:val="18"/>
                <w:color w:val="auto"/>
              </w:rPr>
              <w:t>LIABILITIES, REDEEMABLE CONVERTIBLE PREFERRED STOCK</w:t>
            </w: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STOCKHOLDERS' DEFICIT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6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44,784</w:t>
            </w:r>
          </w:p>
        </w:tc>
        <w:tc>
          <w:tcPr>
            <w:tcW w:w="0" w:type="dxa"/>
            <w:vAlign w:val="bottom"/>
          </w:tcPr>
          <w:p>
            <w:pPr>
              <w:spacing w:after="0"/>
              <w:rPr>
                <w:sz w:val="1"/>
                <w:szCs w:val="1"/>
                <w:color w:val="auto"/>
              </w:rPr>
            </w:pPr>
          </w:p>
        </w:tc>
      </w:tr>
      <w:tr>
        <w:trPr>
          <w:trHeight w:val="225"/>
        </w:trPr>
        <w:tc>
          <w:tcPr>
            <w:tcW w:w="5640" w:type="dxa"/>
            <w:vAlign w:val="bottom"/>
          </w:tcPr>
          <w:p>
            <w:pPr>
              <w:ind w:left="180"/>
              <w:spacing w:after="0"/>
              <w:rPr>
                <w:sz w:val="20"/>
                <w:szCs w:val="20"/>
                <w:color w:val="auto"/>
              </w:rPr>
            </w:pPr>
            <w:r>
              <w:rPr>
                <w:rFonts w:ascii="Arial" w:cs="Arial" w:eastAsia="Arial" w:hAnsi="Arial"/>
                <w:sz w:val="18"/>
                <w:szCs w:val="18"/>
                <w:color w:val="auto"/>
              </w:rPr>
              <w:t>Due to related parties</w:t>
            </w:r>
          </w:p>
        </w:tc>
        <w:tc>
          <w:tcPr>
            <w:tcW w:w="2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26"/>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contract liabilities</w:t>
            </w: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2,810</w:t>
            </w:r>
          </w:p>
        </w:tc>
        <w:tc>
          <w:tcPr>
            <w:tcW w:w="0" w:type="dxa"/>
            <w:vAlign w:val="bottom"/>
          </w:tcPr>
          <w:p>
            <w:pPr>
              <w:spacing w:after="0"/>
              <w:rPr>
                <w:sz w:val="1"/>
                <w:szCs w:val="1"/>
                <w:color w:val="auto"/>
              </w:rPr>
            </w:pPr>
          </w:p>
        </w:tc>
      </w:tr>
      <w:tr>
        <w:trPr>
          <w:trHeight w:val="225"/>
        </w:trPr>
        <w:tc>
          <w:tcPr>
            <w:tcW w:w="564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2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22,991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(1,846)</w:t>
            </w:r>
          </w:p>
        </w:tc>
        <w:tc>
          <w:tcPr>
            <w:tcW w:w="600" w:type="dxa"/>
            <w:vAlign w:val="bottom"/>
          </w:tcPr>
          <w:p>
            <w:pPr>
              <w:jc w:val="right"/>
              <w:spacing w:after="0"/>
              <w:rPr>
                <w:sz w:val="20"/>
                <w:szCs w:val="20"/>
                <w:color w:val="auto"/>
              </w:rPr>
            </w:pPr>
            <w:r>
              <w:rPr>
                <w:rFonts w:ascii="Arial" w:cs="Arial" w:eastAsia="Arial" w:hAnsi="Arial"/>
                <w:sz w:val="18"/>
                <w:szCs w:val="18"/>
                <w:color w:val="auto"/>
              </w:rPr>
              <w:t>5(e)</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21,145</w:t>
            </w:r>
          </w:p>
        </w:tc>
        <w:tc>
          <w:tcPr>
            <w:tcW w:w="0" w:type="dxa"/>
            <w:vAlign w:val="bottom"/>
          </w:tcPr>
          <w:p>
            <w:pPr>
              <w:spacing w:after="0"/>
              <w:rPr>
                <w:sz w:val="1"/>
                <w:szCs w:val="1"/>
                <w:color w:val="auto"/>
              </w:rPr>
            </w:pPr>
          </w:p>
        </w:tc>
      </w:tr>
      <w:tr>
        <w:trPr>
          <w:trHeight w:val="219"/>
        </w:trPr>
        <w:tc>
          <w:tcPr>
            <w:tcW w:w="56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68,207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6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69,536</w:t>
            </w:r>
          </w:p>
        </w:tc>
        <w:tc>
          <w:tcPr>
            <w:tcW w:w="0" w:type="dxa"/>
            <w:vAlign w:val="bottom"/>
          </w:tcPr>
          <w:p>
            <w:pPr>
              <w:spacing w:after="0"/>
              <w:rPr>
                <w:sz w:val="1"/>
                <w:szCs w:val="1"/>
                <w:color w:val="auto"/>
              </w:rPr>
            </w:pPr>
          </w:p>
        </w:tc>
      </w:tr>
      <w:tr>
        <w:trPr>
          <w:trHeight w:val="225"/>
        </w:trPr>
        <w:tc>
          <w:tcPr>
            <w:tcW w:w="5640" w:type="dxa"/>
            <w:vAlign w:val="bottom"/>
          </w:tcPr>
          <w:p>
            <w:pPr>
              <w:ind w:left="20"/>
              <w:spacing w:after="0"/>
              <w:rPr>
                <w:sz w:val="20"/>
                <w:szCs w:val="20"/>
                <w:color w:val="auto"/>
              </w:rPr>
            </w:pPr>
            <w:r>
              <w:rPr>
                <w:rFonts w:ascii="Arial" w:cs="Arial" w:eastAsia="Arial" w:hAnsi="Arial"/>
                <w:sz w:val="18"/>
                <w:szCs w:val="18"/>
                <w:color w:val="auto"/>
              </w:rPr>
              <w:t>Long-term debt, net of current portion</w:t>
            </w:r>
          </w:p>
        </w:tc>
        <w:tc>
          <w:tcPr>
            <w:tcW w:w="2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18,502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(7,502)</w:t>
            </w:r>
          </w:p>
        </w:tc>
        <w:tc>
          <w:tcPr>
            <w:tcW w:w="600" w:type="dxa"/>
            <w:vAlign w:val="bottom"/>
          </w:tcPr>
          <w:p>
            <w:pPr>
              <w:jc w:val="right"/>
              <w:spacing w:after="0"/>
              <w:rPr>
                <w:sz w:val="20"/>
                <w:szCs w:val="20"/>
                <w:color w:val="auto"/>
              </w:rPr>
            </w:pPr>
            <w:r>
              <w:rPr>
                <w:rFonts w:ascii="Arial" w:cs="Arial" w:eastAsia="Arial" w:hAnsi="Arial"/>
                <w:sz w:val="18"/>
                <w:szCs w:val="18"/>
                <w:color w:val="auto"/>
              </w:rPr>
              <w:t>5(e)</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26"/>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liabilities</w:t>
            </w: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296,952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296,952</w:t>
            </w:r>
          </w:p>
        </w:tc>
        <w:tc>
          <w:tcPr>
            <w:tcW w:w="0" w:type="dxa"/>
            <w:vAlign w:val="bottom"/>
          </w:tcPr>
          <w:p>
            <w:pPr>
              <w:spacing w:after="0"/>
              <w:rPr>
                <w:sz w:val="1"/>
                <w:szCs w:val="1"/>
                <w:color w:val="auto"/>
              </w:rPr>
            </w:pPr>
          </w:p>
        </w:tc>
      </w:tr>
      <w:tr>
        <w:trPr>
          <w:trHeight w:val="225"/>
        </w:trPr>
        <w:tc>
          <w:tcPr>
            <w:tcW w:w="564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22,530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22,530</w:t>
            </w:r>
          </w:p>
        </w:tc>
        <w:tc>
          <w:tcPr>
            <w:tcW w:w="0" w:type="dxa"/>
            <w:vAlign w:val="bottom"/>
          </w:tcPr>
          <w:p>
            <w:pPr>
              <w:spacing w:after="0"/>
              <w:rPr>
                <w:sz w:val="1"/>
                <w:szCs w:val="1"/>
                <w:color w:val="auto"/>
              </w:rPr>
            </w:pPr>
          </w:p>
        </w:tc>
      </w:tr>
      <w:tr>
        <w:trPr>
          <w:trHeight w:val="226"/>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Earn-out liability</w:t>
            </w: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199,962</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5(f)</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199,962</w:t>
            </w:r>
          </w:p>
        </w:tc>
        <w:tc>
          <w:tcPr>
            <w:tcW w:w="0" w:type="dxa"/>
            <w:vAlign w:val="bottom"/>
          </w:tcPr>
          <w:p>
            <w:pPr>
              <w:spacing w:after="0"/>
              <w:rPr>
                <w:sz w:val="1"/>
                <w:szCs w:val="1"/>
                <w:color w:val="auto"/>
              </w:rPr>
            </w:pPr>
          </w:p>
        </w:tc>
      </w:tr>
      <w:tr>
        <w:trPr>
          <w:trHeight w:val="225"/>
        </w:trPr>
        <w:tc>
          <w:tcPr>
            <w:tcW w:w="5640" w:type="dxa"/>
            <w:vAlign w:val="bottom"/>
          </w:tcPr>
          <w:p>
            <w:pPr>
              <w:ind w:left="20"/>
              <w:spacing w:after="0"/>
              <w:rPr>
                <w:sz w:val="20"/>
                <w:szCs w:val="20"/>
                <w:color w:val="auto"/>
              </w:rPr>
            </w:pPr>
            <w:r>
              <w:rPr>
                <w:rFonts w:ascii="Arial" w:cs="Arial" w:eastAsia="Arial" w:hAnsi="Arial"/>
                <w:sz w:val="18"/>
                <w:szCs w:val="18"/>
                <w:color w:val="auto"/>
              </w:rPr>
              <w:t>Warrant liability</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126,960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126,960</w:t>
            </w:r>
          </w:p>
        </w:tc>
        <w:tc>
          <w:tcPr>
            <w:tcW w:w="0" w:type="dxa"/>
            <w:vAlign w:val="bottom"/>
          </w:tcPr>
          <w:p>
            <w:pPr>
              <w:spacing w:after="0"/>
              <w:rPr>
                <w:sz w:val="1"/>
                <w:szCs w:val="1"/>
                <w:color w:val="auto"/>
              </w:rPr>
            </w:pPr>
          </w:p>
        </w:tc>
      </w:tr>
      <w:tr>
        <w:trPr>
          <w:trHeight w:val="226"/>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underwriting fee payable</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(15,496)</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5(g)</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5640" w:type="dxa"/>
            <w:vAlign w:val="bottom"/>
          </w:tcPr>
          <w:p>
            <w:pPr>
              <w:ind w:left="34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143,948</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406,191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176,801</w:t>
            </w:r>
          </w:p>
        </w:tc>
        <w:tc>
          <w:tcPr>
            <w:tcW w:w="6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726,940</w:t>
            </w:r>
          </w:p>
        </w:tc>
        <w:tc>
          <w:tcPr>
            <w:tcW w:w="0" w:type="dxa"/>
            <w:vAlign w:val="bottom"/>
          </w:tcPr>
          <w:p>
            <w:pPr>
              <w:spacing w:after="0"/>
              <w:rPr>
                <w:sz w:val="1"/>
                <w:szCs w:val="1"/>
                <w:color w:val="auto"/>
              </w:rPr>
            </w:pPr>
          </w:p>
        </w:tc>
      </w:tr>
      <w:tr>
        <w:trPr>
          <w:trHeight w:val="226"/>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640" w:type="dxa"/>
            <w:vAlign w:val="bottom"/>
          </w:tcPr>
          <w:p>
            <w:pPr>
              <w:ind w:left="20"/>
              <w:spacing w:after="0"/>
              <w:rPr>
                <w:sz w:val="20"/>
                <w:szCs w:val="20"/>
                <w:color w:val="auto"/>
              </w:rPr>
            </w:pPr>
            <w:r>
              <w:rPr>
                <w:rFonts w:ascii="Arial" w:cs="Arial" w:eastAsia="Arial" w:hAnsi="Arial"/>
                <w:sz w:val="18"/>
                <w:szCs w:val="18"/>
                <w:color w:val="auto"/>
              </w:rPr>
              <w:t>Redeemable convertible preferred stock:</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Sema4 Series A-1 redeemable convertible preferred stock, $0.00001 par value</w:t>
            </w: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(51,811)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5(h)</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640" w:type="dxa"/>
            <w:vAlign w:val="bottom"/>
          </w:tcPr>
          <w:p>
            <w:pPr>
              <w:ind w:left="20"/>
              <w:spacing w:after="0"/>
              <w:rPr>
                <w:sz w:val="20"/>
                <w:szCs w:val="20"/>
                <w:color w:val="auto"/>
              </w:rPr>
            </w:pPr>
            <w:r>
              <w:rPr>
                <w:rFonts w:ascii="Arial" w:cs="Arial" w:eastAsia="Arial" w:hAnsi="Arial"/>
                <w:sz w:val="18"/>
                <w:szCs w:val="18"/>
                <w:color w:val="auto"/>
                <w:w w:val="89"/>
              </w:rPr>
              <w:t>Sema4 Series A-2 redeemable convertible preferred stock, $0.00001 par value</w:t>
            </w:r>
          </w:p>
        </w:tc>
        <w:tc>
          <w:tcPr>
            <w:tcW w:w="2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46,480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(46,480)</w:t>
            </w:r>
          </w:p>
        </w:tc>
        <w:tc>
          <w:tcPr>
            <w:tcW w:w="600" w:type="dxa"/>
            <w:vAlign w:val="bottom"/>
          </w:tcPr>
          <w:p>
            <w:pPr>
              <w:jc w:val="right"/>
              <w:spacing w:after="0"/>
              <w:rPr>
                <w:sz w:val="20"/>
                <w:szCs w:val="20"/>
                <w:color w:val="auto"/>
              </w:rPr>
            </w:pPr>
            <w:r>
              <w:rPr>
                <w:rFonts w:ascii="Arial" w:cs="Arial" w:eastAsia="Arial" w:hAnsi="Arial"/>
                <w:sz w:val="18"/>
                <w:szCs w:val="18"/>
                <w:color w:val="auto"/>
              </w:rPr>
              <w:t>5(h)</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Sema4 Series B redeemable convertible preferred stock, $0.00001 par value</w:t>
            </w: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(118,824)</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5(h)</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1"/>
              </w:rPr>
              <w:t>Sema4 Series C redeemable convertible preferred stock, $0.00001 par value</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117,324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(117,324)</w:t>
            </w:r>
          </w:p>
        </w:tc>
        <w:tc>
          <w:tcPr>
            <w:tcW w:w="6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5(h)</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5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Redeemable convertible preferred stock</w:t>
            </w: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334,439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(334,439)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5(h)</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640" w:type="dxa"/>
            <w:vAlign w:val="bottom"/>
          </w:tcPr>
          <w:p>
            <w:pPr>
              <w:ind w:left="20"/>
              <w:spacing w:after="0"/>
              <w:rPr>
                <w:sz w:val="20"/>
                <w:szCs w:val="20"/>
                <w:color w:val="auto"/>
              </w:rPr>
            </w:pPr>
            <w:r>
              <w:rPr>
                <w:rFonts w:ascii="Arial" w:cs="Arial" w:eastAsia="Arial" w:hAnsi="Arial"/>
                <w:sz w:val="18"/>
                <w:szCs w:val="18"/>
                <w:color w:val="auto"/>
              </w:rPr>
              <w:t>CMLS Class A Common stock subject to possible redemption</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294,748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(294,748)</w:t>
            </w:r>
          </w:p>
        </w:tc>
        <w:tc>
          <w:tcPr>
            <w:tcW w:w="600" w:type="dxa"/>
            <w:vAlign w:val="bottom"/>
          </w:tcPr>
          <w:p>
            <w:pPr>
              <w:jc w:val="right"/>
              <w:spacing w:after="0"/>
              <w:rPr>
                <w:sz w:val="20"/>
                <w:szCs w:val="20"/>
                <w:color w:val="auto"/>
              </w:rPr>
            </w:pPr>
            <w:r>
              <w:rPr>
                <w:rFonts w:ascii="Arial" w:cs="Arial" w:eastAsia="Arial" w:hAnsi="Arial"/>
                <w:sz w:val="18"/>
                <w:szCs w:val="18"/>
                <w:color w:val="auto"/>
              </w:rPr>
              <w:t>5(i)</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2"/>
        </w:trPr>
        <w:tc>
          <w:tcPr>
            <w:tcW w:w="56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pro forma condensed combined financial information.</w:t>
      </w:r>
    </w:p>
    <w:p>
      <w:pPr>
        <w:sectPr>
          <w:pgSz w:w="11900" w:h="16838" w:orient="portrait"/>
          <w:cols w:equalWidth="0" w:num="1">
            <w:col w:w="11240"/>
          </w:cols>
          <w:pgMar w:left="320" w:top="121" w:right="339" w:bottom="1440" w:gutter="0" w:footer="0" w:header="0"/>
        </w:sectPr>
      </w:pPr>
    </w:p>
    <w:bookmarkStart w:id="76" w:name="page77"/>
    <w:bookmarkEnd w:id="76"/>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640" w:type="dxa"/>
            <w:vAlign w:val="bottom"/>
          </w:tcPr>
          <w:p>
            <w:pPr>
              <w:ind w:left="20"/>
              <w:spacing w:after="0"/>
              <w:rPr>
                <w:sz w:val="20"/>
                <w:szCs w:val="20"/>
                <w:color w:val="auto"/>
              </w:rPr>
            </w:pPr>
            <w:r>
              <w:rPr>
                <w:rFonts w:ascii="Arial" w:cs="Arial" w:eastAsia="Arial" w:hAnsi="Arial"/>
                <w:sz w:val="18"/>
                <w:szCs w:val="18"/>
                <w:color w:val="auto"/>
              </w:rPr>
              <w:t>STOCKHOLDERS' EQUITY (DEFICIT)</w:t>
            </w: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Sema4 Class A common stock, $0.00001 par value</w:t>
            </w:r>
          </w:p>
        </w:tc>
        <w:tc>
          <w:tcPr>
            <w:tcW w:w="3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640" w:type="dxa"/>
            <w:vAlign w:val="bottom"/>
          </w:tcPr>
          <w:p>
            <w:pPr>
              <w:ind w:left="20"/>
              <w:spacing w:after="0"/>
              <w:rPr>
                <w:sz w:val="20"/>
                <w:szCs w:val="20"/>
                <w:color w:val="auto"/>
              </w:rPr>
            </w:pPr>
            <w:r>
              <w:rPr>
                <w:rFonts w:ascii="Arial" w:cs="Arial" w:eastAsia="Arial" w:hAnsi="Arial"/>
                <w:sz w:val="18"/>
                <w:szCs w:val="18"/>
                <w:color w:val="auto"/>
              </w:rPr>
              <w:t>Sema4 Class B convertible common stock, $0.00001 par value</w:t>
            </w:r>
          </w:p>
        </w:tc>
        <w:tc>
          <w:tcPr>
            <w:tcW w:w="3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CMLS Preferred stock, $0.0001 par value</w:t>
            </w:r>
          </w:p>
        </w:tc>
        <w:tc>
          <w:tcPr>
            <w:tcW w:w="3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640" w:type="dxa"/>
            <w:vAlign w:val="bottom"/>
          </w:tcPr>
          <w:p>
            <w:pPr>
              <w:ind w:left="20"/>
              <w:spacing w:after="0"/>
              <w:rPr>
                <w:sz w:val="20"/>
                <w:szCs w:val="20"/>
                <w:color w:val="auto"/>
              </w:rPr>
            </w:pPr>
            <w:r>
              <w:rPr>
                <w:rFonts w:ascii="Arial" w:cs="Arial" w:eastAsia="Arial" w:hAnsi="Arial"/>
                <w:sz w:val="18"/>
                <w:szCs w:val="18"/>
                <w:color w:val="auto"/>
              </w:rPr>
              <w:t>CMLS Class A common stock, $0.0001 par value</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c>
          <w:tcPr>
            <w:tcW w:w="600" w:type="dxa"/>
            <w:vAlign w:val="bottom"/>
          </w:tcPr>
          <w:p>
            <w:pPr>
              <w:ind w:left="320"/>
              <w:spacing w:after="0"/>
              <w:rPr>
                <w:sz w:val="20"/>
                <w:szCs w:val="20"/>
                <w:color w:val="auto"/>
              </w:rPr>
            </w:pPr>
            <w:r>
              <w:rPr>
                <w:rFonts w:ascii="Arial" w:cs="Arial" w:eastAsia="Arial" w:hAnsi="Arial"/>
                <w:sz w:val="18"/>
                <w:szCs w:val="18"/>
                <w:color w:val="auto"/>
                <w:w w:val="99"/>
              </w:rPr>
              <w:t>5(j)</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6"/>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CMLS Class B common stock, $0.0001 par value</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9"/>
              </w:rPr>
              <w:t>5(j)</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64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103,378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412,617</w:t>
            </w:r>
          </w:p>
        </w:tc>
        <w:tc>
          <w:tcPr>
            <w:tcW w:w="600" w:type="dxa"/>
            <w:vAlign w:val="bottom"/>
          </w:tcPr>
          <w:p>
            <w:pPr>
              <w:ind w:left="320"/>
              <w:spacing w:after="0"/>
              <w:rPr>
                <w:sz w:val="20"/>
                <w:szCs w:val="20"/>
                <w:color w:val="auto"/>
              </w:rPr>
            </w:pPr>
            <w:r>
              <w:rPr>
                <w:rFonts w:ascii="Arial" w:cs="Arial" w:eastAsia="Arial" w:hAnsi="Arial"/>
                <w:sz w:val="18"/>
                <w:szCs w:val="18"/>
                <w:color w:val="auto"/>
                <w:w w:val="99"/>
              </w:rPr>
              <w:t>5(j)</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515,082</w:t>
            </w:r>
          </w:p>
        </w:tc>
        <w:tc>
          <w:tcPr>
            <w:tcW w:w="0" w:type="dxa"/>
            <w:vAlign w:val="bottom"/>
          </w:tcPr>
          <w:p>
            <w:pPr>
              <w:spacing w:after="0"/>
              <w:rPr>
                <w:sz w:val="1"/>
                <w:szCs w:val="1"/>
                <w:color w:val="auto"/>
              </w:rPr>
            </w:pPr>
          </w:p>
        </w:tc>
      </w:tr>
      <w:tr>
        <w:trPr>
          <w:trHeight w:val="226"/>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(98,380)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(521,044)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88,898</w:t>
            </w: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9"/>
              </w:rPr>
              <w:t>5(j)</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(529,613)</w:t>
            </w:r>
          </w:p>
        </w:tc>
        <w:tc>
          <w:tcPr>
            <w:tcW w:w="0" w:type="dxa"/>
            <w:vAlign w:val="bottom"/>
          </w:tcPr>
          <w:p>
            <w:pPr>
              <w:spacing w:after="0"/>
              <w:rPr>
                <w:sz w:val="1"/>
                <w:szCs w:val="1"/>
                <w:color w:val="auto"/>
              </w:rPr>
            </w:pPr>
          </w:p>
        </w:tc>
      </w:tr>
      <w:tr>
        <w:trPr>
          <w:trHeight w:val="218"/>
        </w:trPr>
        <w:tc>
          <w:tcPr>
            <w:tcW w:w="56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stockholders' equity (deficit)</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(521,044)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501,522</w:t>
            </w:r>
          </w:p>
        </w:tc>
        <w:tc>
          <w:tcPr>
            <w:tcW w:w="6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w w:val="99"/>
              </w:rPr>
              <w:t>5(j)</w:t>
            </w: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(14,522)</w:t>
            </w:r>
          </w:p>
        </w:tc>
        <w:tc>
          <w:tcPr>
            <w:tcW w:w="0" w:type="dxa"/>
            <w:vAlign w:val="bottom"/>
          </w:tcPr>
          <w:p>
            <w:pPr>
              <w:spacing w:after="0"/>
              <w:rPr>
                <w:sz w:val="1"/>
                <w:szCs w:val="1"/>
                <w:color w:val="auto"/>
              </w:rPr>
            </w:pPr>
          </w:p>
        </w:tc>
      </w:tr>
      <w:tr>
        <w:trPr>
          <w:trHeight w:val="154"/>
        </w:trPr>
        <w:tc>
          <w:tcPr>
            <w:tcW w:w="5640" w:type="dxa"/>
            <w:vAlign w:val="bottom"/>
            <w:shd w:val="clear" w:color="auto" w:fill="CCEEFF"/>
          </w:tcPr>
          <w:p>
            <w:pPr>
              <w:ind w:left="340"/>
              <w:spacing w:after="0" w:line="154" w:lineRule="exact"/>
              <w:rPr>
                <w:sz w:val="20"/>
                <w:szCs w:val="20"/>
                <w:color w:val="auto"/>
              </w:rPr>
            </w:pPr>
            <w:r>
              <w:rPr>
                <w:rFonts w:ascii="Arial" w:cs="Arial" w:eastAsia="Arial" w:hAnsi="Arial"/>
                <w:sz w:val="17"/>
                <w:szCs w:val="17"/>
                <w:color w:val="auto"/>
                <w:w w:val="96"/>
              </w:rPr>
              <w:t>Total liabilities, redeemable convertible preferred stock and stockholders'</w:t>
            </w:r>
          </w:p>
        </w:tc>
        <w:tc>
          <w:tcPr>
            <w:tcW w:w="34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443,696</w:t>
            </w:r>
          </w:p>
        </w:tc>
        <w:tc>
          <w:tcPr>
            <w:tcW w:w="10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219,586</w:t>
            </w:r>
          </w:p>
        </w:tc>
        <w:tc>
          <w:tcPr>
            <w:tcW w:w="10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49,136</w:t>
            </w:r>
          </w:p>
        </w:tc>
        <w:tc>
          <w:tcPr>
            <w:tcW w:w="60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712,418</w:t>
            </w:r>
          </w:p>
        </w:tc>
        <w:tc>
          <w:tcPr>
            <w:tcW w:w="0" w:type="dxa"/>
            <w:vAlign w:val="bottom"/>
          </w:tcPr>
          <w:p>
            <w:pPr>
              <w:spacing w:after="0"/>
              <w:rPr>
                <w:sz w:val="1"/>
                <w:szCs w:val="1"/>
                <w:color w:val="auto"/>
              </w:rPr>
            </w:pPr>
          </w:p>
        </w:tc>
      </w:tr>
      <w:tr>
        <w:trPr>
          <w:trHeight w:val="218"/>
        </w:trPr>
        <w:tc>
          <w:tcPr>
            <w:tcW w:w="5640" w:type="dxa"/>
            <w:vAlign w:val="bottom"/>
            <w:tcBorders>
              <w:bottom w:val="single" w:sz="8" w:color="CCEEFF"/>
            </w:tcBorders>
            <w:shd w:val="clear" w:color="auto" w:fill="CCEEFF"/>
          </w:tcPr>
          <w:p>
            <w:pPr>
              <w:ind w:left="500"/>
              <w:spacing w:after="0" w:line="198" w:lineRule="exact"/>
              <w:rPr>
                <w:sz w:val="20"/>
                <w:szCs w:val="20"/>
                <w:color w:val="auto"/>
              </w:rPr>
            </w:pPr>
            <w:r>
              <w:rPr>
                <w:rFonts w:ascii="Arial" w:cs="Arial" w:eastAsia="Arial" w:hAnsi="Arial"/>
                <w:sz w:val="18"/>
                <w:szCs w:val="18"/>
                <w:color w:val="auto"/>
              </w:rPr>
              <w:t>deficit</w:t>
            </w:r>
          </w:p>
        </w:tc>
        <w:tc>
          <w:tcPr>
            <w:tcW w:w="34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vMerge w:val="continue"/>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pro forma condensed combined financial information.</w:t>
      </w:r>
    </w:p>
    <w:p>
      <w:pPr>
        <w:sectPr>
          <w:pgSz w:w="11900" w:h="16838" w:orient="portrait"/>
          <w:cols w:equalWidth="0" w:num="1">
            <w:col w:w="11240"/>
          </w:cols>
          <w:pgMar w:left="320" w:top="1440"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164"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FOR THE THREE MONTHS ENDED MARCH 31, 2021</w:t>
      </w:r>
    </w:p>
    <w:p>
      <w:pPr>
        <w:spacing w:after="0" w:line="164"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(Dollars in thousands, except share and per share amounts)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3"/>
              </w:rPr>
              <w:t>Actual</w:t>
            </w: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6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4"/>
                <w:szCs w:val="14"/>
                <w:b w:val="1"/>
                <w:bCs w:val="1"/>
                <w:color w:val="auto"/>
              </w:rPr>
              <w:t>Historical</w:t>
            </w:r>
          </w:p>
        </w:tc>
        <w:tc>
          <w:tcPr>
            <w:tcW w:w="1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center"/>
              <w:ind w:left="13"/>
              <w:spacing w:after="0"/>
              <w:rPr>
                <w:sz w:val="20"/>
                <w:szCs w:val="20"/>
                <w:color w:val="auto"/>
              </w:rPr>
            </w:pPr>
            <w:r>
              <w:rPr>
                <w:rFonts w:ascii="Arial" w:cs="Arial" w:eastAsia="Arial" w:hAnsi="Arial"/>
                <w:sz w:val="14"/>
                <w:szCs w:val="14"/>
                <w:b w:val="1"/>
                <w:bCs w:val="1"/>
                <w:color w:val="auto"/>
                <w:w w:val="90"/>
              </w:rPr>
              <w:t>Redemptions</w:t>
            </w:r>
          </w:p>
        </w:tc>
        <w:tc>
          <w:tcPr>
            <w:tcW w:w="1300" w:type="dxa"/>
            <w:vAlign w:val="bottom"/>
            <w:tcBorders>
              <w:bottom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3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00" w:type="dxa"/>
            <w:vAlign w:val="bottom"/>
            <w:gridSpan w:val="2"/>
            <w:vMerge w:val="restart"/>
          </w:tcPr>
          <w:p>
            <w:pPr>
              <w:jc w:val="center"/>
              <w:ind w:right="440"/>
              <w:spacing w:after="0"/>
              <w:rPr>
                <w:sz w:val="20"/>
                <w:szCs w:val="20"/>
                <w:color w:val="auto"/>
              </w:rPr>
            </w:pPr>
            <w:r>
              <w:rPr>
                <w:rFonts w:ascii="Arial" w:cs="Arial" w:eastAsia="Arial" w:hAnsi="Arial"/>
                <w:sz w:val="14"/>
                <w:szCs w:val="14"/>
                <w:color w:val="auto"/>
                <w:w w:val="98"/>
              </w:rPr>
              <w:t>6(A)</w:t>
            </w:r>
          </w:p>
        </w:tc>
        <w:tc>
          <w:tcPr>
            <w:tcW w:w="420" w:type="dxa"/>
            <w:vAlign w:val="bottom"/>
          </w:tcPr>
          <w:p>
            <w:pPr>
              <w:spacing w:after="0"/>
              <w:rPr>
                <w:sz w:val="11"/>
                <w:szCs w:val="11"/>
                <w:color w:val="auto"/>
              </w:rPr>
            </w:pPr>
          </w:p>
        </w:tc>
        <w:tc>
          <w:tcPr>
            <w:tcW w:w="1140" w:type="dxa"/>
            <w:vAlign w:val="bottom"/>
            <w:vMerge w:val="restart"/>
          </w:tcPr>
          <w:p>
            <w:pPr>
              <w:jc w:val="center"/>
              <w:ind w:right="313"/>
              <w:spacing w:after="0"/>
              <w:rPr>
                <w:sz w:val="20"/>
                <w:szCs w:val="20"/>
                <w:color w:val="auto"/>
              </w:rPr>
            </w:pPr>
            <w:r>
              <w:rPr>
                <w:rFonts w:ascii="Arial" w:cs="Arial" w:eastAsia="Arial" w:hAnsi="Arial"/>
                <w:sz w:val="14"/>
                <w:szCs w:val="14"/>
                <w:color w:val="auto"/>
                <w:w w:val="98"/>
              </w:rPr>
              <w:t>6(B)</w:t>
            </w:r>
          </w:p>
        </w:tc>
        <w:tc>
          <w:tcPr>
            <w:tcW w:w="100" w:type="dxa"/>
            <w:vAlign w:val="bottom"/>
          </w:tcPr>
          <w:p>
            <w:pPr>
              <w:spacing w:after="0"/>
              <w:rPr>
                <w:sz w:val="11"/>
                <w:szCs w:val="11"/>
                <w:color w:val="auto"/>
              </w:rPr>
            </w:pPr>
          </w:p>
        </w:tc>
        <w:tc>
          <w:tcPr>
            <w:tcW w:w="1200" w:type="dxa"/>
            <w:vAlign w:val="bottom"/>
          </w:tcPr>
          <w:p>
            <w:pPr>
              <w:jc w:val="center"/>
              <w:ind w:left="289"/>
              <w:spacing w:after="0" w:line="131" w:lineRule="exact"/>
              <w:rPr>
                <w:sz w:val="20"/>
                <w:szCs w:val="20"/>
                <w:color w:val="auto"/>
              </w:rPr>
            </w:pPr>
            <w:r>
              <w:rPr>
                <w:rFonts w:ascii="Arial" w:cs="Arial" w:eastAsia="Arial" w:hAnsi="Arial"/>
                <w:sz w:val="14"/>
                <w:szCs w:val="14"/>
                <w:b w:val="1"/>
                <w:bCs w:val="1"/>
                <w:color w:val="auto"/>
                <w:w w:val="90"/>
              </w:rPr>
              <w:t>Transaction</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tcPr>
          <w:p>
            <w:pPr>
              <w:jc w:val="center"/>
              <w:ind w:right="154"/>
              <w:spacing w:after="0" w:line="131" w:lineRule="exact"/>
              <w:rPr>
                <w:sz w:val="20"/>
                <w:szCs w:val="20"/>
                <w:color w:val="auto"/>
              </w:rPr>
            </w:pPr>
            <w:r>
              <w:rPr>
                <w:rFonts w:ascii="Arial" w:cs="Arial" w:eastAsia="Arial" w:hAnsi="Arial"/>
                <w:sz w:val="14"/>
                <w:szCs w:val="14"/>
                <w:b w:val="1"/>
                <w:bCs w:val="1"/>
                <w:color w:val="auto"/>
                <w:w w:val="94"/>
              </w:rPr>
              <w:t>Pro Forma</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center"/>
              <w:ind w:left="289"/>
              <w:spacing w:after="0" w:line="133" w:lineRule="exact"/>
              <w:rPr>
                <w:sz w:val="20"/>
                <w:szCs w:val="20"/>
                <w:color w:val="auto"/>
              </w:rPr>
            </w:pPr>
            <w:r>
              <w:rPr>
                <w:rFonts w:ascii="Arial" w:cs="Arial" w:eastAsia="Arial" w:hAnsi="Arial"/>
                <w:sz w:val="14"/>
                <w:szCs w:val="14"/>
                <w:b w:val="1"/>
                <w:bCs w:val="1"/>
                <w:color w:val="auto"/>
                <w:w w:val="88"/>
              </w:rPr>
              <w:t>Accounting</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tcPr>
          <w:p>
            <w:pPr>
              <w:jc w:val="center"/>
              <w:ind w:right="174"/>
              <w:spacing w:after="0" w:line="133" w:lineRule="exact"/>
              <w:rPr>
                <w:sz w:val="20"/>
                <w:szCs w:val="20"/>
                <w:color w:val="auto"/>
              </w:rPr>
            </w:pPr>
            <w:r>
              <w:rPr>
                <w:rFonts w:ascii="Arial" w:cs="Arial" w:eastAsia="Arial" w:hAnsi="Arial"/>
                <w:sz w:val="14"/>
                <w:szCs w:val="14"/>
                <w:b w:val="1"/>
                <w:bCs w:val="1"/>
                <w:color w:val="auto"/>
                <w:w w:val="89"/>
              </w:rPr>
              <w:t>Statement of</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CMLS</w:t>
            </w:r>
          </w:p>
        </w:tc>
        <w:tc>
          <w:tcPr>
            <w:tcW w:w="420" w:type="dxa"/>
            <w:vAlign w:val="bottom"/>
          </w:tcPr>
          <w:p>
            <w:pPr>
              <w:spacing w:after="0"/>
              <w:rPr>
                <w:sz w:val="16"/>
                <w:szCs w:val="16"/>
                <w:color w:val="auto"/>
              </w:rPr>
            </w:pPr>
          </w:p>
        </w:tc>
        <w:tc>
          <w:tcPr>
            <w:tcW w:w="1140" w:type="dxa"/>
            <w:vAlign w:val="bottom"/>
          </w:tcPr>
          <w:p>
            <w:pPr>
              <w:jc w:val="center"/>
              <w:ind w:right="333"/>
              <w:spacing w:after="0"/>
              <w:rPr>
                <w:sz w:val="20"/>
                <w:szCs w:val="20"/>
                <w:color w:val="auto"/>
              </w:rPr>
            </w:pPr>
            <w:r>
              <w:rPr>
                <w:rFonts w:ascii="Arial" w:cs="Arial" w:eastAsia="Arial" w:hAnsi="Arial"/>
                <w:sz w:val="14"/>
                <w:szCs w:val="14"/>
                <w:b w:val="1"/>
                <w:bCs w:val="1"/>
                <w:color w:val="auto"/>
                <w:w w:val="88"/>
              </w:rPr>
              <w:t>Sema4</w:t>
            </w:r>
          </w:p>
        </w:tc>
        <w:tc>
          <w:tcPr>
            <w:tcW w:w="100" w:type="dxa"/>
            <w:vAlign w:val="bottom"/>
          </w:tcPr>
          <w:p>
            <w:pPr>
              <w:spacing w:after="0"/>
              <w:rPr>
                <w:sz w:val="16"/>
                <w:szCs w:val="16"/>
                <w:color w:val="auto"/>
              </w:rPr>
            </w:pPr>
          </w:p>
        </w:tc>
        <w:tc>
          <w:tcPr>
            <w:tcW w:w="1200" w:type="dxa"/>
            <w:vAlign w:val="bottom"/>
          </w:tcPr>
          <w:p>
            <w:pPr>
              <w:jc w:val="center"/>
              <w:ind w:left="289"/>
              <w:spacing w:after="0"/>
              <w:rPr>
                <w:sz w:val="20"/>
                <w:szCs w:val="20"/>
                <w:color w:val="auto"/>
              </w:rPr>
            </w:pPr>
            <w:r>
              <w:rPr>
                <w:rFonts w:ascii="Arial" w:cs="Arial" w:eastAsia="Arial" w:hAnsi="Arial"/>
                <w:sz w:val="14"/>
                <w:szCs w:val="14"/>
                <w:b w:val="1"/>
                <w:bCs w:val="1"/>
                <w:color w:val="auto"/>
                <w:w w:val="89"/>
              </w:rPr>
              <w:t>Adjustments</w:t>
            </w: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center"/>
              <w:ind w:right="174"/>
              <w:spacing w:after="0"/>
              <w:rPr>
                <w:sz w:val="20"/>
                <w:szCs w:val="20"/>
                <w:color w:val="auto"/>
              </w:rPr>
            </w:pPr>
            <w:r>
              <w:rPr>
                <w:rFonts w:ascii="Arial" w:cs="Arial" w:eastAsia="Arial" w:hAnsi="Arial"/>
                <w:sz w:val="14"/>
                <w:szCs w:val="14"/>
                <w:b w:val="1"/>
                <w:bCs w:val="1"/>
                <w:color w:val="auto"/>
                <w:w w:val="91"/>
              </w:rPr>
              <w:t>Operations</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68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Revenue:</w:t>
            </w:r>
          </w:p>
        </w:tc>
        <w:tc>
          <w:tcPr>
            <w:tcW w:w="3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680" w:type="dxa"/>
            <w:vAlign w:val="bottom"/>
          </w:tcPr>
          <w:p>
            <w:pPr>
              <w:ind w:left="240"/>
              <w:spacing w:after="0"/>
              <w:rPr>
                <w:sz w:val="20"/>
                <w:szCs w:val="20"/>
                <w:color w:val="auto"/>
              </w:rPr>
            </w:pPr>
            <w:r>
              <w:rPr>
                <w:rFonts w:ascii="Arial" w:cs="Arial" w:eastAsia="Arial" w:hAnsi="Arial"/>
                <w:sz w:val="18"/>
                <w:szCs w:val="18"/>
                <w:color w:val="auto"/>
              </w:rPr>
              <w:t>Diagnostic test revenue</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1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62,760</w:t>
            </w:r>
          </w:p>
        </w:tc>
        <w:tc>
          <w:tcPr>
            <w:tcW w:w="1300" w:type="dxa"/>
            <w:vAlign w:val="bottom"/>
            <w:gridSpan w:val="2"/>
          </w:tcPr>
          <w:p>
            <w:pPr>
              <w:jc w:val="right"/>
              <w:ind w:right="1029"/>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center"/>
              <w:ind w:right="429"/>
              <w:spacing w:after="0"/>
              <w:rPr>
                <w:sz w:val="20"/>
                <w:szCs w:val="20"/>
                <w:color w:val="auto"/>
              </w:rPr>
            </w:pPr>
            <w:r>
              <w:rPr>
                <w:rFonts w:ascii="Arial" w:cs="Arial" w:eastAsia="Arial" w:hAnsi="Arial"/>
                <w:sz w:val="18"/>
                <w:szCs w:val="18"/>
                <w:color w:val="auto"/>
                <w:w w:val="99"/>
              </w:rPr>
              <w:t>—</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62,760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revenue</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680" w:type="dxa"/>
            <w:vAlign w:val="bottom"/>
          </w:tcPr>
          <w:p>
            <w:pPr>
              <w:ind w:left="660"/>
              <w:spacing w:after="0"/>
              <w:rPr>
                <w:sz w:val="20"/>
                <w:szCs w:val="20"/>
                <w:color w:val="auto"/>
              </w:rPr>
            </w:pPr>
            <w:r>
              <w:rPr>
                <w:rFonts w:ascii="Arial" w:cs="Arial" w:eastAsia="Arial" w:hAnsi="Arial"/>
                <w:sz w:val="18"/>
                <w:szCs w:val="18"/>
                <w:color w:val="auto"/>
              </w:rPr>
              <w:t>Total revenue</w:t>
            </w:r>
          </w:p>
        </w:tc>
        <w:tc>
          <w:tcPr>
            <w:tcW w:w="3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64,351</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gridSpan w:val="2"/>
          </w:tcPr>
          <w:p>
            <w:pPr>
              <w:jc w:val="center"/>
              <w:ind w:right="429"/>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64,351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71,812</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71,812</w:t>
            </w: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680" w:type="dxa"/>
            <w:vAlign w:val="bottom"/>
          </w:tcPr>
          <w:p>
            <w:pPr>
              <w:ind w:left="660"/>
              <w:spacing w:after="0"/>
              <w:rPr>
                <w:sz w:val="20"/>
                <w:szCs w:val="20"/>
                <w:color w:val="auto"/>
              </w:rPr>
            </w:pPr>
            <w:r>
              <w:rPr>
                <w:rFonts w:ascii="Arial" w:cs="Arial" w:eastAsia="Arial" w:hAnsi="Arial"/>
                <w:sz w:val="18"/>
                <w:szCs w:val="18"/>
                <w:color w:val="auto"/>
              </w:rPr>
              <w:t>Total gross profit</w:t>
            </w:r>
          </w:p>
        </w:tc>
        <w:tc>
          <w:tcPr>
            <w:tcW w:w="3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(7,461)</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gridSpan w:val="2"/>
          </w:tcPr>
          <w:p>
            <w:pPr>
              <w:jc w:val="center"/>
              <w:ind w:right="429"/>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(7,461)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8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53,131</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20" w:type="dxa"/>
            <w:vAlign w:val="bottom"/>
            <w:gridSpan w:val="2"/>
          </w:tcPr>
          <w:p>
            <w:pPr>
              <w:jc w:val="center"/>
              <w:ind w:right="429"/>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53,131</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Selling and marketing</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31,569</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center"/>
              <w:ind w:right="429"/>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31,569</w:t>
            </w: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8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1,845</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101,917</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20" w:type="dxa"/>
            <w:vAlign w:val="bottom"/>
            <w:gridSpan w:val="2"/>
          </w:tcPr>
          <w:p>
            <w:pPr>
              <w:jc w:val="center"/>
              <w:ind w:right="429"/>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103,762</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Related party expenses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68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1,845</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188,414</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190,259</w:t>
            </w:r>
          </w:p>
        </w:tc>
        <w:tc>
          <w:tcPr>
            <w:tcW w:w="5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Loss from operations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(195,875)</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center"/>
              <w:ind w:right="429"/>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(197,720)</w:t>
            </w: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8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income</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center"/>
              <w:ind w:right="429"/>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8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(723)</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20" w:type="dxa"/>
            <w:vAlign w:val="bottom"/>
            <w:gridSpan w:val="2"/>
          </w:tcPr>
          <w:p>
            <w:pPr>
              <w:jc w:val="center"/>
              <w:ind w:right="429"/>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(723)</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income, net</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5,584</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center"/>
              <w:ind w:right="429"/>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5,584</w:t>
            </w: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3680" w:type="dxa"/>
            <w:vAlign w:val="bottom"/>
          </w:tcPr>
          <w:p>
            <w:pPr>
              <w:ind w:left="240"/>
              <w:spacing w:after="0" w:line="173" w:lineRule="exact"/>
              <w:rPr>
                <w:sz w:val="20"/>
                <w:szCs w:val="20"/>
                <w:color w:val="auto"/>
              </w:rPr>
            </w:pPr>
            <w:r>
              <w:rPr>
                <w:rFonts w:ascii="Arial" w:cs="Arial" w:eastAsia="Arial" w:hAnsi="Arial"/>
                <w:sz w:val="18"/>
                <w:szCs w:val="18"/>
                <w:color w:val="auto"/>
                <w:w w:val="90"/>
              </w:rPr>
              <w:t>Interest earned on marketable securities held in</w:t>
            </w:r>
          </w:p>
        </w:tc>
        <w:tc>
          <w:tcPr>
            <w:tcW w:w="36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8"/>
                <w:szCs w:val="18"/>
                <w:color w:val="auto"/>
              </w:rPr>
              <w:t>(11) 6(c)</w:t>
            </w:r>
          </w:p>
        </w:tc>
        <w:tc>
          <w:tcPr>
            <w:tcW w:w="26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680" w:type="dxa"/>
            <w:vAlign w:val="bottom"/>
          </w:tcPr>
          <w:p>
            <w:pPr>
              <w:ind w:left="400"/>
              <w:spacing w:after="0"/>
              <w:rPr>
                <w:sz w:val="20"/>
                <w:szCs w:val="20"/>
                <w:color w:val="auto"/>
              </w:rPr>
            </w:pPr>
            <w:r>
              <w:rPr>
                <w:rFonts w:ascii="Arial" w:cs="Arial" w:eastAsia="Arial" w:hAnsi="Arial"/>
                <w:sz w:val="18"/>
                <w:szCs w:val="18"/>
                <w:color w:val="auto"/>
              </w:rPr>
              <w:t>Trust Account</w:t>
            </w:r>
          </w:p>
        </w:tc>
        <w:tc>
          <w:tcPr>
            <w:tcW w:w="36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Change in fair value of warrant liability</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(56,638)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center"/>
              <w:ind w:right="429"/>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(56,638)</w:t>
            </w: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68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other income, net</w:t>
            </w: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(56,627)</w:t>
            </w:r>
          </w:p>
        </w:tc>
        <w:tc>
          <w:tcPr>
            <w:tcW w:w="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4,882</w:t>
            </w:r>
          </w:p>
        </w:tc>
        <w:tc>
          <w:tcPr>
            <w:tcW w:w="100" w:type="dxa"/>
            <w:vAlign w:val="bottom"/>
            <w:tcBorders>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7"/>
              </w:rPr>
              <w:t>(11)</w:t>
            </w:r>
          </w:p>
        </w:tc>
        <w:tc>
          <w:tcPr>
            <w:tcW w:w="5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(51,756)</w:t>
            </w:r>
          </w:p>
        </w:tc>
        <w:tc>
          <w:tcPr>
            <w:tcW w:w="5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loss before income taxes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(58,472)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(190,993)</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(11)</w:t>
            </w:r>
          </w:p>
        </w:tc>
        <w:tc>
          <w:tcPr>
            <w:tcW w:w="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(249,476)</w:t>
            </w: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6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(58,472)</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(190,993)</w:t>
            </w:r>
          </w:p>
        </w:tc>
        <w:tc>
          <w:tcPr>
            <w:tcW w:w="1300" w:type="dxa"/>
            <w:vAlign w:val="bottom"/>
            <w:gridSpan w:val="2"/>
            <w:shd w:val="clear" w:color="auto" w:fill="CCEEFF"/>
          </w:tcPr>
          <w:p>
            <w:pPr>
              <w:jc w:val="right"/>
              <w:ind w:right="1029"/>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(11)</w:t>
            </w:r>
          </w:p>
        </w:tc>
        <w:tc>
          <w:tcPr>
            <w:tcW w:w="56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(249,476)</w:t>
            </w:r>
          </w:p>
        </w:tc>
        <w:tc>
          <w:tcPr>
            <w:tcW w:w="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bottom w:val="single" w:sz="8" w:color="CCEEFF"/>
            </w:tcBorders>
            <w:vMerge w:val="restart"/>
          </w:tcPr>
          <w:p>
            <w:pPr>
              <w:ind w:left="20"/>
              <w:spacing w:after="0" w:line="160" w:lineRule="exact"/>
              <w:rPr>
                <w:sz w:val="20"/>
                <w:szCs w:val="20"/>
                <w:color w:val="auto"/>
              </w:rPr>
            </w:pPr>
            <w:r>
              <w:rPr>
                <w:rFonts w:ascii="Arial" w:cs="Arial" w:eastAsia="Arial" w:hAnsi="Arial"/>
                <w:sz w:val="18"/>
                <w:szCs w:val="18"/>
                <w:color w:val="auto"/>
                <w:w w:val="93"/>
              </w:rPr>
              <w:t>Weighted average shares outstanding, basic and</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368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11,068,750</w:t>
            </w: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240,190,402</w:t>
            </w:r>
          </w:p>
        </w:tc>
        <w:tc>
          <w:tcPr>
            <w:tcW w:w="560" w:type="dxa"/>
            <w:vAlign w:val="bottom"/>
            <w:vMerge w:val="restart"/>
          </w:tcPr>
          <w:p>
            <w:pPr>
              <w:jc w:val="right"/>
              <w:ind w:right="152"/>
              <w:spacing w:after="0"/>
              <w:rPr>
                <w:sz w:val="20"/>
                <w:szCs w:val="20"/>
                <w:color w:val="auto"/>
              </w:rPr>
            </w:pPr>
            <w:r>
              <w:rPr>
                <w:rFonts w:ascii="Arial" w:cs="Arial" w:eastAsia="Arial" w:hAnsi="Arial"/>
                <w:sz w:val="18"/>
                <w:szCs w:val="18"/>
                <w:color w:val="auto"/>
                <w:w w:val="93"/>
              </w:rPr>
              <w:t>6(d)</w:t>
            </w:r>
          </w:p>
        </w:tc>
        <w:tc>
          <w:tcPr>
            <w:tcW w:w="0" w:type="dxa"/>
            <w:vAlign w:val="bottom"/>
          </w:tcPr>
          <w:p>
            <w:pPr>
              <w:spacing w:after="0"/>
              <w:rPr>
                <w:sz w:val="1"/>
                <w:szCs w:val="1"/>
                <w:color w:val="auto"/>
              </w:rPr>
            </w:pPr>
          </w:p>
        </w:tc>
      </w:tr>
      <w:tr>
        <w:trPr>
          <w:trHeight w:val="198"/>
        </w:trPr>
        <w:tc>
          <w:tcPr>
            <w:tcW w:w="3680" w:type="dxa"/>
            <w:vAlign w:val="bottom"/>
          </w:tcPr>
          <w:p>
            <w:pPr>
              <w:ind w:left="180"/>
              <w:spacing w:after="0" w:line="198" w:lineRule="exact"/>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net loss per share</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(43,000.00)</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8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(1.04) 6(d)</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pro forma condensed combined financial information.</w:t>
      </w:r>
    </w:p>
    <w:p>
      <w:pPr>
        <w:sectPr>
          <w:pgSz w:w="11900" w:h="16838" w:orient="portrait"/>
          <w:cols w:equalWidth="0" w:num="1">
            <w:col w:w="11240"/>
          </w:cols>
          <w:pgMar w:left="320" w:top="121" w:right="339" w:bottom="1440" w:gutter="0" w:footer="0" w:header="0"/>
        </w:sectPr>
      </w:pPr>
    </w:p>
    <w:bookmarkStart w:id="78" w:name="page79"/>
    <w:bookmarkEnd w:id="78"/>
    <w:p>
      <w:pPr>
        <w:jc w:val="center"/>
        <w:spacing w:after="0" w:line="443" w:lineRule="auto"/>
        <w:rPr>
          <w:sz w:val="20"/>
          <w:szCs w:val="20"/>
          <w:color w:val="auto"/>
        </w:rPr>
      </w:pPr>
      <w:r>
        <w:rPr>
          <w:rFonts w:ascii="Arial" w:cs="Arial" w:eastAsia="Arial" w:hAnsi="Arial"/>
          <w:sz w:val="18"/>
          <w:szCs w:val="18"/>
          <w:b w:val="1"/>
          <w:bCs w:val="1"/>
          <w:color w:val="auto"/>
        </w:rPr>
        <w:t>UNAUDITED PRO FORMA CONDENSED COMBINED STATEMENT OF OPERATIONS FOR THE YEAR ENDED DECEMBER 31, 2020 (in thousands, except share and per share amounts)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00" w:type="dxa"/>
            <w:vAlign w:val="bottom"/>
            <w:gridSpan w:val="2"/>
          </w:tcPr>
          <w:p>
            <w:pPr>
              <w:jc w:val="right"/>
              <w:ind w:right="16"/>
              <w:spacing w:after="0"/>
              <w:rPr>
                <w:sz w:val="20"/>
                <w:szCs w:val="20"/>
                <w:color w:val="auto"/>
              </w:rPr>
            </w:pPr>
            <w:r>
              <w:rPr>
                <w:rFonts w:ascii="Arial" w:cs="Arial" w:eastAsia="Arial" w:hAnsi="Arial"/>
                <w:sz w:val="14"/>
                <w:szCs w:val="14"/>
                <w:b w:val="1"/>
                <w:bCs w:val="1"/>
                <w:color w:val="auto"/>
              </w:rPr>
              <w:t>Actual</w:t>
            </w:r>
          </w:p>
        </w:tc>
        <w:tc>
          <w:tcPr>
            <w:tcW w:w="1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4"/>
                <w:szCs w:val="14"/>
                <w:b w:val="1"/>
                <w:bCs w:val="1"/>
                <w:color w:val="auto"/>
              </w:rPr>
              <w:t>Historical</w:t>
            </w:r>
          </w:p>
        </w:tc>
        <w:tc>
          <w:tcPr>
            <w:tcW w:w="11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3"/>
          </w:tcPr>
          <w:p>
            <w:pPr>
              <w:jc w:val="right"/>
              <w:ind w:right="1477"/>
              <w:spacing w:after="0"/>
              <w:rPr>
                <w:sz w:val="20"/>
                <w:szCs w:val="20"/>
                <w:color w:val="auto"/>
              </w:rPr>
            </w:pPr>
            <w:r>
              <w:rPr>
                <w:rFonts w:ascii="Arial" w:cs="Arial" w:eastAsia="Arial" w:hAnsi="Arial"/>
                <w:sz w:val="14"/>
                <w:szCs w:val="14"/>
                <w:b w:val="1"/>
                <w:bCs w:val="1"/>
                <w:color w:val="auto"/>
                <w:w w:val="87"/>
              </w:rPr>
              <w:t>Redemptions</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3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00" w:type="dxa"/>
            <w:vAlign w:val="bottom"/>
            <w:gridSpan w:val="2"/>
          </w:tcPr>
          <w:p>
            <w:pPr>
              <w:jc w:val="center"/>
              <w:ind w:right="440"/>
              <w:spacing w:after="0" w:line="131" w:lineRule="exact"/>
              <w:rPr>
                <w:sz w:val="20"/>
                <w:szCs w:val="20"/>
                <w:color w:val="auto"/>
              </w:rPr>
            </w:pPr>
            <w:r>
              <w:rPr>
                <w:rFonts w:ascii="Arial" w:cs="Arial" w:eastAsia="Arial" w:hAnsi="Arial"/>
                <w:sz w:val="14"/>
                <w:szCs w:val="14"/>
                <w:color w:val="auto"/>
                <w:w w:val="98"/>
              </w:rPr>
              <w:t>6(A)</w:t>
            </w:r>
          </w:p>
        </w:tc>
        <w:tc>
          <w:tcPr>
            <w:tcW w:w="400" w:type="dxa"/>
            <w:vAlign w:val="bottom"/>
          </w:tcPr>
          <w:p>
            <w:pPr>
              <w:spacing w:after="0"/>
              <w:rPr>
                <w:sz w:val="11"/>
                <w:szCs w:val="11"/>
                <w:color w:val="auto"/>
              </w:rPr>
            </w:pPr>
          </w:p>
        </w:tc>
        <w:tc>
          <w:tcPr>
            <w:tcW w:w="1180" w:type="dxa"/>
            <w:vAlign w:val="bottom"/>
          </w:tcPr>
          <w:p>
            <w:pPr>
              <w:jc w:val="center"/>
              <w:ind w:right="317"/>
              <w:spacing w:after="0" w:line="131" w:lineRule="exact"/>
              <w:rPr>
                <w:sz w:val="20"/>
                <w:szCs w:val="20"/>
                <w:color w:val="auto"/>
              </w:rPr>
            </w:pPr>
            <w:r>
              <w:rPr>
                <w:rFonts w:ascii="Arial" w:cs="Arial" w:eastAsia="Arial" w:hAnsi="Arial"/>
                <w:sz w:val="14"/>
                <w:szCs w:val="14"/>
                <w:color w:val="auto"/>
                <w:w w:val="98"/>
              </w:rPr>
              <w:t>6(B)</w:t>
            </w:r>
          </w:p>
        </w:tc>
        <w:tc>
          <w:tcPr>
            <w:tcW w:w="80" w:type="dxa"/>
            <w:vAlign w:val="bottom"/>
          </w:tcPr>
          <w:p>
            <w:pPr>
              <w:spacing w:after="0"/>
              <w:rPr>
                <w:sz w:val="11"/>
                <w:szCs w:val="11"/>
                <w:color w:val="auto"/>
              </w:rPr>
            </w:pPr>
          </w:p>
        </w:tc>
        <w:tc>
          <w:tcPr>
            <w:tcW w:w="1560" w:type="dxa"/>
            <w:vAlign w:val="bottom"/>
            <w:gridSpan w:val="2"/>
          </w:tcPr>
          <w:p>
            <w:pPr>
              <w:jc w:val="right"/>
              <w:spacing w:after="0" w:line="131" w:lineRule="exact"/>
              <w:rPr>
                <w:sz w:val="20"/>
                <w:szCs w:val="20"/>
                <w:color w:val="auto"/>
              </w:rPr>
            </w:pPr>
            <w:r>
              <w:rPr>
                <w:rFonts w:ascii="Arial" w:cs="Arial" w:eastAsia="Arial" w:hAnsi="Arial"/>
                <w:sz w:val="14"/>
                <w:szCs w:val="14"/>
                <w:b w:val="1"/>
                <w:bCs w:val="1"/>
                <w:color w:val="auto"/>
                <w:w w:val="92"/>
              </w:rPr>
              <w:t>Transaction Accounting</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60" w:type="dxa"/>
            <w:vAlign w:val="bottom"/>
          </w:tcPr>
          <w:p>
            <w:pPr>
              <w:jc w:val="right"/>
              <w:ind w:right="77"/>
              <w:spacing w:after="0" w:line="131" w:lineRule="exact"/>
              <w:rPr>
                <w:sz w:val="20"/>
                <w:szCs w:val="20"/>
                <w:color w:val="auto"/>
              </w:rPr>
            </w:pPr>
            <w:r>
              <w:rPr>
                <w:rFonts w:ascii="Arial" w:cs="Arial" w:eastAsia="Arial" w:hAnsi="Arial"/>
                <w:sz w:val="14"/>
                <w:szCs w:val="14"/>
                <w:b w:val="1"/>
                <w:bCs w:val="1"/>
                <w:color w:val="auto"/>
                <w:w w:val="93"/>
              </w:rPr>
              <w:t>Pro Forma Statement of</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CMLS</w:t>
            </w:r>
          </w:p>
        </w:tc>
        <w:tc>
          <w:tcPr>
            <w:tcW w:w="400" w:type="dxa"/>
            <w:vAlign w:val="bottom"/>
          </w:tcPr>
          <w:p>
            <w:pPr>
              <w:spacing w:after="0"/>
              <w:rPr>
                <w:sz w:val="16"/>
                <w:szCs w:val="16"/>
                <w:color w:val="auto"/>
              </w:rPr>
            </w:pPr>
          </w:p>
        </w:tc>
        <w:tc>
          <w:tcPr>
            <w:tcW w:w="1180" w:type="dxa"/>
            <w:vAlign w:val="bottom"/>
          </w:tcPr>
          <w:p>
            <w:pPr>
              <w:jc w:val="center"/>
              <w:ind w:right="337"/>
              <w:spacing w:after="0"/>
              <w:rPr>
                <w:sz w:val="20"/>
                <w:szCs w:val="20"/>
                <w:color w:val="auto"/>
              </w:rPr>
            </w:pPr>
            <w:r>
              <w:rPr>
                <w:rFonts w:ascii="Arial" w:cs="Arial" w:eastAsia="Arial" w:hAnsi="Arial"/>
                <w:sz w:val="14"/>
                <w:szCs w:val="14"/>
                <w:b w:val="1"/>
                <w:bCs w:val="1"/>
                <w:color w:val="auto"/>
                <w:w w:val="88"/>
              </w:rPr>
              <w:t>Sema4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right"/>
              <w:ind w:right="317"/>
              <w:spacing w:after="0"/>
              <w:rPr>
                <w:sz w:val="20"/>
                <w:szCs w:val="20"/>
                <w:color w:val="auto"/>
              </w:rPr>
            </w:pPr>
            <w:r>
              <w:rPr>
                <w:rFonts w:ascii="Arial" w:cs="Arial" w:eastAsia="Arial" w:hAnsi="Arial"/>
                <w:sz w:val="14"/>
                <w:szCs w:val="14"/>
                <w:b w:val="1"/>
                <w:bCs w:val="1"/>
                <w:color w:val="auto"/>
              </w:rPr>
              <w:t>Adjustments</w:t>
            </w: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jc w:val="right"/>
              <w:ind w:right="477"/>
              <w:spacing w:after="0"/>
              <w:rPr>
                <w:sz w:val="20"/>
                <w:szCs w:val="20"/>
                <w:color w:val="auto"/>
              </w:rPr>
            </w:pPr>
            <w:r>
              <w:rPr>
                <w:rFonts w:ascii="Arial" w:cs="Arial" w:eastAsia="Arial" w:hAnsi="Arial"/>
                <w:sz w:val="14"/>
                <w:szCs w:val="14"/>
                <w:b w:val="1"/>
                <w:bCs w:val="1"/>
                <w:color w:val="auto"/>
              </w:rPr>
              <w:t>Operations</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460" w:type="dxa"/>
            <w:vAlign w:val="bottom"/>
            <w:tcBorders>
              <w:top w:val="single" w:sz="8" w:color="CCEEFF"/>
            </w:tcBorders>
            <w:shd w:val="clear" w:color="auto" w:fill="CCEEFF"/>
          </w:tcPr>
          <w:p>
            <w:pPr>
              <w:ind w:left="20"/>
              <w:spacing w:after="0" w:line="193" w:lineRule="exact"/>
              <w:rPr>
                <w:sz w:val="20"/>
                <w:szCs w:val="20"/>
                <w:color w:val="auto"/>
              </w:rPr>
            </w:pPr>
            <w:r>
              <w:rPr>
                <w:rFonts w:ascii="Arial" w:cs="Arial" w:eastAsia="Arial" w:hAnsi="Arial"/>
                <w:sz w:val="17"/>
                <w:szCs w:val="17"/>
                <w:color w:val="auto"/>
              </w:rPr>
              <w:t>Revenue:</w:t>
            </w:r>
          </w:p>
        </w:tc>
        <w:tc>
          <w:tcPr>
            <w:tcW w:w="34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460" w:type="dxa"/>
            <w:vAlign w:val="bottom"/>
          </w:tcPr>
          <w:p>
            <w:pPr>
              <w:ind w:left="240"/>
              <w:spacing w:after="0"/>
              <w:rPr>
                <w:sz w:val="20"/>
                <w:szCs w:val="20"/>
                <w:color w:val="auto"/>
              </w:rPr>
            </w:pPr>
            <w:r>
              <w:rPr>
                <w:rFonts w:ascii="Arial" w:cs="Arial" w:eastAsia="Arial" w:hAnsi="Arial"/>
                <w:sz w:val="17"/>
                <w:szCs w:val="17"/>
                <w:color w:val="auto"/>
              </w:rPr>
              <w:t>Diagnostic test revenue</w:t>
            </w: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tcPr>
          <w:p>
            <w:pPr>
              <w:jc w:val="right"/>
              <w:ind w:right="216"/>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175,351</w:t>
            </w:r>
          </w:p>
        </w:tc>
        <w:tc>
          <w:tcPr>
            <w:tcW w:w="340" w:type="dxa"/>
            <w:vAlign w:val="bottom"/>
            <w:gridSpan w:val="2"/>
          </w:tcPr>
          <w:p>
            <w:pPr>
              <w:jc w:val="right"/>
              <w:ind w:right="83"/>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660" w:type="dxa"/>
            <w:vAlign w:val="bottom"/>
          </w:tcPr>
          <w:p>
            <w:pPr>
              <w:jc w:val="right"/>
              <w:spacing w:after="0"/>
              <w:rPr>
                <w:sz w:val="20"/>
                <w:szCs w:val="20"/>
                <w:color w:val="auto"/>
              </w:rPr>
            </w:pPr>
            <w:r>
              <w:rPr>
                <w:rFonts w:ascii="Arial" w:cs="Arial" w:eastAsia="Arial" w:hAnsi="Arial"/>
                <w:sz w:val="17"/>
                <w:szCs w:val="17"/>
                <w:color w:val="auto"/>
              </w:rPr>
              <w:t>175,351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4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Other revenue</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3,971</w:t>
            </w: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460" w:type="dxa"/>
            <w:vAlign w:val="bottom"/>
          </w:tcPr>
          <w:p>
            <w:pPr>
              <w:ind w:left="440"/>
              <w:spacing w:after="0"/>
              <w:rPr>
                <w:sz w:val="20"/>
                <w:szCs w:val="20"/>
                <w:color w:val="auto"/>
              </w:rPr>
            </w:pPr>
            <w:r>
              <w:rPr>
                <w:rFonts w:ascii="Arial" w:cs="Arial" w:eastAsia="Arial" w:hAnsi="Arial"/>
                <w:sz w:val="17"/>
                <w:szCs w:val="17"/>
                <w:color w:val="auto"/>
              </w:rPr>
              <w:t>Total revenue</w:t>
            </w:r>
          </w:p>
        </w:tc>
        <w:tc>
          <w:tcPr>
            <w:tcW w:w="3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179,322</w:t>
            </w: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179,322</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services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184,648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184,648</w:t>
            </w: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460" w:type="dxa"/>
            <w:vAlign w:val="bottom"/>
          </w:tcPr>
          <w:p>
            <w:pPr>
              <w:ind w:left="440"/>
              <w:spacing w:after="0"/>
              <w:rPr>
                <w:sz w:val="20"/>
                <w:szCs w:val="20"/>
                <w:color w:val="auto"/>
              </w:rPr>
            </w:pPr>
            <w:r>
              <w:rPr>
                <w:rFonts w:ascii="Arial" w:cs="Arial" w:eastAsia="Arial" w:hAnsi="Arial"/>
                <w:sz w:val="17"/>
                <w:szCs w:val="17"/>
                <w:color w:val="auto"/>
              </w:rPr>
              <w:t>Total gross profit</w:t>
            </w:r>
          </w:p>
        </w:tc>
        <w:tc>
          <w:tcPr>
            <w:tcW w:w="3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(5,326)</w:t>
            </w: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(5,326)</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460" w:type="dxa"/>
            <w:vAlign w:val="bottom"/>
          </w:tcPr>
          <w:p>
            <w:pPr>
              <w:ind w:left="240"/>
              <w:spacing w:after="0"/>
              <w:rPr>
                <w:sz w:val="20"/>
                <w:szCs w:val="20"/>
                <w:color w:val="auto"/>
              </w:rPr>
            </w:pPr>
            <w:r>
              <w:rPr>
                <w:rFonts w:ascii="Arial" w:cs="Arial" w:eastAsia="Arial" w:hAnsi="Arial"/>
                <w:sz w:val="17"/>
                <w:szCs w:val="17"/>
                <w:color w:val="auto"/>
              </w:rPr>
              <w:t>Research and development</w:t>
            </w:r>
          </w:p>
        </w:tc>
        <w:tc>
          <w:tcPr>
            <w:tcW w:w="3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72,700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72,700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4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Selling and marketing</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53,831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53,831</w:t>
            </w: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460" w:type="dxa"/>
            <w:vAlign w:val="bottom"/>
          </w:tcPr>
          <w:p>
            <w:pPr>
              <w:ind w:left="240"/>
              <w:spacing w:after="0"/>
              <w:rPr>
                <w:sz w:val="20"/>
                <w:szCs w:val="20"/>
                <w:color w:val="auto"/>
              </w:rPr>
            </w:pPr>
            <w:r>
              <w:rPr>
                <w:rFonts w:ascii="Arial" w:cs="Arial" w:eastAsia="Arial" w:hAnsi="Arial"/>
                <w:sz w:val="17"/>
                <w:szCs w:val="17"/>
                <w:color w:val="auto"/>
              </w:rPr>
              <w:t>General and administrative</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206</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100,742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9,160</w:t>
            </w:r>
          </w:p>
        </w:tc>
        <w:tc>
          <w:tcPr>
            <w:tcW w:w="700" w:type="dxa"/>
            <w:vAlign w:val="bottom"/>
            <w:gridSpan w:val="2"/>
          </w:tcPr>
          <w:p>
            <w:pPr>
              <w:jc w:val="right"/>
              <w:ind w:right="316"/>
              <w:spacing w:after="0"/>
              <w:rPr>
                <w:sz w:val="20"/>
                <w:szCs w:val="20"/>
                <w:color w:val="auto"/>
              </w:rPr>
            </w:pPr>
            <w:r>
              <w:rPr>
                <w:rFonts w:ascii="Arial" w:cs="Arial" w:eastAsia="Arial" w:hAnsi="Arial"/>
                <w:sz w:val="17"/>
                <w:szCs w:val="17"/>
                <w:color w:val="auto"/>
                <w:w w:val="92"/>
              </w:rPr>
              <w:t>6(a)</w:t>
            </w:r>
          </w:p>
        </w:tc>
        <w:tc>
          <w:tcPr>
            <w:tcW w:w="1660" w:type="dxa"/>
            <w:vAlign w:val="bottom"/>
          </w:tcPr>
          <w:p>
            <w:pPr>
              <w:jc w:val="right"/>
              <w:spacing w:after="0"/>
              <w:rPr>
                <w:sz w:val="20"/>
                <w:szCs w:val="20"/>
                <w:color w:val="auto"/>
              </w:rPr>
            </w:pPr>
            <w:r>
              <w:rPr>
                <w:rFonts w:ascii="Arial" w:cs="Arial" w:eastAsia="Arial" w:hAnsi="Arial"/>
                <w:sz w:val="17"/>
                <w:szCs w:val="17"/>
                <w:color w:val="auto"/>
              </w:rPr>
              <w:t>110,108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4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Related party expenses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9,395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9,395</w:t>
            </w: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460" w:type="dxa"/>
            <w:vAlign w:val="bottom"/>
            <w:tcBorders>
              <w:bottom w:val="single" w:sz="8" w:color="CCEEFF"/>
            </w:tcBorders>
          </w:tcPr>
          <w:p>
            <w:pPr>
              <w:ind w:left="440"/>
              <w:spacing w:after="0"/>
              <w:rPr>
                <w:sz w:val="20"/>
                <w:szCs w:val="20"/>
                <w:color w:val="auto"/>
              </w:rPr>
            </w:pPr>
            <w:r>
              <w:rPr>
                <w:rFonts w:ascii="Arial" w:cs="Arial" w:eastAsia="Arial" w:hAnsi="Arial"/>
                <w:sz w:val="17"/>
                <w:szCs w:val="17"/>
                <w:color w:val="auto"/>
              </w:rPr>
              <w:t>Total operating expenses</w:t>
            </w: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206</w:t>
            </w:r>
          </w:p>
        </w:tc>
        <w:tc>
          <w:tcPr>
            <w:tcW w:w="8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236,668</w:t>
            </w:r>
          </w:p>
        </w:tc>
        <w:tc>
          <w:tcPr>
            <w:tcW w:w="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9,160</w:t>
            </w:r>
          </w:p>
        </w:tc>
        <w:tc>
          <w:tcPr>
            <w:tcW w:w="56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246,034</w:t>
            </w:r>
          </w:p>
        </w:tc>
        <w:tc>
          <w:tcPr>
            <w:tcW w:w="5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4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Loss from operations</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(241,994)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(9,160)</w:t>
            </w: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(251,360)</w:t>
            </w: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460" w:type="dxa"/>
            <w:vAlign w:val="bottom"/>
          </w:tcPr>
          <w:p>
            <w:pPr>
              <w:ind w:left="20"/>
              <w:spacing w:after="0"/>
              <w:rPr>
                <w:sz w:val="20"/>
                <w:szCs w:val="20"/>
                <w:color w:val="auto"/>
              </w:rPr>
            </w:pPr>
            <w:r>
              <w:rPr>
                <w:rFonts w:ascii="Arial" w:cs="Arial" w:eastAsia="Arial" w:hAnsi="Arial"/>
                <w:sz w:val="17"/>
                <w:szCs w:val="17"/>
                <w:color w:val="auto"/>
              </w:rPr>
              <w:t>Other income (expense):</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4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Interest income</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506</w:t>
            </w: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460" w:type="dxa"/>
            <w:vAlign w:val="bottom"/>
          </w:tcPr>
          <w:p>
            <w:pPr>
              <w:ind w:left="240"/>
              <w:spacing w:after="0"/>
              <w:rPr>
                <w:sz w:val="20"/>
                <w:szCs w:val="20"/>
                <w:color w:val="auto"/>
              </w:rPr>
            </w:pPr>
            <w:r>
              <w:rPr>
                <w:rFonts w:ascii="Arial" w:cs="Arial" w:eastAsia="Arial" w:hAnsi="Arial"/>
                <w:sz w:val="17"/>
                <w:szCs w:val="17"/>
                <w:color w:val="auto"/>
              </w:rPr>
              <w:t>Interest expense</w:t>
            </w:r>
          </w:p>
        </w:tc>
        <w:tc>
          <w:tcPr>
            <w:tcW w:w="3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(2,474)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0" w:type="dxa"/>
            <w:vAlign w:val="bottom"/>
            <w:gridSpan w:val="3"/>
          </w:tcPr>
          <w:p>
            <w:pPr>
              <w:jc w:val="right"/>
              <w:ind w:right="316"/>
              <w:spacing w:after="0"/>
              <w:rPr>
                <w:sz w:val="20"/>
                <w:szCs w:val="20"/>
                <w:color w:val="auto"/>
              </w:rPr>
            </w:pPr>
            <w:r>
              <w:rPr>
                <w:rFonts w:ascii="Arial" w:cs="Arial" w:eastAsia="Arial" w:hAnsi="Arial"/>
                <w:sz w:val="17"/>
                <w:szCs w:val="17"/>
                <w:color w:val="auto"/>
              </w:rPr>
              <w:t>(322) 6(b)</w:t>
            </w:r>
          </w:p>
        </w:tc>
        <w:tc>
          <w:tcPr>
            <w:tcW w:w="1660" w:type="dxa"/>
            <w:vAlign w:val="bottom"/>
          </w:tcPr>
          <w:p>
            <w:pPr>
              <w:jc w:val="right"/>
              <w:spacing w:after="0"/>
              <w:rPr>
                <w:sz w:val="20"/>
                <w:szCs w:val="20"/>
                <w:color w:val="auto"/>
              </w:rPr>
            </w:pPr>
            <w:r>
              <w:rPr>
                <w:rFonts w:ascii="Arial" w:cs="Arial" w:eastAsia="Arial" w:hAnsi="Arial"/>
                <w:sz w:val="17"/>
                <w:szCs w:val="17"/>
                <w:color w:val="auto"/>
              </w:rPr>
              <w:t>(2,796)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4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Other income, net</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2,622</w:t>
            </w: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460" w:type="dxa"/>
            <w:vAlign w:val="bottom"/>
          </w:tcPr>
          <w:p>
            <w:pPr>
              <w:ind w:left="240"/>
              <w:spacing w:after="0" w:line="159" w:lineRule="exact"/>
              <w:rPr>
                <w:sz w:val="20"/>
                <w:szCs w:val="20"/>
                <w:color w:val="auto"/>
              </w:rPr>
            </w:pPr>
            <w:r>
              <w:rPr>
                <w:rFonts w:ascii="Arial" w:cs="Arial" w:eastAsia="Arial" w:hAnsi="Arial"/>
                <w:sz w:val="17"/>
                <w:szCs w:val="17"/>
                <w:color w:val="auto"/>
                <w:w w:val="89"/>
              </w:rPr>
              <w:t>Interest earned on marketable securities held in</w:t>
            </w:r>
          </w:p>
        </w:tc>
        <w:tc>
          <w:tcPr>
            <w:tcW w:w="34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7"/>
                <w:szCs w:val="17"/>
                <w:color w:val="auto"/>
              </w:rPr>
              <w:t>14</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0" w:type="dxa"/>
            <w:vAlign w:val="bottom"/>
            <w:gridSpan w:val="3"/>
            <w:vMerge w:val="restart"/>
          </w:tcPr>
          <w:p>
            <w:pPr>
              <w:jc w:val="right"/>
              <w:ind w:right="316"/>
              <w:spacing w:after="0"/>
              <w:rPr>
                <w:sz w:val="20"/>
                <w:szCs w:val="20"/>
                <w:color w:val="auto"/>
              </w:rPr>
            </w:pPr>
            <w:r>
              <w:rPr>
                <w:rFonts w:ascii="Arial" w:cs="Arial" w:eastAsia="Arial" w:hAnsi="Arial"/>
                <w:sz w:val="17"/>
                <w:szCs w:val="17"/>
                <w:color w:val="auto"/>
              </w:rPr>
              <w:t>(14) 6(c)</w:t>
            </w:r>
          </w:p>
        </w:tc>
        <w:tc>
          <w:tcPr>
            <w:tcW w:w="166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3460" w:type="dxa"/>
            <w:vAlign w:val="bottom"/>
          </w:tcPr>
          <w:p>
            <w:pPr>
              <w:ind w:left="400"/>
              <w:spacing w:after="0"/>
              <w:rPr>
                <w:sz w:val="20"/>
                <w:szCs w:val="20"/>
                <w:color w:val="auto"/>
              </w:rPr>
            </w:pPr>
            <w:r>
              <w:rPr>
                <w:rFonts w:ascii="Arial" w:cs="Arial" w:eastAsia="Arial" w:hAnsi="Arial"/>
                <w:sz w:val="17"/>
                <w:szCs w:val="17"/>
                <w:color w:val="auto"/>
              </w:rPr>
              <w:t>Trust Account</w:t>
            </w:r>
          </w:p>
        </w:tc>
        <w:tc>
          <w:tcPr>
            <w:tcW w:w="34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0" w:type="dxa"/>
            <w:vAlign w:val="bottom"/>
            <w:gridSpan w:val="3"/>
            <w:vMerge w:val="continue"/>
          </w:tcPr>
          <w:p>
            <w:pPr>
              <w:spacing w:after="0"/>
              <w:rPr>
                <w:sz w:val="18"/>
                <w:szCs w:val="18"/>
                <w:color w:val="auto"/>
              </w:rPr>
            </w:pPr>
          </w:p>
        </w:tc>
        <w:tc>
          <w:tcPr>
            <w:tcW w:w="166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4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Change in fair value of warrant liability</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(38,511)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(38,511)</w:t>
            </w: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46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Transaction costs</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(1,205)</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(1,205)</w:t>
            </w:r>
          </w:p>
        </w:tc>
        <w:tc>
          <w:tcPr>
            <w:tcW w:w="5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4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other income, net</w:t>
            </w:r>
          </w:p>
        </w:tc>
        <w:tc>
          <w:tcPr>
            <w:tcW w:w="3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(39,702)</w:t>
            </w: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654</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(336)</w:t>
            </w:r>
          </w:p>
        </w:tc>
        <w:tc>
          <w:tcPr>
            <w:tcW w:w="5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(39,384)</w:t>
            </w: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460" w:type="dxa"/>
            <w:vAlign w:val="bottom"/>
          </w:tcPr>
          <w:p>
            <w:pPr>
              <w:ind w:left="440"/>
              <w:spacing w:after="0"/>
              <w:rPr>
                <w:sz w:val="20"/>
                <w:szCs w:val="20"/>
                <w:color w:val="auto"/>
              </w:rPr>
            </w:pPr>
            <w:r>
              <w:rPr>
                <w:rFonts w:ascii="Arial" w:cs="Arial" w:eastAsia="Arial" w:hAnsi="Arial"/>
                <w:sz w:val="17"/>
                <w:szCs w:val="17"/>
                <w:color w:val="auto"/>
              </w:rPr>
              <w:t>Net loss before income taxes</w:t>
            </w: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(39,908)</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(241,340)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(9,496)</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(290,744)</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Provision for income taxes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460" w:type="dxa"/>
            <w:vAlign w:val="bottom"/>
          </w:tcPr>
          <w:p>
            <w:pPr>
              <w:ind w:left="440"/>
              <w:spacing w:after="0"/>
              <w:rPr>
                <w:sz w:val="20"/>
                <w:szCs w:val="20"/>
                <w:color w:val="auto"/>
              </w:rPr>
            </w:pPr>
            <w:r>
              <w:rPr>
                <w:rFonts w:ascii="Arial" w:cs="Arial" w:eastAsia="Arial" w:hAnsi="Arial"/>
                <w:sz w:val="17"/>
                <w:szCs w:val="17"/>
                <w:color w:val="auto"/>
              </w:rPr>
              <w:t>Net loss</w:t>
            </w:r>
          </w:p>
        </w:tc>
        <w:tc>
          <w:tcPr>
            <w:tcW w:w="34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(39,908)</w:t>
            </w:r>
          </w:p>
        </w:tc>
        <w:tc>
          <w:tcPr>
            <w:tcW w:w="8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(241,340)</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(9,496)</w:t>
            </w:r>
          </w:p>
        </w:tc>
        <w:tc>
          <w:tcPr>
            <w:tcW w:w="5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(290,744)</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3460" w:type="dxa"/>
            <w:vAlign w:val="bottom"/>
            <w:shd w:val="clear" w:color="auto" w:fill="CCEEFF"/>
          </w:tcPr>
          <w:p>
            <w:pPr>
              <w:ind w:left="20"/>
              <w:spacing w:after="0" w:line="126" w:lineRule="exact"/>
              <w:rPr>
                <w:sz w:val="20"/>
                <w:szCs w:val="20"/>
                <w:color w:val="auto"/>
              </w:rPr>
            </w:pPr>
            <w:r>
              <w:rPr>
                <w:rFonts w:ascii="Arial" w:cs="Arial" w:eastAsia="Arial" w:hAnsi="Arial"/>
                <w:sz w:val="14"/>
                <w:szCs w:val="14"/>
                <w:color w:val="auto"/>
              </w:rPr>
              <w:t>Weighted average shares outstanding, basic and</w:t>
            </w:r>
          </w:p>
        </w:tc>
        <w:tc>
          <w:tcPr>
            <w:tcW w:w="340" w:type="dxa"/>
            <w:vAlign w:val="bottom"/>
            <w:shd w:val="clear" w:color="auto" w:fill="CCEEFF"/>
          </w:tcPr>
          <w:p>
            <w:pPr>
              <w:spacing w:after="0"/>
              <w:rPr>
                <w:sz w:val="10"/>
                <w:szCs w:val="10"/>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10,633,062</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240,190,402</w:t>
            </w:r>
          </w:p>
        </w:tc>
        <w:tc>
          <w:tcPr>
            <w:tcW w:w="56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6(d)</w:t>
            </w:r>
          </w:p>
        </w:tc>
        <w:tc>
          <w:tcPr>
            <w:tcW w:w="0" w:type="dxa"/>
            <w:vAlign w:val="bottom"/>
          </w:tcPr>
          <w:p>
            <w:pPr>
              <w:spacing w:after="0"/>
              <w:rPr>
                <w:sz w:val="1"/>
                <w:szCs w:val="1"/>
                <w:color w:val="auto"/>
              </w:rPr>
            </w:pPr>
          </w:p>
        </w:tc>
      </w:tr>
      <w:tr>
        <w:trPr>
          <w:trHeight w:val="205"/>
        </w:trPr>
        <w:tc>
          <w:tcPr>
            <w:tcW w:w="3460" w:type="dxa"/>
            <w:vAlign w:val="bottom"/>
            <w:tcBorders>
              <w:bottom w:val="single" w:sz="8" w:color="CCEEFF"/>
            </w:tcBorders>
            <w:shd w:val="clear" w:color="auto" w:fill="CCEEFF"/>
          </w:tcPr>
          <w:p>
            <w:pPr>
              <w:ind w:left="180"/>
              <w:spacing w:after="0" w:line="185" w:lineRule="exact"/>
              <w:rPr>
                <w:sz w:val="20"/>
                <w:szCs w:val="20"/>
                <w:color w:val="auto"/>
              </w:rPr>
            </w:pPr>
            <w:r>
              <w:rPr>
                <w:rFonts w:ascii="Arial" w:cs="Arial" w:eastAsia="Arial" w:hAnsi="Arial"/>
                <w:sz w:val="17"/>
                <w:szCs w:val="17"/>
                <w:color w:val="auto"/>
              </w:rPr>
              <w:t>diluted</w:t>
            </w:r>
          </w:p>
        </w:tc>
        <w:tc>
          <w:tcPr>
            <w:tcW w:w="3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vMerge w:val="continue"/>
            <w:shd w:val="clear" w:color="auto" w:fill="CCEEFF"/>
          </w:tcPr>
          <w:p>
            <w:pPr>
              <w:spacing w:after="0"/>
              <w:rPr>
                <w:sz w:val="17"/>
                <w:szCs w:val="17"/>
                <w:color w:val="auto"/>
              </w:rPr>
            </w:pPr>
          </w:p>
        </w:tc>
        <w:tc>
          <w:tcPr>
            <w:tcW w:w="560" w:type="dxa"/>
            <w:vAlign w:val="bottom"/>
            <w:tcBorders>
              <w:bottom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gridSpan w:val="2"/>
          </w:tcPr>
          <w:p>
            <w:pPr>
              <w:spacing w:after="0" w:line="20" w:lineRule="exact"/>
              <w:rPr>
                <w:sz w:val="1"/>
                <w:szCs w:val="1"/>
                <w:color w:val="auto"/>
              </w:rPr>
            </w:pPr>
          </w:p>
        </w:tc>
        <w:tc>
          <w:tcPr>
            <w:tcW w:w="222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460" w:type="dxa"/>
            <w:vAlign w:val="bottom"/>
          </w:tcPr>
          <w:p>
            <w:pPr>
              <w:ind w:left="20"/>
              <w:spacing w:after="0" w:line="185" w:lineRule="exact"/>
              <w:rPr>
                <w:sz w:val="20"/>
                <w:szCs w:val="20"/>
                <w:color w:val="auto"/>
              </w:rPr>
            </w:pPr>
            <w:r>
              <w:rPr>
                <w:rFonts w:ascii="Arial" w:cs="Arial" w:eastAsia="Arial" w:hAnsi="Arial"/>
                <w:sz w:val="17"/>
                <w:szCs w:val="17"/>
                <w:color w:val="auto"/>
              </w:rPr>
              <w:t>Basic and diluted net loss per share</w:t>
            </w:r>
          </w:p>
        </w:tc>
        <w:tc>
          <w:tcPr>
            <w:tcW w:w="340" w:type="dxa"/>
            <w:vAlign w:val="bottom"/>
            <w:tcBorders>
              <w:top w:val="single" w:sz="8" w:color="auto"/>
              <w:bottom w:val="single" w:sz="8" w:color="auto"/>
            </w:tcBorders>
          </w:tcPr>
          <w:p>
            <w:pPr>
              <w:jc w:val="right"/>
              <w:ind w:right="156"/>
              <w:spacing w:after="0" w:line="185" w:lineRule="exact"/>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auto"/>
            </w:tcBorders>
          </w:tcPr>
          <w:p>
            <w:pPr>
              <w:jc w:val="right"/>
              <w:spacing w:after="0" w:line="185" w:lineRule="exact"/>
              <w:rPr>
                <w:sz w:val="20"/>
                <w:szCs w:val="20"/>
                <w:color w:val="auto"/>
              </w:rPr>
            </w:pPr>
            <w:r>
              <w:rPr>
                <w:rFonts w:ascii="Arial" w:cs="Arial" w:eastAsia="Arial" w:hAnsi="Arial"/>
                <w:sz w:val="17"/>
                <w:szCs w:val="17"/>
                <w:color w:val="auto"/>
              </w:rPr>
              <w:t>(3.75)</w:t>
            </w:r>
          </w:p>
        </w:tc>
        <w:tc>
          <w:tcPr>
            <w:tcW w:w="80" w:type="dxa"/>
            <w:vAlign w:val="bottom"/>
          </w:tcPr>
          <w:p>
            <w:pPr>
              <w:spacing w:after="0"/>
              <w:rPr>
                <w:sz w:val="16"/>
                <w:szCs w:val="16"/>
                <w:color w:val="auto"/>
              </w:rPr>
            </w:pPr>
          </w:p>
        </w:tc>
        <w:tc>
          <w:tcPr>
            <w:tcW w:w="400" w:type="dxa"/>
            <w:vAlign w:val="bottom"/>
            <w:tcBorders>
              <w:top w:val="single" w:sz="8" w:color="auto"/>
              <w:bottom w:val="single" w:sz="8" w:color="auto"/>
            </w:tcBorders>
          </w:tcPr>
          <w:p>
            <w:pPr>
              <w:jc w:val="right"/>
              <w:ind w:right="216"/>
              <w:spacing w:after="0" w:line="185" w:lineRule="exact"/>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tcPr>
          <w:p>
            <w:pPr>
              <w:jc w:val="right"/>
              <w:spacing w:after="0" w:line="185" w:lineRule="exact"/>
              <w:rPr>
                <w:sz w:val="20"/>
                <w:szCs w:val="20"/>
                <w:color w:val="auto"/>
              </w:rPr>
            </w:pPr>
            <w:r>
              <w:rPr>
                <w:rFonts w:ascii="Arial" w:cs="Arial" w:eastAsia="Arial" w:hAnsi="Arial"/>
                <w:sz w:val="17"/>
                <w:szCs w:val="17"/>
                <w:color w:val="auto"/>
              </w:rPr>
              <w:t>(5,824,000.00)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line="185" w:lineRule="exact"/>
              <w:rPr>
                <w:sz w:val="20"/>
                <w:szCs w:val="20"/>
                <w:color w:val="auto"/>
              </w:rPr>
            </w:pPr>
            <w:r>
              <w:rPr>
                <w:rFonts w:ascii="Arial" w:cs="Arial" w:eastAsia="Arial" w:hAnsi="Arial"/>
                <w:sz w:val="17"/>
                <w:szCs w:val="17"/>
                <w:color w:val="auto"/>
                <w:w w:val="84"/>
              </w:rPr>
              <w:t>$</w:t>
            </w:r>
          </w:p>
        </w:tc>
        <w:tc>
          <w:tcPr>
            <w:tcW w:w="1660" w:type="dxa"/>
            <w:vAlign w:val="bottom"/>
            <w:tcBorders>
              <w:top w:val="single" w:sz="8" w:color="auto"/>
              <w:bottom w:val="single" w:sz="8" w:color="auto"/>
            </w:tcBorders>
          </w:tcPr>
          <w:p>
            <w:pPr>
              <w:jc w:val="right"/>
              <w:spacing w:after="0" w:line="185" w:lineRule="exact"/>
              <w:rPr>
                <w:sz w:val="20"/>
                <w:szCs w:val="20"/>
                <w:color w:val="auto"/>
              </w:rPr>
            </w:pPr>
            <w:r>
              <w:rPr>
                <w:rFonts w:ascii="Arial" w:cs="Arial" w:eastAsia="Arial" w:hAnsi="Arial"/>
                <w:sz w:val="17"/>
                <w:szCs w:val="17"/>
                <w:color w:val="auto"/>
              </w:rPr>
              <w:t>(1.21)</w:t>
            </w:r>
          </w:p>
        </w:tc>
        <w:tc>
          <w:tcPr>
            <w:tcW w:w="560" w:type="dxa"/>
            <w:vAlign w:val="bottom"/>
          </w:tcPr>
          <w:p>
            <w:pPr>
              <w:ind w:left="20"/>
              <w:spacing w:after="0" w:line="185" w:lineRule="exact"/>
              <w:rPr>
                <w:sz w:val="20"/>
                <w:szCs w:val="20"/>
                <w:color w:val="auto"/>
              </w:rPr>
            </w:pPr>
            <w:r>
              <w:rPr>
                <w:rFonts w:ascii="Arial" w:cs="Arial" w:eastAsia="Arial" w:hAnsi="Arial"/>
                <w:sz w:val="17"/>
                <w:szCs w:val="17"/>
                <w:color w:val="auto"/>
              </w:rPr>
              <w:t>6(d)</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pro forma condensed combined financial information.</w:t>
      </w:r>
    </w:p>
    <w:p>
      <w:pPr>
        <w:sectPr>
          <w:pgSz w:w="11900" w:h="16838" w:orient="portrait"/>
          <w:cols w:equalWidth="0" w:num="1">
            <w:col w:w="11240"/>
          </w:cols>
          <w:pgMar w:left="320" w:top="121" w:right="339" w:bottom="1440" w:gutter="0" w:footer="0" w:header="0"/>
        </w:sectPr>
      </w:pPr>
    </w:p>
    <w:bookmarkStart w:id="79" w:name="page80"/>
    <w:bookmarkEnd w:id="79"/>
    <w:p>
      <w:pPr>
        <w:spacing w:after="0" w:line="113"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NOTES TO UNAUDITED PRO FORMA CONDENSED COMBINED FINANCIAL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Transactions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Business Combination</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On February 9, 2021, CMLS and its wholly owned subsidiary, S-IV Sub, Inc. (“</w:t>
      </w:r>
      <w:r>
        <w:rPr>
          <w:rFonts w:ascii="Arial" w:cs="Arial" w:eastAsia="Arial" w:hAnsi="Arial"/>
          <w:sz w:val="18"/>
          <w:szCs w:val="18"/>
          <w:i w:val="1"/>
          <w:iCs w:val="1"/>
          <w:color w:val="auto"/>
        </w:rPr>
        <w:t>Merger Sub</w:t>
      </w:r>
      <w:r>
        <w:rPr>
          <w:rFonts w:ascii="Arial" w:cs="Arial" w:eastAsia="Arial" w:hAnsi="Arial"/>
          <w:sz w:val="18"/>
          <w:szCs w:val="18"/>
          <w:color w:val="auto"/>
        </w:rPr>
        <w:t>”), entered into an Agreement and Plan of Merger with Sema4 (the “</w:t>
      </w:r>
      <w:r>
        <w:rPr>
          <w:rFonts w:ascii="Arial" w:cs="Arial" w:eastAsia="Arial" w:hAnsi="Arial"/>
          <w:sz w:val="18"/>
          <w:szCs w:val="18"/>
          <w:i w:val="1"/>
          <w:iCs w:val="1"/>
          <w:color w:val="auto"/>
        </w:rPr>
        <w:t>Merger Agreement</w:t>
      </w:r>
      <w:r>
        <w:rPr>
          <w:rFonts w:ascii="Arial" w:cs="Arial" w:eastAsia="Arial" w:hAnsi="Arial"/>
          <w:sz w:val="18"/>
          <w:szCs w:val="18"/>
          <w:color w:val="auto"/>
        </w:rPr>
        <w:t>”). Pursuant to the Merger Agreement, Merger Sub merged with and into Sema4, with Sema4 surviving the merger as a wholly owned subsidiary of CMLS. Upon the consummation of the transactions contemplated by the Merger Agreement (the “</w:t>
      </w:r>
      <w:r>
        <w:rPr>
          <w:rFonts w:ascii="Arial" w:cs="Arial" w:eastAsia="Arial" w:hAnsi="Arial"/>
          <w:sz w:val="18"/>
          <w:szCs w:val="18"/>
          <w:i w:val="1"/>
          <w:iCs w:val="1"/>
          <w:color w:val="auto"/>
        </w:rPr>
        <w:t>Business Combination</w:t>
      </w:r>
      <w:r>
        <w:rPr>
          <w:rFonts w:ascii="Arial" w:cs="Arial" w:eastAsia="Arial" w:hAnsi="Arial"/>
          <w:sz w:val="18"/>
          <w:szCs w:val="18"/>
          <w:color w:val="auto"/>
        </w:rPr>
        <w:t>”), CMLS changed its name to Sema4 Holdings Corp.</w:t>
      </w:r>
    </w:p>
    <w:p>
      <w:pPr>
        <w:spacing w:after="0" w:line="138" w:lineRule="exact"/>
        <w:rPr>
          <w:sz w:val="20"/>
          <w:szCs w:val="20"/>
          <w:color w:val="auto"/>
        </w:rPr>
      </w:pPr>
    </w:p>
    <w:p>
      <w:pPr>
        <w:jc w:val="both"/>
        <w:ind w:firstLine="318"/>
        <w:spacing w:after="0" w:line="296" w:lineRule="auto"/>
        <w:rPr>
          <w:sz w:val="20"/>
          <w:szCs w:val="20"/>
          <w:color w:val="auto"/>
        </w:rPr>
      </w:pPr>
      <w:r>
        <w:rPr>
          <w:rFonts w:ascii="Arial" w:cs="Arial" w:eastAsia="Arial" w:hAnsi="Arial"/>
          <w:sz w:val="15"/>
          <w:szCs w:val="15"/>
          <w:color w:val="auto"/>
        </w:rPr>
        <w:t>Subject to the terms and conditions of the Merger Agreement, each share of Sema4 Class B common stock issued and outstanding immediately prior to the effective time was converted into 1/100th of a share of Sema4 Class A common stock as set forth in the Merger Agreement. Immediately thereafter, each share of each class of Sema4 common stock (“</w:t>
      </w:r>
      <w:r>
        <w:rPr>
          <w:rFonts w:ascii="Arial" w:cs="Arial" w:eastAsia="Arial" w:hAnsi="Arial"/>
          <w:sz w:val="15"/>
          <w:szCs w:val="15"/>
          <w:i w:val="1"/>
          <w:iCs w:val="1"/>
          <w:color w:val="auto"/>
        </w:rPr>
        <w:t>Sema4 Common Stock</w:t>
      </w:r>
      <w:r>
        <w:rPr>
          <w:rFonts w:ascii="Arial" w:cs="Arial" w:eastAsia="Arial" w:hAnsi="Arial"/>
          <w:sz w:val="15"/>
          <w:szCs w:val="15"/>
          <w:color w:val="auto"/>
        </w:rPr>
        <w:t>”) and each class of Sema4 preferred stock (“</w:t>
      </w:r>
      <w:r>
        <w:rPr>
          <w:rFonts w:ascii="Arial" w:cs="Arial" w:eastAsia="Arial" w:hAnsi="Arial"/>
          <w:sz w:val="15"/>
          <w:szCs w:val="15"/>
          <w:i w:val="1"/>
          <w:iCs w:val="1"/>
          <w:color w:val="auto"/>
        </w:rPr>
        <w:t>Sema4 Preferred Stock</w:t>
      </w:r>
      <w:r>
        <w:rPr>
          <w:rFonts w:ascii="Arial" w:cs="Arial" w:eastAsia="Arial" w:hAnsi="Arial"/>
          <w:sz w:val="15"/>
          <w:szCs w:val="15"/>
          <w:color w:val="auto"/>
        </w:rPr>
        <w:t>”) (other than Excluded Shares and Dissenting Shares (each as defined in the Merger Agreement)) issued and outstanding immediately prior to the effective time was cancelled and automatically deemed for all purposes to represent the right to receive a portion of the merger consideration, with each holder of Sema4 Common Stock or Sema4 Preferred Stock (each, a “</w:t>
      </w:r>
      <w:r>
        <w:rPr>
          <w:rFonts w:ascii="Arial" w:cs="Arial" w:eastAsia="Arial" w:hAnsi="Arial"/>
          <w:sz w:val="15"/>
          <w:szCs w:val="15"/>
          <w:i w:val="1"/>
          <w:iCs w:val="1"/>
          <w:color w:val="auto"/>
        </w:rPr>
        <w:t>Sema4 Stockholder</w:t>
      </w:r>
      <w:r>
        <w:rPr>
          <w:rFonts w:ascii="Arial" w:cs="Arial" w:eastAsia="Arial" w:hAnsi="Arial"/>
          <w:sz w:val="15"/>
          <w:szCs w:val="15"/>
          <w:color w:val="auto"/>
        </w:rPr>
        <w:t>”) receiving (collectively, clauses (i) through (iii), the “</w:t>
      </w:r>
      <w:r>
        <w:rPr>
          <w:rFonts w:ascii="Arial" w:cs="Arial" w:eastAsia="Arial" w:hAnsi="Arial"/>
          <w:sz w:val="15"/>
          <w:szCs w:val="15"/>
          <w:i w:val="1"/>
          <w:iCs w:val="1"/>
          <w:color w:val="auto"/>
        </w:rPr>
        <w:t>merger consideration</w:t>
      </w:r>
      <w:r>
        <w:rPr>
          <w:rFonts w:ascii="Arial" w:cs="Arial" w:eastAsia="Arial" w:hAnsi="Arial"/>
          <w:sz w:val="15"/>
          <w:szCs w:val="15"/>
          <w:color w:val="auto"/>
        </w:rPr>
        <w:t>”) (i) its pro rata share of the Closing Available Cash (as defined in the Merger Agreement) if such Sema4 Stockholder made an election to receive cash, and, if so elected, such Sema4 Stockholder’s pro rata share excess amount of any closing available excess cash, provided that in no event would the Sema4 Stockholder’s cash payment exceed an amount equal to the product of such Sema4 Stockholder’s total outstanding shares multiplied by the Per Share Amount (as defined in the Merger Agreement); (ii) a number of shares of Company Class A common stock equal to the quotient of: (A)(1) the product of such Sema4 Stockholder’s total outstanding shares multiplied by the Per Share Amount minus (2) such Sema4 Stockholder’s stockholder cash payment amount divided by</w:t>
      </w:r>
    </w:p>
    <w:p>
      <w:pPr>
        <w:spacing w:after="0" w:line="3" w:lineRule="exact"/>
        <w:rPr>
          <w:sz w:val="20"/>
          <w:szCs w:val="20"/>
          <w:color w:val="auto"/>
        </w:rPr>
      </w:pPr>
    </w:p>
    <w:p>
      <w:pPr>
        <w:jc w:val="both"/>
        <w:ind w:firstLine="6"/>
        <w:spacing w:after="0" w:line="304" w:lineRule="auto"/>
        <w:tabs>
          <w:tab w:leader="none" w:pos="284" w:val="left"/>
        </w:tabs>
        <w:numPr>
          <w:ilvl w:val="0"/>
          <w:numId w:val="36"/>
        </w:numPr>
        <w:rPr>
          <w:rFonts w:ascii="Arial" w:cs="Arial" w:eastAsia="Arial" w:hAnsi="Arial"/>
          <w:sz w:val="15"/>
          <w:szCs w:val="15"/>
          <w:color w:val="auto"/>
        </w:rPr>
      </w:pPr>
      <w:r>
        <w:rPr>
          <w:rFonts w:ascii="Arial" w:cs="Arial" w:eastAsia="Arial" w:hAnsi="Arial"/>
          <w:sz w:val="15"/>
          <w:szCs w:val="15"/>
          <w:color w:val="auto"/>
        </w:rPr>
        <w:t>$10.00; and (iii) its pro rata share of any earn out shares to which such Sema4 Stockholder is entitled pursuant to the terms of the Merger Agreement (the “</w:t>
      </w:r>
      <w:r>
        <w:rPr>
          <w:rFonts w:ascii="Arial" w:cs="Arial" w:eastAsia="Arial" w:hAnsi="Arial"/>
          <w:sz w:val="15"/>
          <w:szCs w:val="15"/>
          <w:i w:val="1"/>
          <w:iCs w:val="1"/>
          <w:color w:val="auto"/>
        </w:rPr>
        <w:t>Earnout</w:t>
      </w:r>
      <w:r>
        <w:rPr>
          <w:rFonts w:ascii="Arial" w:cs="Arial" w:eastAsia="Arial" w:hAnsi="Arial"/>
          <w:sz w:val="15"/>
          <w:szCs w:val="15"/>
          <w:color w:val="auto"/>
        </w:rPr>
        <w:t>”), including the Earn Out RSUs (as defined in the Merger Agreement), which Earn Out RSUs are subject to vesting and will not be legally issued and outstanding shares of Company Class A common stock at the closing of the Business Combination (the “</w:t>
      </w:r>
      <w:r>
        <w:rPr>
          <w:rFonts w:ascii="Arial" w:cs="Arial" w:eastAsia="Arial" w:hAnsi="Arial"/>
          <w:sz w:val="15"/>
          <w:szCs w:val="15"/>
          <w:i w:val="1"/>
          <w:iCs w:val="1"/>
          <w:color w:val="auto"/>
        </w:rPr>
        <w:t>Closing</w:t>
      </w:r>
      <w:r>
        <w:rPr>
          <w:rFonts w:ascii="Arial" w:cs="Arial" w:eastAsia="Arial" w:hAnsi="Arial"/>
          <w:sz w:val="15"/>
          <w:szCs w:val="15"/>
          <w:color w:val="auto"/>
        </w:rPr>
        <w:t>”), in each case of clauses (i), (ii) and (iii), without interest, upon surrender of stock certificates representing all of such Sema4 Stockholder’s Sema4 Common Stock and Sema4 Preferred Stock and delivery of the other documents required pursuant to the Merger Agreement. As of the effective time, each Sema4 Stockholder ceased to have any other rights in and to Sema4 securities and each certificate relating to ownership of shares of Sema4 Common Stock and Sema4 Preferred Stock (other than Excluded Shares) represented the right to receive the applicable portion of the merger consideration.</w:t>
      </w:r>
    </w:p>
    <w:p>
      <w:pPr>
        <w:spacing w:after="0" w:line="102"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Following the Closing, within five Business Days (as defined in the Merger Agreement) after the occurrence of a Triggering Event, the Company shall issue or cause to be issued to the Sema4 Stockholders (other than holders of Dissenting Shares and Excluded Shares) and the Earn-Out Service Providers (as defined in the Merger Agreement), the following shares of Company Class A common stock (which shall be equitably adjusted for stock splits, reverse stock splits, stock dividends, reorganizations, recapitalizations, reclassifications, combination, exchange of shares or other like change or transaction with respect to Company Class A common stock occurring on or after the Closing, the “</w:t>
      </w:r>
      <w:r>
        <w:rPr>
          <w:rFonts w:ascii="Arial" w:cs="Arial" w:eastAsia="Arial" w:hAnsi="Arial"/>
          <w:sz w:val="15"/>
          <w:szCs w:val="15"/>
          <w:i w:val="1"/>
          <w:iCs w:val="1"/>
          <w:color w:val="auto"/>
        </w:rPr>
        <w:t>Earn-Out Shares</w:t>
      </w:r>
      <w:r>
        <w:rPr>
          <w:rFonts w:ascii="Arial" w:cs="Arial" w:eastAsia="Arial" w:hAnsi="Arial"/>
          <w:sz w:val="15"/>
          <w:szCs w:val="15"/>
          <w:color w:val="auto"/>
        </w:rPr>
        <w:t>”), upon the terms and subject to the conditions set forth in the Merger Agreement and other related agreements: (i) upon the occurrence of Triggering Event I (as defined in the Merger Agreement), a one-time issuance of a number of Earn-Out Shares equal to 3.66% of the Earn-Out Total Outstanding Shares (as defined in the Merger Agreement); (ii) upon the occurrence of Triggering Event II (as defined in the Merger Agreement), a one-time issuance of a number of Earn-Out Shares equal to 3.67% of the Earn-Out Total Outstanding Shares; and (iii) upon the occurrence of Triggering Event III (as defined in the Merger Agreement), a one-time issuance of a number of Earn-Out Shares equal to 3.67% of the Earn-Out Total Outstanding Shares. Upon the last day of any calendar year, the Company shall issue or cause to be issued to each Sema4 Stockholder (other than holders of Dissenting Shares) and Earn-Out Service Provider (in accordance with its respective Earn-Out Pro Rata Share and, in the case of the Earn-Out Service Providers, in accordance with the terms of the applicable Earn-Out Award Agreement (as defined in the Merger Agreement)) the Earn-Out Shares that (i) are in the Forfeiture Pool (as defined in the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1440" w:right="339" w:bottom="1440" w:gutter="0" w:footer="0" w:header="0"/>
        </w:sectPr>
      </w:pPr>
    </w:p>
    <w:bookmarkStart w:id="80" w:name="page81"/>
    <w:bookmarkEnd w:id="80"/>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Agreement) as in effect as of such date and (ii) would have been issuable to Sema4 Stockholders pursuant to the Merger Agreement as a result of the occurrence of a Triggering Event had they not been made subject to an award of Earn Out RSUs.</w:t>
      </w:r>
    </w:p>
    <w:p>
      <w:pPr>
        <w:spacing w:after="0" w:line="12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Sema4 Stockholders and the Earn-Out Service Providers shall be entitled to receive Earn-Out Shares upon each Triggering Event, provided, however that each Triggering Event may only occur once, if at all, and in no event shall the Sema4 Stockholders and Earn-Out Service Providers, in the aggregate, be entitled to receive an aggregate number of Earn-Out Shares equal to more than 11% of the Earn-Out Total Outstanding Shares. Earn-Out Shares will be issued from the Forfeiture Pool only if the applicable Triggering Event occurs.</w:t>
      </w:r>
    </w:p>
    <w:p>
      <w:pPr>
        <w:spacing w:after="0" w:line="138"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 xml:space="preserve">The Earn-Out Shares issuable to Sema4 Stockholders are accounted for as contingent consideration in accordance with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The contingent consideration is not considered indexed to the Company’s own stock and is therefore classified as a liability in the unaudited pro forma condensed combined balance sheet and will be remeasured to fair value at each reporting date (see Note 5(c)). The Earn-Out Shares issuable to Earn-Out Service Providers are accounted for as equity-classified, share-based compensation in accordance with ASC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as the shares are subject to additional vesting conditions and continued employment.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PIPE Investment</w:t>
      </w:r>
    </w:p>
    <w:p>
      <w:pPr>
        <w:spacing w:after="0" w:line="16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On February 9, 2021, concurrently with the execution of the Merger Agreement, CMLS entered into subscription agreements (collectively, the “Subscription Agreements”) with certain investors (collectively, the “PIPE Investors” which include certain existing Sema4 equity holders), pursuant to which the PIPE Investors have collectively subscribed for 35,000,000 shares of Company Class A common stock for an aggregate purchase price equal to $350,000,000 (the “PIPE Investment”). The PIPE Investment was consummated immediately prior to the closing of the Business Combination.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70"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unaudited pro forma condensed combined financial statements were prepared in accordance with Article 11 of SEC Regulation S-X as amended by the final rule, Release No. 33-10786 “Amendments to Financial Disclosures about Acquired and Disposed Businesses.” Release No. 33-10786 replaces the existing pro forma adjustment criteria with simplified requirements to depict the accounting for the transaction (“Transaction Accounting Adjustments”) and present the reasonably estimable synergies and other transaction effects that have occurred or reasonably expected to occur (“Management’s Adjustments”). The Company has elected not to present Management’s Adjustments and will only be presenting Transaction Accounting Adjustments in the unaudited pro forma condensed combined financial statements. The adjustments presented in the unaudited pro forma condensed combined financial statements have been identified and presented to provide relevant information necessary for an understanding of Sema4 Holdings upon consummation of the Business Combination and the PIPE Investment.</w:t>
      </w:r>
    </w:p>
    <w:p>
      <w:pPr>
        <w:spacing w:after="0" w:line="12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unaudited pro forma condensed combined balance sheet as of March 31, 2021 gives effect to the Business Combination and the PIPE Investment as if they occurred on March 31, 2021. The unaudited pro forma condensed combined statements of operations for the three months ended March 31, 2021 and for the year ended December 31, 2020 give effect to the Business Combination and the PIPE Investment as if they occurred on January 1, 2020, the beginning of the earliest period presented.</w:t>
      </w:r>
    </w:p>
    <w:p>
      <w:pPr>
        <w:spacing w:after="0" w:line="138"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pro forma adjustments reflecting the consummation of the Business Combination and the PIPE Investment are based on certain currently available information and certain assumptions and methodologies that the Company believes are reasonable under the circumstances. The Company believes that its assumptions and methodologies provide a reasonable basis for presenting all of the significant effects of the Business Combination and the PIPE Investment based on information available to management at this time and that the pro forma adjustments give appropriate effect to those assumptions and are properly applied in the unaudited pro forma condensed combined financial information.</w:t>
      </w:r>
    </w:p>
    <w:p>
      <w:pPr>
        <w:spacing w:after="0" w:line="12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unaudited pro forma condensed combined financial statements do not give effect to any anticipated synergies, operating efficiencies, tax savings, or cost savings that may be associated with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1440" w:right="339" w:bottom="1440" w:gutter="0" w:footer="0" w:header="0"/>
        </w:sectPr>
      </w:pPr>
    </w:p>
    <w:bookmarkStart w:id="81" w:name="page82"/>
    <w:bookmarkEnd w:id="81"/>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CMLS and Sema4 had not had any historical relationship prior to the Business Combination. Accordingly, no pro forma adjustments were required to eliminate activities between the companies.</w:t>
      </w:r>
    </w:p>
    <w:p>
      <w:pPr>
        <w:spacing w:after="0" w:line="128"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unaudited pro forma condensed combined financial information has been prepared using actual redemptions of 10,188 shares of Company Class A common stock for aggregate redemption payments of $0.1 million out of the trust account on the closing date of the Business Combination. No other shares of Company common stock were subject to redemption. Additionally, no shares of Class B common stock were forfeited by the Sponsor as a result of the redemptions in accordance with the Sponsor Forfeiture Agreement, dated as of February 9, 2021, between CMLS and the Sponsor (the “</w:t>
      </w:r>
      <w:r>
        <w:rPr>
          <w:rFonts w:ascii="Arial" w:cs="Arial" w:eastAsia="Arial" w:hAnsi="Arial"/>
          <w:sz w:val="17"/>
          <w:szCs w:val="17"/>
          <w:i w:val="1"/>
          <w:iCs w:val="1"/>
          <w:color w:val="auto"/>
        </w:rPr>
        <w:t>Forfeiture</w:t>
      </w:r>
      <w:r>
        <w:rPr>
          <w:rFonts w:ascii="Arial" w:cs="Arial" w:eastAsia="Arial" w:hAnsi="Arial"/>
          <w:sz w:val="17"/>
          <w:szCs w:val="17"/>
          <w:color w:val="auto"/>
        </w:rPr>
        <w:t xml:space="preserve"> </w:t>
      </w:r>
      <w:r>
        <w:rPr>
          <w:rFonts w:ascii="Arial" w:cs="Arial" w:eastAsia="Arial" w:hAnsi="Arial"/>
          <w:sz w:val="17"/>
          <w:szCs w:val="17"/>
          <w:i w:val="1"/>
          <w:iCs w:val="1"/>
          <w:color w:val="auto"/>
        </w:rPr>
        <w:t>Agreement</w:t>
      </w:r>
      <w:r>
        <w:rPr>
          <w:rFonts w:ascii="Arial" w:cs="Arial" w:eastAsia="Arial" w:hAnsi="Arial"/>
          <w:sz w:val="17"/>
          <w:szCs w:val="17"/>
          <w:color w:val="auto"/>
        </w:rPr>
        <w:t>”). Sema4 equity holders received $230.7 million of merger consideration in cash at Closing.</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These unaudited pro forma condensed combined financial statements and related notes have been derived from and should be read in conjunction with:</w:t>
      </w:r>
    </w:p>
    <w:p>
      <w:pPr>
        <w:spacing w:after="0" w:line="199" w:lineRule="exact"/>
        <w:rPr>
          <w:sz w:val="20"/>
          <w:szCs w:val="20"/>
          <w:color w:val="auto"/>
        </w:rPr>
      </w:pPr>
    </w:p>
    <w:p>
      <w:pPr>
        <w:jc w:val="both"/>
        <w:ind w:left="640" w:hanging="316"/>
        <w:spacing w:after="0" w:line="255" w:lineRule="auto"/>
        <w:tabs>
          <w:tab w:leader="none" w:pos="63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 audited historical financial statements of CMLS as of December 31, 2020 and for the period from July 10, 2020 (inception) through December 31, 2020 and (ii) unaudited historical condensed financial statements of CMLS as of and for the three months ended March 31, 2021 and the related notes, in each case, included elsewhere in this prospectus;</w:t>
      </w:r>
    </w:p>
    <w:p>
      <w:pPr>
        <w:spacing w:after="0" w:line="135"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 audited historical financial statements of Sema4 as of and for the year ended December 31, 2020 and (ii) unaudited historical condensed financial statements of Sema4 as of and for the three months ended March 31, 2021 and the related notes, in each case, included elsewhere in this prospectus; and</w:t>
      </w:r>
    </w:p>
    <w:p>
      <w:pPr>
        <w:spacing w:after="0" w:line="135"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sections of the prospectus entitled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and the other financial information included elsewhere in this prospectus.</w:t>
      </w:r>
    </w:p>
    <w:p>
      <w:pPr>
        <w:spacing w:after="0" w:line="12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unaudited pro forma condensed combined financial statements are for illustrative purposes only and are not necessarily indicative of what the actual results of operations and financial position would have been had the Business Combination and the PIPE Investment taken place on the dates indicated, nor are they indicative of the future consolidated results of operations or financial position of Sema4 Holdings.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Accounting for the Business Combination</w:t>
      </w:r>
    </w:p>
    <w:p>
      <w:pPr>
        <w:spacing w:after="0" w:line="170"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Business Combination will be accounted for as a reverse recapitalization, in accordance with GAAP. Under this method of accounting, although the Company issued shares for outstanding equity interests of Sema4 in the Business Combination, the Company will be treated as the “acquired” company for financial reporting purposes. Accordingly, the Business Combination will be treated as the equivalent of Sema4 issuing stock for the net assets of the Company, accompanied by a recapitalization. The net assets of the Company will be stated at historical cost, with no goodwill or other intangible assets recorded. Operations prior to the Business Combination will be those of Sema4.</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Sema4 has been determined to be the accounting acquirer based on the evaluation of the following facts and circumstances:</w:t>
      </w:r>
    </w:p>
    <w:p>
      <w:pPr>
        <w:spacing w:after="0" w:line="164" w:lineRule="exact"/>
        <w:rPr>
          <w:sz w:val="20"/>
          <w:szCs w:val="20"/>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former owners of Sema4 hold the largest portion of voting rights in Sema4 Holdings;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Sema4 has the right to appoint a majority of the directors in Sema4 Holdings;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Sema4’s existing senior management team will comprise senior management of Sema4 Holdings;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operations of Sema4 Holdings represent the operations of Sema4;</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Sema4 Holdings assumed Sema4’s name and headquarters.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1440" w:right="339" w:bottom="1440" w:gutter="0" w:footer="0" w:header="0"/>
        </w:sectPr>
      </w:pPr>
    </w:p>
    <w:bookmarkStart w:id="82" w:name="page83"/>
    <w:bookmarkEnd w:id="82"/>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Capitalization</w:t>
      </w:r>
    </w:p>
    <w:p>
      <w:pPr>
        <w:spacing w:after="0" w:line="170"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following summarizes the pro forma ownership of Class A common stock of the Company following the Business Combination and the PIPE Investment: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4"/>
                <w:szCs w:val="14"/>
                <w:color w:val="auto"/>
              </w:rPr>
            </w:pPr>
          </w:p>
        </w:tc>
        <w:tc>
          <w:tcPr>
            <w:tcW w:w="2260" w:type="dxa"/>
            <w:vAlign w:val="bottom"/>
            <w:gridSpan w:val="3"/>
          </w:tcPr>
          <w:p>
            <w:pPr>
              <w:jc w:val="center"/>
              <w:ind w:left="978"/>
              <w:spacing w:after="0"/>
              <w:rPr>
                <w:sz w:val="20"/>
                <w:szCs w:val="20"/>
                <w:color w:val="auto"/>
              </w:rPr>
            </w:pPr>
            <w:r>
              <w:rPr>
                <w:rFonts w:ascii="Arial" w:cs="Arial" w:eastAsia="Arial" w:hAnsi="Arial"/>
                <w:sz w:val="14"/>
                <w:szCs w:val="14"/>
                <w:b w:val="1"/>
                <w:bCs w:val="1"/>
                <w:color w:val="auto"/>
                <w:w w:val="93"/>
              </w:rPr>
              <w:t>Actual</w:t>
            </w:r>
          </w:p>
        </w:tc>
        <w:tc>
          <w:tcPr>
            <w:tcW w:w="1100" w:type="dxa"/>
            <w:vAlign w:val="bottom"/>
          </w:tcPr>
          <w:p>
            <w:pPr>
              <w:spacing w:after="0"/>
              <w:rPr>
                <w:sz w:val="14"/>
                <w:szCs w:val="14"/>
                <w:color w:val="auto"/>
              </w:rPr>
            </w:pPr>
          </w:p>
        </w:tc>
      </w:tr>
      <w:tr>
        <w:trPr>
          <w:trHeight w:val="184"/>
        </w:trPr>
        <w:tc>
          <w:tcPr>
            <w:tcW w:w="7880" w:type="dxa"/>
            <w:vAlign w:val="bottom"/>
          </w:tcPr>
          <w:p>
            <w:pPr>
              <w:spacing w:after="0"/>
              <w:rPr>
                <w:sz w:val="15"/>
                <w:szCs w:val="15"/>
                <w:color w:val="auto"/>
              </w:rPr>
            </w:pPr>
          </w:p>
        </w:tc>
        <w:tc>
          <w:tcPr>
            <w:tcW w:w="2260" w:type="dxa"/>
            <w:vAlign w:val="bottom"/>
            <w:tcBorders>
              <w:bottom w:val="single" w:sz="8" w:color="auto"/>
            </w:tcBorders>
            <w:gridSpan w:val="3"/>
          </w:tcPr>
          <w:p>
            <w:pPr>
              <w:jc w:val="center"/>
              <w:ind w:left="1018"/>
              <w:spacing w:after="0"/>
              <w:rPr>
                <w:sz w:val="20"/>
                <w:szCs w:val="20"/>
                <w:color w:val="auto"/>
              </w:rPr>
            </w:pPr>
            <w:r>
              <w:rPr>
                <w:rFonts w:ascii="Arial" w:cs="Arial" w:eastAsia="Arial" w:hAnsi="Arial"/>
                <w:sz w:val="14"/>
                <w:szCs w:val="14"/>
                <w:b w:val="1"/>
                <w:bCs w:val="1"/>
                <w:color w:val="auto"/>
                <w:w w:val="90"/>
              </w:rPr>
              <w:t>Redemptions</w:t>
            </w:r>
          </w:p>
        </w:tc>
        <w:tc>
          <w:tcPr>
            <w:tcW w:w="1100" w:type="dxa"/>
            <w:vAlign w:val="bottom"/>
            <w:tcBorders>
              <w:bottom w:val="single" w:sz="8" w:color="auto"/>
            </w:tcBorders>
          </w:tcPr>
          <w:p>
            <w:pPr>
              <w:spacing w:after="0"/>
              <w:rPr>
                <w:sz w:val="15"/>
                <w:szCs w:val="15"/>
                <w:color w:val="auto"/>
              </w:rPr>
            </w:pPr>
          </w:p>
        </w:tc>
      </w:tr>
      <w:tr>
        <w:trPr>
          <w:trHeight w:val="180"/>
        </w:trPr>
        <w:tc>
          <w:tcPr>
            <w:tcW w:w="7880" w:type="dxa"/>
            <w:vAlign w:val="bottom"/>
          </w:tcPr>
          <w:p>
            <w:pPr>
              <w:ind w:left="20"/>
              <w:spacing w:after="0"/>
              <w:rPr>
                <w:sz w:val="20"/>
                <w:szCs w:val="20"/>
                <w:color w:val="auto"/>
              </w:rPr>
            </w:pPr>
            <w:r>
              <w:rPr>
                <w:rFonts w:ascii="Arial" w:cs="Arial" w:eastAsia="Arial" w:hAnsi="Arial"/>
                <w:sz w:val="14"/>
                <w:szCs w:val="14"/>
                <w:b w:val="1"/>
                <w:bCs w:val="1"/>
                <w:color w:val="auto"/>
              </w:rPr>
              <w:t>Equity Capitalization Summary</w:t>
            </w:r>
          </w:p>
        </w:tc>
        <w:tc>
          <w:tcPr>
            <w:tcW w:w="2260" w:type="dxa"/>
            <w:vAlign w:val="bottom"/>
            <w:gridSpan w:val="3"/>
          </w:tcPr>
          <w:p>
            <w:pPr>
              <w:ind w:left="580"/>
              <w:spacing w:after="0"/>
              <w:rPr>
                <w:sz w:val="20"/>
                <w:szCs w:val="20"/>
                <w:color w:val="auto"/>
              </w:rPr>
            </w:pPr>
            <w:r>
              <w:rPr>
                <w:rFonts w:ascii="Arial" w:cs="Arial" w:eastAsia="Arial" w:hAnsi="Arial"/>
                <w:sz w:val="14"/>
                <w:szCs w:val="14"/>
                <w:b w:val="1"/>
                <w:bCs w:val="1"/>
                <w:color w:val="auto"/>
              </w:rPr>
              <w:t>Shares</w:t>
            </w:r>
          </w:p>
        </w:tc>
        <w:tc>
          <w:tcPr>
            <w:tcW w:w="1100" w:type="dxa"/>
            <w:vAlign w:val="bottom"/>
          </w:tcPr>
          <w:p>
            <w:pPr>
              <w:jc w:val="right"/>
              <w:ind w:right="695"/>
              <w:spacing w:after="0"/>
              <w:rPr>
                <w:sz w:val="20"/>
                <w:szCs w:val="20"/>
                <w:color w:val="auto"/>
              </w:rPr>
            </w:pPr>
            <w:r>
              <w:rPr>
                <w:rFonts w:ascii="Arial" w:cs="Arial" w:eastAsia="Arial" w:hAnsi="Arial"/>
                <w:sz w:val="14"/>
                <w:szCs w:val="14"/>
                <w:b w:val="1"/>
                <w:bCs w:val="1"/>
                <w:color w:val="auto"/>
              </w:rPr>
              <w:t>%</w:t>
            </w:r>
          </w:p>
        </w:tc>
      </w:tr>
      <w:tr>
        <w:trPr>
          <w:trHeight w:val="219"/>
        </w:trPr>
        <w:tc>
          <w:tcPr>
            <w:tcW w:w="7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Former Sema4 Equity Holders(1)</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155,856,840</w:t>
            </w:r>
          </w:p>
        </w:tc>
        <w:tc>
          <w:tcPr>
            <w:tcW w:w="8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64.9 %</w:t>
            </w:r>
          </w:p>
        </w:tc>
      </w:tr>
      <w:tr>
        <w:trPr>
          <w:trHeight w:val="225"/>
        </w:trPr>
        <w:tc>
          <w:tcPr>
            <w:tcW w:w="7880" w:type="dxa"/>
            <w:vAlign w:val="bottom"/>
          </w:tcPr>
          <w:p>
            <w:pPr>
              <w:ind w:left="20"/>
              <w:spacing w:after="0"/>
              <w:rPr>
                <w:sz w:val="20"/>
                <w:szCs w:val="20"/>
                <w:color w:val="auto"/>
              </w:rPr>
            </w:pPr>
            <w:r>
              <w:rPr>
                <w:rFonts w:ascii="Arial" w:cs="Arial" w:eastAsia="Arial" w:hAnsi="Arial"/>
                <w:sz w:val="18"/>
                <w:szCs w:val="18"/>
                <w:color w:val="auto"/>
              </w:rPr>
              <w:t>Public Stockholders(2)</w:t>
            </w:r>
          </w:p>
        </w:tc>
        <w:tc>
          <w:tcPr>
            <w:tcW w:w="1580" w:type="dxa"/>
            <w:vAlign w:val="bottom"/>
          </w:tcPr>
          <w:p>
            <w:pPr>
              <w:jc w:val="right"/>
              <w:spacing w:after="0"/>
              <w:rPr>
                <w:sz w:val="20"/>
                <w:szCs w:val="20"/>
                <w:color w:val="auto"/>
              </w:rPr>
            </w:pPr>
            <w:r>
              <w:rPr>
                <w:rFonts w:ascii="Arial" w:cs="Arial" w:eastAsia="Arial" w:hAnsi="Arial"/>
                <w:sz w:val="18"/>
                <w:szCs w:val="18"/>
                <w:color w:val="auto"/>
              </w:rPr>
              <w:t>44,264,812</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18.4 %</w:t>
            </w:r>
          </w:p>
        </w:tc>
      </w:tr>
      <w:tr>
        <w:trPr>
          <w:trHeight w:val="226"/>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Sponsor(3)</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11,068,750</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w:t>
            </w:r>
          </w:p>
        </w:tc>
      </w:tr>
      <w:tr>
        <w:trPr>
          <w:trHeight w:val="225"/>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New PIPE Investors(4)</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29,000,000</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12.1 %</w:t>
            </w:r>
          </w:p>
        </w:tc>
      </w:tr>
      <w:tr>
        <w:trPr>
          <w:trHeight w:val="244"/>
        </w:trPr>
        <w:tc>
          <w:tcPr>
            <w:tcW w:w="78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Class A common stock</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240,190,402</w:t>
            </w: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0" w:lineRule="exact"/>
        <w:rPr>
          <w:sz w:val="20"/>
          <w:szCs w:val="20"/>
          <w:color w:val="auto"/>
        </w:rPr>
      </w:pPr>
    </w:p>
    <w:p>
      <w:pPr>
        <w:ind w:left="320" w:right="520" w:hanging="314"/>
        <w:spacing w:after="0" w:line="255" w:lineRule="auto"/>
        <w:tabs>
          <w:tab w:leader="none" w:pos="202" w:val="left"/>
        </w:tabs>
        <w:numPr>
          <w:ilvl w:val="0"/>
          <w:numId w:val="39"/>
        </w:numPr>
        <w:rPr>
          <w:rFonts w:ascii="Arial" w:cs="Arial" w:eastAsia="Arial" w:hAnsi="Arial"/>
          <w:sz w:val="13"/>
          <w:szCs w:val="13"/>
          <w:color w:val="auto"/>
        </w:rPr>
      </w:pPr>
      <w:r>
        <w:rPr>
          <w:rFonts w:ascii="Arial" w:cs="Arial" w:eastAsia="Arial" w:hAnsi="Arial"/>
          <w:sz w:val="13"/>
          <w:szCs w:val="13"/>
          <w:color w:val="auto"/>
        </w:rPr>
        <w:t>Includes stock consideration of 149,856,840 shares of Class A common stock and cash consideration of $230.7 million received by Sema4 equity holders in connection with the Business Combination, as well as 6,000,000 shares of Class A common stock purchased by existing Sema4 equity holders in connection with the PIPE Investment.</w:t>
      </w:r>
    </w:p>
    <w:p>
      <w:pPr>
        <w:ind w:left="200" w:hanging="194"/>
        <w:spacing w:after="0"/>
        <w:tabs>
          <w:tab w:leader="none" w:pos="2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Reflects redemptions of 10,188 shares of Class A common stock of the Company for aggregate redemption payments of $0.1 million using a per-share redemption price of $10.00.</w:t>
      </w:r>
    </w:p>
    <w:p>
      <w:pPr>
        <w:spacing w:after="0" w:line="9" w:lineRule="exact"/>
        <w:rPr>
          <w:rFonts w:ascii="Arial" w:cs="Arial" w:eastAsia="Arial" w:hAnsi="Arial"/>
          <w:sz w:val="13"/>
          <w:szCs w:val="13"/>
          <w:color w:val="auto"/>
        </w:rPr>
      </w:pPr>
    </w:p>
    <w:p>
      <w:pPr>
        <w:ind w:left="200" w:hanging="194"/>
        <w:spacing w:after="0" w:line="237" w:lineRule="auto"/>
        <w:tabs>
          <w:tab w:leader="none" w:pos="200" w:val="left"/>
        </w:tabs>
        <w:numPr>
          <w:ilvl w:val="0"/>
          <w:numId w:val="39"/>
        </w:numPr>
        <w:rPr>
          <w:rFonts w:ascii="Arial" w:cs="Arial" w:eastAsia="Arial" w:hAnsi="Arial"/>
          <w:sz w:val="14"/>
          <w:szCs w:val="14"/>
          <w:color w:val="auto"/>
        </w:rPr>
      </w:pPr>
      <w:r>
        <w:rPr>
          <w:rFonts w:ascii="Arial" w:cs="Arial" w:eastAsia="Arial" w:hAnsi="Arial"/>
          <w:sz w:val="14"/>
          <w:szCs w:val="14"/>
          <w:color w:val="auto"/>
        </w:rPr>
        <w:t>Due to the minimal redemptions by public stockholders, no Sponsor shares of Class B common stock were forfeited pursuant to the Forfeiture Agreement.</w:t>
      </w:r>
    </w:p>
    <w:p>
      <w:pPr>
        <w:ind w:left="320" w:right="300" w:hanging="314"/>
        <w:spacing w:after="0" w:line="242" w:lineRule="auto"/>
        <w:tabs>
          <w:tab w:leader="none" w:pos="202"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Reflects the consummation of the PIPE Investment for aggregate proceeds of $350.0 million in connection with the issuance of 35,000,000 shares of Class A common stock, with 29,000,000 shares purchased by new PIPE Investors and 6,000,000 shares purchased by existing Sema4 equity holders as noted in (1) above. The shares purchased by new PIPE Investors includes 9,500,000 shares purchased by funds that are advised by affiliates of the Sponsor.</w:t>
      </w:r>
    </w:p>
    <w:p>
      <w:pPr>
        <w:spacing w:after="0" w:line="150" w:lineRule="exact"/>
        <w:rPr>
          <w:sz w:val="20"/>
          <w:szCs w:val="20"/>
          <w:color w:val="auto"/>
        </w:rPr>
      </w:pPr>
    </w:p>
    <w:p>
      <w:pPr>
        <w:ind w:left="320" w:right="3800" w:hanging="314"/>
        <w:spacing w:after="0" w:line="433" w:lineRule="auto"/>
        <w:tabs>
          <w:tab w:leader="none" w:pos="169"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Adjustments to Unaudited Pro Forma Condensed Combined Balance Sheet as of March 31, 2021 </w:t>
      </w:r>
      <w:r>
        <w:rPr>
          <w:rFonts w:ascii="Arial" w:cs="Arial" w:eastAsia="Arial" w:hAnsi="Arial"/>
          <w:sz w:val="18"/>
          <w:szCs w:val="18"/>
          <w:color w:val="auto"/>
        </w:rPr>
        <w:t>The pro forma notes and adjustments are as follows: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notes</w:t>
      </w:r>
    </w:p>
    <w:p>
      <w:pPr>
        <w:spacing w:after="0" w:line="164" w:lineRule="exact"/>
        <w:rPr>
          <w:sz w:val="20"/>
          <w:szCs w:val="20"/>
          <w:color w:val="auto"/>
        </w:rPr>
      </w:pPr>
    </w:p>
    <w:p>
      <w:pPr>
        <w:ind w:left="640" w:hanging="31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Derived from the unaudited condensed balance sheet of CMLS as of March 31, 2021.</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Derived from the unaudited condensed balance sheet of Sema4 as of March 31, 2021.</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adjustments</w:t>
      </w:r>
    </w:p>
    <w:p>
      <w:pPr>
        <w:spacing w:after="0" w:line="164" w:lineRule="exact"/>
        <w:rPr>
          <w:sz w:val="20"/>
          <w:szCs w:val="20"/>
          <w:color w:val="auto"/>
        </w:rPr>
      </w:pPr>
    </w:p>
    <w:p>
      <w:pPr>
        <w:jc w:val="both"/>
        <w:ind w:left="640" w:hanging="316"/>
        <w:spacing w:after="0" w:line="255" w:lineRule="auto"/>
        <w:tabs>
          <w:tab w:leader="none" w:pos="634"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reflect the net change in cash and cash equivalents as a result of extinguishment of certain of our long-term debt obligations occurred prior to the Business Combination and other proceeds/payments occurred in connection with the Business Combination and the PIPE Investment as follows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Release of Trust Account</w:t>
            </w:r>
          </w:p>
        </w:tc>
        <w:tc>
          <w:tcPr>
            <w:tcW w:w="4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442,775</w:t>
            </w:r>
          </w:p>
        </w:tc>
        <w:tc>
          <w:tcPr>
            <w:tcW w:w="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5(c)</w:t>
            </w:r>
          </w:p>
        </w:tc>
      </w:tr>
      <w:tr>
        <w:trPr>
          <w:trHeight w:val="225"/>
        </w:trPr>
        <w:tc>
          <w:tcPr>
            <w:tcW w:w="9020" w:type="dxa"/>
            <w:vAlign w:val="bottom"/>
          </w:tcPr>
          <w:p>
            <w:pPr>
              <w:ind w:left="20"/>
              <w:spacing w:after="0"/>
              <w:rPr>
                <w:sz w:val="20"/>
                <w:szCs w:val="20"/>
                <w:color w:val="auto"/>
              </w:rPr>
            </w:pPr>
            <w:r>
              <w:rPr>
                <w:rFonts w:ascii="Arial" w:cs="Arial" w:eastAsia="Arial" w:hAnsi="Arial"/>
                <w:sz w:val="18"/>
                <w:szCs w:val="18"/>
                <w:color w:val="auto"/>
              </w:rPr>
              <w:t>Proceeds from PIPE Investment</w:t>
            </w: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350,000</w:t>
            </w:r>
          </w:p>
        </w:tc>
        <w:tc>
          <w:tcPr>
            <w:tcW w:w="640" w:type="dxa"/>
            <w:vAlign w:val="bottom"/>
          </w:tcPr>
          <w:p>
            <w:pPr>
              <w:ind w:left="100"/>
              <w:spacing w:after="0"/>
              <w:rPr>
                <w:sz w:val="20"/>
                <w:szCs w:val="20"/>
                <w:color w:val="auto"/>
              </w:rPr>
            </w:pPr>
            <w:r>
              <w:rPr>
                <w:rFonts w:ascii="Arial" w:cs="Arial" w:eastAsia="Arial" w:hAnsi="Arial"/>
                <w:sz w:val="18"/>
                <w:szCs w:val="18"/>
                <w:color w:val="auto"/>
              </w:rPr>
              <w:t>5(j)</w:t>
            </w:r>
          </w:p>
        </w:tc>
      </w:tr>
      <w:tr>
        <w:trPr>
          <w:trHeight w:val="226"/>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 of cash consideration</w:t>
            </w: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(230,665)</w:t>
            </w:r>
          </w:p>
        </w:tc>
        <w:tc>
          <w:tcPr>
            <w:tcW w:w="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5(j)</w:t>
            </w:r>
          </w:p>
        </w:tc>
      </w:tr>
      <w:tr>
        <w:trPr>
          <w:trHeight w:val="225"/>
        </w:trPr>
        <w:tc>
          <w:tcPr>
            <w:tcW w:w="9020" w:type="dxa"/>
            <w:vAlign w:val="bottom"/>
          </w:tcPr>
          <w:p>
            <w:pPr>
              <w:ind w:left="20"/>
              <w:spacing w:after="0"/>
              <w:rPr>
                <w:sz w:val="20"/>
                <w:szCs w:val="20"/>
                <w:color w:val="auto"/>
              </w:rPr>
            </w:pPr>
            <w:r>
              <w:rPr>
                <w:rFonts w:ascii="Arial" w:cs="Arial" w:eastAsia="Arial" w:hAnsi="Arial"/>
                <w:sz w:val="18"/>
                <w:szCs w:val="18"/>
                <w:color w:val="auto"/>
              </w:rPr>
              <w:t>Payment of transaction expenses</w:t>
            </w: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(35,649)</w:t>
            </w:r>
          </w:p>
        </w:tc>
        <w:tc>
          <w:tcPr>
            <w:tcW w:w="640" w:type="dxa"/>
            <w:vAlign w:val="bottom"/>
          </w:tcPr>
          <w:p>
            <w:pPr>
              <w:ind w:left="100"/>
              <w:spacing w:after="0"/>
              <w:rPr>
                <w:sz w:val="20"/>
                <w:szCs w:val="20"/>
                <w:color w:val="auto"/>
              </w:rPr>
            </w:pPr>
            <w:r>
              <w:rPr>
                <w:rFonts w:ascii="Arial" w:cs="Arial" w:eastAsia="Arial" w:hAnsi="Arial"/>
                <w:sz w:val="18"/>
                <w:szCs w:val="18"/>
                <w:color w:val="auto"/>
              </w:rPr>
              <w:t>5(j)</w:t>
            </w:r>
          </w:p>
        </w:tc>
      </w:tr>
      <w:tr>
        <w:trPr>
          <w:trHeight w:val="226"/>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 of CMLS deferred underwriting fee payable</w:t>
            </w: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(15,496)</w:t>
            </w:r>
          </w:p>
        </w:tc>
        <w:tc>
          <w:tcPr>
            <w:tcW w:w="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5(g)</w:t>
            </w:r>
          </w:p>
        </w:tc>
      </w:tr>
      <w:tr>
        <w:trPr>
          <w:trHeight w:val="225"/>
        </w:trPr>
        <w:tc>
          <w:tcPr>
            <w:tcW w:w="9020" w:type="dxa"/>
            <w:vAlign w:val="bottom"/>
          </w:tcPr>
          <w:p>
            <w:pPr>
              <w:ind w:left="20"/>
              <w:spacing w:after="0"/>
              <w:rPr>
                <w:sz w:val="20"/>
                <w:szCs w:val="20"/>
                <w:color w:val="auto"/>
              </w:rPr>
            </w:pPr>
            <w:r>
              <w:rPr>
                <w:rFonts w:ascii="Arial" w:cs="Arial" w:eastAsia="Arial" w:hAnsi="Arial"/>
                <w:sz w:val="18"/>
                <w:szCs w:val="18"/>
                <w:color w:val="auto"/>
              </w:rPr>
              <w:t>Settlement of Sema4 stock appreciation rights</w:t>
            </w: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(3,800)</w:t>
            </w:r>
          </w:p>
        </w:tc>
        <w:tc>
          <w:tcPr>
            <w:tcW w:w="640" w:type="dxa"/>
            <w:vAlign w:val="bottom"/>
          </w:tcPr>
          <w:p>
            <w:pPr>
              <w:ind w:left="100"/>
              <w:spacing w:after="0"/>
              <w:rPr>
                <w:sz w:val="20"/>
                <w:szCs w:val="20"/>
                <w:color w:val="auto"/>
              </w:rPr>
            </w:pPr>
            <w:r>
              <w:rPr>
                <w:rFonts w:ascii="Arial" w:cs="Arial" w:eastAsia="Arial" w:hAnsi="Arial"/>
                <w:sz w:val="18"/>
                <w:szCs w:val="18"/>
                <w:color w:val="auto"/>
              </w:rPr>
              <w:t>5(j)</w:t>
            </w:r>
          </w:p>
        </w:tc>
      </w:tr>
      <w:tr>
        <w:trPr>
          <w:trHeight w:val="226"/>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 of Sema4 long-term debt</w:t>
            </w: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(9,348)</w:t>
            </w:r>
          </w:p>
        </w:tc>
        <w:tc>
          <w:tcPr>
            <w:tcW w:w="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5(e)</w:t>
            </w:r>
          </w:p>
        </w:tc>
      </w:tr>
      <w:tr>
        <w:trPr>
          <w:trHeight w:val="225"/>
        </w:trPr>
        <w:tc>
          <w:tcPr>
            <w:tcW w:w="9020" w:type="dxa"/>
            <w:vAlign w:val="bottom"/>
          </w:tcPr>
          <w:p>
            <w:pPr>
              <w:ind w:left="20"/>
              <w:spacing w:after="0"/>
              <w:rPr>
                <w:sz w:val="20"/>
                <w:szCs w:val="20"/>
                <w:color w:val="auto"/>
              </w:rPr>
            </w:pPr>
            <w:r>
              <w:rPr>
                <w:rFonts w:ascii="Arial" w:cs="Arial" w:eastAsia="Arial" w:hAnsi="Arial"/>
                <w:sz w:val="18"/>
                <w:szCs w:val="18"/>
                <w:color w:val="auto"/>
              </w:rPr>
              <w:t>Payment of early-payment penalties on Sema4 long-term debt</w:t>
            </w: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(322)</w:t>
            </w:r>
          </w:p>
        </w:tc>
        <w:tc>
          <w:tcPr>
            <w:tcW w:w="640" w:type="dxa"/>
            <w:vAlign w:val="bottom"/>
          </w:tcPr>
          <w:p>
            <w:pPr>
              <w:ind w:left="100"/>
              <w:spacing w:after="0"/>
              <w:rPr>
                <w:sz w:val="20"/>
                <w:szCs w:val="20"/>
                <w:color w:val="auto"/>
              </w:rPr>
            </w:pPr>
            <w:r>
              <w:rPr>
                <w:rFonts w:ascii="Arial" w:cs="Arial" w:eastAsia="Arial" w:hAnsi="Arial"/>
                <w:sz w:val="18"/>
                <w:szCs w:val="18"/>
                <w:color w:val="auto"/>
              </w:rPr>
              <w:t>5(j)</w:t>
            </w:r>
          </w:p>
        </w:tc>
      </w:tr>
      <w:tr>
        <w:trPr>
          <w:trHeight w:val="225"/>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Redemptions by public stockholders</w:t>
            </w:r>
          </w:p>
        </w:tc>
        <w:tc>
          <w:tcPr>
            <w:tcW w:w="4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5(j)</w:t>
            </w:r>
          </w:p>
        </w:tc>
      </w:tr>
      <w:tr>
        <w:trPr>
          <w:trHeight w:val="219"/>
        </w:trPr>
        <w:tc>
          <w:tcPr>
            <w:tcW w:w="9020" w:type="dxa"/>
            <w:vAlign w:val="bottom"/>
          </w:tcPr>
          <w:p>
            <w:pPr>
              <w:ind w:left="760"/>
              <w:spacing w:after="0"/>
              <w:rPr>
                <w:sz w:val="20"/>
                <w:szCs w:val="20"/>
                <w:color w:val="auto"/>
              </w:rPr>
            </w:pPr>
            <w:r>
              <w:rPr>
                <w:rFonts w:ascii="Arial" w:cs="Arial" w:eastAsia="Arial" w:hAnsi="Arial"/>
                <w:sz w:val="18"/>
                <w:szCs w:val="18"/>
                <w:color w:val="auto"/>
              </w:rPr>
              <w:t>Cash and cash equivalents</w:t>
            </w:r>
          </w:p>
        </w:tc>
        <w:tc>
          <w:tcPr>
            <w:tcW w:w="4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497,393</w:t>
            </w:r>
          </w:p>
        </w:tc>
        <w:tc>
          <w:tcPr>
            <w:tcW w:w="640" w:type="dxa"/>
            <w:vAlign w:val="bottom"/>
          </w:tcPr>
          <w:p>
            <w:pPr>
              <w:spacing w:after="0"/>
              <w:rPr>
                <w:sz w:val="19"/>
                <w:szCs w:val="19"/>
                <w:color w:val="auto"/>
              </w:rPr>
            </w:pPr>
          </w:p>
        </w:tc>
      </w:tr>
      <w:tr>
        <w:trPr>
          <w:trHeight w:val="20"/>
        </w:trPr>
        <w:tc>
          <w:tcPr>
            <w:tcW w:w="90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226" w:lineRule="exact"/>
        <w:rPr>
          <w:sz w:val="20"/>
          <w:szCs w:val="20"/>
          <w:color w:val="auto"/>
        </w:rPr>
      </w:pPr>
    </w:p>
    <w:p>
      <w:pPr>
        <w:ind w:left="640" w:hanging="316"/>
        <w:spacing w:after="0" w:line="264" w:lineRule="auto"/>
        <w:tabs>
          <w:tab w:leader="none" w:pos="634"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reflect the reclassification of deferred transaction costs from other assets to additional paid-in capital in connection with the consummation of the reverse recapitalization (see Note 5(j)).</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1440" w:right="339" w:bottom="1440" w:gutter="0" w:footer="0" w:header="0"/>
        </w:sectPr>
      </w:pPr>
    </w:p>
    <w:bookmarkStart w:id="83" w:name="page84"/>
    <w:bookmarkEnd w:id="83"/>
    <w:p>
      <w:pPr>
        <w:spacing w:after="0" w:line="119" w:lineRule="exact"/>
        <w:rPr>
          <w:sz w:val="20"/>
          <w:szCs w:val="20"/>
          <w:color w:val="auto"/>
        </w:rPr>
      </w:pPr>
    </w:p>
    <w:p>
      <w:pPr>
        <w:ind w:left="640" w:hanging="31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reflect the release of $442.8 million of cash and marketable securities from the Trust Account (see Note 5(b)).</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reflect the accrual of additional transaction expenses to be paid subsequent to Closing (see Note 5(j)).</w:t>
      </w:r>
    </w:p>
    <w:p>
      <w:pPr>
        <w:spacing w:after="0" w:line="164" w:lineRule="exact"/>
        <w:rPr>
          <w:rFonts w:ascii="Arial" w:cs="Arial" w:eastAsia="Arial" w:hAnsi="Arial"/>
          <w:sz w:val="18"/>
          <w:szCs w:val="18"/>
          <w:color w:val="auto"/>
        </w:rPr>
      </w:pPr>
    </w:p>
    <w:p>
      <w:pPr>
        <w:ind w:left="640" w:hanging="316"/>
        <w:spacing w:after="0" w:line="264" w:lineRule="auto"/>
        <w:tabs>
          <w:tab w:leader="none" w:pos="637"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reflect the repayment of $9.6 million of Sema4’s long-term debt, including $1.8 million classified as current and $7.5 million classified as non-current, as well as early-payment penalties of $0.3 million (see Note 5(a) and Note 5(j)).</w:t>
      </w:r>
    </w:p>
    <w:p>
      <w:pPr>
        <w:spacing w:after="0" w:line="127" w:lineRule="exact"/>
        <w:rPr>
          <w:rFonts w:ascii="Arial" w:cs="Arial" w:eastAsia="Arial" w:hAnsi="Arial"/>
          <w:sz w:val="18"/>
          <w:szCs w:val="18"/>
          <w:color w:val="auto"/>
        </w:rPr>
      </w:pPr>
    </w:p>
    <w:p>
      <w:pPr>
        <w:ind w:left="640" w:hanging="316"/>
        <w:spacing w:after="0" w:line="365" w:lineRule="auto"/>
        <w:tabs>
          <w:tab w:leader="none" w:pos="631" w:val="left"/>
        </w:tabs>
        <w:numPr>
          <w:ilvl w:val="0"/>
          <w:numId w:val="44"/>
        </w:numPr>
        <w:rPr>
          <w:rFonts w:ascii="Arial" w:cs="Arial" w:eastAsia="Arial" w:hAnsi="Arial"/>
          <w:sz w:val="15"/>
          <w:szCs w:val="15"/>
          <w:color w:val="auto"/>
        </w:rPr>
      </w:pPr>
      <w:r>
        <w:rPr>
          <w:rFonts w:ascii="Arial" w:cs="Arial" w:eastAsia="Arial" w:hAnsi="Arial"/>
          <w:sz w:val="15"/>
          <w:szCs w:val="15"/>
          <w:color w:val="auto"/>
        </w:rPr>
        <w:t>To record an earn-out liability for the estimated fair value of the Earn-Out Shares to be issued to Sema4 equity holders upon the achievement of the Triggering Events, assuming no Earn-Out Forfeitures (as defined in the Merger Agreement) by Earn-Out Service Providers (see Note 5(j)).</w:t>
      </w:r>
    </w:p>
    <w:p>
      <w:pPr>
        <w:spacing w:after="0" w:line="58" w:lineRule="exact"/>
        <w:rPr>
          <w:rFonts w:ascii="Arial" w:cs="Arial" w:eastAsia="Arial" w:hAnsi="Arial"/>
          <w:sz w:val="15"/>
          <w:szCs w:val="15"/>
          <w:color w:val="auto"/>
        </w:rPr>
      </w:pPr>
    </w:p>
    <w:p>
      <w:pPr>
        <w:ind w:left="640" w:hanging="316"/>
        <w:spacing w:after="0" w:line="264" w:lineRule="auto"/>
        <w:tabs>
          <w:tab w:leader="none" w:pos="634"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reflect the settlement of $15.5 million of deferred underwriting fees incurred during CMLS’s IPO that are contractually due upon completion of the Business Combination (see Note 5(a)).</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To reflect the exchange of $334.4 million of Sema4’s redeemable convertible preferred stock as a result of the Business Combination (see Note 5(j)).</w:t>
      </w:r>
    </w:p>
    <w:p>
      <w:pPr>
        <w:spacing w:after="0" w:line="198" w:lineRule="exact"/>
        <w:rPr>
          <w:rFonts w:ascii="Arial" w:cs="Arial" w:eastAsia="Arial" w:hAnsi="Arial"/>
          <w:sz w:val="15"/>
          <w:szCs w:val="15"/>
          <w:color w:val="auto"/>
        </w:rPr>
      </w:pPr>
    </w:p>
    <w:p>
      <w:pPr>
        <w:jc w:val="both"/>
        <w:ind w:left="640" w:hanging="316"/>
        <w:spacing w:after="0" w:line="255" w:lineRule="auto"/>
        <w:tabs>
          <w:tab w:leader="none" w:pos="634"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reflect the redemption of 10,188 shares of Class A common stock of for aggregate redemption payments of $0.1 million and the transfer of $294.7 million to permanent equity upon consummation of the Business Combination as no other shares of Class A common stock remain subject to redemption (see Notes 5(a) and 5(j)).</w:t>
      </w:r>
    </w:p>
    <w:p>
      <w:pPr>
        <w:spacing w:after="0" w:line="135" w:lineRule="exact"/>
        <w:rPr>
          <w:rFonts w:ascii="Arial" w:cs="Arial" w:eastAsia="Arial" w:hAnsi="Arial"/>
          <w:sz w:val="18"/>
          <w:szCs w:val="18"/>
          <w:color w:val="auto"/>
        </w:rPr>
      </w:pPr>
    </w:p>
    <w:p>
      <w:pPr>
        <w:ind w:left="640" w:hanging="316"/>
        <w:spacing w:after="0" w:line="264" w:lineRule="auto"/>
        <w:tabs>
          <w:tab w:leader="none" w:pos="634"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reflect the recapitalization of Sema4 Holdings through the exchange of all of the outstanding share capital of Sema4 for Class A common stock of the Company and the following equity transactions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Exchange of Sema4 redeemable convertible preferred stock</w:t>
            </w:r>
          </w:p>
        </w:tc>
        <w:tc>
          <w:tcPr>
            <w:tcW w:w="4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334,439</w:t>
            </w:r>
          </w:p>
        </w:tc>
        <w:tc>
          <w:tcPr>
            <w:tcW w:w="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5(h)</w:t>
            </w:r>
          </w:p>
        </w:tc>
      </w:tr>
      <w:tr>
        <w:trPr>
          <w:trHeight w:val="225"/>
        </w:trPr>
        <w:tc>
          <w:tcPr>
            <w:tcW w:w="9020" w:type="dxa"/>
            <w:vAlign w:val="bottom"/>
          </w:tcPr>
          <w:p>
            <w:pPr>
              <w:ind w:left="20"/>
              <w:spacing w:after="0"/>
              <w:rPr>
                <w:sz w:val="20"/>
                <w:szCs w:val="20"/>
                <w:color w:val="auto"/>
              </w:rPr>
            </w:pPr>
            <w:r>
              <w:rPr>
                <w:rFonts w:ascii="Arial" w:cs="Arial" w:eastAsia="Arial" w:hAnsi="Arial"/>
                <w:sz w:val="18"/>
                <w:szCs w:val="18"/>
                <w:color w:val="auto"/>
              </w:rPr>
              <w:t>Reclassification of Company common stock subject to possible redemption</w:t>
            </w: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294,748</w:t>
            </w:r>
          </w:p>
        </w:tc>
        <w:tc>
          <w:tcPr>
            <w:tcW w:w="640" w:type="dxa"/>
            <w:vAlign w:val="bottom"/>
          </w:tcPr>
          <w:p>
            <w:pPr>
              <w:ind w:left="100"/>
              <w:spacing w:after="0"/>
              <w:rPr>
                <w:sz w:val="20"/>
                <w:szCs w:val="20"/>
                <w:color w:val="auto"/>
              </w:rPr>
            </w:pPr>
            <w:r>
              <w:rPr>
                <w:rFonts w:ascii="Arial" w:cs="Arial" w:eastAsia="Arial" w:hAnsi="Arial"/>
                <w:sz w:val="18"/>
                <w:szCs w:val="18"/>
                <w:color w:val="auto"/>
              </w:rPr>
              <w:t>5(i)</w:t>
            </w:r>
          </w:p>
        </w:tc>
      </w:tr>
      <w:tr>
        <w:trPr>
          <w:trHeight w:val="226"/>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PIPE Investment</w:t>
            </w: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5(a)</w:t>
            </w:r>
          </w:p>
        </w:tc>
      </w:tr>
      <w:tr>
        <w:trPr>
          <w:trHeight w:val="225"/>
        </w:trPr>
        <w:tc>
          <w:tcPr>
            <w:tcW w:w="9020" w:type="dxa"/>
            <w:vAlign w:val="bottom"/>
          </w:tcPr>
          <w:p>
            <w:pPr>
              <w:ind w:left="20"/>
              <w:spacing w:after="0"/>
              <w:rPr>
                <w:sz w:val="20"/>
                <w:szCs w:val="20"/>
                <w:color w:val="auto"/>
              </w:rPr>
            </w:pPr>
            <w:r>
              <w:rPr>
                <w:rFonts w:ascii="Arial" w:cs="Arial" w:eastAsia="Arial" w:hAnsi="Arial"/>
                <w:sz w:val="18"/>
                <w:szCs w:val="18"/>
                <w:color w:val="auto"/>
              </w:rPr>
              <w:t>Payment of cash consideration</w:t>
            </w: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(230,665)</w:t>
            </w:r>
          </w:p>
        </w:tc>
        <w:tc>
          <w:tcPr>
            <w:tcW w:w="640" w:type="dxa"/>
            <w:vAlign w:val="bottom"/>
          </w:tcPr>
          <w:p>
            <w:pPr>
              <w:ind w:left="100"/>
              <w:spacing w:after="0"/>
              <w:rPr>
                <w:sz w:val="20"/>
                <w:szCs w:val="20"/>
                <w:color w:val="auto"/>
              </w:rPr>
            </w:pPr>
            <w:r>
              <w:rPr>
                <w:rFonts w:ascii="Arial" w:cs="Arial" w:eastAsia="Arial" w:hAnsi="Arial"/>
                <w:sz w:val="18"/>
                <w:szCs w:val="18"/>
                <w:color w:val="auto"/>
              </w:rPr>
              <w:t>5(a)</w:t>
            </w:r>
          </w:p>
        </w:tc>
      </w:tr>
      <w:tr>
        <w:trPr>
          <w:trHeight w:val="226"/>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 of transaction expenses</w:t>
            </w: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(42,814)</w:t>
            </w:r>
          </w:p>
        </w:tc>
        <w:tc>
          <w:tcPr>
            <w:tcW w:w="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5(a)</w:t>
            </w:r>
          </w:p>
        </w:tc>
      </w:tr>
      <w:tr>
        <w:trPr>
          <w:trHeight w:val="225"/>
        </w:trPr>
        <w:tc>
          <w:tcPr>
            <w:tcW w:w="9020" w:type="dxa"/>
            <w:vAlign w:val="bottom"/>
          </w:tcPr>
          <w:p>
            <w:pPr>
              <w:ind w:left="20"/>
              <w:spacing w:after="0"/>
              <w:rPr>
                <w:sz w:val="20"/>
                <w:szCs w:val="20"/>
                <w:color w:val="auto"/>
              </w:rPr>
            </w:pPr>
            <w:r>
              <w:rPr>
                <w:rFonts w:ascii="Arial" w:cs="Arial" w:eastAsia="Arial" w:hAnsi="Arial"/>
                <w:sz w:val="18"/>
                <w:szCs w:val="18"/>
                <w:color w:val="auto"/>
              </w:rPr>
              <w:t>Earn-out liability</w:t>
            </w: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(199,962)</w:t>
            </w:r>
          </w:p>
        </w:tc>
        <w:tc>
          <w:tcPr>
            <w:tcW w:w="640" w:type="dxa"/>
            <w:vAlign w:val="bottom"/>
          </w:tcPr>
          <w:p>
            <w:pPr>
              <w:ind w:left="100"/>
              <w:spacing w:after="0"/>
              <w:rPr>
                <w:sz w:val="20"/>
                <w:szCs w:val="20"/>
                <w:color w:val="auto"/>
              </w:rPr>
            </w:pPr>
            <w:r>
              <w:rPr>
                <w:rFonts w:ascii="Arial" w:cs="Arial" w:eastAsia="Arial" w:hAnsi="Arial"/>
                <w:sz w:val="18"/>
                <w:szCs w:val="18"/>
                <w:color w:val="auto"/>
              </w:rPr>
              <w:t>5(f)</w:t>
            </w:r>
          </w:p>
        </w:tc>
      </w:tr>
      <w:tr>
        <w:trPr>
          <w:trHeight w:val="226"/>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 of Sema4 stock appreciation rights</w:t>
            </w: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w:t>
            </w:r>
          </w:p>
        </w:tc>
        <w:tc>
          <w:tcPr>
            <w:tcW w:w="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5(a)</w:t>
            </w:r>
          </w:p>
        </w:tc>
      </w:tr>
      <w:tr>
        <w:trPr>
          <w:trHeight w:val="225"/>
        </w:trPr>
        <w:tc>
          <w:tcPr>
            <w:tcW w:w="9020" w:type="dxa"/>
            <w:vAlign w:val="bottom"/>
          </w:tcPr>
          <w:p>
            <w:pPr>
              <w:ind w:left="20"/>
              <w:spacing w:after="0"/>
              <w:rPr>
                <w:sz w:val="20"/>
                <w:szCs w:val="20"/>
                <w:color w:val="auto"/>
              </w:rPr>
            </w:pPr>
            <w:r>
              <w:rPr>
                <w:rFonts w:ascii="Arial" w:cs="Arial" w:eastAsia="Arial" w:hAnsi="Arial"/>
                <w:sz w:val="18"/>
                <w:szCs w:val="18"/>
                <w:color w:val="auto"/>
              </w:rPr>
              <w:t>Payment of early-payment penalties on Sema4 long-term debt</w:t>
            </w: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(322)</w:t>
            </w:r>
          </w:p>
        </w:tc>
        <w:tc>
          <w:tcPr>
            <w:tcW w:w="640" w:type="dxa"/>
            <w:vAlign w:val="bottom"/>
          </w:tcPr>
          <w:p>
            <w:pPr>
              <w:ind w:left="100"/>
              <w:spacing w:after="0"/>
              <w:rPr>
                <w:sz w:val="20"/>
                <w:szCs w:val="20"/>
                <w:color w:val="auto"/>
              </w:rPr>
            </w:pPr>
            <w:r>
              <w:rPr>
                <w:rFonts w:ascii="Arial" w:cs="Arial" w:eastAsia="Arial" w:hAnsi="Arial"/>
                <w:sz w:val="18"/>
                <w:szCs w:val="18"/>
                <w:color w:val="auto"/>
              </w:rPr>
              <w:t>5(a)</w:t>
            </w:r>
          </w:p>
        </w:tc>
      </w:tr>
      <w:tr>
        <w:trPr>
          <w:trHeight w:val="225"/>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Redemptions by public stockholders</w:t>
            </w:r>
          </w:p>
        </w:tc>
        <w:tc>
          <w:tcPr>
            <w:tcW w:w="4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5(a)</w:t>
            </w:r>
          </w:p>
        </w:tc>
      </w:tr>
      <w:tr>
        <w:trPr>
          <w:trHeight w:val="219"/>
        </w:trPr>
        <w:tc>
          <w:tcPr>
            <w:tcW w:w="9020" w:type="dxa"/>
            <w:vAlign w:val="bottom"/>
          </w:tcPr>
          <w:p>
            <w:pPr>
              <w:ind w:left="440"/>
              <w:spacing w:after="0"/>
              <w:rPr>
                <w:sz w:val="20"/>
                <w:szCs w:val="20"/>
                <w:color w:val="auto"/>
              </w:rPr>
            </w:pPr>
            <w:r>
              <w:rPr>
                <w:rFonts w:ascii="Arial" w:cs="Arial" w:eastAsia="Arial" w:hAnsi="Arial"/>
                <w:sz w:val="18"/>
                <w:szCs w:val="18"/>
                <w:color w:val="auto"/>
              </w:rPr>
              <w:t>Total stockholders' equity</w:t>
            </w:r>
          </w:p>
        </w:tc>
        <w:tc>
          <w:tcPr>
            <w:tcW w:w="4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501,522</w:t>
            </w:r>
          </w:p>
        </w:tc>
        <w:tc>
          <w:tcPr>
            <w:tcW w:w="640" w:type="dxa"/>
            <w:vAlign w:val="bottom"/>
          </w:tcPr>
          <w:p>
            <w:pPr>
              <w:spacing w:after="0"/>
              <w:rPr>
                <w:sz w:val="19"/>
                <w:szCs w:val="19"/>
                <w:color w:val="auto"/>
              </w:rPr>
            </w:pPr>
          </w:p>
        </w:tc>
      </w:tr>
      <w:tr>
        <w:trPr>
          <w:trHeight w:val="20"/>
        </w:trPr>
        <w:tc>
          <w:tcPr>
            <w:tcW w:w="90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233" w:lineRule="exact"/>
        <w:rPr>
          <w:sz w:val="20"/>
          <w:szCs w:val="20"/>
          <w:color w:val="auto"/>
        </w:rPr>
      </w:pPr>
    </w:p>
    <w:p>
      <w:pPr>
        <w:ind w:right="120" w:firstLine="6"/>
        <w:spacing w:after="0" w:line="271" w:lineRule="auto"/>
        <w:tabs>
          <w:tab w:leader="none" w:pos="167"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 to Unaudited Pro Forma Condensed Combined Statements of Operations for the Three Months Ended March 31, 2021 and the Year Ended December 31, 2020</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pro forma notes and adjustments are as follows: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notes</w:t>
      </w:r>
    </w:p>
    <w:p>
      <w:pPr>
        <w:spacing w:after="0" w:line="164" w:lineRule="exact"/>
        <w:rPr>
          <w:sz w:val="20"/>
          <w:szCs w:val="20"/>
          <w:color w:val="auto"/>
        </w:rPr>
      </w:pPr>
    </w:p>
    <w:p>
      <w:pPr>
        <w:ind w:left="640" w:hanging="31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Derived from the unaudited condensed statement of operations of CMLS for the three months ended March 31, 2021.</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Derived from the unaudited condensed statement of operations of Sema4 for the three months ended March 31, 2021.</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Derived from the audited statement of operations of CMLS for the period from July 10, 2020 (inception) through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1440" w:right="339" w:bottom="1440" w:gutter="0" w:footer="0" w:header="0"/>
        </w:sectPr>
      </w:pPr>
    </w:p>
    <w:bookmarkStart w:id="84" w:name="page85"/>
    <w:bookmarkEnd w:id="84"/>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 Derived from the audited statement of operations of Sema4 for the year ended December 31, 2020.</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adjustments</w:t>
      </w:r>
    </w:p>
    <w:p>
      <w:pPr>
        <w:spacing w:after="0" w:line="164" w:lineRule="exact"/>
        <w:rPr>
          <w:sz w:val="20"/>
          <w:szCs w:val="20"/>
          <w:color w:val="auto"/>
        </w:rPr>
      </w:pPr>
    </w:p>
    <w:p>
      <w:pPr>
        <w:ind w:left="640" w:hanging="316"/>
        <w:spacing w:after="0" w:line="264" w:lineRule="auto"/>
        <w:tabs>
          <w:tab w:leader="none" w:pos="637"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reflect an accrual of $5.4 million for additional transaction costs which do not qualify for capitalization and the recognition of $3.8 million of unrecognized compensation expense related to the cash out of Sema4 stock appreciation rights.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To recognize the payment of early-payment penalties on Sema4’s long-term debt to be repaid upon closing of the Business Combination.</w:t>
      </w:r>
    </w:p>
    <w:p>
      <w:pPr>
        <w:spacing w:after="0" w:line="175" w:lineRule="exact"/>
        <w:rPr>
          <w:rFonts w:ascii="Arial" w:cs="Arial" w:eastAsia="Arial" w:hAnsi="Arial"/>
          <w:sz w:val="17"/>
          <w:szCs w:val="17"/>
          <w:color w:val="auto"/>
        </w:rPr>
      </w:pPr>
    </w:p>
    <w:p>
      <w:pPr>
        <w:ind w:left="640" w:hanging="31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eliminate interest income earned on the Trust Account which will be released upon closing of the Business Combination.</w:t>
      </w:r>
    </w:p>
    <w:p>
      <w:pPr>
        <w:spacing w:after="0" w:line="164" w:lineRule="exact"/>
        <w:rPr>
          <w:rFonts w:ascii="Arial" w:cs="Arial" w:eastAsia="Arial" w:hAnsi="Arial"/>
          <w:sz w:val="18"/>
          <w:szCs w:val="18"/>
          <w:color w:val="auto"/>
        </w:rPr>
      </w:pPr>
    </w:p>
    <w:p>
      <w:pPr>
        <w:jc w:val="both"/>
        <w:ind w:left="640" w:hanging="316"/>
        <w:spacing w:after="0" w:line="250" w:lineRule="auto"/>
        <w:tabs>
          <w:tab w:leader="none" w:pos="634"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pro forma basic and diluted earnings per share amounts presented in the unaudited pro forma condensed combined statements of operations are based upon the number of Company shares outstanding at the closing of the Business Combination and the PIPE Investment, assuming the Business Combination and the PIPE Investment occurred on January 1, 2020. As the unaudited pro forma condensed combined statements of operations are in a loss position, anti-dilutive instruments were not included in the calculation of diluted weighted average number of shares of common stock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1440" w:right="339" w:bottom="1440" w:gutter="0" w:footer="0" w:header="0"/>
        </w:sectPr>
      </w:pPr>
    </w:p>
    <w:bookmarkStart w:id="85" w:name="page86"/>
    <w:bookmarkEnd w:id="85"/>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SEMA4’s MANAGEMENT’S DISCUSSION AND ANALYSIS OF FINANCIAL CONDITION AND RESULTS OF OPERATIONS</w:t>
      </w:r>
    </w:p>
    <w:p>
      <w:pPr>
        <w:spacing w:after="0" w:line="170" w:lineRule="exact"/>
        <w:rPr>
          <w:sz w:val="20"/>
          <w:szCs w:val="20"/>
          <w:color w:val="auto"/>
        </w:rPr>
      </w:pPr>
    </w:p>
    <w:p>
      <w:pPr>
        <w:jc w:val="both"/>
        <w:ind w:firstLine="318"/>
        <w:spacing w:after="0" w:line="249" w:lineRule="auto"/>
        <w:rPr>
          <w:rFonts w:ascii="Arial" w:cs="Arial" w:eastAsia="Arial" w:hAnsi="Arial"/>
          <w:sz w:val="18"/>
          <w:szCs w:val="18"/>
          <w:i w:val="1"/>
          <w:iCs w:val="1"/>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financial statements and related notes and other financial information appearing elsewhere in this prospectus. Some of the information contained in this discussion and analysis or set forth elsewhere in this prospectus, including information with respect to our plans and strategy for our business and related financing, includes forward-looking statements that involve risks and uncertainties. As a result of many factors, including those factors set forth in the “</w:t>
      </w:r>
      <w:hyperlink w:anchor="page17">
        <w:r>
          <w:rPr>
            <w:rFonts w:ascii="Arial" w:cs="Arial" w:eastAsia="Arial" w:hAnsi="Arial"/>
            <w:sz w:val="18"/>
            <w:szCs w:val="18"/>
            <w:i w:val="1"/>
            <w:iCs w:val="1"/>
            <w:u w:val="single" w:color="auto"/>
            <w:color w:val="0000FF"/>
          </w:rPr>
          <w:t>Risk Factors</w:t>
        </w:r>
      </w:hyperlink>
      <w:r>
        <w:rPr>
          <w:rFonts w:ascii="Arial" w:cs="Arial" w:eastAsia="Arial" w:hAnsi="Arial"/>
          <w:sz w:val="18"/>
          <w:szCs w:val="18"/>
          <w:i w:val="1"/>
          <w:iCs w:val="1"/>
          <w:color w:val="auto"/>
        </w:rPr>
        <w:t>” section of this prospectus, our actual results could differ materially from the results described in or implied by the forward-looking statements contained in the following discussion and analysis.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are a patient-centered, health intelligence company with a mission to use artificial intelligence, or AI, and machine learning to enable personalized medicine for all. By leveraging leading data scientists and technology, our platform powers remarkable and unique insights that transform the practice of medicine including how disease is diagnosed, treated, and prevented.</w:t>
      </w:r>
    </w:p>
    <w:p>
      <w:pPr>
        <w:spacing w:after="0" w:line="13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were established out of the Icahn School of Medicine at Mount Sinai, or ISMMS, and commenced operations in June 2017 as a commercial entity that could effectively engage diverse patient populations and health care institutions at scale. We have since established and deployed our comprehensive and integrated genomic and clinical data platform and established a mature diagnostic testing business.</w:t>
      </w:r>
    </w:p>
    <w:p>
      <w:pPr>
        <w:spacing w:after="0" w:line="13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Currently, we derive the majority of revenue from our diagnostic test solutions. Our diagnostic business generates revenue and engages with patients primarily through our Women’s Health and Oncology solutions.</w:t>
      </w:r>
    </w:p>
    <w:p>
      <w:pPr>
        <w:spacing w:after="0" w:line="12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Our Women’s Health solutions sequence and analyze an industry-leading number of genes and use interpretive information tools to translate raw sequencing and clinical data efficiently and accurately into digestible clinical reports that guide decision making by patients and physicians. Our Oncology diagnostic solutions feature both somatic tumor profiling and hereditary cancer screenings, along with a foundational whole exome and whole transcriptome sequencing approach. Our Sema4 Signal Hereditary Cancer solution determines if a patient carries an inherited genetic change that increases risk of cancer or informs on cancer treatment. We believe our Signal Whole Exome and Transcriptome is one of the most comprehensive molecular profiling solutions from a commercial entity to receive New York State approval. Beginning in May of 2020, we were also able to expand our diagnostic testing services to include testing for the presence of COVID-19 infection.</w:t>
      </w:r>
    </w:p>
    <w:p>
      <w:pPr>
        <w:spacing w:after="0" w:line="132"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We have also expanded beyond diagnostic testing to enter into collaboration service agreements with third parties to provide diagnostic testing, research and related data aggregation reporting services. We have established and continue to seek strategic relationships with pharmaceutical and biotech, or Biopharma, companies to enable innovation across the entire drug lifecycle, from next generation drug discovery and development, to post-market efficacy surveillance, to informing on bioavailability, toxicity, tolerability, and other features critical to drug development.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170" w:lineRule="exact"/>
        <w:rPr>
          <w:sz w:val="20"/>
          <w:szCs w:val="20"/>
          <w:color w:val="auto"/>
        </w:rPr>
      </w:pPr>
    </w:p>
    <w:p>
      <w:pPr>
        <w:jc w:val="both"/>
        <w:ind w:firstLine="318"/>
        <w:spacing w:after="0" w:line="255" w:lineRule="auto"/>
        <w:rPr>
          <w:rFonts w:ascii="Arial" w:cs="Arial" w:eastAsia="Arial" w:hAnsi="Arial"/>
          <w:sz w:val="18"/>
          <w:szCs w:val="18"/>
          <w:color w:val="auto"/>
        </w:rPr>
      </w:pPr>
      <w:r>
        <w:rPr>
          <w:rFonts w:ascii="Arial" w:cs="Arial" w:eastAsia="Arial" w:hAnsi="Arial"/>
          <w:sz w:val="18"/>
          <w:szCs w:val="18"/>
          <w:color w:val="auto"/>
        </w:rPr>
        <w:t>We believe there are several important factors that have impacted, and that we expect will continue to impact, our performance and results of operations. While each of these areas presents significant opportunities for us, they also pose significant risks and challenges that we must address. See the section titled “</w:t>
      </w:r>
      <w:hyperlink w:anchor="page17">
        <w:r>
          <w:rPr>
            <w:rFonts w:ascii="Arial" w:cs="Arial" w:eastAsia="Arial" w:hAnsi="Arial"/>
            <w:sz w:val="18"/>
            <w:szCs w:val="18"/>
            <w:i w:val="1"/>
            <w:iCs w:val="1"/>
            <w:u w:val="single" w:color="auto"/>
            <w:color w:val="0000FF"/>
          </w:rPr>
          <w:t>Risk Factors</w:t>
        </w:r>
      </w:hyperlink>
      <w:r>
        <w:rPr>
          <w:rFonts w:ascii="Arial" w:cs="Arial" w:eastAsia="Arial" w:hAnsi="Arial"/>
          <w:sz w:val="18"/>
          <w:szCs w:val="18"/>
          <w:color w:val="auto"/>
        </w:rPr>
        <w:t>” for more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accessioned tests</w:t>
      </w:r>
    </w:p>
    <w:p>
      <w:pPr>
        <w:spacing w:after="0" w:line="16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We believe the number of accessioned tests in any period is an important indicator of the growth in our diagnostic testing services and correlates with long-term patient relationships and the size of our genomic database. A test is accessioned when we receive the test at our laboratory, the relevant information about the test is entered into our computer system and the test sample is routed to the appropriate workflow.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1440" w:right="339" w:bottom="1440" w:gutter="0" w:footer="0" w:header="0"/>
        </w:sectPr>
      </w:pPr>
    </w:p>
    <w:bookmarkStart w:id="86" w:name="page87"/>
    <w:bookmarkEnd w:id="86"/>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Success obtaining and maintaining reimbursement</w:t>
      </w:r>
    </w:p>
    <w:p>
      <w:pPr>
        <w:spacing w:after="0" w:line="16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Our ability to increase the number of billable tests and our revenue therefrom will depend on our success in achieving reimbursement for our tests from third party payors. Reimbursement by a payor may depend on a number of factors, including a payor’s determination that a test is appropriate, medically necessary, cost-effective and has received prior authorization. Since each payor makes its own decision as to whether to establish a policy or enter into a contract to provide coverage for our tests, as well as the amount it will reimburse us for a test, seeking these approvals is a time-consuming and costly process.</w:t>
      </w:r>
    </w:p>
    <w:p>
      <w:pPr>
        <w:spacing w:after="0" w:line="9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cases where we or our partners have established reimbursement rates with third party payors, we face additional challenges in complying with their procedural requirements for reimbursement. These requirements often vary from payor to payor and are reassessed by third party payors on a regular basis, and we have in the past needed additional time and resources to comply with them.</w:t>
      </w:r>
    </w:p>
    <w:p>
      <w:pPr>
        <w:spacing w:after="0" w:line="13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expect to continue to focus our resources on increasing the adoption of, and expanding coverage and reimbursement for, our current tests and any future tests we may develop or acquire. If we fail to expand and maintain broad adoption of, and coverage and reimbursement for, our tests, our ability to generate revenue could be harmed and our future prospects and its business could suffer.</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lower the costs associated with performing our tests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Reducing the costs associated with performing our diagnostic tests is both a focus and a strategic objective of ours. We source, and will continue to source, components of our diagnostic testing workflows from third parties. We also rely upon third party service providers for data storage and workflow management.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adoption of our services by existing and new customers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performance depends on our ability to retain and broaden adoption of our services with existing customers as well as our ability to attract new customers. Our success in retaining and gaining customers is dependent on the market’s confidence in our services and the willingness of customers to continue to seek more comprehensive and integrated genomic and clinical data insights.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platform innovation to support commercial growth</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are seeking to leverage and deploy our Centrellis and Traversa platforms to develop a pipeline of future disease-specific research and diagnostic and therapeutic products and services. We have limited experience with the development or commercialization of clinical or research products in connection with our database and our Centrellis platform.</w:t>
      </w:r>
    </w:p>
    <w:p>
      <w:pPr>
        <w:spacing w:after="0" w:line="135"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We operate in a rapidly evolving and highly competitive industry. Our business faces changing technologies, shifting provider and patient needs, and frequent introductions of rival products and services. To compete successfully, we must accurately anticipate technology developments and deliver innovative, relevant and useful products, services and technologies in a timely manner. As our business evolves, the competitive pressure to innovate will encompass a wider range of products and services. We must continue to invest significant resources in research and development, including investments through acquisitions and partnerships. These investments are critical to the enhancement of our current diagnostics and health information and data science technologies from which existing and new service offerings are derived.</w:t>
      </w:r>
    </w:p>
    <w:p>
      <w:pPr>
        <w:spacing w:after="0" w:line="126"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We expect to incur significant expenses to advance these development efforts, but they may not be successful. New potential services may fail at any stage of development and, if we determine that any of our current or future services are unlikely to succeed, we may abandon them without any return on our investment. If we are unsuccessful in developing additional services, our potential for growth may be impaired.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Impact</w:t>
      </w:r>
    </w:p>
    <w:p>
      <w:pPr>
        <w:spacing w:after="0" w:line="17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March 2020, the World Health Organization declared the recent novel coronavirus, or COVID-19, outbreak a pandemic. COVID-19 has had, and continues to have, an extensive impact on the global health and economic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1440" w:right="339" w:bottom="1440" w:gutter="0" w:footer="0" w:header="0"/>
        </w:sectPr>
      </w:pPr>
    </w:p>
    <w:bookmarkStart w:id="87" w:name="page88"/>
    <w:bookmarkEnd w:id="87"/>
    <w:p>
      <w:pPr>
        <w:spacing w:after="0" w:line="119" w:lineRule="exact"/>
        <w:rPr>
          <w:sz w:val="20"/>
          <w:szCs w:val="20"/>
          <w:color w:val="auto"/>
        </w:rPr>
      </w:pPr>
    </w:p>
    <w:p>
      <w:pPr>
        <w:jc w:val="both"/>
        <w:spacing w:after="0" w:line="365" w:lineRule="auto"/>
        <w:rPr>
          <w:sz w:val="20"/>
          <w:szCs w:val="20"/>
          <w:color w:val="auto"/>
        </w:rPr>
      </w:pPr>
      <w:r>
        <w:rPr>
          <w:rFonts w:ascii="Arial" w:cs="Arial" w:eastAsia="Arial" w:hAnsi="Arial"/>
          <w:sz w:val="15"/>
          <w:szCs w:val="15"/>
          <w:color w:val="auto"/>
        </w:rPr>
        <w:t>environments. Many jurisdictions, including those in which we have locations, have implemented measures to combat the outbreak, such as travel restrictions and shelter in place orders. In addition, the healthcare sector generally experienced a decline in discretionary care services at the onset of the pandemic.</w:t>
      </w:r>
    </w:p>
    <w:p>
      <w:pPr>
        <w:spacing w:after="0" w:line="58"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Beginning in April 2020, our diagnostic test volumes decreased significantly as compared to the prior year as a result of COVID-19 and the related limitations and priorities across the healthcare system. In response, beginning in May 2020, we entered into several service agreements with state governments and healthcare institutions to provide testing for the presence of COVID-19 infection. COVID-19 test volumes grew significantly from the introduction of the service offering through the remainder of the year. To support the rapid expansion of COVID-19 test volumes, we have increased our workforce through both temporary contractors and employees. In addition, while most of our revenues from genetic testing rely upon reimbursements from third party payors, healthcare institutions, and individuals, the majority of our COVID-19 test revenues rely upon reimbursements from state governments and healthcare institutions. In addition, COVID-19 testing yields lower revenues per tests and incurs lower costs to perform each test. We have also experienced a slowdown in receivable collections since the onset of the pandemic, but do not expect those collection trends to continue.</w:t>
      </w:r>
    </w:p>
    <w:p>
      <w:pPr>
        <w:spacing w:after="0" w:line="101"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As part of our response to COVID-19, we have implemented various strategies to mitigate operating risks, reduce costs and improve cash collections. We have made significant advance purchases of test-related inventory in order to reduce the risk of potential business interruptions related to supply chain disruption. We also contracted with third-party vendors to collect and test COVID-19 samples to reduce operating risks related to employee health. Temporary COVID-19 austerity measures included cancellation of the 2020 annual merit compensation increase, temporary salary reductions from May through July 2020 and deferral of the 401(k) employer match from May through December 2020. The employer match was reinstated in January 2021, and the deferred portion was funded on March 9, 2021. To support our sales employees with commission-based compensation structure, we implemented temporary minimum commissions during the second quarter of 2020. No such minimums were in place in any quarter after the second quarter nor are any such minimums expected to be implemented again in the near term. No employee layoffs were implemented as part of these austerity measures.</w:t>
      </w:r>
    </w:p>
    <w:p>
      <w:pPr>
        <w:spacing w:after="0" w:line="10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conditions begin to improve, we are focused on overhauling our revenue cycle, and as part of transformational activities have hired a Chief Revenue Officer and established a revenue cycle Center of Excellence. As part of our efforts to improve our collection efficiency and overall financial health, we are also undergoing various process transformations within the Order-to-Cash and Procure-to-Pay cycles.</w:t>
      </w:r>
    </w:p>
    <w:p>
      <w:pPr>
        <w:spacing w:after="0" w:line="135"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While test volumes have since improved, we continue to experience changes in the mix of tests due to the impact of COVID-19. We anticipate that demand for COVID-19 tests will eventually decrease as vaccines continue to be developed and deployed to the general population. However, no additional decline is expected for our other revenue streams for the remainder of 2021. The full extent to which the COVID-19 pandemic will directly or indirectly impact our business, results of operations and financial condition will depend on future developments that are highly uncertain and cannot be accurately predicted, including new information that may emerge concerning COVID-19, the actions taken to contain it or treat it and the economic impact on local, regional, national and international markets and supply chains. Therefore, COVID-19 could continue to have a material impact on our results of operations, cash flows and financial condition for the foreseeable future.</w:t>
      </w:r>
    </w:p>
    <w:p>
      <w:pPr>
        <w:spacing w:after="0" w:line="132"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In March 2020, the Coronavirus Aid, Relief and Economic Security Act, or the CARES Act, was signed into law which was a stimulus bill that, among other things, provided assistance to qualifying businesses and individuals and included funding for the healthcare system. We received $5.4 million in 2020 as part of the stimulus, comprised of $2.6 million received under the Provider Relief Fund, or PRF, distribution and $2.8 million received under the Employee Retention Credit, or ERC, distribution. During 2021, we received an additional $5.6 million under the PRF distribution.</w:t>
      </w:r>
    </w:p>
    <w:p>
      <w:pPr>
        <w:spacing w:after="0" w:line="12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PRF distributions to healthcare providers are not loans and will not be required to be repaid; however, as a condition to receiving these payments, providers must agree to certain terms and conditions and submit sufficient documentation demonstrating that the funds are being used for healthcare-related expenses or lost revenue attributable to the COVID-19 pandemic. We have concluded it is probable that all terms and conditions associated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1440" w:right="339" w:bottom="1440" w:gutter="0" w:footer="0" w:header="0"/>
        </w:sectPr>
      </w:pPr>
    </w:p>
    <w:bookmarkStart w:id="88" w:name="page89"/>
    <w:bookmarkEnd w:id="88"/>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 the PRF distribution have been met. As a result, we recorded the PRF distributions in other income (expense), net in the statements of operations and comprehensive loss during the periods in which we received the distributions.</w:t>
      </w:r>
    </w:p>
    <w:p>
      <w:pPr>
        <w:spacing w:after="0" w:line="128"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ERC distributions are refundable tax credits for 50% of qualified wages paid to employees during the pandemic. A company is eligible for the ERC if it has not received a Paycheck Protection Program loan under the Cares Act and (1) its operations have been fully or partially suspended because of COVID-19 or (2) its gross receipts in a calendar quarter in 2020 declined by more than 50% from the same period in 2019. At the time of applying for the ERC, we concluded that it was reasonably possible the eligibility requirements would be met; however, due to a change in circumstances, we are re-evaluating our position. As such, we deferred the recognition of the ERC distribution and recorded the proceeds in other liabilities on the balance sheets.</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At this time, we are not certain of the availability, extent or impact of any future relief provided under the CARES Act or other stimulus initiatives.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derive the majority of our revenue from diagnostic testing services, which primarily relate to Women’s Health, Oncology and COVID-19. We also recognize revenue from collaboration service agreements with Biopharma companies and other third parties pursuant to which we provide diagnostic testing and related data aggregation reporting services.</w:t>
      </w:r>
    </w:p>
    <w:p>
      <w:pPr>
        <w:spacing w:after="0" w:line="135"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 xml:space="preserve">Effective January 1, 2019, we adopted the new revenue guidance, Accounting Standards Codification Topic 606,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xml:space="preserve"> (“ASC 606”), using the modified retrospective approach. Upon the adoption of ASC 606, we recognize revenue when control of the promised goods or services is transferred to the customer in an amount that reflects the consideration which we expect to be entitled to in exchange for those goods or services.</w:t>
      </w:r>
    </w:p>
    <w:p>
      <w:pPr>
        <w:spacing w:after="0" w:line="8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 xml:space="preserve">We recognized revenue pursuant to ASC Topic 605 (“ASC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for the year ended December 31, 2018 prior to the adoption of ASC 606. Under ASC 605, revenue was recognized when persuasive evidence of a final agreement existed; delivery had occurred or services were rendered; the price of the product or service was fixed or determinable; and collectability from the customer was reasonably assured.</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adoption of ASC 606 did not materially impact our revenue recognition.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Diagnostic Test Revenue</w:t>
      </w:r>
    </w:p>
    <w:p>
      <w:pPr>
        <w:spacing w:after="0" w:line="16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We primarily generate revenue from performing diagnostic testing services for three groups of customers: patients with third-party insurance coverage; patients without third-party insurance coverage or those who elect to self-pay; and institutional clients, such as hospitals, clinics, state governments and reference laboratories. Customers are billed upon delivery of test results. The amount of revenue recognized for diagnostic testing services depends on a number of factors, such as contracted rates with our customers and third-party insurance providers, insurance reimbursement policies, payor mix, historical collection experience, price concessions and other business and economic conditions and trends. To date, the majority of our diagnostic test revenue has been earned from patients with third-party insurance coverage.</w:t>
      </w:r>
    </w:p>
    <w:p>
      <w:pPr>
        <w:spacing w:after="0" w:line="12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accordance with ASC 606, revenue is recognized at the point in time in which test results are delivered to customers in an amount that reflects what we expect to collect in exchange for our services.</w:t>
      </w:r>
    </w:p>
    <w:p>
      <w:pPr>
        <w:spacing w:after="0" w:line="12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accordance with ASC 605, revenue is recognized in the period in which test results are delivered to customers if the price is fixed or determinable and collectability from the customer is reasonably assured. For most self-pay customers, we were not able to demonstrate a predictable pattern of collectability and, therefore, we recognized revenue when payment was received.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320" w:top="1440" w:right="339" w:bottom="1440" w:gutter="0" w:footer="0" w:header="0"/>
        </w:sectPr>
      </w:pPr>
    </w:p>
    <w:bookmarkStart w:id="89" w:name="page90"/>
    <w:bookmarkEnd w:id="89"/>
    <w:p>
      <w:pPr>
        <w:spacing w:after="0" w:line="119"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Our ability to increase our diagnostic test revenue will depend on our ability to increase our market penetration, obtain contracted reimbursement coverage from third-party payers, enter into contracts with institutions, and increase our reimbursement rate for tests performed.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16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We generate revenue from providing diagnostic testing and related data aggregation reporting services under both short-term and long-term project-based collaboration service agreements with third parties. The terms of these contracts generally include non-refundable upfront payments, which we record as contract liabilities, and variable payments based upon the achievement of certain milestones during the contract term.</w:t>
      </w:r>
    </w:p>
    <w:p>
      <w:pPr>
        <w:spacing w:after="0" w:line="118"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In accordance with ASC 606, we recognize revenue for collaboration service agreements over time based on costs incurred during the contract period. In accordance with ASC 605, we recognized revenues when the contractual obligations were met based on the terms of the respective agreements.</w:t>
      </w:r>
    </w:p>
    <w:p>
      <w:pPr>
        <w:spacing w:after="0" w:line="5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With respect to existing collaboration service agreements, our revenue may fluctuate period to period due to the pattern in which we may deliver our services, our ability to achieve milestones, the timing of costs incurred, changes in estimates of total anticipated costs that we expect to incur during the contract period, and other events that may not be within our control. Our ability to increase our revenue will depend on our ability to enter into contracts with third-party partners.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w:t>
      </w:r>
    </w:p>
    <w:p>
      <w:pPr>
        <w:spacing w:after="0" w:line="16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Cost of services reflects the aggregate costs incurred in performing diagnostic testing and collaboration services. These costs include expenses for reagents and laboratory supplies, personnel-related expenses (comprising salaries and benefits), stock-based compensation, shipping and handling fees, costs of third-party reference lab testing and third-party providers of genetic counseling and phlebotomy services, amortization of software development costs and equipment and allocated facility costs associated with testing. Allocated facility costs include depreciation of laboratory equipment, facility occupancy and information technology costs. Cost of services are recorded as the services are performed.</w:t>
      </w:r>
    </w:p>
    <w:p>
      <w:pPr>
        <w:spacing w:after="0" w:line="128"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We expect cost of services to generally increase in line with the anticipated growth in diagnostic testing volume and services we provide under our collaboration service agreements. However, we expect the cost per test to decrease over the long term due to the efficiencies we may gain from improved utilization of our laboratory capacity, automation and other value engineering initiatives. These expected reductions may be offset by new tests which often have a higher cost per test during the introductory phases before we are able to gain efficiencies. The cost per test may fluctuate from quarter to quarter.</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6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Research and development expenses represent costs incurred to develop our technology and future test offerings. These costs are principally associated with our efforts to develop the software we use to analyze data and process customer orders. These costs primarily consist of personnel-related expenses (comprising salaries and benefits), stock-based compensation, costs of reagents and laboratory supplies, costs of consultants and third-party services, equipment and related depreciation expenses, non-capitalizable software development costs, and allocated facility and information technology costs associated with genomics medical research. Research and development costs are expensed as incurred.</w:t>
      </w:r>
    </w:p>
    <w:p>
      <w:pPr>
        <w:spacing w:after="0" w:line="12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generally expect our research and development expenses to continue to increase in absolute dollars as we innovate and expand the application of our platforms. However, we expect research and development expenses to decrease as a percentage of revenue in the long term, although the percentage may fluctuate from period to period due to the timing and extent of our development and commercialization efforts and fluctuations in our compensation-related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320" w:top="1440" w:right="339" w:bottom="1440" w:gutter="0" w:footer="0" w:header="0"/>
        </w:sectPr>
      </w:pPr>
    </w:p>
    <w:bookmarkStart w:id="90" w:name="page91"/>
    <w:bookmarkEnd w:id="90"/>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 Expenses</w:t>
      </w:r>
    </w:p>
    <w:p>
      <w:pPr>
        <w:spacing w:after="0" w:line="164"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Selling and marketing expenses primarily consist of personnel-related expenses (comprising salaries, and benefits) and stock-based compensation for employees performing commercial sales, account management, marketing, and medical education. Selling and marketing costs are expensed as incurred.</w:t>
      </w:r>
    </w:p>
    <w:p>
      <w:pPr>
        <w:spacing w:after="0" w:line="5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generally expect our selling and marketing expenses will continue to increase in absolute dollars as we expand our commercial sales and marketing teams and increase marketing activities. However, we expect selling and marketing expenses to decrease as a percentage of revenue in the long term, subject to fluctuations from period to period due to the timing and magnitude of these expenses.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6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General and administrative expenses primarily consist of personnel-related expenses (comprising salaries and benefits) and stock-based compensation for employees in executive leadership, legal, finance and accounting, human resources, information technology, strategy and other administrative functions. In addition, these expenses include office occupancy and information technology costs. General and administrative costs are expensed as incurred.</w:t>
      </w:r>
    </w:p>
    <w:p>
      <w:pPr>
        <w:spacing w:after="0" w:line="8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generally expect our general and administrative expenses to continue to increase in absolute dollars as we increase headcount and incur costs associated with operating as a public company, including expenses related to legal, accounting, and regulatory matters; maintaining compliance with requirements of the Nasdaq and of the SEC; director and officer insurance premiums and investor relations. We expect these expenses to decrease as a percentage of revenue in the long term as revenue increases, although the percentage may fluctuate from period to period due to fluctuations in our compensation-related charges.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Expenses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Related party expenses consist of amounts due to ISMMS for expenses incurred pursuant to our transition service agreement, or TSA, and other service agreements and arrangements. Additional information can be found in Sema4’s audited financial statements in Note 6, “Related Party Transactions” and Sema4’s unaudited condensed financial statements in Note 6, “Related Party Transactions.”</w:t>
      </w:r>
    </w:p>
    <w:p>
      <w:pPr>
        <w:spacing w:after="0" w:line="13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expect related party expenses to decrease as we establish our own internal and external resources to fulfil the administrative and other services we have historically procured from ISMMS.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Interest income consists of interest earned on money market funds.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Interest expense consists of interest costs related to our capital leases and our long-term debt arrangements.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Extinguishment of Debt</w:t>
      </w:r>
    </w:p>
    <w:p>
      <w:pPr>
        <w:spacing w:after="0" w:line="164"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We recognized a gain on debt extinguishment for the year ended December 31, 2018 related to principal loan forgiveness under one of our loan agreements. Additional information can be found in Sema4’s audited financial statements in Note 7, “Long-term debt.”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Other income, net primarily consists of certain funding received under the CARES Act, sales and use taxes and gains and losses on equipment disposals. We recognized $2.6 million of the $5.4 million of funding received under the CARES Act as other income, net on the statements of operations and comprehensive loss during the year ended December 31, 2020 and recognized $5.6 million of additional funding received under the CARES Act during the three months ended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1440" w:right="339" w:bottom="1440" w:gutter="0" w:footer="0" w:header="0"/>
        </w:sectPr>
      </w:pPr>
    </w:p>
    <w:bookmarkStart w:id="91" w:name="page92"/>
    <w:bookmarkEnd w:id="91"/>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170"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principal focus of our commercial operations is to offer our diagnostic tests through both our direct sales force and laboratory distribution partners. Test volume correlates with genomic database size and long-term patient relationships - thus driving database diversity and enabling potential identification of variants of unknown significance and population-specific insights. The number of tests that we accession is a key indicator that we use to assess the operational efficiency of our business. A test is accessioned when we receive the test at our laboratory, the relevant information about the test is entered into our computer system and the test sample is routed into the appropriate workflow.</w:t>
      </w:r>
    </w:p>
    <w:p>
      <w:pPr>
        <w:spacing w:after="0" w:line="128"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During the year ended December 31, 2020, we accessioned approximately 520,660 tests in our laboratories, 311,987 tests of which were for COVID-19, compared to December 31, 2019, in which we accessioned approximately 225,863 tests in our laboratories, and December 31, 2018, in which we accessioned approximately 154,151 tests in our laboratories. The 47% increase in volume from 2018 to 2019 represents continuous expansion to a national footprint and expanded test offerings, and the 131% increase from 2019 to 2020 largely resulted from newly entered service agreements for COVID-19 testing, offset by a slowdown in the base diagnostic business during the beginning of the pandemic given that many of our customers, including hospitals and clinics, had suspended non-emergency appointments and services.</w:t>
      </w:r>
    </w:p>
    <w:p>
      <w:pPr>
        <w:spacing w:after="0" w:line="126"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During the three months ended March 31, 2021, we accessioned approximately 239,140 tests in our laboratories, 175,944 tests of which were for COVID-19, compared to March 31, 2020, in which we accessioned approximately 54,808 tests in our laboratories, none of which were for COVID-19. This 336% increase in volume from 2020 to 2021 largely resulted from newly entered service agreements for COVID-19 testing as well as an increase in non-COVID-19 institutional testing.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1440" w:right="339" w:bottom="1440" w:gutter="0" w:footer="0" w:header="0"/>
        </w:sectPr>
      </w:pPr>
    </w:p>
    <w:bookmarkStart w:id="92" w:name="page93"/>
    <w:bookmarkEnd w:id="92"/>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2020, 2019 and 2018</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our results of operations for the periods presented: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5"/>
          </w:tcPr>
          <w:p>
            <w:pPr>
              <w:jc w:val="center"/>
              <w:ind w:right="100"/>
              <w:spacing w:after="0"/>
              <w:rPr>
                <w:sz w:val="20"/>
                <w:szCs w:val="20"/>
                <w:color w:val="auto"/>
              </w:rPr>
            </w:pPr>
            <w:r>
              <w:rPr>
                <w:rFonts w:ascii="Arial" w:cs="Arial" w:eastAsia="Arial" w:hAnsi="Arial"/>
                <w:sz w:val="14"/>
                <w:szCs w:val="14"/>
                <w:b w:val="1"/>
                <w:bCs w:val="1"/>
                <w:color w:val="auto"/>
                <w:w w:val="90"/>
              </w:rPr>
              <w:t>Year Ended December 31,</w:t>
            </w: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78"/>
        </w:trPr>
        <w:tc>
          <w:tcPr>
            <w:tcW w:w="3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3"/>
          </w:tcPr>
          <w:p>
            <w:pPr>
              <w:jc w:val="center"/>
              <w:ind w:left="481"/>
              <w:spacing w:after="0"/>
              <w:rPr>
                <w:sz w:val="20"/>
                <w:szCs w:val="20"/>
                <w:color w:val="auto"/>
              </w:rPr>
            </w:pPr>
            <w:r>
              <w:rPr>
                <w:rFonts w:ascii="Arial" w:cs="Arial" w:eastAsia="Arial" w:hAnsi="Arial"/>
                <w:sz w:val="14"/>
                <w:szCs w:val="14"/>
                <w:b w:val="1"/>
                <w:bCs w:val="1"/>
                <w:color w:val="auto"/>
                <w:w w:val="89"/>
              </w:rPr>
              <w:t>2019</w:t>
            </w: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378"/>
        </w:trPr>
        <w:tc>
          <w:tcPr>
            <w:tcW w:w="3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9"/>
              </w:rPr>
              <w:t>(in thousands)</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020" w:type="dxa"/>
            <w:vAlign w:val="bottom"/>
          </w:tcPr>
          <w:p>
            <w:pPr>
              <w:ind w:left="180"/>
              <w:spacing w:after="0"/>
              <w:rPr>
                <w:sz w:val="20"/>
                <w:szCs w:val="20"/>
                <w:color w:val="auto"/>
              </w:rPr>
            </w:pPr>
            <w:r>
              <w:rPr>
                <w:rFonts w:ascii="Arial" w:cs="Arial" w:eastAsia="Arial" w:hAnsi="Arial"/>
                <w:sz w:val="18"/>
                <w:szCs w:val="18"/>
                <w:color w:val="auto"/>
              </w:rPr>
              <w:t>Diagnostic test revenue</w:t>
            </w: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175,351</w:t>
            </w:r>
          </w:p>
        </w:tc>
        <w:tc>
          <w:tcPr>
            <w:tcW w:w="100" w:type="dxa"/>
            <w:vAlign w:val="bottom"/>
          </w:tcPr>
          <w:p>
            <w:pPr>
              <w:spacing w:after="0"/>
              <w:rPr>
                <w:sz w:val="19"/>
                <w:szCs w:val="19"/>
                <w:color w:val="auto"/>
              </w:rPr>
            </w:pPr>
          </w:p>
        </w:tc>
        <w:tc>
          <w:tcPr>
            <w:tcW w:w="780" w:type="dxa"/>
            <w:vAlign w:val="bottom"/>
          </w:tcPr>
          <w:p>
            <w:pPr>
              <w:jc w:val="right"/>
              <w:ind w:right="601"/>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2"/>
              </w:rPr>
              <w:t>191,667</w:t>
            </w:r>
          </w:p>
        </w:tc>
        <w:tc>
          <w:tcPr>
            <w:tcW w:w="100" w:type="dxa"/>
            <w:vAlign w:val="bottom"/>
          </w:tcPr>
          <w:p>
            <w:pPr>
              <w:spacing w:after="0"/>
              <w:rPr>
                <w:sz w:val="19"/>
                <w:szCs w:val="19"/>
                <w:color w:val="auto"/>
              </w:rPr>
            </w:pPr>
          </w:p>
        </w:tc>
        <w:tc>
          <w:tcPr>
            <w:tcW w:w="280" w:type="dxa"/>
            <w:vAlign w:val="bottom"/>
          </w:tcPr>
          <w:p>
            <w:pPr>
              <w:jc w:val="right"/>
              <w:ind w:right="98"/>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132,970</w:t>
            </w:r>
          </w:p>
        </w:tc>
        <w:tc>
          <w:tcPr>
            <w:tcW w:w="0" w:type="dxa"/>
            <w:vAlign w:val="bottom"/>
          </w:tcPr>
          <w:p>
            <w:pPr>
              <w:spacing w:after="0"/>
              <w:rPr>
                <w:sz w:val="1"/>
                <w:szCs w:val="1"/>
                <w:color w:val="auto"/>
              </w:rPr>
            </w:pPr>
          </w:p>
        </w:tc>
      </w:tr>
      <w:tr>
        <w:trPr>
          <w:trHeight w:val="226"/>
        </w:trPr>
        <w:tc>
          <w:tcPr>
            <w:tcW w:w="3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revenue</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3,971</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18"/>
        </w:trPr>
        <w:tc>
          <w:tcPr>
            <w:tcW w:w="302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179,322</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196,174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133,341</w:t>
            </w:r>
          </w:p>
        </w:tc>
        <w:tc>
          <w:tcPr>
            <w:tcW w:w="0" w:type="dxa"/>
            <w:vAlign w:val="bottom"/>
          </w:tcPr>
          <w:p>
            <w:pPr>
              <w:spacing w:after="0"/>
              <w:rPr>
                <w:sz w:val="1"/>
                <w:szCs w:val="1"/>
                <w:color w:val="auto"/>
              </w:rPr>
            </w:pPr>
          </w:p>
        </w:tc>
      </w:tr>
      <w:tr>
        <w:trPr>
          <w:trHeight w:val="219"/>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184,648</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119,623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92,093</w:t>
            </w:r>
          </w:p>
        </w:tc>
        <w:tc>
          <w:tcPr>
            <w:tcW w:w="0" w:type="dxa"/>
            <w:vAlign w:val="bottom"/>
          </w:tcPr>
          <w:p>
            <w:pPr>
              <w:spacing w:after="0"/>
              <w:rPr>
                <w:sz w:val="1"/>
                <w:szCs w:val="1"/>
                <w:color w:val="auto"/>
              </w:rPr>
            </w:pPr>
          </w:p>
        </w:tc>
      </w:tr>
      <w:tr>
        <w:trPr>
          <w:trHeight w:val="218"/>
        </w:trPr>
        <w:tc>
          <w:tcPr>
            <w:tcW w:w="302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Gross (loss) profit</w:t>
            </w:r>
          </w:p>
        </w:tc>
        <w:tc>
          <w:tcPr>
            <w:tcW w:w="30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(5,326)</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76,551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41,248</w:t>
            </w:r>
          </w:p>
        </w:tc>
        <w:tc>
          <w:tcPr>
            <w:tcW w:w="0" w:type="dxa"/>
            <w:vAlign w:val="bottom"/>
          </w:tcPr>
          <w:p>
            <w:pPr>
              <w:spacing w:after="0"/>
              <w:rPr>
                <w:sz w:val="1"/>
                <w:szCs w:val="1"/>
                <w:color w:val="auto"/>
              </w:rPr>
            </w:pPr>
          </w:p>
        </w:tc>
      </w:tr>
      <w:tr>
        <w:trPr>
          <w:trHeight w:val="219"/>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72,700</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34,910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21,383</w:t>
            </w:r>
          </w:p>
        </w:tc>
        <w:tc>
          <w:tcPr>
            <w:tcW w:w="0" w:type="dxa"/>
            <w:vAlign w:val="bottom"/>
          </w:tcPr>
          <w:p>
            <w:pPr>
              <w:spacing w:after="0"/>
              <w:rPr>
                <w:sz w:val="1"/>
                <w:szCs w:val="1"/>
                <w:color w:val="auto"/>
              </w:rPr>
            </w:pPr>
          </w:p>
        </w:tc>
      </w:tr>
      <w:tr>
        <w:trPr>
          <w:trHeight w:val="225"/>
        </w:trPr>
        <w:tc>
          <w:tcPr>
            <w:tcW w:w="302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53,831</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33,118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19,947</w:t>
            </w:r>
          </w:p>
        </w:tc>
        <w:tc>
          <w:tcPr>
            <w:tcW w:w="0" w:type="dxa"/>
            <w:vAlign w:val="bottom"/>
          </w:tcPr>
          <w:p>
            <w:pPr>
              <w:spacing w:after="0"/>
              <w:rPr>
                <w:sz w:val="1"/>
                <w:szCs w:val="1"/>
                <w:color w:val="auto"/>
              </w:rPr>
            </w:pPr>
          </w:p>
        </w:tc>
      </w:tr>
      <w:tr>
        <w:trPr>
          <w:trHeight w:val="226"/>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100,742</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29,484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19,449</w:t>
            </w:r>
          </w:p>
        </w:tc>
        <w:tc>
          <w:tcPr>
            <w:tcW w:w="0" w:type="dxa"/>
            <w:vAlign w:val="bottom"/>
          </w:tcPr>
          <w:p>
            <w:pPr>
              <w:spacing w:after="0"/>
              <w:rPr>
                <w:sz w:val="1"/>
                <w:szCs w:val="1"/>
                <w:color w:val="auto"/>
              </w:rPr>
            </w:pPr>
          </w:p>
        </w:tc>
      </w:tr>
      <w:tr>
        <w:trPr>
          <w:trHeight w:val="225"/>
        </w:trPr>
        <w:tc>
          <w:tcPr>
            <w:tcW w:w="3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Related party expenses</w:t>
            </w:r>
          </w:p>
        </w:tc>
        <w:tc>
          <w:tcPr>
            <w:tcW w:w="30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9,395</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9,132</w:t>
            </w:r>
          </w:p>
        </w:tc>
        <w:tc>
          <w:tcPr>
            <w:tcW w:w="0" w:type="dxa"/>
            <w:vAlign w:val="bottom"/>
          </w:tcPr>
          <w:p>
            <w:pPr>
              <w:spacing w:after="0"/>
              <w:rPr>
                <w:sz w:val="1"/>
                <w:szCs w:val="1"/>
                <w:color w:val="auto"/>
              </w:rPr>
            </w:pPr>
          </w:p>
        </w:tc>
      </w:tr>
      <w:tr>
        <w:trPr>
          <w:trHeight w:val="219"/>
        </w:trPr>
        <w:tc>
          <w:tcPr>
            <w:tcW w:w="3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operations</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(241,994)</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(30,413)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(28,663)</w:t>
            </w:r>
          </w:p>
        </w:tc>
        <w:tc>
          <w:tcPr>
            <w:tcW w:w="0" w:type="dxa"/>
            <w:vAlign w:val="bottom"/>
          </w:tcPr>
          <w:p>
            <w:pPr>
              <w:spacing w:after="0"/>
              <w:rPr>
                <w:sz w:val="1"/>
                <w:szCs w:val="1"/>
                <w:color w:val="auto"/>
              </w:rPr>
            </w:pPr>
          </w:p>
        </w:tc>
      </w:tr>
      <w:tr>
        <w:trPr>
          <w:trHeight w:val="390"/>
        </w:trPr>
        <w:tc>
          <w:tcPr>
            <w:tcW w:w="302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302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(2,474)</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26"/>
        </w:trPr>
        <w:tc>
          <w:tcPr>
            <w:tcW w:w="3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extinguishment of debt</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25"/>
        </w:trPr>
        <w:tc>
          <w:tcPr>
            <w:tcW w:w="3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income, net</w:t>
            </w:r>
          </w:p>
        </w:tc>
        <w:tc>
          <w:tcPr>
            <w:tcW w:w="30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2,622</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19"/>
        </w:trPr>
        <w:tc>
          <w:tcPr>
            <w:tcW w:w="3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other income, net</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4,791</w:t>
            </w:r>
          </w:p>
        </w:tc>
        <w:tc>
          <w:tcPr>
            <w:tcW w:w="0" w:type="dxa"/>
            <w:vAlign w:val="bottom"/>
          </w:tcPr>
          <w:p>
            <w:pPr>
              <w:spacing w:after="0"/>
              <w:rPr>
                <w:sz w:val="1"/>
                <w:szCs w:val="1"/>
                <w:color w:val="auto"/>
              </w:rPr>
            </w:pPr>
          </w:p>
        </w:tc>
      </w:tr>
      <w:tr>
        <w:trPr>
          <w:trHeight w:val="218"/>
        </w:trPr>
        <w:tc>
          <w:tcPr>
            <w:tcW w:w="302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5"/>
              </w:rPr>
              <w:t>(29,704)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(23,872)</w:t>
            </w:r>
          </w:p>
        </w:tc>
        <w:tc>
          <w:tcPr>
            <w:tcW w:w="0" w:type="dxa"/>
            <w:vAlign w:val="bottom"/>
          </w:tcPr>
          <w:p>
            <w:pPr>
              <w:spacing w:after="0"/>
              <w:rPr>
                <w:sz w:val="1"/>
                <w:szCs w:val="1"/>
                <w:color w:val="auto"/>
              </w:rPr>
            </w:pPr>
          </w:p>
        </w:tc>
      </w:tr>
      <w:tr>
        <w:trPr>
          <w:trHeight w:val="226"/>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3020" w:type="dxa"/>
            <w:vAlign w:val="bottom"/>
          </w:tcPr>
          <w:p>
            <w:pPr>
              <w:ind w:left="20"/>
              <w:spacing w:after="0"/>
              <w:rPr>
                <w:sz w:val="20"/>
                <w:szCs w:val="20"/>
                <w:color w:val="auto"/>
              </w:rPr>
            </w:pPr>
            <w:r>
              <w:rPr>
                <w:rFonts w:ascii="Arial" w:cs="Arial" w:eastAsia="Arial" w:hAnsi="Arial"/>
                <w:sz w:val="18"/>
                <w:szCs w:val="18"/>
                <w:color w:val="auto"/>
              </w:rPr>
              <w:t>Net loss and comprehensive loss</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5"/>
              </w:rPr>
              <w:t>(29,704)</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(23,872)</w:t>
            </w:r>
          </w:p>
        </w:tc>
        <w:tc>
          <w:tcPr>
            <w:tcW w:w="0" w:type="dxa"/>
            <w:vAlign w:val="bottom"/>
          </w:tcPr>
          <w:p>
            <w:pPr>
              <w:spacing w:after="0"/>
              <w:rPr>
                <w:sz w:val="1"/>
                <w:szCs w:val="1"/>
                <w:color w:val="auto"/>
              </w:rPr>
            </w:pPr>
          </w:p>
        </w:tc>
      </w:tr>
      <w:tr>
        <w:trPr>
          <w:trHeight w:val="225"/>
        </w:trPr>
        <w:tc>
          <w:tcPr>
            <w:tcW w:w="41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 dividends</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2,951</w:t>
            </w:r>
          </w:p>
        </w:tc>
        <w:tc>
          <w:tcPr>
            <w:tcW w:w="0" w:type="dxa"/>
            <w:vAlign w:val="bottom"/>
          </w:tcPr>
          <w:p>
            <w:pPr>
              <w:spacing w:after="0"/>
              <w:rPr>
                <w:sz w:val="1"/>
                <w:szCs w:val="1"/>
                <w:color w:val="auto"/>
              </w:rPr>
            </w:pPr>
          </w:p>
        </w:tc>
      </w:tr>
      <w:tr>
        <w:trPr>
          <w:trHeight w:val="219"/>
        </w:trPr>
        <w:tc>
          <w:tcPr>
            <w:tcW w:w="3320" w:type="dxa"/>
            <w:vAlign w:val="bottom"/>
            <w:gridSpan w:val="2"/>
          </w:tcPr>
          <w:p>
            <w:pPr>
              <w:ind w:left="20"/>
              <w:spacing w:after="0"/>
              <w:rPr>
                <w:sz w:val="20"/>
                <w:szCs w:val="20"/>
                <w:color w:val="auto"/>
              </w:rPr>
            </w:pPr>
            <w:r>
              <w:rPr>
                <w:rFonts w:ascii="Arial" w:cs="Arial" w:eastAsia="Arial" w:hAnsi="Arial"/>
                <w:sz w:val="18"/>
                <w:szCs w:val="18"/>
                <w:color w:val="auto"/>
                <w:w w:val="91"/>
              </w:rPr>
              <w:t>Net loss attributable to common stockholders</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tcPr>
          <w:p>
            <w:pPr>
              <w:spacing w:after="0"/>
              <w:rPr>
                <w:sz w:val="19"/>
                <w:szCs w:val="19"/>
                <w:color w:val="auto"/>
              </w:rPr>
            </w:pPr>
          </w:p>
        </w:tc>
        <w:tc>
          <w:tcPr>
            <w:tcW w:w="780" w:type="dxa"/>
            <w:vAlign w:val="bottom"/>
          </w:tcPr>
          <w:p>
            <w:pPr>
              <w:jc w:val="right"/>
              <w:ind w:right="601"/>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5"/>
              </w:rPr>
              <w:t>(32,743)</w:t>
            </w:r>
          </w:p>
        </w:tc>
        <w:tc>
          <w:tcPr>
            <w:tcW w:w="100" w:type="dxa"/>
            <w:vAlign w:val="bottom"/>
          </w:tcPr>
          <w:p>
            <w:pPr>
              <w:spacing w:after="0"/>
              <w:rPr>
                <w:sz w:val="19"/>
                <w:szCs w:val="19"/>
                <w:color w:val="auto"/>
              </w:rPr>
            </w:pPr>
          </w:p>
        </w:tc>
        <w:tc>
          <w:tcPr>
            <w:tcW w:w="280" w:type="dxa"/>
            <w:vAlign w:val="bottom"/>
          </w:tcPr>
          <w:p>
            <w:pPr>
              <w:jc w:val="right"/>
              <w:ind w:right="98"/>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(26,823)</w:t>
            </w:r>
          </w:p>
        </w:tc>
        <w:tc>
          <w:tcPr>
            <w:tcW w:w="0" w:type="dxa"/>
            <w:vAlign w:val="bottom"/>
          </w:tcPr>
          <w:p>
            <w:pPr>
              <w:spacing w:after="0"/>
              <w:rPr>
                <w:sz w:val="1"/>
                <w:szCs w:val="1"/>
                <w:color w:val="auto"/>
              </w:rPr>
            </w:pPr>
          </w:p>
        </w:tc>
      </w:tr>
      <w:tr>
        <w:trPr>
          <w:trHeight w:val="20"/>
        </w:trPr>
        <w:tc>
          <w:tcPr>
            <w:tcW w:w="302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Revenue</w:t>
            </w: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6"/>
        </w:trPr>
        <w:tc>
          <w:tcPr>
            <w:tcW w:w="30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b w:val="1"/>
                <w:bCs w:val="1"/>
                <w:color w:val="auto"/>
              </w:rPr>
              <w:t>Change</w:t>
            </w: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3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6"/>
          </w:tcPr>
          <w:p>
            <w:pPr>
              <w:jc w:val="right"/>
              <w:ind w:right="32"/>
              <w:spacing w:after="0"/>
              <w:rPr>
                <w:sz w:val="20"/>
                <w:szCs w:val="20"/>
                <w:color w:val="auto"/>
              </w:rPr>
            </w:pPr>
            <w:r>
              <w:rPr>
                <w:rFonts w:ascii="Arial" w:cs="Arial" w:eastAsia="Arial" w:hAnsi="Arial"/>
                <w:sz w:val="14"/>
                <w:szCs w:val="14"/>
                <w:b w:val="1"/>
                <w:bCs w:val="1"/>
                <w:color w:val="auto"/>
              </w:rPr>
              <w:t>Year Ended December 31,</w:t>
            </w:r>
          </w:p>
        </w:tc>
        <w:tc>
          <w:tcPr>
            <w:tcW w:w="7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w w:val="88"/>
              </w:rPr>
              <w:t>2019 to 2020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713"/>
              <w:spacing w:after="0"/>
              <w:rPr>
                <w:sz w:val="20"/>
                <w:szCs w:val="20"/>
                <w:color w:val="auto"/>
              </w:rPr>
            </w:pPr>
            <w:r>
              <w:rPr>
                <w:rFonts w:ascii="Arial" w:cs="Arial" w:eastAsia="Arial" w:hAnsi="Arial"/>
                <w:sz w:val="14"/>
                <w:szCs w:val="14"/>
                <w:b w:val="1"/>
                <w:bCs w:val="1"/>
                <w:color w:val="auto"/>
                <w:w w:val="88"/>
              </w:rPr>
              <w:t>2018 to 2019</w:t>
            </w:r>
          </w:p>
        </w:tc>
        <w:tc>
          <w:tcPr>
            <w:tcW w:w="0" w:type="dxa"/>
            <w:vAlign w:val="bottom"/>
          </w:tcPr>
          <w:p>
            <w:pPr>
              <w:spacing w:after="0"/>
              <w:rPr>
                <w:sz w:val="1"/>
                <w:szCs w:val="1"/>
                <w:color w:val="auto"/>
              </w:rPr>
            </w:pPr>
          </w:p>
        </w:tc>
      </w:tr>
      <w:tr>
        <w:trPr>
          <w:trHeight w:val="179"/>
        </w:trPr>
        <w:tc>
          <w:tcPr>
            <w:tcW w:w="30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9"/>
        </w:trPr>
        <w:tc>
          <w:tcPr>
            <w:tcW w:w="3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5"/>
          </w:tcPr>
          <w:p>
            <w:pPr>
              <w:spacing w:after="0"/>
              <w:rPr>
                <w:sz w:val="20"/>
                <w:szCs w:val="20"/>
                <w:color w:val="auto"/>
              </w:rPr>
            </w:pPr>
            <w:r>
              <w:rPr>
                <w:rFonts w:ascii="Arial" w:cs="Arial" w:eastAsia="Arial" w:hAnsi="Arial"/>
                <w:sz w:val="14"/>
                <w:szCs w:val="14"/>
                <w:b w:val="1"/>
                <w:bCs w:val="1"/>
                <w:color w:val="auto"/>
              </w:rPr>
              <w:t>(dollars in thousands)</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Diagnostic test revenue</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175,351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132,970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58,697</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25"/>
        </w:trPr>
        <w:tc>
          <w:tcPr>
            <w:tcW w:w="3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w:t>
            </w: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3,971</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4,136</w:t>
            </w:r>
          </w:p>
        </w:tc>
        <w:tc>
          <w:tcPr>
            <w:tcW w:w="8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1115 %</w:t>
            </w:r>
          </w:p>
        </w:tc>
        <w:tc>
          <w:tcPr>
            <w:tcW w:w="0" w:type="dxa"/>
            <w:vAlign w:val="bottom"/>
          </w:tcPr>
          <w:p>
            <w:pPr>
              <w:spacing w:after="0"/>
              <w:rPr>
                <w:sz w:val="1"/>
                <w:szCs w:val="1"/>
                <w:color w:val="auto"/>
              </w:rPr>
            </w:pPr>
          </w:p>
        </w:tc>
      </w:tr>
      <w:tr>
        <w:trPr>
          <w:trHeight w:val="244"/>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179,322</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196,174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133,341</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(16,852)</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62,833</w:t>
            </w:r>
          </w:p>
        </w:tc>
        <w:tc>
          <w:tcPr>
            <w:tcW w:w="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Total revenue decreased by $16.9 million, or 9%, from $196.2 million for the year ended December 31, 2019 to $179.3 million for the year ended December 31, 2020.</w:t>
      </w:r>
    </w:p>
    <w:p>
      <w:pPr>
        <w:spacing w:after="0" w:line="12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Diagnostic test revenue decreased by $16.3 million, or 9%, from $191.7 million for the year ended December 31, 2019 to $175.4 million for the year ended December 31, 2020. The decrease was primarily attributable to a change in the mix of tests performed coupled with reduced reimbursement rates. We experienced an increase in volumes of 131%, primarily driven by the introduction of COVID-19 testing in May 2020. Despite these increased volumes, diagnostic test revenue decreased due to lower pricing on COVID-19 testing relative to other diagnostic tests and an overall decrease in average pricing on Women’s Health and Oncology testing.</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85</w:t>
      </w:r>
    </w:p>
    <w:p>
      <w:pPr>
        <w:sectPr>
          <w:pgSz w:w="11900" w:h="16838" w:orient="portrait"/>
          <w:cols w:equalWidth="0" w:num="1">
            <w:col w:w="11240"/>
          </w:cols>
          <w:pgMar w:left="320" w:top="1440" w:right="339" w:bottom="1440" w:gutter="0" w:footer="0" w:header="0"/>
          <w:type w:val="continuous"/>
        </w:sectPr>
      </w:pPr>
    </w:p>
    <w:bookmarkStart w:id="93" w:name="page94"/>
    <w:bookmarkEnd w:id="93"/>
    <w:p>
      <w:pPr>
        <w:spacing w:after="0" w:line="119"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Other revenue decreased by $0.5 million, or 12%, from $4.5 million for the year ended December 31, 2019 to $4.0 million for the year ended December 31, 2020. The decrease was primarily attributable to the completion of one significant third-party contract in 2019 and the completion of one significant contract with ISMMS in early 2020. This decrease was partially offset by growth in collaboration service activities due to the execution of two new third-party contracts in 2020. Other revenues are expected to continue to be driven predominately by services performed pursuant to contracts with third parties.</w:t>
      </w:r>
    </w:p>
    <w:p>
      <w:pPr>
        <w:spacing w:after="0" w:line="9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Total revenue increased by $62.8 million, or 47%, from $133.3 million for the year ended December 31, 2018 to $196.2 million for the year ended December 31, 2019.</w:t>
      </w:r>
    </w:p>
    <w:p>
      <w:pPr>
        <w:spacing w:after="0" w:line="12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Diagnostic test revenue increased by $58.7 million, or 44%, from $133.0 million for the year ended December 31, 2018 to $191.7 million for the year ended December 31, 2019. The increase was primarily attributable to an increase in diagnostic testing volumes of 47%, partially offset by lower reimbursement rates for some diagnostic tests.</w:t>
      </w:r>
    </w:p>
    <w:p>
      <w:pPr>
        <w:spacing w:after="0" w:line="135"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Other revenue increased by $4.1 million, or 1,115%, from $0.4 million for the year ended December 31, 2018 to $4.5 million for the year ended December 31, 2019. The increase was primarily attributable to the execution of three new contracts with various third parties in 2019 as well as significant growth in collaboration service activities pursuant to contracts entered into with a third party in March 2019 and with ISMMS in November 2018.</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b w:val="1"/>
                <w:bCs w:val="1"/>
                <w:color w:val="auto"/>
              </w:rPr>
              <w:t>Change</w:t>
            </w:r>
          </w:p>
        </w:tc>
        <w:tc>
          <w:tcPr>
            <w:tcW w:w="1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185"/>
        </w:trPr>
        <w:tc>
          <w:tcPr>
            <w:tcW w:w="3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center"/>
              <w:ind w:left="463"/>
              <w:spacing w:after="0"/>
              <w:rPr>
                <w:sz w:val="20"/>
                <w:szCs w:val="20"/>
                <w:color w:val="auto"/>
              </w:rPr>
            </w:pPr>
            <w:r>
              <w:rPr>
                <w:rFonts w:ascii="Arial" w:cs="Arial" w:eastAsia="Arial" w:hAnsi="Arial"/>
                <w:sz w:val="14"/>
                <w:szCs w:val="14"/>
                <w:b w:val="1"/>
                <w:bCs w:val="1"/>
                <w:color w:val="auto"/>
                <w:w w:val="91"/>
              </w:rPr>
              <w:t>Year Ended December 31,</w:t>
            </w: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w w:val="96"/>
              </w:rPr>
              <w:t>2019 to 2020</w:t>
            </w:r>
          </w:p>
        </w:tc>
        <w:tc>
          <w:tcPr>
            <w:tcW w:w="1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w w:val="96"/>
              </w:rPr>
              <w:t>2018 to 2019</w:t>
            </w:r>
          </w:p>
        </w:tc>
        <w:tc>
          <w:tcPr>
            <w:tcW w:w="720" w:type="dxa"/>
            <w:vAlign w:val="bottom"/>
            <w:tcBorders>
              <w:bottom w:val="single" w:sz="8" w:color="auto"/>
            </w:tcBorders>
          </w:tcPr>
          <w:p>
            <w:pPr>
              <w:spacing w:after="0"/>
              <w:rPr>
                <w:sz w:val="16"/>
                <w:szCs w:val="16"/>
                <w:color w:val="auto"/>
              </w:rPr>
            </w:pPr>
          </w:p>
        </w:tc>
      </w:tr>
      <w:tr>
        <w:trPr>
          <w:trHeight w:val="179"/>
        </w:trPr>
        <w:tc>
          <w:tcPr>
            <w:tcW w:w="30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ind w:right="863"/>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w:t>
            </w:r>
          </w:p>
        </w:tc>
      </w:tr>
      <w:tr>
        <w:trPr>
          <w:trHeight w:val="179"/>
        </w:trPr>
        <w:tc>
          <w:tcPr>
            <w:tcW w:w="3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700" w:type="dxa"/>
            <w:vAlign w:val="bottom"/>
            <w:gridSpan w:val="3"/>
          </w:tcPr>
          <w:p>
            <w:pPr>
              <w:ind w:left="80"/>
              <w:spacing w:after="0"/>
              <w:rPr>
                <w:sz w:val="20"/>
                <w:szCs w:val="20"/>
                <w:color w:val="auto"/>
              </w:rPr>
            </w:pPr>
            <w:r>
              <w:rPr>
                <w:rFonts w:ascii="Arial" w:cs="Arial" w:eastAsia="Arial" w:hAnsi="Arial"/>
                <w:sz w:val="14"/>
                <w:szCs w:val="14"/>
                <w:b w:val="1"/>
                <w:bCs w:val="1"/>
                <w:color w:val="auto"/>
              </w:rPr>
              <w:t>(dollars in thousands)</w:t>
            </w: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26"/>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184,648</w:t>
            </w: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119,623</w:t>
            </w: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92,093</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65,025</w:t>
            </w:r>
          </w:p>
        </w:tc>
        <w:tc>
          <w:tcPr>
            <w:tcW w:w="1140" w:type="dxa"/>
            <w:vAlign w:val="bottom"/>
            <w:shd w:val="clear" w:color="auto" w:fill="CCEEFF"/>
          </w:tcPr>
          <w:p>
            <w:pPr>
              <w:jc w:val="right"/>
              <w:ind w:right="143"/>
              <w:spacing w:after="0"/>
              <w:rPr>
                <w:sz w:val="20"/>
                <w:szCs w:val="20"/>
                <w:color w:val="auto"/>
              </w:rPr>
            </w:pPr>
            <w:r>
              <w:rPr>
                <w:rFonts w:ascii="Arial" w:cs="Arial" w:eastAsia="Arial" w:hAnsi="Arial"/>
                <w:sz w:val="18"/>
                <w:szCs w:val="18"/>
                <w:color w:val="auto"/>
              </w:rPr>
              <w:t>54 %  $</w:t>
            </w:r>
          </w:p>
        </w:tc>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27,530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r>
    </w:tbl>
    <w:p>
      <w:pPr>
        <w:spacing w:after="0" w:line="239"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Cost of services increased by $65.0 million, or 54%, from $119.6 million for the year ended December 31, 2019 to $184.6 million for the year ended December 31, 2020. The increase was primarily attributable to the following cost components: a $17.0 million increase in reagents and laboratory supplies expense due primarily to the 131% increase in accessioned volumes coupled with the lower per test cost of performing COVID-19 tests relative to our other tests; a $13.2 million increase in stock-based compensation expenses primarily driven by the increase in fair value of the liability-classified awards; an $11.8 million increase in personnel-related expenses driven by an increase in average headcount, partially offset by COVID-19 austerity measures; a $6.4 million increase in third party reference laboratory expenses due to an increase in tests performed by such third parties; a $4.4 million increase in expenses for other services such as genetic counseling, shipping and phlebotomy services; a $4.3 million increase in depreciation and amortization expenses driven by laboratory sequencing equipment acquired in 2020 and an increase in capitalized software as compared to the prior year; a $3.7 million increase in outside labor costs driven by temporary hires contracted in 2020 to perform COVID-19 testing activities as well as an increase in consultants supporting collaboration services; a $1.6 million increase in software expenses due to increased cloud storage and expanded computing capacity requirements for testing data; and a $1.3 million increase in equipment-related expenses, including maintenance expenses on existing equipment and purchases of minor equipment in 2020.</w:t>
      </w:r>
    </w:p>
    <w:p>
      <w:pPr>
        <w:spacing w:after="0" w:line="10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Cost of services increased by $27.5 million, or 30%, from $92.1 million for the year ended December 31, 2018 to $119.6 million for the year ended December 31, 2019. The increase was primarily attributable to the following cost components: a $16.4 million increase in reagents and laboratory supplies expense and a $2.8 million increase in other laboratory services such as genetic counseling, logistics, and phlebotomy services driven by the 47% increase in volume; a $7.5 million increase in personnel-related expenses due to an increase in average headcount; and a $4.3 million increase in software expenses due to increased cloud storage and expanded computing capacity requirements for testing data. These increases were partially offset by a $2.7 million decrease in third party reference laboratory expenses driven by a smaller percentage of tests performed by reference labs as a result of expanded in-house capabilities to perform sequencing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1440" w:right="339" w:bottom="1440" w:gutter="0" w:footer="0" w:header="0"/>
        </w:sectPr>
      </w:pPr>
    </w:p>
    <w:bookmarkStart w:id="94" w:name="page95"/>
    <w:bookmarkEnd w:id="94"/>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b w:val="1"/>
                <w:bCs w:val="1"/>
                <w:color w:val="auto"/>
              </w:rPr>
              <w:t>Change</w:t>
            </w:r>
          </w:p>
        </w:tc>
        <w:tc>
          <w:tcPr>
            <w:tcW w:w="1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185"/>
        </w:trPr>
        <w:tc>
          <w:tcPr>
            <w:tcW w:w="3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center"/>
              <w:ind w:left="463"/>
              <w:spacing w:after="0"/>
              <w:rPr>
                <w:sz w:val="20"/>
                <w:szCs w:val="20"/>
                <w:color w:val="auto"/>
              </w:rPr>
            </w:pPr>
            <w:r>
              <w:rPr>
                <w:rFonts w:ascii="Arial" w:cs="Arial" w:eastAsia="Arial" w:hAnsi="Arial"/>
                <w:sz w:val="14"/>
                <w:szCs w:val="14"/>
                <w:b w:val="1"/>
                <w:bCs w:val="1"/>
                <w:color w:val="auto"/>
                <w:w w:val="91"/>
              </w:rPr>
              <w:t>Year Ended December 31,</w:t>
            </w: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w w:val="96"/>
              </w:rPr>
              <w:t>2019 to 2020</w:t>
            </w:r>
          </w:p>
        </w:tc>
        <w:tc>
          <w:tcPr>
            <w:tcW w:w="1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w w:val="96"/>
              </w:rPr>
              <w:t>2018 to 2019</w:t>
            </w:r>
          </w:p>
        </w:tc>
        <w:tc>
          <w:tcPr>
            <w:tcW w:w="720" w:type="dxa"/>
            <w:vAlign w:val="bottom"/>
            <w:tcBorders>
              <w:bottom w:val="single" w:sz="8" w:color="auto"/>
            </w:tcBorders>
          </w:tcPr>
          <w:p>
            <w:pPr>
              <w:spacing w:after="0"/>
              <w:rPr>
                <w:sz w:val="16"/>
                <w:szCs w:val="16"/>
                <w:color w:val="auto"/>
              </w:rPr>
            </w:pPr>
          </w:p>
        </w:tc>
      </w:tr>
      <w:tr>
        <w:trPr>
          <w:trHeight w:val="179"/>
        </w:trPr>
        <w:tc>
          <w:tcPr>
            <w:tcW w:w="30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ind w:right="863"/>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w:t>
            </w:r>
          </w:p>
        </w:tc>
      </w:tr>
      <w:tr>
        <w:trPr>
          <w:trHeight w:val="179"/>
        </w:trPr>
        <w:tc>
          <w:tcPr>
            <w:tcW w:w="3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700" w:type="dxa"/>
            <w:vAlign w:val="bottom"/>
            <w:gridSpan w:val="3"/>
          </w:tcPr>
          <w:p>
            <w:pPr>
              <w:ind w:left="80"/>
              <w:spacing w:after="0"/>
              <w:rPr>
                <w:sz w:val="20"/>
                <w:szCs w:val="20"/>
                <w:color w:val="auto"/>
              </w:rPr>
            </w:pPr>
            <w:r>
              <w:rPr>
                <w:rFonts w:ascii="Arial" w:cs="Arial" w:eastAsia="Arial" w:hAnsi="Arial"/>
                <w:sz w:val="14"/>
                <w:szCs w:val="14"/>
                <w:b w:val="1"/>
                <w:bCs w:val="1"/>
                <w:color w:val="auto"/>
              </w:rPr>
              <w:t>(dollars in thousands)</w:t>
            </w: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26"/>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72,700</w:t>
            </w: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34,910</w:t>
            </w: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21,383</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37,790</w:t>
            </w:r>
          </w:p>
        </w:tc>
        <w:tc>
          <w:tcPr>
            <w:tcW w:w="1140" w:type="dxa"/>
            <w:vAlign w:val="bottom"/>
            <w:shd w:val="clear" w:color="auto" w:fill="CCEEFF"/>
          </w:tcPr>
          <w:p>
            <w:pPr>
              <w:jc w:val="right"/>
              <w:ind w:right="143"/>
              <w:spacing w:after="0"/>
              <w:rPr>
                <w:sz w:val="20"/>
                <w:szCs w:val="20"/>
                <w:color w:val="auto"/>
              </w:rPr>
            </w:pPr>
            <w:r>
              <w:rPr>
                <w:rFonts w:ascii="Arial" w:cs="Arial" w:eastAsia="Arial" w:hAnsi="Arial"/>
                <w:sz w:val="18"/>
                <w:szCs w:val="18"/>
                <w:color w:val="auto"/>
              </w:rPr>
              <w:t>108 %  $</w:t>
            </w:r>
          </w:p>
        </w:tc>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13,527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63 %</w:t>
            </w:r>
          </w:p>
        </w:tc>
      </w:tr>
    </w:tbl>
    <w:p>
      <w:pPr>
        <w:spacing w:after="0" w:line="239"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Research and development expense increased by $37.8 million, or 108%, from $34.9 million for the year ended December 31, 2019 to $72.7 million for the year ended December 31, 2020. The increase was primarily attributable to the following cost components: a $25.4 million increase in stock-based compensation expenses due to an increase in fair value of the liability-classified awards and an increase in the number of outstanding awards; a $9.3 million increase in personnel-related expenses driven by increased average headcount and retention bonuses offered to employees impacted by the relocation of our New York laboratory in December of 2020, partially offset by COVID-19 austerity measures; a $1.7 million increase in expenses for reagents, laboratory supplies and laboratory software for research and development use; and a $1.1 million increase in consulting and outside services, primarily due to an increase in the number of, and required investment in, research and development studies.</w:t>
      </w:r>
    </w:p>
    <w:p>
      <w:pPr>
        <w:spacing w:after="0" w:line="132"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Research and development expense increased by $13.5 million, or 63%, from $21.4 million for the year ended December 31, 2018 to $34.9 million for the year ended December 31, 2019. The increase was primarily attributable to a $9.7 million increase in personnel-related expenses driven by increased average headcount and a $3.2 million increase in expenses for reagents, laboratory supplies and laboratory software for research and development use due to an increase in the number of, and required investment in, research and development studies.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b w:val="1"/>
                <w:bCs w:val="1"/>
                <w:color w:val="auto"/>
              </w:rPr>
              <w:t>Change</w:t>
            </w:r>
          </w:p>
        </w:tc>
        <w:tc>
          <w:tcPr>
            <w:tcW w:w="1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185"/>
        </w:trPr>
        <w:tc>
          <w:tcPr>
            <w:tcW w:w="3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center"/>
              <w:ind w:left="463"/>
              <w:spacing w:after="0"/>
              <w:rPr>
                <w:sz w:val="20"/>
                <w:szCs w:val="20"/>
                <w:color w:val="auto"/>
              </w:rPr>
            </w:pPr>
            <w:r>
              <w:rPr>
                <w:rFonts w:ascii="Arial" w:cs="Arial" w:eastAsia="Arial" w:hAnsi="Arial"/>
                <w:sz w:val="14"/>
                <w:szCs w:val="14"/>
                <w:b w:val="1"/>
                <w:bCs w:val="1"/>
                <w:color w:val="auto"/>
                <w:w w:val="91"/>
              </w:rPr>
              <w:t>Year Ended December 31,</w:t>
            </w: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w w:val="96"/>
              </w:rPr>
              <w:t>2019 to 2020</w:t>
            </w:r>
          </w:p>
        </w:tc>
        <w:tc>
          <w:tcPr>
            <w:tcW w:w="1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w w:val="96"/>
              </w:rPr>
              <w:t>2018 to 2019</w:t>
            </w:r>
          </w:p>
        </w:tc>
        <w:tc>
          <w:tcPr>
            <w:tcW w:w="720" w:type="dxa"/>
            <w:vAlign w:val="bottom"/>
            <w:tcBorders>
              <w:bottom w:val="single" w:sz="8" w:color="auto"/>
            </w:tcBorders>
          </w:tcPr>
          <w:p>
            <w:pPr>
              <w:spacing w:after="0"/>
              <w:rPr>
                <w:sz w:val="16"/>
                <w:szCs w:val="16"/>
                <w:color w:val="auto"/>
              </w:rPr>
            </w:pPr>
          </w:p>
        </w:tc>
      </w:tr>
      <w:tr>
        <w:trPr>
          <w:trHeight w:val="179"/>
        </w:trPr>
        <w:tc>
          <w:tcPr>
            <w:tcW w:w="30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ind w:right="863"/>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w:t>
            </w:r>
          </w:p>
        </w:tc>
      </w:tr>
      <w:tr>
        <w:trPr>
          <w:trHeight w:val="179"/>
        </w:trPr>
        <w:tc>
          <w:tcPr>
            <w:tcW w:w="3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700" w:type="dxa"/>
            <w:vAlign w:val="bottom"/>
            <w:gridSpan w:val="3"/>
          </w:tcPr>
          <w:p>
            <w:pPr>
              <w:ind w:left="80"/>
              <w:spacing w:after="0"/>
              <w:rPr>
                <w:sz w:val="20"/>
                <w:szCs w:val="20"/>
                <w:color w:val="auto"/>
              </w:rPr>
            </w:pPr>
            <w:r>
              <w:rPr>
                <w:rFonts w:ascii="Arial" w:cs="Arial" w:eastAsia="Arial" w:hAnsi="Arial"/>
                <w:sz w:val="14"/>
                <w:szCs w:val="14"/>
                <w:b w:val="1"/>
                <w:bCs w:val="1"/>
                <w:color w:val="auto"/>
              </w:rPr>
              <w:t>(dollars in thousands)</w:t>
            </w: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26"/>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53,831</w:t>
            </w: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33,118</w:t>
            </w: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19,947</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20,713</w:t>
            </w:r>
          </w:p>
        </w:tc>
        <w:tc>
          <w:tcPr>
            <w:tcW w:w="1140" w:type="dxa"/>
            <w:vAlign w:val="bottom"/>
            <w:shd w:val="clear" w:color="auto" w:fill="CCEEFF"/>
          </w:tcPr>
          <w:p>
            <w:pPr>
              <w:jc w:val="right"/>
              <w:ind w:right="143"/>
              <w:spacing w:after="0"/>
              <w:rPr>
                <w:sz w:val="20"/>
                <w:szCs w:val="20"/>
                <w:color w:val="auto"/>
              </w:rPr>
            </w:pPr>
            <w:r>
              <w:rPr>
                <w:rFonts w:ascii="Arial" w:cs="Arial" w:eastAsia="Arial" w:hAnsi="Arial"/>
                <w:sz w:val="18"/>
                <w:szCs w:val="18"/>
                <w:color w:val="auto"/>
              </w:rPr>
              <w:t>63 %  $</w:t>
            </w:r>
          </w:p>
        </w:tc>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13,171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66 %</w:t>
            </w:r>
          </w:p>
        </w:tc>
      </w:tr>
    </w:tbl>
    <w:p>
      <w:pPr>
        <w:spacing w:after="0" w:line="226"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Selling and marketing expense increased by $20.7 million, or 63%, from $33.1 million for the year ended December 31, 2019 to $53.8 million for the year ended December 31, 2020. The increase was primarily attributable to the following cost components: a $10.6 million increase in personnel-related expenses driven by an increase in average headcount, partially offset by COVID-19 austerity measures; a $10.1 million increase in stock-based compensation expenses due to an increase in the fair value of the liability-classified awards and an increase in the number of outstanding awards; and a $1.5 million increase in commissions due to an increase in sales employee headcount and the implementation of temporary minimum commissions offered to sales employees in response to the COVID-19 pandemic. These increases were partially offset by a $1.8 million decrease in travel and business expenses due to reduced business travel during the COVID-19 pandemic.</w:t>
      </w:r>
    </w:p>
    <w:p>
      <w:pPr>
        <w:spacing w:after="0" w:line="132"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Selling and marketing expense increased by $13.2 million, or 66%, from $19.9 million for the year ended December 31, 2018 to $33.1 million for the year ended December 31, 2019. The increase was primarily attributable to the following cost components: an $8.6 million increase in personnel-related expenses, excluding commissions and a $1.7 million increase in travel and business expenses driven by increases in average headcount; a $1.5 million increase in commissions driven by the 47% increase in volume and achievement of sales targets; and a $0.8 million increase in consultant costs for strategy and go-to-market consulting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1440" w:right="339" w:bottom="1440" w:gutter="0" w:footer="0" w:header="0"/>
        </w:sectPr>
      </w:pPr>
    </w:p>
    <w:bookmarkStart w:id="95" w:name="page96"/>
    <w:bookmarkEnd w:id="95"/>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Change</w:t>
            </w:r>
          </w:p>
        </w:tc>
        <w:tc>
          <w:tcPr>
            <w:tcW w:w="1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185"/>
        </w:trPr>
        <w:tc>
          <w:tcPr>
            <w:tcW w:w="3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center"/>
              <w:ind w:left="443"/>
              <w:spacing w:after="0"/>
              <w:rPr>
                <w:sz w:val="20"/>
                <w:szCs w:val="20"/>
                <w:color w:val="auto"/>
              </w:rPr>
            </w:pPr>
            <w:r>
              <w:rPr>
                <w:rFonts w:ascii="Arial" w:cs="Arial" w:eastAsia="Arial" w:hAnsi="Arial"/>
                <w:sz w:val="14"/>
                <w:szCs w:val="14"/>
                <w:b w:val="1"/>
                <w:bCs w:val="1"/>
                <w:color w:val="auto"/>
                <w:w w:val="90"/>
              </w:rPr>
              <w:t>Year Ended December 31,</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w w:val="96"/>
              </w:rPr>
              <w:t>2019 to 2020</w:t>
            </w:r>
          </w:p>
        </w:tc>
        <w:tc>
          <w:tcPr>
            <w:tcW w:w="7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w w:val="96"/>
              </w:rPr>
              <w:t>2018 to 2019</w:t>
            </w:r>
          </w:p>
        </w:tc>
        <w:tc>
          <w:tcPr>
            <w:tcW w:w="720" w:type="dxa"/>
            <w:vAlign w:val="bottom"/>
            <w:tcBorders>
              <w:bottom w:val="single" w:sz="8" w:color="auto"/>
            </w:tcBorders>
          </w:tcPr>
          <w:p>
            <w:pPr>
              <w:spacing w:after="0"/>
              <w:rPr>
                <w:sz w:val="16"/>
                <w:szCs w:val="16"/>
                <w:color w:val="auto"/>
              </w:rPr>
            </w:pPr>
          </w:p>
        </w:tc>
      </w:tr>
      <w:tr>
        <w:trPr>
          <w:trHeight w:val="179"/>
        </w:trPr>
        <w:tc>
          <w:tcPr>
            <w:tcW w:w="30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w:t>
            </w:r>
          </w:p>
        </w:tc>
      </w:tr>
      <w:tr>
        <w:trPr>
          <w:trHeight w:val="179"/>
        </w:trPr>
        <w:tc>
          <w:tcPr>
            <w:tcW w:w="3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26"/>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100,742</w:t>
            </w: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29,484</w:t>
            </w:r>
          </w:p>
        </w:tc>
        <w:tc>
          <w:tcPr>
            <w:tcW w:w="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71,258</w:t>
            </w: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242 %  $</w:t>
            </w:r>
          </w:p>
        </w:tc>
        <w:tc>
          <w:tcPr>
            <w:tcW w:w="1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10,035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52 %</w:t>
            </w:r>
          </w:p>
        </w:tc>
      </w:tr>
    </w:tbl>
    <w:p>
      <w:pPr>
        <w:spacing w:after="0" w:line="239"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General and administrative expense increased by $71.3 million, or 242%, from $29.5 million for the year ended December 31, 2019 to $100.7 million for the year ended December 31, 2020. The increase was primarily attributable to the following cost components: a $66.0 million increase in stock-based compensation expenses due to an increase in the fair value of the liability-classified awards and an increase in the number of outstanding awards; a $1.4 million increase in occupancy expenses due to the execution of additional third party leases; and a $1.3 million increase in personnel-related expenses due to an increase in general and administrative headcount, partially offset by COVID-19 austerity measures.</w:t>
      </w:r>
    </w:p>
    <w:p>
      <w:pPr>
        <w:spacing w:after="0" w:line="128"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General and administrative expense increased by $10.1 million, or 52%, from $19.4 million for the year ended December 31, 2018 to $29.5 million for the year ended December 31, 2019. The increase was primarily attributable to the following cost components: a $4.4 million increase in personnel-related expenses driven by an increase in average headcount; a $2.3 million increase in information technology expenses driven by an increase in software costs due to system migration projects, security audits and other information technology activities commencing in 2019; a $2.0 million increase in consulting and outside service expenses driven by information technology transformation projects commencing in 2019; and increases in miscellaneous other general and administrative expenses.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Expenses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Change</w:t>
            </w:r>
          </w:p>
        </w:tc>
        <w:tc>
          <w:tcPr>
            <w:tcW w:w="1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185"/>
        </w:trPr>
        <w:tc>
          <w:tcPr>
            <w:tcW w:w="30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center"/>
              <w:ind w:left="463"/>
              <w:spacing w:after="0"/>
              <w:rPr>
                <w:sz w:val="20"/>
                <w:szCs w:val="20"/>
                <w:color w:val="auto"/>
              </w:rPr>
            </w:pPr>
            <w:r>
              <w:rPr>
                <w:rFonts w:ascii="Arial" w:cs="Arial" w:eastAsia="Arial" w:hAnsi="Arial"/>
                <w:sz w:val="14"/>
                <w:szCs w:val="14"/>
                <w:b w:val="1"/>
                <w:bCs w:val="1"/>
                <w:color w:val="auto"/>
                <w:w w:val="90"/>
              </w:rPr>
              <w:t>Year Ended December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 to 2020</w:t>
            </w:r>
          </w:p>
        </w:tc>
        <w:tc>
          <w:tcPr>
            <w:tcW w:w="7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 to 2019</w:t>
            </w:r>
          </w:p>
        </w:tc>
        <w:tc>
          <w:tcPr>
            <w:tcW w:w="720" w:type="dxa"/>
            <w:vAlign w:val="bottom"/>
            <w:tcBorders>
              <w:bottom w:val="single" w:sz="8" w:color="auto"/>
            </w:tcBorders>
          </w:tcPr>
          <w:p>
            <w:pPr>
              <w:spacing w:after="0"/>
              <w:rPr>
                <w:sz w:val="16"/>
                <w:szCs w:val="16"/>
                <w:color w:val="auto"/>
              </w:rPr>
            </w:pPr>
          </w:p>
        </w:tc>
      </w:tr>
      <w:tr>
        <w:trPr>
          <w:trHeight w:val="179"/>
        </w:trPr>
        <w:tc>
          <w:tcPr>
            <w:tcW w:w="30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963"/>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963"/>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w:t>
            </w:r>
          </w:p>
        </w:tc>
      </w:tr>
      <w:tr>
        <w:trPr>
          <w:trHeight w:val="179"/>
        </w:trPr>
        <w:tc>
          <w:tcPr>
            <w:tcW w:w="3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700" w:type="dxa"/>
            <w:vAlign w:val="bottom"/>
            <w:gridSpan w:val="3"/>
          </w:tcPr>
          <w:p>
            <w:pPr>
              <w:jc w:val="right"/>
              <w:ind w:right="223"/>
              <w:spacing w:after="0"/>
              <w:rPr>
                <w:sz w:val="20"/>
                <w:szCs w:val="20"/>
                <w:color w:val="auto"/>
              </w:rPr>
            </w:pPr>
            <w:r>
              <w:rPr>
                <w:rFonts w:ascii="Arial" w:cs="Arial" w:eastAsia="Arial" w:hAnsi="Arial"/>
                <w:sz w:val="14"/>
                <w:szCs w:val="14"/>
                <w:b w:val="1"/>
                <w:bCs w:val="1"/>
                <w:color w:val="auto"/>
                <w:w w:val="94"/>
              </w:rPr>
              <w:t>(dollars in thousands)</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26"/>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Related party expenses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9,395</w:t>
            </w: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9,452</w:t>
            </w: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9,132</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503"/>
              <w:spacing w:after="0"/>
              <w:rPr>
                <w:sz w:val="20"/>
                <w:szCs w:val="20"/>
                <w:color w:val="auto"/>
              </w:rPr>
            </w:pPr>
            <w:r>
              <w:rPr>
                <w:rFonts w:ascii="Arial" w:cs="Arial" w:eastAsia="Arial" w:hAnsi="Arial"/>
                <w:sz w:val="18"/>
                <w:szCs w:val="18"/>
                <w:color w:val="auto"/>
              </w:rPr>
              <w:t>(57)</w:t>
            </w: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(0.6)%  $</w:t>
            </w:r>
          </w:p>
        </w:tc>
        <w:tc>
          <w:tcPr>
            <w:tcW w:w="1260" w:type="dxa"/>
            <w:vAlign w:val="bottom"/>
            <w:shd w:val="clear" w:color="auto" w:fill="CCEEFF"/>
          </w:tcPr>
          <w:p>
            <w:pPr>
              <w:jc w:val="right"/>
              <w:ind w:right="543"/>
              <w:spacing w:after="0"/>
              <w:rPr>
                <w:sz w:val="20"/>
                <w:szCs w:val="20"/>
                <w:color w:val="auto"/>
              </w:rPr>
            </w:pPr>
            <w:r>
              <w:rPr>
                <w:rFonts w:ascii="Arial" w:cs="Arial" w:eastAsia="Arial" w:hAnsi="Arial"/>
                <w:sz w:val="18"/>
                <w:szCs w:val="18"/>
                <w:color w:val="auto"/>
              </w:rPr>
              <w:t>320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r>
    </w:tbl>
    <w:p>
      <w:pPr>
        <w:spacing w:after="0" w:line="226"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Related party expenses decreased by $0.1 million, or 0.6%, from $9.5 million for the year ended December 31, 2019 to $9.4 million for the year ended December 31, 2020. The decrease was primarily attributable to a $1.7 million decrease in service fees associated with a reduction of leased ISMMS employees, a $1.0 million decrease in fees associated with information technology support pursuant to the transition services agreement with ISMMS and decreases in other various services provided by ISMMS pursuant to the TSA and service agreements. These decreases were partially offset by a $2.0 million increase in rent and facility expenses driven by additional office and lab space leased from ISMMS pursuant to the transition services agreement and a $0.5 million increase in consultant costs driven by an increase in research and development efforts performed by ISMMS under consulting agreements.</w:t>
      </w:r>
    </w:p>
    <w:p>
      <w:pPr>
        <w:spacing w:after="0" w:line="99"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Related party expenses increased by $0.4 million, or 4%, from $9.1 million for the year ended December 31, 2018 to $9.5 million for the year ended December 31, 2019. The increase was primarily attributable to a $0.7 million increase in fees incurred for information technology support provided by ISMMS for certain transformational projects that occurred in 2019 pursuant to the TSA. These increases were partially offset by a $0.5 million decrease in service fees associated with a reduction of leased ISMMS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1440" w:right="339" w:bottom="1440" w:gutter="0" w:footer="0" w:header="0"/>
        </w:sectPr>
      </w:pPr>
    </w:p>
    <w:bookmarkStart w:id="96" w:name="page97"/>
    <w:bookmarkEnd w:id="96"/>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0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Change</w:t>
            </w:r>
          </w:p>
        </w:tc>
        <w:tc>
          <w:tcPr>
            <w:tcW w:w="1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185"/>
        </w:trPr>
        <w:tc>
          <w:tcPr>
            <w:tcW w:w="306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center"/>
              <w:ind w:left="21"/>
              <w:spacing w:after="0"/>
              <w:rPr>
                <w:sz w:val="20"/>
                <w:szCs w:val="20"/>
                <w:color w:val="auto"/>
              </w:rPr>
            </w:pPr>
            <w:r>
              <w:rPr>
                <w:rFonts w:ascii="Arial" w:cs="Arial" w:eastAsia="Arial" w:hAnsi="Arial"/>
                <w:sz w:val="14"/>
                <w:szCs w:val="14"/>
                <w:b w:val="1"/>
                <w:bCs w:val="1"/>
                <w:color w:val="auto"/>
                <w:w w:val="90"/>
              </w:rPr>
              <w:t>Year Ended December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 to 2020</w:t>
            </w:r>
          </w:p>
        </w:tc>
        <w:tc>
          <w:tcPr>
            <w:tcW w:w="7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 to 2019</w:t>
            </w:r>
          </w:p>
        </w:tc>
        <w:tc>
          <w:tcPr>
            <w:tcW w:w="720" w:type="dxa"/>
            <w:vAlign w:val="bottom"/>
            <w:tcBorders>
              <w:bottom w:val="single" w:sz="8" w:color="auto"/>
            </w:tcBorders>
          </w:tcPr>
          <w:p>
            <w:pPr>
              <w:spacing w:after="0"/>
              <w:rPr>
                <w:sz w:val="16"/>
                <w:szCs w:val="16"/>
                <w:color w:val="auto"/>
              </w:rPr>
            </w:pPr>
          </w:p>
        </w:tc>
      </w:tr>
      <w:tr>
        <w:trPr>
          <w:trHeight w:val="179"/>
        </w:trPr>
        <w:tc>
          <w:tcPr>
            <w:tcW w:w="3060" w:type="dxa"/>
            <w:vAlign w:val="bottom"/>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963"/>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983"/>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w:t>
            </w:r>
          </w:p>
        </w:tc>
      </w:tr>
      <w:tr>
        <w:trPr>
          <w:trHeight w:val="179"/>
        </w:trPr>
        <w:tc>
          <w:tcPr>
            <w:tcW w:w="30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2"/>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26"/>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680" w:type="dxa"/>
            <w:vAlign w:val="bottom"/>
            <w:shd w:val="clear" w:color="auto" w:fill="CCEEFF"/>
          </w:tcPr>
          <w:p>
            <w:pPr>
              <w:jc w:val="right"/>
              <w:ind w:right="501"/>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w w:val="86"/>
              </w:rPr>
              <w:t>506</w:t>
            </w: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988</w:t>
            </w: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503"/>
              <w:spacing w:after="0"/>
              <w:rPr>
                <w:sz w:val="20"/>
                <w:szCs w:val="20"/>
                <w:color w:val="auto"/>
              </w:rPr>
            </w:pPr>
            <w:r>
              <w:rPr>
                <w:rFonts w:ascii="Arial" w:cs="Arial" w:eastAsia="Arial" w:hAnsi="Arial"/>
                <w:sz w:val="18"/>
                <w:szCs w:val="18"/>
                <w:color w:val="auto"/>
              </w:rPr>
              <w:t>(482)</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(49)%  $</w:t>
            </w:r>
          </w:p>
        </w:tc>
        <w:tc>
          <w:tcPr>
            <w:tcW w:w="1280" w:type="dxa"/>
            <w:vAlign w:val="bottom"/>
            <w:shd w:val="clear" w:color="auto" w:fill="CCEEFF"/>
          </w:tcPr>
          <w:p>
            <w:pPr>
              <w:jc w:val="right"/>
              <w:ind w:right="563"/>
              <w:spacing w:after="0"/>
              <w:rPr>
                <w:sz w:val="20"/>
                <w:szCs w:val="20"/>
                <w:color w:val="auto"/>
              </w:rPr>
            </w:pPr>
            <w:r>
              <w:rPr>
                <w:rFonts w:ascii="Arial" w:cs="Arial" w:eastAsia="Arial" w:hAnsi="Arial"/>
                <w:sz w:val="18"/>
                <w:szCs w:val="18"/>
                <w:color w:val="auto"/>
              </w:rPr>
              <w:t>988</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bl>
    <w:p>
      <w:pPr>
        <w:spacing w:after="0" w:line="23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Interest income decreased by $0.5 million, or 49%, from $1.0 million for the year ended December 31, 2019 to $0.5 million for the year ended December 31, 2020. The decrease was due to declines in interest rates on money market deposit accounts and reductions in the average cash balances held throughout the year in these interest-bearing accounts.</w:t>
      </w:r>
    </w:p>
    <w:p>
      <w:pPr>
        <w:spacing w:after="0" w:line="135"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Interest income increased by $1.0 million, or 100%, from $0 for the year ended December 31, 2018 to $1.0 million for the year ended December 31, 2019. The increase in interest income was due to interest earned on cash deposited in new money market deposit accounts in 2019.</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Change</w:t>
            </w:r>
          </w:p>
        </w:tc>
        <w:tc>
          <w:tcPr>
            <w:tcW w:w="1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185"/>
        </w:trPr>
        <w:tc>
          <w:tcPr>
            <w:tcW w:w="30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center"/>
              <w:ind w:left="463"/>
              <w:spacing w:after="0"/>
              <w:rPr>
                <w:sz w:val="20"/>
                <w:szCs w:val="20"/>
                <w:color w:val="auto"/>
              </w:rPr>
            </w:pPr>
            <w:r>
              <w:rPr>
                <w:rFonts w:ascii="Arial" w:cs="Arial" w:eastAsia="Arial" w:hAnsi="Arial"/>
                <w:sz w:val="14"/>
                <w:szCs w:val="14"/>
                <w:b w:val="1"/>
                <w:bCs w:val="1"/>
                <w:color w:val="auto"/>
                <w:w w:val="91"/>
              </w:rPr>
              <w:t>Year Ended December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 to 2020</w:t>
            </w:r>
          </w:p>
        </w:tc>
        <w:tc>
          <w:tcPr>
            <w:tcW w:w="7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 to 2019</w:t>
            </w:r>
          </w:p>
        </w:tc>
        <w:tc>
          <w:tcPr>
            <w:tcW w:w="720" w:type="dxa"/>
            <w:vAlign w:val="bottom"/>
            <w:tcBorders>
              <w:bottom w:val="single" w:sz="8" w:color="auto"/>
            </w:tcBorders>
          </w:tcPr>
          <w:p>
            <w:pPr>
              <w:spacing w:after="0"/>
              <w:rPr>
                <w:sz w:val="16"/>
                <w:szCs w:val="16"/>
                <w:color w:val="auto"/>
              </w:rPr>
            </w:pPr>
          </w:p>
        </w:tc>
      </w:tr>
      <w:tr>
        <w:trPr>
          <w:trHeight w:val="179"/>
        </w:trPr>
        <w:tc>
          <w:tcPr>
            <w:tcW w:w="30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963"/>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983"/>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w:t>
            </w:r>
          </w:p>
        </w:tc>
      </w:tr>
      <w:tr>
        <w:trPr>
          <w:trHeight w:val="179"/>
        </w:trPr>
        <w:tc>
          <w:tcPr>
            <w:tcW w:w="3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26"/>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2,474</w:t>
            </w: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783</w:t>
            </w: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543"/>
              <w:spacing w:after="0"/>
              <w:rPr>
                <w:sz w:val="20"/>
                <w:szCs w:val="20"/>
                <w:color w:val="auto"/>
              </w:rPr>
            </w:pPr>
            <w:r>
              <w:rPr>
                <w:rFonts w:ascii="Arial" w:cs="Arial" w:eastAsia="Arial" w:hAnsi="Arial"/>
                <w:sz w:val="18"/>
                <w:szCs w:val="18"/>
                <w:color w:val="auto"/>
              </w:rPr>
              <w:t>1,691</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216 %  $</w:t>
            </w:r>
          </w:p>
        </w:tc>
        <w:tc>
          <w:tcPr>
            <w:tcW w:w="1280" w:type="dxa"/>
            <w:vAlign w:val="bottom"/>
            <w:shd w:val="clear" w:color="auto" w:fill="CCEEFF"/>
          </w:tcPr>
          <w:p>
            <w:pPr>
              <w:jc w:val="right"/>
              <w:ind w:right="563"/>
              <w:spacing w:after="0"/>
              <w:rPr>
                <w:sz w:val="20"/>
                <w:szCs w:val="20"/>
                <w:color w:val="auto"/>
              </w:rPr>
            </w:pPr>
            <w:r>
              <w:rPr>
                <w:rFonts w:ascii="Arial" w:cs="Arial" w:eastAsia="Arial" w:hAnsi="Arial"/>
                <w:sz w:val="18"/>
                <w:szCs w:val="18"/>
                <w:color w:val="auto"/>
              </w:rPr>
              <w:t>535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216 %</w:t>
            </w:r>
          </w:p>
        </w:tc>
      </w:tr>
    </w:tbl>
    <w:p>
      <w:pPr>
        <w:spacing w:after="0" w:line="226"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Interest expense increased by $1.7 million, or 216%, from $0.8 million for the year ended December 31, 2019 to $2.5 million for the year ended December 31, 2020. The increase was driven by an increase in capital lease obligations, an increase in our interest-bearing loan balance with the Connecticut Department of Economic and Community Development, or the DECD, and a new interest-bearing bank loan executed in 2020.</w:t>
      </w:r>
    </w:p>
    <w:p>
      <w:pPr>
        <w:spacing w:after="0" w:line="11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Interest expense increased by $0.6 million, or 216%, from $0.2 million for the year ended December 31, 2018 to $0.8 million for the year ended December 31, 2019. The increase was driven by an increase in capital lease obligations.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Extinguishment of Debt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Change</w:t>
            </w:r>
          </w:p>
        </w:tc>
        <w:tc>
          <w:tcPr>
            <w:tcW w:w="1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185"/>
        </w:trPr>
        <w:tc>
          <w:tcPr>
            <w:tcW w:w="31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2019 to 2020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2018 to 2019</w:t>
            </w:r>
          </w:p>
        </w:tc>
        <w:tc>
          <w:tcPr>
            <w:tcW w:w="720" w:type="dxa"/>
            <w:vAlign w:val="bottom"/>
            <w:tcBorders>
              <w:bottom w:val="single" w:sz="8" w:color="auto"/>
            </w:tcBorders>
          </w:tcPr>
          <w:p>
            <w:pPr>
              <w:spacing w:after="0"/>
              <w:rPr>
                <w:sz w:val="16"/>
                <w:szCs w:val="16"/>
                <w:color w:val="auto"/>
              </w:rPr>
            </w:pPr>
          </w:p>
        </w:tc>
      </w:tr>
      <w:tr>
        <w:trPr>
          <w:trHeight w:val="179"/>
        </w:trPr>
        <w:tc>
          <w:tcPr>
            <w:tcW w:w="310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81"/>
              <w:spacing w:after="0"/>
              <w:rPr>
                <w:sz w:val="20"/>
                <w:szCs w:val="20"/>
                <w:color w:val="auto"/>
              </w:rPr>
            </w:pPr>
            <w:r>
              <w:rPr>
                <w:rFonts w:ascii="Arial" w:cs="Arial" w:eastAsia="Arial" w:hAnsi="Arial"/>
                <w:sz w:val="14"/>
                <w:szCs w:val="14"/>
                <w:b w:val="1"/>
                <w:bCs w:val="1"/>
                <w:color w:val="auto"/>
              </w:rPr>
              <w:t>2019</w:t>
            </w:r>
          </w:p>
        </w:tc>
        <w:tc>
          <w:tcPr>
            <w:tcW w:w="76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983"/>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w:t>
            </w:r>
          </w:p>
        </w:tc>
      </w:tr>
      <w:tr>
        <w:trPr>
          <w:trHeight w:val="179"/>
        </w:trPr>
        <w:tc>
          <w:tcPr>
            <w:tcW w:w="3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2"/>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26"/>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extinguishment of debt</w:t>
            </w:r>
          </w:p>
        </w:tc>
        <w:tc>
          <w:tcPr>
            <w:tcW w:w="720" w:type="dxa"/>
            <w:vAlign w:val="bottom"/>
            <w:shd w:val="clear" w:color="auto" w:fill="CCEEFF"/>
          </w:tcPr>
          <w:p>
            <w:pPr>
              <w:jc w:val="right"/>
              <w:ind w:right="541"/>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11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  $</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 %  $</w:t>
            </w:r>
          </w:p>
        </w:tc>
        <w:tc>
          <w:tcPr>
            <w:tcW w:w="1280" w:type="dxa"/>
            <w:vAlign w:val="bottom"/>
            <w:shd w:val="clear" w:color="auto" w:fill="CCEEFF"/>
          </w:tcPr>
          <w:p>
            <w:pPr>
              <w:jc w:val="right"/>
              <w:ind w:right="563"/>
              <w:spacing w:after="0"/>
              <w:rPr>
                <w:sz w:val="20"/>
                <w:szCs w:val="20"/>
                <w:color w:val="auto"/>
              </w:rPr>
            </w:pPr>
            <w:r>
              <w:rPr>
                <w:rFonts w:ascii="Arial" w:cs="Arial" w:eastAsia="Arial" w:hAnsi="Arial"/>
                <w:sz w:val="18"/>
                <w:szCs w:val="18"/>
                <w:color w:val="auto"/>
              </w:rPr>
              <w:t>4,500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bl>
    <w:p>
      <w:pPr>
        <w:spacing w:after="0" w:line="23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No gains or losses on extinguishment of debt were recognized for the years ended December 31, 2020 and 2019. Gain on extinguishment of debt was $4.5 million for the year ended December 31, 2018. The gain on extinguishment of debt in 2018 was attributable to principal loan forgiveness in response to achievement of milestones specified in the amended loan agreement with the DECD.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Change</w:t>
            </w:r>
          </w:p>
        </w:tc>
        <w:tc>
          <w:tcPr>
            <w:tcW w:w="1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185"/>
        </w:trPr>
        <w:tc>
          <w:tcPr>
            <w:tcW w:w="30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center"/>
              <w:ind w:left="463"/>
              <w:spacing w:after="0"/>
              <w:rPr>
                <w:sz w:val="20"/>
                <w:szCs w:val="20"/>
                <w:color w:val="auto"/>
              </w:rPr>
            </w:pPr>
            <w:r>
              <w:rPr>
                <w:rFonts w:ascii="Arial" w:cs="Arial" w:eastAsia="Arial" w:hAnsi="Arial"/>
                <w:sz w:val="14"/>
                <w:szCs w:val="14"/>
                <w:b w:val="1"/>
                <w:bCs w:val="1"/>
                <w:color w:val="auto"/>
                <w:w w:val="91"/>
              </w:rPr>
              <w:t>Year Ended December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 to 2020</w:t>
            </w:r>
          </w:p>
        </w:tc>
        <w:tc>
          <w:tcPr>
            <w:tcW w:w="7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 to 2019</w:t>
            </w:r>
          </w:p>
        </w:tc>
        <w:tc>
          <w:tcPr>
            <w:tcW w:w="720" w:type="dxa"/>
            <w:vAlign w:val="bottom"/>
            <w:tcBorders>
              <w:bottom w:val="single" w:sz="8" w:color="auto"/>
            </w:tcBorders>
          </w:tcPr>
          <w:p>
            <w:pPr>
              <w:spacing w:after="0"/>
              <w:rPr>
                <w:sz w:val="16"/>
                <w:szCs w:val="16"/>
                <w:color w:val="auto"/>
              </w:rPr>
            </w:pPr>
          </w:p>
        </w:tc>
      </w:tr>
      <w:tr>
        <w:trPr>
          <w:trHeight w:val="179"/>
        </w:trPr>
        <w:tc>
          <w:tcPr>
            <w:tcW w:w="30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963"/>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983"/>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w:t>
            </w:r>
          </w:p>
        </w:tc>
      </w:tr>
      <w:tr>
        <w:trPr>
          <w:trHeight w:val="179"/>
        </w:trPr>
        <w:tc>
          <w:tcPr>
            <w:tcW w:w="3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26"/>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2,622</w:t>
            </w: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504</w:t>
            </w: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539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543"/>
              <w:spacing w:after="0"/>
              <w:rPr>
                <w:sz w:val="20"/>
                <w:szCs w:val="20"/>
                <w:color w:val="auto"/>
              </w:rPr>
            </w:pPr>
            <w:r>
              <w:rPr>
                <w:rFonts w:ascii="Arial" w:cs="Arial" w:eastAsia="Arial" w:hAnsi="Arial"/>
                <w:sz w:val="18"/>
                <w:szCs w:val="18"/>
                <w:color w:val="auto"/>
              </w:rPr>
              <w:t>2,118</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420 %  $</w:t>
            </w:r>
          </w:p>
        </w:tc>
        <w:tc>
          <w:tcPr>
            <w:tcW w:w="1280" w:type="dxa"/>
            <w:vAlign w:val="bottom"/>
            <w:shd w:val="clear" w:color="auto" w:fill="CCEEFF"/>
          </w:tcPr>
          <w:p>
            <w:pPr>
              <w:jc w:val="right"/>
              <w:ind w:right="503"/>
              <w:spacing w:after="0"/>
              <w:rPr>
                <w:sz w:val="20"/>
                <w:szCs w:val="20"/>
                <w:color w:val="auto"/>
              </w:rPr>
            </w:pPr>
            <w:r>
              <w:rPr>
                <w:rFonts w:ascii="Arial" w:cs="Arial" w:eastAsia="Arial" w:hAnsi="Arial"/>
                <w:sz w:val="18"/>
                <w:szCs w:val="18"/>
                <w:color w:val="auto"/>
              </w:rPr>
              <w:t>(35)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1440" w:right="339" w:bottom="1440" w:gutter="0" w:footer="0" w:header="0"/>
        </w:sectPr>
      </w:pPr>
    </w:p>
    <w:bookmarkStart w:id="97" w:name="page98"/>
    <w:bookmarkEnd w:id="97"/>
    <w:p>
      <w:pPr>
        <w:spacing w:after="0" w:line="119"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Other income, net increased by $2.1 million, or 420%, from $0.5 million for the year ended December 31, 2019 to $2.6 million for the year ended December 31, 2020. The increase in other income, net was primarily attributable to $2.6 million in funding that we received under the CARES Act.</w:t>
      </w:r>
    </w:p>
    <w:p>
      <w:pPr>
        <w:spacing w:after="0" w:line="10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Other income, net is $0.5 million for the years ended December 31, 2018 and 2019 and there were no material offsetting charges within income and expense year over year.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March 31, 2021 and 2020</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our results of operations for the periods presented: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553"/>
              <w:spacing w:after="0"/>
              <w:rPr>
                <w:sz w:val="20"/>
                <w:szCs w:val="20"/>
                <w:color w:val="auto"/>
              </w:rPr>
            </w:pPr>
            <w:r>
              <w:rPr>
                <w:rFonts w:ascii="Arial" w:cs="Arial" w:eastAsia="Arial" w:hAnsi="Arial"/>
                <w:sz w:val="14"/>
                <w:szCs w:val="14"/>
                <w:b w:val="1"/>
                <w:bCs w:val="1"/>
                <w:color w:val="auto"/>
                <w:w w:val="94"/>
              </w:rPr>
              <w:t>Three Months Ended March 31,</w:t>
            </w:r>
          </w:p>
        </w:tc>
      </w:tr>
      <w:tr>
        <w:trPr>
          <w:trHeight w:val="378"/>
        </w:trPr>
        <w:tc>
          <w:tcPr>
            <w:tcW w:w="4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378"/>
        </w:trPr>
        <w:tc>
          <w:tcPr>
            <w:tcW w:w="4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80" w:type="dxa"/>
            <w:vAlign w:val="bottom"/>
            <w:gridSpan w:val="3"/>
          </w:tcPr>
          <w:p>
            <w:pPr>
              <w:ind w:left="580"/>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24"/>
                <w:szCs w:val="24"/>
                <w:color w:val="auto"/>
              </w:rPr>
            </w:pPr>
          </w:p>
        </w:tc>
      </w:tr>
      <w:tr>
        <w:trPr>
          <w:trHeight w:val="403"/>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9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25"/>
        </w:trPr>
        <w:tc>
          <w:tcPr>
            <w:tcW w:w="4640" w:type="dxa"/>
            <w:vAlign w:val="bottom"/>
          </w:tcPr>
          <w:p>
            <w:pPr>
              <w:ind w:left="180"/>
              <w:spacing w:after="0"/>
              <w:rPr>
                <w:sz w:val="20"/>
                <w:szCs w:val="20"/>
                <w:color w:val="auto"/>
              </w:rPr>
            </w:pPr>
            <w:r>
              <w:rPr>
                <w:rFonts w:ascii="Arial" w:cs="Arial" w:eastAsia="Arial" w:hAnsi="Arial"/>
                <w:sz w:val="18"/>
                <w:szCs w:val="18"/>
                <w:color w:val="auto"/>
              </w:rPr>
              <w:t>Diagnostic test revenue</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62,760</w:t>
            </w:r>
          </w:p>
        </w:tc>
        <w:tc>
          <w:tcPr>
            <w:tcW w:w="100" w:type="dxa"/>
            <w:vAlign w:val="bottom"/>
          </w:tcPr>
          <w:p>
            <w:pPr>
              <w:spacing w:after="0"/>
              <w:rPr>
                <w:sz w:val="19"/>
                <w:szCs w:val="19"/>
                <w:color w:val="auto"/>
              </w:rPr>
            </w:pPr>
          </w:p>
        </w:tc>
        <w:tc>
          <w:tcPr>
            <w:tcW w:w="520" w:type="dxa"/>
            <w:vAlign w:val="bottom"/>
          </w:tcPr>
          <w:p>
            <w:pPr>
              <w:jc w:val="right"/>
              <w:ind w:right="33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46,070</w:t>
            </w:r>
          </w:p>
        </w:tc>
      </w:tr>
      <w:tr>
        <w:trPr>
          <w:trHeight w:val="226"/>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revenue</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w:t>
            </w:r>
          </w:p>
        </w:tc>
      </w:tr>
      <w:tr>
        <w:trPr>
          <w:trHeight w:val="218"/>
        </w:trPr>
        <w:tc>
          <w:tcPr>
            <w:tcW w:w="464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Total revenue</w:t>
            </w:r>
          </w:p>
        </w:tc>
        <w:tc>
          <w:tcPr>
            <w:tcW w:w="94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64,351</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46,655</w:t>
            </w:r>
          </w:p>
        </w:tc>
      </w:tr>
      <w:tr>
        <w:trPr>
          <w:trHeight w:val="232"/>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9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71,812</w:t>
            </w:r>
          </w:p>
        </w:tc>
        <w:tc>
          <w:tcPr>
            <w:tcW w:w="100" w:type="dxa"/>
            <w:vAlign w:val="bottom"/>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39,239</w:t>
            </w:r>
          </w:p>
        </w:tc>
      </w:tr>
      <w:tr>
        <w:trPr>
          <w:trHeight w:val="232"/>
        </w:trPr>
        <w:tc>
          <w:tcPr>
            <w:tcW w:w="464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Gross (loss) profit</w:t>
            </w:r>
          </w:p>
        </w:tc>
        <w:tc>
          <w:tcPr>
            <w:tcW w:w="940" w:type="dxa"/>
            <w:vAlign w:val="bottom"/>
            <w:tcBorders>
              <w:bottom w:val="single" w:sz="8" w:color="CCEEFF"/>
            </w:tcBorders>
          </w:tcPr>
          <w:p>
            <w:pPr>
              <w:spacing w:after="0"/>
              <w:rPr>
                <w:sz w:val="20"/>
                <w:szCs w:val="20"/>
                <w:color w:val="auto"/>
              </w:rPr>
            </w:pPr>
          </w:p>
        </w:tc>
        <w:tc>
          <w:tcPr>
            <w:tcW w:w="620" w:type="dxa"/>
            <w:vAlign w:val="bottom"/>
            <w:tcBorders>
              <w:bottom w:val="single" w:sz="8" w:color="CCEEFF"/>
            </w:tcBorders>
          </w:tcPr>
          <w:p>
            <w:pPr>
              <w:spacing w:after="0"/>
              <w:rPr>
                <w:sz w:val="20"/>
                <w:szCs w:val="20"/>
                <w:color w:val="auto"/>
              </w:rPr>
            </w:pPr>
          </w:p>
        </w:tc>
        <w:tc>
          <w:tcPr>
            <w:tcW w:w="1040" w:type="dxa"/>
            <w:vAlign w:val="bottom"/>
            <w:tcBorders>
              <w:bottom w:val="single" w:sz="8" w:color="CCEEFF"/>
            </w:tcBorders>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(7,461)</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7,416</w:t>
            </w:r>
          </w:p>
        </w:tc>
      </w:tr>
      <w:tr>
        <w:trPr>
          <w:trHeight w:val="232"/>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9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53,131</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13,096</w:t>
            </w:r>
          </w:p>
        </w:tc>
      </w:tr>
      <w:tr>
        <w:trPr>
          <w:trHeight w:val="238"/>
        </w:trPr>
        <w:tc>
          <w:tcPr>
            <w:tcW w:w="464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31,569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11,733</w:t>
            </w:r>
          </w:p>
        </w:tc>
      </w:tr>
      <w:tr>
        <w:trPr>
          <w:trHeight w:val="239"/>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9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101,917</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7,164</w:t>
            </w:r>
          </w:p>
        </w:tc>
      </w:tr>
      <w:tr>
        <w:trPr>
          <w:trHeight w:val="238"/>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Related party expenses</w:t>
            </w:r>
          </w:p>
        </w:tc>
        <w:tc>
          <w:tcPr>
            <w:tcW w:w="940" w:type="dxa"/>
            <w:vAlign w:val="bottom"/>
            <w:tcBorders>
              <w:bottom w:val="single" w:sz="8" w:color="CCEEFF"/>
            </w:tcBorders>
          </w:tcPr>
          <w:p>
            <w:pPr>
              <w:spacing w:after="0"/>
              <w:rPr>
                <w:sz w:val="20"/>
                <w:szCs w:val="20"/>
                <w:color w:val="auto"/>
              </w:rPr>
            </w:pPr>
          </w:p>
        </w:tc>
        <w:tc>
          <w:tcPr>
            <w:tcW w:w="620" w:type="dxa"/>
            <w:vAlign w:val="bottom"/>
            <w:tcBorders>
              <w:bottom w:val="single" w:sz="8" w:color="CCEEFF"/>
            </w:tcBorders>
          </w:tcPr>
          <w:p>
            <w:pPr>
              <w:spacing w:after="0"/>
              <w:rPr>
                <w:sz w:val="20"/>
                <w:szCs w:val="20"/>
                <w:color w:val="auto"/>
              </w:rPr>
            </w:pPr>
          </w:p>
        </w:tc>
        <w:tc>
          <w:tcPr>
            <w:tcW w:w="1040" w:type="dxa"/>
            <w:vAlign w:val="bottom"/>
            <w:tcBorders>
              <w:bottom w:val="single" w:sz="8" w:color="CCEEFF"/>
            </w:tcBorders>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1,797</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2,195</w:t>
            </w:r>
          </w:p>
        </w:tc>
      </w:tr>
      <w:tr>
        <w:trPr>
          <w:trHeight w:val="232"/>
        </w:trPr>
        <w:tc>
          <w:tcPr>
            <w:tcW w:w="4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operations</w:t>
            </w:r>
          </w:p>
        </w:tc>
        <w:tc>
          <w:tcPr>
            <w:tcW w:w="9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(195,875)</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(26,772)</w:t>
            </w:r>
          </w:p>
        </w:tc>
      </w:tr>
      <w:tr>
        <w:trPr>
          <w:trHeight w:val="397"/>
        </w:trPr>
        <w:tc>
          <w:tcPr>
            <w:tcW w:w="464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6"/>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r>
      <w:tr>
        <w:trPr>
          <w:trHeight w:val="225"/>
        </w:trPr>
        <w:tc>
          <w:tcPr>
            <w:tcW w:w="46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(574)</w:t>
            </w:r>
          </w:p>
        </w:tc>
      </w:tr>
      <w:tr>
        <w:trPr>
          <w:trHeight w:val="226"/>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5,584</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18"/>
        </w:trPr>
        <w:tc>
          <w:tcPr>
            <w:tcW w:w="464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Total other income (expense), net</w:t>
            </w:r>
          </w:p>
        </w:tc>
        <w:tc>
          <w:tcPr>
            <w:tcW w:w="94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4,882</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r>
      <w:tr>
        <w:trPr>
          <w:trHeight w:val="232"/>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9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(190,993)</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(26,990)</w:t>
            </w:r>
          </w:p>
        </w:tc>
      </w:tr>
      <w:tr>
        <w:trPr>
          <w:trHeight w:val="225"/>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provision</w:t>
            </w:r>
          </w:p>
        </w:tc>
        <w:tc>
          <w:tcPr>
            <w:tcW w:w="94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2"/>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and comprehensive loss</w:t>
            </w:r>
          </w:p>
        </w:tc>
        <w:tc>
          <w:tcPr>
            <w:tcW w:w="9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(190,993)</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(26,990)</w:t>
            </w:r>
          </w:p>
        </w:tc>
      </w:tr>
      <w:tr>
        <w:trPr>
          <w:trHeight w:val="456"/>
        </w:trPr>
        <w:tc>
          <w:tcPr>
            <w:tcW w:w="4640" w:type="dxa"/>
            <w:vAlign w:val="bottom"/>
          </w:tcPr>
          <w:p>
            <w:pPr>
              <w:spacing w:after="0"/>
              <w:rPr>
                <w:sz w:val="20"/>
                <w:szCs w:val="20"/>
                <w:color w:val="auto"/>
              </w:rPr>
            </w:pPr>
            <w:r>
              <w:rPr>
                <w:rFonts w:ascii="Arial" w:cs="Arial" w:eastAsia="Arial" w:hAnsi="Arial"/>
                <w:sz w:val="18"/>
                <w:szCs w:val="18"/>
                <w:b w:val="1"/>
                <w:bCs w:val="1"/>
                <w:i w:val="1"/>
                <w:iCs w:val="1"/>
                <w:color w:val="auto"/>
              </w:rPr>
              <w:t>Revenue</w:t>
            </w: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365"/>
        </w:trPr>
        <w:tc>
          <w:tcPr>
            <w:tcW w:w="4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Change</w:t>
            </w:r>
          </w:p>
        </w:tc>
        <w:tc>
          <w:tcPr>
            <w:tcW w:w="1040" w:type="dxa"/>
            <w:vAlign w:val="bottom"/>
            <w:tcBorders>
              <w:bottom w:val="single" w:sz="8" w:color="auto"/>
            </w:tcBorders>
          </w:tcPr>
          <w:p>
            <w:pPr>
              <w:spacing w:after="0"/>
              <w:rPr>
                <w:sz w:val="24"/>
                <w:szCs w:val="24"/>
                <w:color w:val="auto"/>
              </w:rPr>
            </w:pPr>
          </w:p>
        </w:tc>
      </w:tr>
      <w:tr>
        <w:trPr>
          <w:trHeight w:val="185"/>
        </w:trPr>
        <w:tc>
          <w:tcPr>
            <w:tcW w:w="4640" w:type="dxa"/>
            <w:vAlign w:val="bottom"/>
          </w:tcPr>
          <w:p>
            <w:pPr>
              <w:spacing w:after="0"/>
              <w:rPr>
                <w:sz w:val="16"/>
                <w:szCs w:val="16"/>
                <w:color w:val="auto"/>
              </w:rPr>
            </w:pPr>
          </w:p>
        </w:tc>
        <w:tc>
          <w:tcPr>
            <w:tcW w:w="260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w w:val="94"/>
              </w:rPr>
              <w:t>Three Months Ended March 31,</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rPr>
              <w:t>2020 to 2021</w:t>
            </w:r>
          </w:p>
        </w:tc>
        <w:tc>
          <w:tcPr>
            <w:tcW w:w="1040" w:type="dxa"/>
            <w:vAlign w:val="bottom"/>
            <w:tcBorders>
              <w:bottom w:val="single" w:sz="8" w:color="auto"/>
            </w:tcBorders>
          </w:tcPr>
          <w:p>
            <w:pPr>
              <w:spacing w:after="0"/>
              <w:rPr>
                <w:sz w:val="16"/>
                <w:szCs w:val="16"/>
                <w:color w:val="auto"/>
              </w:rPr>
            </w:pPr>
          </w:p>
        </w:tc>
      </w:tr>
      <w:tr>
        <w:trPr>
          <w:trHeight w:val="179"/>
        </w:trPr>
        <w:tc>
          <w:tcPr>
            <w:tcW w:w="4640" w:type="dxa"/>
            <w:vAlign w:val="bottom"/>
          </w:tcPr>
          <w:p>
            <w:pPr>
              <w:spacing w:after="0"/>
              <w:rPr>
                <w:sz w:val="15"/>
                <w:szCs w:val="15"/>
                <w:color w:val="auto"/>
              </w:rPr>
            </w:pPr>
          </w:p>
        </w:tc>
        <w:tc>
          <w:tcPr>
            <w:tcW w:w="94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w w:val="89"/>
              </w:rPr>
              <w:t>2021</w:t>
            </w:r>
          </w:p>
        </w:tc>
        <w:tc>
          <w:tcPr>
            <w:tcW w:w="6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w:t>
            </w:r>
          </w:p>
        </w:tc>
      </w:tr>
      <w:tr>
        <w:trPr>
          <w:trHeight w:val="179"/>
        </w:trPr>
        <w:tc>
          <w:tcPr>
            <w:tcW w:w="4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8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w w:val="91"/>
              </w:rPr>
              <w:t>(dollars in thousands)</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26"/>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Diagnostic test revenue</w:t>
            </w:r>
          </w:p>
        </w:tc>
        <w:tc>
          <w:tcPr>
            <w:tcW w:w="940" w:type="dxa"/>
            <w:vAlign w:val="bottom"/>
            <w:shd w:val="clear" w:color="auto" w:fill="CCEEFF"/>
          </w:tcPr>
          <w:p>
            <w:pPr>
              <w:jc w:val="right"/>
              <w:ind w:right="761"/>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0"/>
              </w:rPr>
              <w:t>62,760</w:t>
            </w:r>
          </w:p>
        </w:tc>
        <w:tc>
          <w:tcPr>
            <w:tcW w:w="1040" w:type="dxa"/>
            <w:vAlign w:val="bottom"/>
            <w:shd w:val="clear" w:color="auto" w:fill="CCEEFF"/>
          </w:tcPr>
          <w:p>
            <w:pPr>
              <w:jc w:val="right"/>
              <w:ind w:right="778"/>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46,070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16,690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36 %</w:t>
            </w:r>
          </w:p>
        </w:tc>
      </w:tr>
      <w:tr>
        <w:trPr>
          <w:trHeight w:val="225"/>
        </w:trPr>
        <w:tc>
          <w:tcPr>
            <w:tcW w:w="4640" w:type="dxa"/>
            <w:vAlign w:val="bottom"/>
          </w:tcPr>
          <w:p>
            <w:pPr>
              <w:ind w:left="20"/>
              <w:spacing w:after="0"/>
              <w:rPr>
                <w:sz w:val="20"/>
                <w:szCs w:val="20"/>
                <w:color w:val="auto"/>
              </w:rPr>
            </w:pPr>
            <w:r>
              <w:rPr>
                <w:rFonts w:ascii="Arial" w:cs="Arial" w:eastAsia="Arial" w:hAnsi="Arial"/>
                <w:sz w:val="18"/>
                <w:szCs w:val="18"/>
                <w:color w:val="auto"/>
              </w:rPr>
              <w:t>Other revenue</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1,591</w:t>
            </w: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ind w:right="96"/>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172 %</w:t>
            </w:r>
          </w:p>
        </w:tc>
      </w:tr>
      <w:tr>
        <w:trPr>
          <w:trHeight w:val="226"/>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940" w:type="dxa"/>
            <w:vAlign w:val="bottom"/>
            <w:shd w:val="clear" w:color="auto" w:fill="CCEEFF"/>
          </w:tcPr>
          <w:p>
            <w:pPr>
              <w:jc w:val="right"/>
              <w:ind w:right="761"/>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0"/>
              </w:rPr>
              <w:t>64,351</w:t>
            </w:r>
          </w:p>
        </w:tc>
        <w:tc>
          <w:tcPr>
            <w:tcW w:w="1040" w:type="dxa"/>
            <w:vAlign w:val="bottom"/>
            <w:shd w:val="clear" w:color="auto" w:fill="CCEEFF"/>
          </w:tcPr>
          <w:p>
            <w:pPr>
              <w:jc w:val="right"/>
              <w:ind w:right="778"/>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46,655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17,696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r>
    </w:tbl>
    <w:p>
      <w:pPr>
        <w:spacing w:after="0" w:line="22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Total revenue increased by $17.7 million, or 38%, from $46.7 million for the three months ended March 31, 2020 to $64.4 million for the three months ended March 31, 2021.</w:t>
      </w:r>
    </w:p>
    <w:p>
      <w:pPr>
        <w:spacing w:after="0" w:line="12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Diagnostic test revenue increased by $16.7 million, or 36%, from $46.1 million for the three months ended March 31, 2020 to $62.8 million for the three months ended March 31, 2021. The increase was primarily attributable to an increase in volumes of 336%, partially offset by the change in the mix of tests performed and reduced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90</w:t>
      </w:r>
    </w:p>
    <w:p>
      <w:pPr>
        <w:sectPr>
          <w:pgSz w:w="11900" w:h="16838" w:orient="portrait"/>
          <w:cols w:equalWidth="0" w:num="1">
            <w:col w:w="11240"/>
          </w:cols>
          <w:pgMar w:left="320" w:top="1440" w:right="339" w:bottom="1440" w:gutter="0" w:footer="0" w:header="0"/>
          <w:type w:val="continuous"/>
        </w:sectPr>
      </w:pPr>
    </w:p>
    <w:bookmarkStart w:id="98" w:name="page99"/>
    <w:bookmarkEnd w:id="98"/>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reimbursement rates. The increase in volume was primarily driven by the introduction of COVID-19 testing in May of 2020. The lower pricing on COVID-19 testing relative to other diagnostic tests and an overall decrease in average pricing on Women’s Health and Oncology testing contributed to lower revenues generated per test for the three months ended March 31, 2021 relative to the three months ended March 31, 2020.</w:t>
      </w:r>
    </w:p>
    <w:p>
      <w:pPr>
        <w:spacing w:after="0" w:line="11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Other revenue increased by $1.0 million, or 172%, from $0.6 million for the three months ended March 31, 2020 to $1.6 million for the three months ended March 31, 2021. The increase was primarily attributable to growth in collaboration service activities due to the execution of two new third-party contracts, partially offset by reduced revenues recognized related to an existing third-party contract. Other revenues are expected to continue to be driven predominately by services performed pursuant to contracts with third parties.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left="103"/>
              <w:spacing w:after="0"/>
              <w:rPr>
                <w:sz w:val="20"/>
                <w:szCs w:val="20"/>
                <w:color w:val="auto"/>
              </w:rPr>
            </w:pPr>
            <w:r>
              <w:rPr>
                <w:rFonts w:ascii="Arial" w:cs="Arial" w:eastAsia="Arial" w:hAnsi="Arial"/>
                <w:sz w:val="14"/>
                <w:szCs w:val="14"/>
                <w:b w:val="1"/>
                <w:bCs w:val="1"/>
                <w:color w:val="auto"/>
                <w:w w:val="89"/>
              </w:rPr>
              <w:t>Change</w:t>
            </w:r>
          </w:p>
        </w:tc>
        <w:tc>
          <w:tcPr>
            <w:tcW w:w="1080" w:type="dxa"/>
            <w:vAlign w:val="bottom"/>
            <w:tcBorders>
              <w:bottom w:val="single" w:sz="8" w:color="auto"/>
            </w:tcBorders>
          </w:tcPr>
          <w:p>
            <w:pPr>
              <w:spacing w:after="0"/>
              <w:rPr>
                <w:sz w:val="16"/>
                <w:szCs w:val="16"/>
                <w:color w:val="auto"/>
              </w:rPr>
            </w:pPr>
          </w:p>
        </w:tc>
      </w:tr>
      <w:tr>
        <w:trPr>
          <w:trHeight w:val="185"/>
        </w:trPr>
        <w:tc>
          <w:tcPr>
            <w:tcW w:w="4700" w:type="dxa"/>
            <w:vAlign w:val="bottom"/>
          </w:tcPr>
          <w:p>
            <w:pPr>
              <w:spacing w:after="0"/>
              <w:rPr>
                <w:sz w:val="16"/>
                <w:szCs w:val="16"/>
                <w:color w:val="auto"/>
              </w:rPr>
            </w:pPr>
          </w:p>
        </w:tc>
        <w:tc>
          <w:tcPr>
            <w:tcW w:w="256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w w:val="93"/>
              </w:rPr>
              <w:t>Three Months Ended March 31,</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left="103"/>
              <w:spacing w:after="0"/>
              <w:rPr>
                <w:sz w:val="20"/>
                <w:szCs w:val="20"/>
                <w:color w:val="auto"/>
              </w:rPr>
            </w:pPr>
            <w:r>
              <w:rPr>
                <w:rFonts w:ascii="Arial" w:cs="Arial" w:eastAsia="Arial" w:hAnsi="Arial"/>
                <w:sz w:val="14"/>
                <w:szCs w:val="14"/>
                <w:b w:val="1"/>
                <w:bCs w:val="1"/>
                <w:color w:val="auto"/>
                <w:w w:val="88"/>
              </w:rPr>
              <w:t>2020 to 2021</w:t>
            </w:r>
          </w:p>
        </w:tc>
        <w:tc>
          <w:tcPr>
            <w:tcW w:w="1080" w:type="dxa"/>
            <w:vAlign w:val="bottom"/>
            <w:tcBorders>
              <w:bottom w:val="single" w:sz="8" w:color="auto"/>
            </w:tcBorders>
          </w:tcPr>
          <w:p>
            <w:pPr>
              <w:spacing w:after="0"/>
              <w:rPr>
                <w:sz w:val="16"/>
                <w:szCs w:val="16"/>
                <w:color w:val="auto"/>
              </w:rPr>
            </w:pPr>
          </w:p>
        </w:tc>
      </w:tr>
      <w:tr>
        <w:trPr>
          <w:trHeight w:val="179"/>
        </w:trPr>
        <w:tc>
          <w:tcPr>
            <w:tcW w:w="4700" w:type="dxa"/>
            <w:vAlign w:val="bottom"/>
          </w:tcPr>
          <w:p>
            <w:pPr>
              <w:spacing w:after="0"/>
              <w:rPr>
                <w:sz w:val="15"/>
                <w:szCs w:val="15"/>
                <w:color w:val="auto"/>
              </w:rPr>
            </w:pPr>
          </w:p>
        </w:tc>
        <w:tc>
          <w:tcPr>
            <w:tcW w:w="94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w w:val="96"/>
              </w:rPr>
              <w:t>2021</w:t>
            </w:r>
          </w:p>
        </w:tc>
        <w:tc>
          <w:tcPr>
            <w:tcW w:w="6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681"/>
              <w:spacing w:after="0"/>
              <w:rPr>
                <w:sz w:val="20"/>
                <w:szCs w:val="20"/>
                <w:color w:val="auto"/>
              </w:rPr>
            </w:pPr>
            <w:r>
              <w:rPr>
                <w:rFonts w:ascii="Arial" w:cs="Arial" w:eastAsia="Arial" w:hAnsi="Arial"/>
                <w:sz w:val="14"/>
                <w:szCs w:val="14"/>
                <w:b w:val="1"/>
                <w:bCs w:val="1"/>
                <w:color w:val="auto"/>
              </w:rPr>
              <w:t>%</w:t>
            </w:r>
          </w:p>
        </w:tc>
      </w:tr>
      <w:tr>
        <w:trPr>
          <w:trHeight w:val="179"/>
        </w:trPr>
        <w:tc>
          <w:tcPr>
            <w:tcW w:w="4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80" w:type="dxa"/>
            <w:vAlign w:val="bottom"/>
            <w:gridSpan w:val="3"/>
          </w:tcPr>
          <w:p>
            <w:pPr>
              <w:ind w:left="60"/>
              <w:spacing w:after="0"/>
              <w:rPr>
                <w:sz w:val="20"/>
                <w:szCs w:val="20"/>
                <w:color w:val="auto"/>
              </w:rPr>
            </w:pPr>
            <w:r>
              <w:rPr>
                <w:rFonts w:ascii="Arial" w:cs="Arial" w:eastAsia="Arial" w:hAnsi="Arial"/>
                <w:sz w:val="14"/>
                <w:szCs w:val="14"/>
                <w:b w:val="1"/>
                <w:bCs w:val="1"/>
                <w:color w:val="auto"/>
              </w:rPr>
              <w:t>(dollars in thousands)</w:t>
            </w:r>
          </w:p>
        </w:tc>
        <w:tc>
          <w:tcPr>
            <w:tcW w:w="1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3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940" w:type="dxa"/>
            <w:vAlign w:val="bottom"/>
            <w:shd w:val="clear" w:color="auto" w:fill="CCEEFF"/>
          </w:tcPr>
          <w:p>
            <w:pPr>
              <w:jc w:val="right"/>
              <w:ind w:right="763"/>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7"/>
              </w:rPr>
              <w:t>71,812</w:t>
            </w:r>
          </w:p>
        </w:tc>
        <w:tc>
          <w:tcPr>
            <w:tcW w:w="1020" w:type="dxa"/>
            <w:vAlign w:val="bottom"/>
            <w:shd w:val="clear" w:color="auto" w:fill="CCEEFF"/>
          </w:tcPr>
          <w:p>
            <w:pPr>
              <w:jc w:val="right"/>
              <w:ind w:right="761"/>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39,239</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721"/>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683"/>
              <w:spacing w:after="0"/>
              <w:rPr>
                <w:sz w:val="20"/>
                <w:szCs w:val="20"/>
                <w:color w:val="auto"/>
              </w:rPr>
            </w:pPr>
            <w:r>
              <w:rPr>
                <w:rFonts w:ascii="Arial" w:cs="Arial" w:eastAsia="Arial" w:hAnsi="Arial"/>
                <w:sz w:val="18"/>
                <w:szCs w:val="18"/>
                <w:color w:val="auto"/>
                <w:w w:val="98"/>
              </w:rPr>
              <w:t>32,573</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83 %</w:t>
            </w:r>
          </w:p>
        </w:tc>
      </w:tr>
    </w:tbl>
    <w:p>
      <w:pPr>
        <w:spacing w:after="0" w:line="23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Cost of services increased by $32.6 million, or 83%, from $39.2 million for the three months ended March 31, 2020 to $71.8 million for the three months ended March 31, 2021. The increase was primarily attributable to the following cost components: a $19.7 million increase in stock-based compensation expense primarily driven by the increase in fair value of the liability-classified awards; a $3.9 million increase in personnel-related expenses driven by an increase in average headcount; a $2.4 million increase in outside labor costs driven by temporary hires contracted to perform COVID-19 testing activities; a $1.3 million increase in expenses for other services such as genetic counseling, shipping and phlebotomy services; a $1.3 million increase in reagents and laboratory supplies expense due primarily to the 336% increase in accessioned volumes coupled with the lower per test cost of performing carrier screening and COVID-19 tests relative to our other tests; a $1.3 million increase in depreciation expenses driven by an increase in leasehold improvements; a $1.1 million increase in software expenses due to increased cloud storage and expanded computing capacity requirements from New York City to Stamford, Connecticut for testing data; and a $0.7 million increase in occupancy expenses in connection with our laboratory move as production activities began at the Stamford facility in the first quarter of 2021.</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left="123"/>
              <w:spacing w:after="0"/>
              <w:rPr>
                <w:sz w:val="20"/>
                <w:szCs w:val="20"/>
                <w:color w:val="auto"/>
              </w:rPr>
            </w:pPr>
            <w:r>
              <w:rPr>
                <w:rFonts w:ascii="Arial" w:cs="Arial" w:eastAsia="Arial" w:hAnsi="Arial"/>
                <w:sz w:val="14"/>
                <w:szCs w:val="14"/>
                <w:b w:val="1"/>
                <w:bCs w:val="1"/>
                <w:color w:val="auto"/>
                <w:w w:val="93"/>
              </w:rPr>
              <w:t>Change</w:t>
            </w:r>
          </w:p>
        </w:tc>
        <w:tc>
          <w:tcPr>
            <w:tcW w:w="1100" w:type="dxa"/>
            <w:vAlign w:val="bottom"/>
            <w:tcBorders>
              <w:bottom w:val="single" w:sz="8" w:color="auto"/>
            </w:tcBorders>
          </w:tcPr>
          <w:p>
            <w:pPr>
              <w:spacing w:after="0"/>
              <w:rPr>
                <w:sz w:val="16"/>
                <w:szCs w:val="16"/>
                <w:color w:val="auto"/>
              </w:rPr>
            </w:pPr>
          </w:p>
        </w:tc>
      </w:tr>
      <w:tr>
        <w:trPr>
          <w:trHeight w:val="185"/>
        </w:trPr>
        <w:tc>
          <w:tcPr>
            <w:tcW w:w="4640" w:type="dxa"/>
            <w:vAlign w:val="bottom"/>
          </w:tcPr>
          <w:p>
            <w:pPr>
              <w:spacing w:after="0"/>
              <w:rPr>
                <w:sz w:val="16"/>
                <w:szCs w:val="16"/>
                <w:color w:val="auto"/>
              </w:rPr>
            </w:pPr>
          </w:p>
        </w:tc>
        <w:tc>
          <w:tcPr>
            <w:tcW w:w="260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w w:val="94"/>
              </w:rPr>
              <w:t>Three Months Ended March 31,</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left="123"/>
              <w:spacing w:after="0"/>
              <w:rPr>
                <w:sz w:val="20"/>
                <w:szCs w:val="20"/>
                <w:color w:val="auto"/>
              </w:rPr>
            </w:pPr>
            <w:r>
              <w:rPr>
                <w:rFonts w:ascii="Arial" w:cs="Arial" w:eastAsia="Arial" w:hAnsi="Arial"/>
                <w:sz w:val="14"/>
                <w:szCs w:val="14"/>
                <w:b w:val="1"/>
                <w:bCs w:val="1"/>
                <w:color w:val="auto"/>
                <w:w w:val="91"/>
              </w:rPr>
              <w:t>2020 to 2021</w:t>
            </w:r>
          </w:p>
        </w:tc>
        <w:tc>
          <w:tcPr>
            <w:tcW w:w="1100" w:type="dxa"/>
            <w:vAlign w:val="bottom"/>
            <w:tcBorders>
              <w:bottom w:val="single" w:sz="8" w:color="auto"/>
            </w:tcBorders>
          </w:tcPr>
          <w:p>
            <w:pPr>
              <w:spacing w:after="0"/>
              <w:rPr>
                <w:sz w:val="16"/>
                <w:szCs w:val="16"/>
                <w:color w:val="auto"/>
              </w:rPr>
            </w:pPr>
          </w:p>
        </w:tc>
      </w:tr>
      <w:tr>
        <w:trPr>
          <w:trHeight w:val="179"/>
        </w:trPr>
        <w:tc>
          <w:tcPr>
            <w:tcW w:w="4640" w:type="dxa"/>
            <w:vAlign w:val="bottom"/>
          </w:tcPr>
          <w:p>
            <w:pPr>
              <w:spacing w:after="0"/>
              <w:rPr>
                <w:sz w:val="15"/>
                <w:szCs w:val="15"/>
                <w:color w:val="auto"/>
              </w:rPr>
            </w:pPr>
          </w:p>
        </w:tc>
        <w:tc>
          <w:tcPr>
            <w:tcW w:w="94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w w:val="89"/>
              </w:rPr>
              <w:t>2021</w:t>
            </w:r>
          </w:p>
        </w:tc>
        <w:tc>
          <w:tcPr>
            <w:tcW w:w="6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81"/>
              <w:spacing w:after="0"/>
              <w:rPr>
                <w:sz w:val="20"/>
                <w:szCs w:val="20"/>
                <w:color w:val="auto"/>
              </w:rPr>
            </w:pPr>
            <w:r>
              <w:rPr>
                <w:rFonts w:ascii="Arial" w:cs="Arial" w:eastAsia="Arial" w:hAnsi="Arial"/>
                <w:sz w:val="14"/>
                <w:szCs w:val="14"/>
                <w:b w:val="1"/>
                <w:bCs w:val="1"/>
                <w:color w:val="auto"/>
              </w:rPr>
              <w:t>%</w:t>
            </w:r>
          </w:p>
        </w:tc>
      </w:tr>
      <w:tr>
        <w:trPr>
          <w:trHeight w:val="179"/>
        </w:trPr>
        <w:tc>
          <w:tcPr>
            <w:tcW w:w="4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58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9"/>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940" w:type="dxa"/>
            <w:vAlign w:val="bottom"/>
            <w:shd w:val="clear" w:color="auto" w:fill="CCEEFF"/>
          </w:tcPr>
          <w:p>
            <w:pPr>
              <w:jc w:val="right"/>
              <w:ind w:right="763"/>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0"/>
              </w:rPr>
              <w:t>53,131</w:t>
            </w:r>
          </w:p>
        </w:tc>
        <w:tc>
          <w:tcPr>
            <w:tcW w:w="1040" w:type="dxa"/>
            <w:vAlign w:val="bottom"/>
            <w:shd w:val="clear" w:color="auto" w:fill="CCEEFF"/>
          </w:tcPr>
          <w:p>
            <w:pPr>
              <w:jc w:val="right"/>
              <w:ind w:right="781"/>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13,096</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721"/>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663"/>
              <w:spacing w:after="0"/>
              <w:rPr>
                <w:sz w:val="20"/>
                <w:szCs w:val="20"/>
                <w:color w:val="auto"/>
              </w:rPr>
            </w:pPr>
            <w:r>
              <w:rPr>
                <w:rFonts w:ascii="Arial" w:cs="Arial" w:eastAsia="Arial" w:hAnsi="Arial"/>
                <w:sz w:val="18"/>
                <w:szCs w:val="18"/>
                <w:color w:val="auto"/>
              </w:rPr>
              <w:t>40,035</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306 %</w:t>
            </w:r>
          </w:p>
        </w:tc>
      </w:tr>
    </w:tbl>
    <w:p>
      <w:pPr>
        <w:spacing w:after="0" w:line="226"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Research and development expense increased by $40.0 million, or 306%, from $13.1 million for the three months ended March 31, 2020 to $53.1 million for the three months ended March 31, 2021. The increase was primarily attributable to the following cost components: a $38.0 million increase in stock-based compensation expense driven by the increase in fair value of the liability-classified awards; and a $2.0 million increase in expenses for reagents, laboratory supplies and laboratory software for research and development use driven by an increase in the number of, and required investment in, research and development studies.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left="123"/>
              <w:spacing w:after="0"/>
              <w:rPr>
                <w:sz w:val="20"/>
                <w:szCs w:val="20"/>
                <w:color w:val="auto"/>
              </w:rPr>
            </w:pPr>
            <w:r>
              <w:rPr>
                <w:rFonts w:ascii="Arial" w:cs="Arial" w:eastAsia="Arial" w:hAnsi="Arial"/>
                <w:sz w:val="14"/>
                <w:szCs w:val="14"/>
                <w:b w:val="1"/>
                <w:bCs w:val="1"/>
                <w:color w:val="auto"/>
                <w:w w:val="93"/>
              </w:rPr>
              <w:t>Change</w:t>
            </w:r>
          </w:p>
        </w:tc>
        <w:tc>
          <w:tcPr>
            <w:tcW w:w="1100" w:type="dxa"/>
            <w:vAlign w:val="bottom"/>
            <w:tcBorders>
              <w:bottom w:val="single" w:sz="8" w:color="auto"/>
            </w:tcBorders>
          </w:tcPr>
          <w:p>
            <w:pPr>
              <w:spacing w:after="0"/>
              <w:rPr>
                <w:sz w:val="16"/>
                <w:szCs w:val="16"/>
                <w:color w:val="auto"/>
              </w:rPr>
            </w:pPr>
          </w:p>
        </w:tc>
      </w:tr>
      <w:tr>
        <w:trPr>
          <w:trHeight w:val="185"/>
        </w:trPr>
        <w:tc>
          <w:tcPr>
            <w:tcW w:w="4640" w:type="dxa"/>
            <w:vAlign w:val="bottom"/>
          </w:tcPr>
          <w:p>
            <w:pPr>
              <w:spacing w:after="0"/>
              <w:rPr>
                <w:sz w:val="16"/>
                <w:szCs w:val="16"/>
                <w:color w:val="auto"/>
              </w:rPr>
            </w:pPr>
          </w:p>
        </w:tc>
        <w:tc>
          <w:tcPr>
            <w:tcW w:w="260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w w:val="94"/>
              </w:rPr>
              <w:t>Three Months Ended March 31,</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left="123"/>
              <w:spacing w:after="0"/>
              <w:rPr>
                <w:sz w:val="20"/>
                <w:szCs w:val="20"/>
                <w:color w:val="auto"/>
              </w:rPr>
            </w:pPr>
            <w:r>
              <w:rPr>
                <w:rFonts w:ascii="Arial" w:cs="Arial" w:eastAsia="Arial" w:hAnsi="Arial"/>
                <w:sz w:val="14"/>
                <w:szCs w:val="14"/>
                <w:b w:val="1"/>
                <w:bCs w:val="1"/>
                <w:color w:val="auto"/>
                <w:w w:val="91"/>
              </w:rPr>
              <w:t>2020 to 2021</w:t>
            </w:r>
          </w:p>
        </w:tc>
        <w:tc>
          <w:tcPr>
            <w:tcW w:w="1100" w:type="dxa"/>
            <w:vAlign w:val="bottom"/>
            <w:tcBorders>
              <w:bottom w:val="single" w:sz="8" w:color="auto"/>
            </w:tcBorders>
          </w:tcPr>
          <w:p>
            <w:pPr>
              <w:spacing w:after="0"/>
              <w:rPr>
                <w:sz w:val="16"/>
                <w:szCs w:val="16"/>
                <w:color w:val="auto"/>
              </w:rPr>
            </w:pPr>
          </w:p>
        </w:tc>
      </w:tr>
      <w:tr>
        <w:trPr>
          <w:trHeight w:val="179"/>
        </w:trPr>
        <w:tc>
          <w:tcPr>
            <w:tcW w:w="4640" w:type="dxa"/>
            <w:vAlign w:val="bottom"/>
          </w:tcPr>
          <w:p>
            <w:pPr>
              <w:spacing w:after="0"/>
              <w:rPr>
                <w:sz w:val="15"/>
                <w:szCs w:val="15"/>
                <w:color w:val="auto"/>
              </w:rPr>
            </w:pPr>
          </w:p>
        </w:tc>
        <w:tc>
          <w:tcPr>
            <w:tcW w:w="94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w w:val="89"/>
              </w:rPr>
              <w:t>2021</w:t>
            </w:r>
          </w:p>
        </w:tc>
        <w:tc>
          <w:tcPr>
            <w:tcW w:w="6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81"/>
              <w:spacing w:after="0"/>
              <w:rPr>
                <w:sz w:val="20"/>
                <w:szCs w:val="20"/>
                <w:color w:val="auto"/>
              </w:rPr>
            </w:pPr>
            <w:r>
              <w:rPr>
                <w:rFonts w:ascii="Arial" w:cs="Arial" w:eastAsia="Arial" w:hAnsi="Arial"/>
                <w:sz w:val="14"/>
                <w:szCs w:val="14"/>
                <w:b w:val="1"/>
                <w:bCs w:val="1"/>
                <w:color w:val="auto"/>
              </w:rPr>
              <w:t>%</w:t>
            </w:r>
          </w:p>
        </w:tc>
      </w:tr>
      <w:tr>
        <w:trPr>
          <w:trHeight w:val="179"/>
        </w:trPr>
        <w:tc>
          <w:tcPr>
            <w:tcW w:w="4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58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9"/>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940" w:type="dxa"/>
            <w:vAlign w:val="bottom"/>
            <w:shd w:val="clear" w:color="auto" w:fill="CCEEFF"/>
          </w:tcPr>
          <w:p>
            <w:pPr>
              <w:jc w:val="right"/>
              <w:ind w:right="763"/>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0"/>
              </w:rPr>
              <w:t>31,569</w:t>
            </w:r>
          </w:p>
        </w:tc>
        <w:tc>
          <w:tcPr>
            <w:tcW w:w="1040" w:type="dxa"/>
            <w:vAlign w:val="bottom"/>
            <w:shd w:val="clear" w:color="auto" w:fill="CCEEFF"/>
          </w:tcPr>
          <w:p>
            <w:pPr>
              <w:jc w:val="right"/>
              <w:ind w:right="781"/>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11,733</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721"/>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663"/>
              <w:spacing w:after="0"/>
              <w:rPr>
                <w:sz w:val="20"/>
                <w:szCs w:val="20"/>
                <w:color w:val="auto"/>
              </w:rPr>
            </w:pPr>
            <w:r>
              <w:rPr>
                <w:rFonts w:ascii="Arial" w:cs="Arial" w:eastAsia="Arial" w:hAnsi="Arial"/>
                <w:sz w:val="18"/>
                <w:szCs w:val="18"/>
                <w:color w:val="auto"/>
              </w:rPr>
              <w:t>19,836</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169 %</w:t>
            </w:r>
          </w:p>
        </w:tc>
      </w:tr>
    </w:tbl>
    <w:p>
      <w:pPr>
        <w:spacing w:after="0" w:line="239"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Selling and marketing expense increased by $19.9 million, or 169%, from $11.7 million for the three months ended March 31, 2020 to $31.6 million for the three months ended March 31, 2021. The increase was primarily attributable to the following cost components: a $17.3 million increase in stock-based compensation expense driven by the increase in fair value of the liability-classified awards; a $2.1 million increase in personnel-related expenses driven by increased headcount; a $0.5 million increase in information technology related expenses; and a $0.4 million increase in consulting and outside service expenses to support revenue cycle transformation initiatives. These increases were partially offset by a $0.6 million decrease in travel and entertainment expenses driven by reduced business travel during the COVID-19 pandemic.</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left="123"/>
              <w:spacing w:after="0"/>
              <w:rPr>
                <w:sz w:val="20"/>
                <w:szCs w:val="20"/>
                <w:color w:val="auto"/>
              </w:rPr>
            </w:pPr>
            <w:r>
              <w:rPr>
                <w:rFonts w:ascii="Arial" w:cs="Arial" w:eastAsia="Arial" w:hAnsi="Arial"/>
                <w:sz w:val="14"/>
                <w:szCs w:val="14"/>
                <w:b w:val="1"/>
                <w:bCs w:val="1"/>
                <w:color w:val="auto"/>
                <w:w w:val="93"/>
              </w:rPr>
              <w:t>Change</w:t>
            </w:r>
          </w:p>
        </w:tc>
        <w:tc>
          <w:tcPr>
            <w:tcW w:w="1100" w:type="dxa"/>
            <w:vAlign w:val="bottom"/>
            <w:tcBorders>
              <w:bottom w:val="single" w:sz="8" w:color="auto"/>
            </w:tcBorders>
          </w:tcPr>
          <w:p>
            <w:pPr>
              <w:spacing w:after="0"/>
              <w:rPr>
                <w:sz w:val="16"/>
                <w:szCs w:val="16"/>
                <w:color w:val="auto"/>
              </w:rPr>
            </w:pPr>
          </w:p>
        </w:tc>
      </w:tr>
      <w:tr>
        <w:trPr>
          <w:trHeight w:val="185"/>
        </w:trPr>
        <w:tc>
          <w:tcPr>
            <w:tcW w:w="46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left="123"/>
              <w:spacing w:after="0"/>
              <w:rPr>
                <w:sz w:val="20"/>
                <w:szCs w:val="20"/>
                <w:color w:val="auto"/>
              </w:rPr>
            </w:pPr>
            <w:r>
              <w:rPr>
                <w:rFonts w:ascii="Arial" w:cs="Arial" w:eastAsia="Arial" w:hAnsi="Arial"/>
                <w:sz w:val="14"/>
                <w:szCs w:val="14"/>
                <w:b w:val="1"/>
                <w:bCs w:val="1"/>
                <w:color w:val="auto"/>
                <w:w w:val="91"/>
              </w:rPr>
              <w:t>2020 to 2021</w:t>
            </w:r>
          </w:p>
        </w:tc>
        <w:tc>
          <w:tcPr>
            <w:tcW w:w="1100" w:type="dxa"/>
            <w:vAlign w:val="bottom"/>
            <w:tcBorders>
              <w:bottom w:val="single" w:sz="8" w:color="auto"/>
            </w:tcBorders>
          </w:tcPr>
          <w:p>
            <w:pPr>
              <w:spacing w:after="0"/>
              <w:rPr>
                <w:sz w:val="16"/>
                <w:szCs w:val="16"/>
                <w:color w:val="auto"/>
              </w:rPr>
            </w:pPr>
          </w:p>
        </w:tc>
      </w:tr>
      <w:tr>
        <w:trPr>
          <w:trHeight w:val="179"/>
        </w:trPr>
        <w:tc>
          <w:tcPr>
            <w:tcW w:w="46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2021</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81"/>
              <w:spacing w:after="0"/>
              <w:rPr>
                <w:sz w:val="20"/>
                <w:szCs w:val="20"/>
                <w:color w:val="auto"/>
              </w:rPr>
            </w:pPr>
            <w:r>
              <w:rPr>
                <w:rFonts w:ascii="Arial" w:cs="Arial" w:eastAsia="Arial" w:hAnsi="Arial"/>
                <w:sz w:val="14"/>
                <w:szCs w:val="14"/>
                <w:b w:val="1"/>
                <w:bCs w:val="1"/>
                <w:color w:val="auto"/>
              </w:rPr>
              <w:t>%</w:t>
            </w:r>
          </w:p>
        </w:tc>
      </w:tr>
      <w:tr>
        <w:trPr>
          <w:trHeight w:val="179"/>
        </w:trPr>
        <w:tc>
          <w:tcPr>
            <w:tcW w:w="4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80" w:type="dxa"/>
            <w:vAlign w:val="bottom"/>
            <w:gridSpan w:val="3"/>
          </w:tcPr>
          <w:p>
            <w:pPr>
              <w:jc w:val="right"/>
              <w:ind w:right="141"/>
              <w:spacing w:after="0"/>
              <w:rPr>
                <w:sz w:val="20"/>
                <w:szCs w:val="20"/>
                <w:color w:val="auto"/>
              </w:rPr>
            </w:pPr>
            <w:r>
              <w:rPr>
                <w:rFonts w:ascii="Arial" w:cs="Arial" w:eastAsia="Arial" w:hAnsi="Arial"/>
                <w:sz w:val="14"/>
                <w:szCs w:val="14"/>
                <w:b w:val="1"/>
                <w:bCs w:val="1"/>
                <w:color w:val="auto"/>
                <w:w w:val="91"/>
              </w:rPr>
              <w:t>(dollars in thousands)</w:t>
            </w:r>
          </w:p>
        </w:tc>
        <w:tc>
          <w:tcPr>
            <w:tcW w:w="1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9"/>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101,917</w:t>
            </w:r>
          </w:p>
        </w:tc>
        <w:tc>
          <w:tcPr>
            <w:tcW w:w="1020" w:type="dxa"/>
            <w:vAlign w:val="bottom"/>
            <w:shd w:val="clear" w:color="auto" w:fill="CCEEFF"/>
          </w:tcPr>
          <w:p>
            <w:pPr>
              <w:jc w:val="right"/>
              <w:ind w:right="761"/>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7,164</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721"/>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663"/>
              <w:spacing w:after="0"/>
              <w:rPr>
                <w:sz w:val="20"/>
                <w:szCs w:val="20"/>
                <w:color w:val="auto"/>
              </w:rPr>
            </w:pPr>
            <w:r>
              <w:rPr>
                <w:rFonts w:ascii="Arial" w:cs="Arial" w:eastAsia="Arial" w:hAnsi="Arial"/>
                <w:sz w:val="18"/>
                <w:szCs w:val="18"/>
                <w:color w:val="auto"/>
              </w:rPr>
              <w:t>94,753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1,323 %</w:t>
            </w:r>
          </w:p>
        </w:tc>
      </w:tr>
    </w:tbl>
    <w:p>
      <w:pPr>
        <w:spacing w:after="0" w:line="226"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General and administrative expense increased by $94.8 million, or 1,323%, from $7.2 million for the three months ended March 31, 2020 to $101.9 million for the three months ended March 31, 2021. The increase was primarily attributable to the following cost components: an $89.3 million increase in stock-based compensation expense driven by the increase in fair value of the liability-classified awards and an increase in the number of outstanding awards; a $2.5 million increase in expenses for professional services associated with expected public company requirements; a $2.0 million increase in personnel-related expenses driven by an increase in average headcount including executive headcount; a $0.6 million increase in insurance expenses driven by transitioning to standalone insurance policies separate from ISMMS; and a $0.3 million increase in software expenses due to increased cloud storage capacity requirements. These increases were partially offset by a $0.6 million decrease in occupancy expenses in connection with our laboratory move from New York City to Stamford, Connecticut.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Expenses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left="63"/>
              <w:spacing w:after="0"/>
              <w:rPr>
                <w:sz w:val="20"/>
                <w:szCs w:val="20"/>
                <w:color w:val="auto"/>
              </w:rPr>
            </w:pPr>
            <w:r>
              <w:rPr>
                <w:rFonts w:ascii="Arial" w:cs="Arial" w:eastAsia="Arial" w:hAnsi="Arial"/>
                <w:sz w:val="14"/>
                <w:szCs w:val="14"/>
                <w:b w:val="1"/>
                <w:bCs w:val="1"/>
                <w:color w:val="auto"/>
                <w:w w:val="93"/>
              </w:rPr>
              <w:t>Change</w:t>
            </w:r>
          </w:p>
        </w:tc>
        <w:tc>
          <w:tcPr>
            <w:tcW w:w="1100" w:type="dxa"/>
            <w:vAlign w:val="bottom"/>
            <w:tcBorders>
              <w:bottom w:val="single" w:sz="8" w:color="auto"/>
            </w:tcBorders>
          </w:tcPr>
          <w:p>
            <w:pPr>
              <w:spacing w:after="0"/>
              <w:rPr>
                <w:sz w:val="16"/>
                <w:szCs w:val="16"/>
                <w:color w:val="auto"/>
              </w:rPr>
            </w:pPr>
          </w:p>
        </w:tc>
      </w:tr>
      <w:tr>
        <w:trPr>
          <w:trHeight w:val="185"/>
        </w:trPr>
        <w:tc>
          <w:tcPr>
            <w:tcW w:w="4640" w:type="dxa"/>
            <w:vAlign w:val="bottom"/>
          </w:tcPr>
          <w:p>
            <w:pPr>
              <w:spacing w:after="0"/>
              <w:rPr>
                <w:sz w:val="16"/>
                <w:szCs w:val="16"/>
                <w:color w:val="auto"/>
              </w:rPr>
            </w:pPr>
          </w:p>
        </w:tc>
        <w:tc>
          <w:tcPr>
            <w:tcW w:w="260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w w:val="94"/>
              </w:rPr>
              <w:t>Three Months Ended March 31,</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left="63"/>
              <w:spacing w:after="0"/>
              <w:rPr>
                <w:sz w:val="20"/>
                <w:szCs w:val="20"/>
                <w:color w:val="auto"/>
              </w:rPr>
            </w:pPr>
            <w:r>
              <w:rPr>
                <w:rFonts w:ascii="Arial" w:cs="Arial" w:eastAsia="Arial" w:hAnsi="Arial"/>
                <w:sz w:val="14"/>
                <w:szCs w:val="14"/>
                <w:b w:val="1"/>
                <w:bCs w:val="1"/>
                <w:color w:val="auto"/>
                <w:w w:val="91"/>
              </w:rPr>
              <w:t>2020 to 2021</w:t>
            </w:r>
          </w:p>
        </w:tc>
        <w:tc>
          <w:tcPr>
            <w:tcW w:w="1100" w:type="dxa"/>
            <w:vAlign w:val="bottom"/>
            <w:tcBorders>
              <w:bottom w:val="single" w:sz="8" w:color="auto"/>
            </w:tcBorders>
          </w:tcPr>
          <w:p>
            <w:pPr>
              <w:spacing w:after="0"/>
              <w:rPr>
                <w:sz w:val="16"/>
                <w:szCs w:val="16"/>
                <w:color w:val="auto"/>
              </w:rPr>
            </w:pPr>
          </w:p>
        </w:tc>
      </w:tr>
      <w:tr>
        <w:trPr>
          <w:trHeight w:val="179"/>
        </w:trPr>
        <w:tc>
          <w:tcPr>
            <w:tcW w:w="4640" w:type="dxa"/>
            <w:vAlign w:val="bottom"/>
          </w:tcPr>
          <w:p>
            <w:pPr>
              <w:spacing w:after="0"/>
              <w:rPr>
                <w:sz w:val="15"/>
                <w:szCs w:val="15"/>
                <w:color w:val="auto"/>
              </w:rPr>
            </w:pPr>
          </w:p>
        </w:tc>
        <w:tc>
          <w:tcPr>
            <w:tcW w:w="100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701"/>
              <w:spacing w:after="0"/>
              <w:rPr>
                <w:sz w:val="20"/>
                <w:szCs w:val="20"/>
                <w:color w:val="auto"/>
              </w:rPr>
            </w:pPr>
            <w:r>
              <w:rPr>
                <w:rFonts w:ascii="Arial" w:cs="Arial" w:eastAsia="Arial" w:hAnsi="Arial"/>
                <w:sz w:val="14"/>
                <w:szCs w:val="14"/>
                <w:b w:val="1"/>
                <w:bCs w:val="1"/>
                <w:color w:val="auto"/>
              </w:rPr>
              <w:t>%</w:t>
            </w:r>
          </w:p>
        </w:tc>
      </w:tr>
      <w:tr>
        <w:trPr>
          <w:trHeight w:val="179"/>
        </w:trPr>
        <w:tc>
          <w:tcPr>
            <w:tcW w:w="46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40" w:type="dxa"/>
            <w:vAlign w:val="bottom"/>
            <w:gridSpan w:val="3"/>
          </w:tcPr>
          <w:p>
            <w:pPr>
              <w:jc w:val="right"/>
              <w:ind w:right="201"/>
              <w:spacing w:after="0"/>
              <w:rPr>
                <w:sz w:val="20"/>
                <w:szCs w:val="20"/>
                <w:color w:val="auto"/>
              </w:rPr>
            </w:pPr>
            <w:r>
              <w:rPr>
                <w:rFonts w:ascii="Arial" w:cs="Arial" w:eastAsia="Arial" w:hAnsi="Arial"/>
                <w:sz w:val="14"/>
                <w:szCs w:val="14"/>
                <w:b w:val="1"/>
                <w:bCs w:val="1"/>
                <w:color w:val="auto"/>
                <w:w w:val="91"/>
              </w:rPr>
              <w:t>(dollars in thousands)</w:t>
            </w:r>
          </w:p>
        </w:tc>
        <w:tc>
          <w:tcPr>
            <w:tcW w:w="12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9"/>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Related party expenses</w:t>
            </w:r>
          </w:p>
        </w:tc>
        <w:tc>
          <w:tcPr>
            <w:tcW w:w="1000" w:type="dxa"/>
            <w:vAlign w:val="bottom"/>
            <w:shd w:val="clear" w:color="auto" w:fill="CCEEFF"/>
          </w:tcPr>
          <w:p>
            <w:pPr>
              <w:jc w:val="right"/>
              <w:ind w:right="823"/>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1040" w:type="dxa"/>
            <w:vAlign w:val="bottom"/>
            <w:shd w:val="clear" w:color="auto" w:fill="CCEEFF"/>
          </w:tcPr>
          <w:p>
            <w:pPr>
              <w:jc w:val="right"/>
              <w:ind w:right="781"/>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81"/>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643"/>
              <w:spacing w:after="0"/>
              <w:rPr>
                <w:sz w:val="20"/>
                <w:szCs w:val="20"/>
                <w:color w:val="auto"/>
              </w:rPr>
            </w:pPr>
            <w:r>
              <w:rPr>
                <w:rFonts w:ascii="Arial" w:cs="Arial" w:eastAsia="Arial" w:hAnsi="Arial"/>
                <w:sz w:val="18"/>
                <w:szCs w:val="18"/>
                <w:color w:val="auto"/>
              </w:rPr>
              <w:t>(398)</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r>
    </w:tbl>
    <w:p>
      <w:pPr>
        <w:spacing w:after="0" w:line="239"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Related party expenses decreased by $0.4 million, or 18.1%, from $2.2 million for the three months ended March 31, 2020 to $1.8 million for the three months ended March 31, 2021. The decrease was primarily attributable to the following cost components: a $0.2 million decrease in fees associated with information technology support pursuant to the transition services agreement with ISMMS; and a $0.2 million decrease in rent and facility expenses driven by a reduction of office and lab space leased from ISMMS pursuant to the transition services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left="43"/>
              <w:spacing w:after="0"/>
              <w:rPr>
                <w:sz w:val="20"/>
                <w:szCs w:val="20"/>
                <w:color w:val="auto"/>
              </w:rPr>
            </w:pPr>
            <w:r>
              <w:rPr>
                <w:rFonts w:ascii="Arial" w:cs="Arial" w:eastAsia="Arial" w:hAnsi="Arial"/>
                <w:sz w:val="14"/>
                <w:szCs w:val="14"/>
                <w:b w:val="1"/>
                <w:bCs w:val="1"/>
                <w:color w:val="auto"/>
                <w:w w:val="89"/>
              </w:rPr>
              <w:t>Change</w:t>
            </w:r>
          </w:p>
        </w:tc>
        <w:tc>
          <w:tcPr>
            <w:tcW w:w="1100" w:type="dxa"/>
            <w:vAlign w:val="bottom"/>
            <w:tcBorders>
              <w:bottom w:val="single" w:sz="8" w:color="auto"/>
            </w:tcBorders>
          </w:tcPr>
          <w:p>
            <w:pPr>
              <w:spacing w:after="0"/>
              <w:rPr>
                <w:sz w:val="16"/>
                <w:szCs w:val="16"/>
                <w:color w:val="auto"/>
              </w:rPr>
            </w:pPr>
          </w:p>
        </w:tc>
      </w:tr>
      <w:tr>
        <w:trPr>
          <w:trHeight w:val="185"/>
        </w:trPr>
        <w:tc>
          <w:tcPr>
            <w:tcW w:w="4640" w:type="dxa"/>
            <w:vAlign w:val="bottom"/>
          </w:tcPr>
          <w:p>
            <w:pPr>
              <w:spacing w:after="0"/>
              <w:rPr>
                <w:sz w:val="16"/>
                <w:szCs w:val="16"/>
                <w:color w:val="auto"/>
              </w:rPr>
            </w:pPr>
          </w:p>
        </w:tc>
        <w:tc>
          <w:tcPr>
            <w:tcW w:w="260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w w:val="94"/>
              </w:rPr>
              <w:t>Three Months Ended March 31,</w:t>
            </w:r>
          </w:p>
        </w:tc>
        <w:tc>
          <w:tcPr>
            <w:tcW w:w="5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left="43"/>
              <w:spacing w:after="0"/>
              <w:rPr>
                <w:sz w:val="20"/>
                <w:szCs w:val="20"/>
                <w:color w:val="auto"/>
              </w:rPr>
            </w:pPr>
            <w:r>
              <w:rPr>
                <w:rFonts w:ascii="Arial" w:cs="Arial" w:eastAsia="Arial" w:hAnsi="Arial"/>
                <w:sz w:val="14"/>
                <w:szCs w:val="14"/>
                <w:b w:val="1"/>
                <w:bCs w:val="1"/>
                <w:color w:val="auto"/>
                <w:w w:val="88"/>
              </w:rPr>
              <w:t>2020 to 2021</w:t>
            </w:r>
          </w:p>
        </w:tc>
        <w:tc>
          <w:tcPr>
            <w:tcW w:w="1100" w:type="dxa"/>
            <w:vAlign w:val="bottom"/>
            <w:tcBorders>
              <w:bottom w:val="single" w:sz="8" w:color="auto"/>
            </w:tcBorders>
          </w:tcPr>
          <w:p>
            <w:pPr>
              <w:spacing w:after="0"/>
              <w:rPr>
                <w:sz w:val="16"/>
                <w:szCs w:val="16"/>
                <w:color w:val="auto"/>
              </w:rPr>
            </w:pPr>
          </w:p>
        </w:tc>
      </w:tr>
      <w:tr>
        <w:trPr>
          <w:trHeight w:val="179"/>
        </w:trPr>
        <w:tc>
          <w:tcPr>
            <w:tcW w:w="4640" w:type="dxa"/>
            <w:vAlign w:val="bottom"/>
          </w:tcPr>
          <w:p>
            <w:pPr>
              <w:spacing w:after="0"/>
              <w:rPr>
                <w:sz w:val="15"/>
                <w:szCs w:val="15"/>
                <w:color w:val="auto"/>
              </w:rPr>
            </w:pPr>
          </w:p>
        </w:tc>
        <w:tc>
          <w:tcPr>
            <w:tcW w:w="110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701"/>
              <w:spacing w:after="0"/>
              <w:rPr>
                <w:sz w:val="20"/>
                <w:szCs w:val="20"/>
                <w:color w:val="auto"/>
              </w:rPr>
            </w:pPr>
            <w:r>
              <w:rPr>
                <w:rFonts w:ascii="Arial" w:cs="Arial" w:eastAsia="Arial" w:hAnsi="Arial"/>
                <w:sz w:val="14"/>
                <w:szCs w:val="14"/>
                <w:b w:val="1"/>
                <w:bCs w:val="1"/>
                <w:color w:val="auto"/>
              </w:rPr>
              <w:t>%</w:t>
            </w:r>
          </w:p>
        </w:tc>
      </w:tr>
      <w:tr>
        <w:trPr>
          <w:trHeight w:val="179"/>
        </w:trPr>
        <w:tc>
          <w:tcPr>
            <w:tcW w:w="46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40" w:type="dxa"/>
            <w:vAlign w:val="bottom"/>
            <w:gridSpan w:val="3"/>
          </w:tcPr>
          <w:p>
            <w:pPr>
              <w:jc w:val="right"/>
              <w:ind w:right="201"/>
              <w:spacing w:after="0"/>
              <w:rPr>
                <w:sz w:val="20"/>
                <w:szCs w:val="20"/>
                <w:color w:val="auto"/>
              </w:rPr>
            </w:pPr>
            <w:r>
              <w:rPr>
                <w:rFonts w:ascii="Arial" w:cs="Arial" w:eastAsia="Arial" w:hAnsi="Arial"/>
                <w:sz w:val="14"/>
                <w:szCs w:val="14"/>
                <w:b w:val="1"/>
                <w:bCs w:val="1"/>
                <w:color w:val="auto"/>
                <w:w w:val="91"/>
              </w:rPr>
              <w:t>(dollars in thousands)</w:t>
            </w:r>
          </w:p>
        </w:tc>
        <w:tc>
          <w:tcPr>
            <w:tcW w:w="12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26"/>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100" w:type="dxa"/>
            <w:vAlign w:val="bottom"/>
            <w:shd w:val="clear" w:color="auto" w:fill="CCEEFF"/>
          </w:tcPr>
          <w:p>
            <w:pPr>
              <w:jc w:val="right"/>
              <w:ind w:right="923"/>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40" w:type="dxa"/>
            <w:vAlign w:val="bottom"/>
            <w:shd w:val="clear" w:color="auto" w:fill="CCEEFF"/>
          </w:tcPr>
          <w:p>
            <w:pPr>
              <w:jc w:val="right"/>
              <w:ind w:right="781"/>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334</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01"/>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643"/>
              <w:spacing w:after="0"/>
              <w:rPr>
                <w:sz w:val="20"/>
                <w:szCs w:val="20"/>
                <w:color w:val="auto"/>
              </w:rPr>
            </w:pPr>
            <w:r>
              <w:rPr>
                <w:rFonts w:ascii="Arial" w:cs="Arial" w:eastAsia="Arial" w:hAnsi="Arial"/>
                <w:sz w:val="18"/>
                <w:szCs w:val="18"/>
                <w:color w:val="auto"/>
              </w:rPr>
              <w:t>(313)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r>
    </w:tbl>
    <w:p>
      <w:pPr>
        <w:spacing w:after="0" w:line="23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Interest income decreased by $0.3 million, or 94%, from $0.3 million for the three months ended March 31, 2020 to a nominal amount for the three months ended March 31, 2021. The decrease was due to declines in interest rates on money market deposit accounts and reductions in the average cash balances held in these interest-bearing accounts.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6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left="23"/>
              <w:spacing w:after="0"/>
              <w:rPr>
                <w:sz w:val="20"/>
                <w:szCs w:val="20"/>
                <w:color w:val="auto"/>
              </w:rPr>
            </w:pPr>
            <w:r>
              <w:rPr>
                <w:rFonts w:ascii="Arial" w:cs="Arial" w:eastAsia="Arial" w:hAnsi="Arial"/>
                <w:sz w:val="14"/>
                <w:szCs w:val="14"/>
                <w:b w:val="1"/>
                <w:bCs w:val="1"/>
                <w:color w:val="auto"/>
                <w:w w:val="93"/>
              </w:rPr>
              <w:t>Change</w:t>
            </w:r>
          </w:p>
        </w:tc>
        <w:tc>
          <w:tcPr>
            <w:tcW w:w="1100" w:type="dxa"/>
            <w:vAlign w:val="bottom"/>
            <w:tcBorders>
              <w:bottom w:val="single" w:sz="8" w:color="auto"/>
            </w:tcBorders>
          </w:tcPr>
          <w:p>
            <w:pPr>
              <w:spacing w:after="0"/>
              <w:rPr>
                <w:sz w:val="16"/>
                <w:szCs w:val="16"/>
                <w:color w:val="auto"/>
              </w:rPr>
            </w:pPr>
          </w:p>
        </w:tc>
      </w:tr>
      <w:tr>
        <w:trPr>
          <w:trHeight w:val="185"/>
        </w:trPr>
        <w:tc>
          <w:tcPr>
            <w:tcW w:w="4660" w:type="dxa"/>
            <w:vAlign w:val="bottom"/>
          </w:tcPr>
          <w:p>
            <w:pPr>
              <w:spacing w:after="0"/>
              <w:rPr>
                <w:sz w:val="16"/>
                <w:szCs w:val="16"/>
                <w:color w:val="auto"/>
              </w:rPr>
            </w:pPr>
          </w:p>
        </w:tc>
        <w:tc>
          <w:tcPr>
            <w:tcW w:w="260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w w:val="94"/>
              </w:rPr>
              <w:t>Three Months Ended March 31,</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left="23"/>
              <w:spacing w:after="0"/>
              <w:rPr>
                <w:sz w:val="20"/>
                <w:szCs w:val="20"/>
                <w:color w:val="auto"/>
              </w:rPr>
            </w:pPr>
            <w:r>
              <w:rPr>
                <w:rFonts w:ascii="Arial" w:cs="Arial" w:eastAsia="Arial" w:hAnsi="Arial"/>
                <w:sz w:val="14"/>
                <w:szCs w:val="14"/>
                <w:b w:val="1"/>
                <w:bCs w:val="1"/>
                <w:color w:val="auto"/>
                <w:w w:val="91"/>
              </w:rPr>
              <w:t>2020 to 2021</w:t>
            </w:r>
          </w:p>
        </w:tc>
        <w:tc>
          <w:tcPr>
            <w:tcW w:w="1100" w:type="dxa"/>
            <w:vAlign w:val="bottom"/>
            <w:tcBorders>
              <w:bottom w:val="single" w:sz="8" w:color="auto"/>
            </w:tcBorders>
          </w:tcPr>
          <w:p>
            <w:pPr>
              <w:spacing w:after="0"/>
              <w:rPr>
                <w:sz w:val="16"/>
                <w:szCs w:val="16"/>
                <w:color w:val="auto"/>
              </w:rPr>
            </w:pPr>
          </w:p>
        </w:tc>
      </w:tr>
      <w:tr>
        <w:trPr>
          <w:trHeight w:val="179"/>
        </w:trPr>
        <w:tc>
          <w:tcPr>
            <w:tcW w:w="4660" w:type="dxa"/>
            <w:vAlign w:val="bottom"/>
          </w:tcPr>
          <w:p>
            <w:pPr>
              <w:spacing w:after="0"/>
              <w:rPr>
                <w:sz w:val="15"/>
                <w:szCs w:val="15"/>
                <w:color w:val="auto"/>
              </w:rPr>
            </w:pPr>
          </w:p>
        </w:tc>
        <w:tc>
          <w:tcPr>
            <w:tcW w:w="106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81"/>
              <w:spacing w:after="0"/>
              <w:rPr>
                <w:sz w:val="20"/>
                <w:szCs w:val="20"/>
                <w:color w:val="auto"/>
              </w:rPr>
            </w:pPr>
            <w:r>
              <w:rPr>
                <w:rFonts w:ascii="Arial" w:cs="Arial" w:eastAsia="Arial" w:hAnsi="Arial"/>
                <w:sz w:val="14"/>
                <w:szCs w:val="14"/>
                <w:b w:val="1"/>
                <w:bCs w:val="1"/>
                <w:color w:val="auto"/>
              </w:rPr>
              <w:t>%</w:t>
            </w:r>
          </w:p>
        </w:tc>
      </w:tr>
      <w:tr>
        <w:trPr>
          <w:trHeight w:val="179"/>
        </w:trPr>
        <w:tc>
          <w:tcPr>
            <w:tcW w:w="46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60" w:type="dxa"/>
            <w:vAlign w:val="bottom"/>
            <w:gridSpan w:val="3"/>
          </w:tcPr>
          <w:p>
            <w:pPr>
              <w:jc w:val="right"/>
              <w:ind w:right="241"/>
              <w:spacing w:after="0"/>
              <w:rPr>
                <w:sz w:val="20"/>
                <w:szCs w:val="20"/>
                <w:color w:val="auto"/>
              </w:rPr>
            </w:pPr>
            <w:r>
              <w:rPr>
                <w:rFonts w:ascii="Arial" w:cs="Arial" w:eastAsia="Arial" w:hAnsi="Arial"/>
                <w:sz w:val="14"/>
                <w:szCs w:val="14"/>
                <w:b w:val="1"/>
                <w:bCs w:val="1"/>
                <w:color w:val="auto"/>
                <w:w w:val="90"/>
              </w:rPr>
              <w:t>(dollars in thousands)</w:t>
            </w:r>
          </w:p>
        </w:tc>
        <w:tc>
          <w:tcPr>
            <w:tcW w:w="1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26"/>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060" w:type="dxa"/>
            <w:vAlign w:val="bottom"/>
            <w:shd w:val="clear" w:color="auto" w:fill="CCEEFF"/>
          </w:tcPr>
          <w:p>
            <w:pPr>
              <w:jc w:val="right"/>
              <w:ind w:right="883"/>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723</w:t>
            </w:r>
          </w:p>
        </w:tc>
        <w:tc>
          <w:tcPr>
            <w:tcW w:w="1040" w:type="dxa"/>
            <w:vAlign w:val="bottom"/>
            <w:shd w:val="clear" w:color="auto" w:fill="CCEEFF"/>
          </w:tcPr>
          <w:p>
            <w:pPr>
              <w:jc w:val="right"/>
              <w:ind w:right="781"/>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21"/>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663"/>
              <w:spacing w:after="0"/>
              <w:rPr>
                <w:sz w:val="20"/>
                <w:szCs w:val="20"/>
                <w:color w:val="auto"/>
              </w:rPr>
            </w:pPr>
            <w:r>
              <w:rPr>
                <w:rFonts w:ascii="Arial" w:cs="Arial" w:eastAsia="Arial" w:hAnsi="Arial"/>
                <w:sz w:val="18"/>
                <w:szCs w:val="18"/>
                <w:color w:val="auto"/>
              </w:rPr>
              <w:t>149</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r>
    </w:tbl>
    <w:p>
      <w:pPr>
        <w:spacing w:after="0" w:line="22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Interest expense increased by $0.1 million, or 26%, from $0.6 million for the three months ended March 31, 2020 to $0.7 million for the three months ended March 31, 2021. The increase was driven by new loans executed in the second half of 2020.</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7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left="285"/>
              <w:spacing w:after="0"/>
              <w:rPr>
                <w:sz w:val="20"/>
                <w:szCs w:val="20"/>
                <w:color w:val="auto"/>
              </w:rPr>
            </w:pPr>
            <w:r>
              <w:rPr>
                <w:rFonts w:ascii="Arial" w:cs="Arial" w:eastAsia="Arial" w:hAnsi="Arial"/>
                <w:sz w:val="14"/>
                <w:szCs w:val="14"/>
                <w:b w:val="1"/>
                <w:bCs w:val="1"/>
                <w:color w:val="auto"/>
                <w:w w:val="89"/>
              </w:rPr>
              <w:t>Change</w:t>
            </w:r>
          </w:p>
        </w:tc>
        <w:tc>
          <w:tcPr>
            <w:tcW w:w="1040" w:type="dxa"/>
            <w:vAlign w:val="bottom"/>
            <w:tcBorders>
              <w:bottom w:val="single" w:sz="8" w:color="auto"/>
            </w:tcBorders>
          </w:tcPr>
          <w:p>
            <w:pPr>
              <w:spacing w:after="0"/>
              <w:rPr>
                <w:sz w:val="16"/>
                <w:szCs w:val="16"/>
                <w:color w:val="auto"/>
              </w:rPr>
            </w:pPr>
          </w:p>
        </w:tc>
      </w:tr>
      <w:tr>
        <w:trPr>
          <w:trHeight w:val="185"/>
        </w:trPr>
        <w:tc>
          <w:tcPr>
            <w:tcW w:w="4700" w:type="dxa"/>
            <w:vAlign w:val="bottom"/>
          </w:tcPr>
          <w:p>
            <w:pPr>
              <w:spacing w:after="0"/>
              <w:rPr>
                <w:sz w:val="16"/>
                <w:szCs w:val="16"/>
                <w:color w:val="auto"/>
              </w:rPr>
            </w:pPr>
          </w:p>
        </w:tc>
        <w:tc>
          <w:tcPr>
            <w:tcW w:w="260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w w:val="92"/>
              </w:rPr>
              <w:t>Three Months Ended March 31,</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left="285"/>
              <w:spacing w:after="0"/>
              <w:rPr>
                <w:sz w:val="20"/>
                <w:szCs w:val="20"/>
                <w:color w:val="auto"/>
              </w:rPr>
            </w:pPr>
            <w:r>
              <w:rPr>
                <w:rFonts w:ascii="Arial" w:cs="Arial" w:eastAsia="Arial" w:hAnsi="Arial"/>
                <w:sz w:val="14"/>
                <w:szCs w:val="14"/>
                <w:b w:val="1"/>
                <w:bCs w:val="1"/>
                <w:color w:val="auto"/>
                <w:w w:val="88"/>
              </w:rPr>
              <w:t>2020 to 2021</w:t>
            </w:r>
          </w:p>
        </w:tc>
        <w:tc>
          <w:tcPr>
            <w:tcW w:w="1040" w:type="dxa"/>
            <w:vAlign w:val="bottom"/>
            <w:tcBorders>
              <w:bottom w:val="single" w:sz="8" w:color="auto"/>
            </w:tcBorders>
          </w:tcPr>
          <w:p>
            <w:pPr>
              <w:spacing w:after="0"/>
              <w:rPr>
                <w:sz w:val="16"/>
                <w:szCs w:val="16"/>
                <w:color w:val="auto"/>
              </w:rPr>
            </w:pPr>
          </w:p>
        </w:tc>
      </w:tr>
      <w:tr>
        <w:trPr>
          <w:trHeight w:val="179"/>
        </w:trPr>
        <w:tc>
          <w:tcPr>
            <w:tcW w:w="4700" w:type="dxa"/>
            <w:vAlign w:val="bottom"/>
          </w:tcPr>
          <w:p>
            <w:pPr>
              <w:spacing w:after="0"/>
              <w:rPr>
                <w:sz w:val="15"/>
                <w:szCs w:val="15"/>
                <w:color w:val="auto"/>
              </w:rPr>
            </w:pPr>
          </w:p>
        </w:tc>
        <w:tc>
          <w:tcPr>
            <w:tcW w:w="102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1285"/>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ind w:right="640"/>
              <w:spacing w:after="0"/>
              <w:rPr>
                <w:sz w:val="20"/>
                <w:szCs w:val="20"/>
                <w:color w:val="auto"/>
              </w:rPr>
            </w:pPr>
            <w:r>
              <w:rPr>
                <w:rFonts w:ascii="Arial" w:cs="Arial" w:eastAsia="Arial" w:hAnsi="Arial"/>
                <w:sz w:val="14"/>
                <w:szCs w:val="14"/>
                <w:b w:val="1"/>
                <w:bCs w:val="1"/>
                <w:color w:val="auto"/>
              </w:rPr>
              <w:t>%</w:t>
            </w:r>
          </w:p>
        </w:tc>
      </w:tr>
      <w:tr>
        <w:trPr>
          <w:trHeight w:val="179"/>
        </w:trPr>
        <w:tc>
          <w:tcPr>
            <w:tcW w:w="4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w w:val="90"/>
              </w:rPr>
              <w:t>(dollars in thousands)</w:t>
            </w:r>
          </w:p>
        </w:tc>
        <w:tc>
          <w:tcPr>
            <w:tcW w:w="15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2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1020" w:type="dxa"/>
            <w:vAlign w:val="bottom"/>
            <w:shd w:val="clear" w:color="auto" w:fill="CCEEFF"/>
          </w:tcPr>
          <w:p>
            <w:pPr>
              <w:jc w:val="right"/>
              <w:ind w:right="823"/>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5,584</w:t>
            </w:r>
          </w:p>
        </w:tc>
        <w:tc>
          <w:tcPr>
            <w:tcW w:w="1000" w:type="dxa"/>
            <w:vAlign w:val="bottom"/>
            <w:shd w:val="clear" w:color="auto" w:fill="CCEEFF"/>
          </w:tcPr>
          <w:p>
            <w:pPr>
              <w:jc w:val="right"/>
              <w:ind w:right="741"/>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ind w:right="605"/>
              <w:spacing w:after="0"/>
              <w:rPr>
                <w:sz w:val="20"/>
                <w:szCs w:val="20"/>
                <w:color w:val="auto"/>
              </w:rPr>
            </w:pPr>
            <w:r>
              <w:rPr>
                <w:rFonts w:ascii="Arial" w:cs="Arial" w:eastAsia="Arial" w:hAnsi="Arial"/>
                <w:sz w:val="18"/>
                <w:szCs w:val="18"/>
                <w:color w:val="auto"/>
              </w:rPr>
              <w:t>5,562</w:t>
            </w:r>
          </w:p>
        </w:tc>
        <w:tc>
          <w:tcPr>
            <w:tcW w:w="1040" w:type="dxa"/>
            <w:vAlign w:val="bottom"/>
            <w:shd w:val="clear" w:color="auto" w:fill="CCEEFF"/>
          </w:tcPr>
          <w:p>
            <w:pPr>
              <w:jc w:val="right"/>
              <w:spacing w:after="0" w:line="226" w:lineRule="exact"/>
              <w:rPr>
                <w:sz w:val="20"/>
                <w:szCs w:val="20"/>
                <w:color w:val="auto"/>
              </w:rPr>
            </w:pPr>
            <w:r>
              <w:rPr>
                <w:rFonts w:ascii="Arial" w:cs="Arial" w:eastAsia="Arial" w:hAnsi="Arial"/>
                <w:sz w:val="26"/>
                <w:szCs w:val="26"/>
                <w:color w:val="auto"/>
                <w:vertAlign w:val="subscript"/>
              </w:rPr>
              <w:t>NM</w:t>
            </w:r>
            <w:r>
              <w:rPr>
                <w:rFonts w:ascii="Arial" w:cs="Arial" w:eastAsia="Arial" w:hAnsi="Arial"/>
                <w:sz w:val="10"/>
                <w:szCs w:val="10"/>
                <w:color w:val="auto"/>
              </w:rPr>
              <w:t xml:space="preserve"> (1)</w:t>
            </w: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 Not Meaningful (“NM”)</w:t>
      </w:r>
    </w:p>
    <w:p>
      <w:pPr>
        <w:spacing w:after="0" w:line="15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Other income, net increased by $5.6 million from a nominal amount for the three months ended March 31, 2020 to $5.6 million for the three months ended March 31, 2021. The increase in other income, net was primarily attributable to $5.6 million in funding that we received and recognized under the CARES Act.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170"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In addition to our results determined in accordance with GAAP, we believe the following non-GAAP measures are useful in evaluating our operating performance. We use the following non-GAAP financial information to evaluate our ongoing operations, as a component in determining employee bonus compensation, and for internal planning and forecasting purposes. We believe that non-GAAP financial information, when taken collectively, may be helpful to investors because it provides consistency and comparability with past financial performance. However, non-GAAP financial information is presented for supplemental informational purposes only, has limitations as an analytical tool and should not be considered in isolation or as a substitute for financial information presented in accordance with GAAP. In addition, other companies, including companies in our industry, may calculate similarly-titled non-GAAP measures differently or may use other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 Investors are encouraged to review the related GAAP financial measures and the reconciliation of these non-GAAP financial measures to their most directly comparable GAAP financial measures, and not to rely on any single financial measure to evaluate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1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Non-GAAP financial measures have limitations as analytical tools and you should not consider them in isolation, or as substitutes for analysis of our results as reported under GAAP. We may in the future incur expenses similar to the adjustments in the presentation of Non-GAAP financial measures. Other limitations include that Non-GAAP financial measures do not reflect:</w:t>
      </w:r>
    </w:p>
    <w:p>
      <w:pPr>
        <w:spacing w:after="0" w:line="135" w:lineRule="exact"/>
        <w:rPr>
          <w:sz w:val="20"/>
          <w:szCs w:val="20"/>
          <w:color w:val="auto"/>
        </w:rPr>
      </w:pPr>
    </w:p>
    <w:p>
      <w:pPr>
        <w:ind w:left="640" w:hanging="31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 expenditures or future requirements for capital expenditures or contractual commitments;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our working capital needs;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provision for income taxes, which may be a necessary element of our costs and ability to operate;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costs of replacing the assets being depreciated, which will often have to be replaced in the future;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non-cash component of employee compensation expense;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impact of earnings or charges resulting from matters we consider not to be reflective, on a recurring basis, of our ongoing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Gross Profit and Adjusted Gross Margin</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Adjusted Gross Profit is a non-GAAP financial measure that we define as revenue less cost of services, excluding depreciation and amortization, stock-based compensation expense, related party expenses, labor costs due to a laboratory move, and COVID-19 costs. We define Adjusted Gross Margin as our Adjusted Gross Profit divided by our revenue. We believe these non-GAAP financial measures are useful in evaluating our operating performance compared to that of other companies in our industry, as these metrics generally eliminate the effects of certain items that may vary from company to company for reasons unrelated to overall operating performance.</w:t>
      </w:r>
    </w:p>
    <w:p>
      <w:pPr>
        <w:spacing w:after="0" w:line="14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is a reconciliation of revenue to our Adjusted Gross Profit and Adjusted Gross Margin for the years ended December 31, 2020, 2019 and 2018:</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0"/>
              </w:rPr>
              <w:t>Year Ended December 31,</w:t>
            </w: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83"/>
        </w:trPr>
        <w:tc>
          <w:tcPr>
            <w:tcW w:w="60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2018</w:t>
            </w:r>
          </w:p>
        </w:tc>
      </w:tr>
      <w:tr>
        <w:trPr>
          <w:trHeight w:val="179"/>
        </w:trPr>
        <w:tc>
          <w:tcPr>
            <w:tcW w:w="60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9"/>
              </w:rPr>
              <w:t>(in thousands)</w:t>
            </w: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r>
      <w:tr>
        <w:trPr>
          <w:trHeight w:val="219"/>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179,322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196,174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133,341</w:t>
            </w:r>
          </w:p>
        </w:tc>
      </w:tr>
      <w:tr>
        <w:trPr>
          <w:trHeight w:val="225"/>
        </w:trPr>
        <w:tc>
          <w:tcPr>
            <w:tcW w:w="6000" w:type="dxa"/>
            <w:vAlign w:val="bottom"/>
          </w:tcPr>
          <w:p>
            <w:pPr>
              <w:ind w:left="20"/>
              <w:spacing w:after="0"/>
              <w:rPr>
                <w:sz w:val="20"/>
                <w:szCs w:val="20"/>
                <w:color w:val="auto"/>
              </w:rPr>
            </w:pPr>
            <w:r>
              <w:rPr>
                <w:rFonts w:ascii="Arial" w:cs="Arial" w:eastAsia="Arial" w:hAnsi="Arial"/>
                <w:sz w:val="18"/>
                <w:szCs w:val="18"/>
                <w:color w:val="auto"/>
              </w:rPr>
              <w:t>Cost of services</w:t>
            </w:r>
          </w:p>
        </w:tc>
        <w:tc>
          <w:tcPr>
            <w:tcW w:w="420" w:type="dxa"/>
            <w:vAlign w:val="bottom"/>
          </w:tcPr>
          <w:p>
            <w:pPr>
              <w:spacing w:after="0"/>
              <w:rPr>
                <w:sz w:val="19"/>
                <w:szCs w:val="19"/>
                <w:color w:val="auto"/>
              </w:rPr>
            </w:pPr>
          </w:p>
        </w:tc>
        <w:tc>
          <w:tcPr>
            <w:tcW w:w="1280" w:type="dxa"/>
            <w:vAlign w:val="bottom"/>
          </w:tcPr>
          <w:p>
            <w:pPr>
              <w:jc w:val="right"/>
              <w:ind w:right="173"/>
              <w:spacing w:after="0"/>
              <w:rPr>
                <w:sz w:val="20"/>
                <w:szCs w:val="20"/>
                <w:color w:val="auto"/>
              </w:rPr>
            </w:pPr>
            <w:r>
              <w:rPr>
                <w:rFonts w:ascii="Arial" w:cs="Arial" w:eastAsia="Arial" w:hAnsi="Arial"/>
                <w:sz w:val="18"/>
                <w:szCs w:val="18"/>
                <w:color w:val="auto"/>
              </w:rPr>
              <w:t>184,648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ind w:right="155"/>
              <w:spacing w:after="0"/>
              <w:rPr>
                <w:sz w:val="20"/>
                <w:szCs w:val="20"/>
                <w:color w:val="auto"/>
              </w:rPr>
            </w:pPr>
            <w:r>
              <w:rPr>
                <w:rFonts w:ascii="Arial" w:cs="Arial" w:eastAsia="Arial" w:hAnsi="Arial"/>
                <w:sz w:val="18"/>
                <w:szCs w:val="18"/>
                <w:color w:val="auto"/>
              </w:rPr>
              <w:t>119,623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153"/>
              <w:spacing w:after="0"/>
              <w:rPr>
                <w:sz w:val="20"/>
                <w:szCs w:val="20"/>
                <w:color w:val="auto"/>
              </w:rPr>
            </w:pPr>
            <w:r>
              <w:rPr>
                <w:rFonts w:ascii="Arial" w:cs="Arial" w:eastAsia="Arial" w:hAnsi="Arial"/>
                <w:sz w:val="18"/>
                <w:szCs w:val="18"/>
                <w:color w:val="auto"/>
              </w:rPr>
              <w:t>92,093</w:t>
            </w:r>
          </w:p>
        </w:tc>
      </w:tr>
      <w:tr>
        <w:trPr>
          <w:trHeight w:val="226"/>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(Loss) Profit</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3"/>
              <w:spacing w:after="0"/>
              <w:rPr>
                <w:sz w:val="20"/>
                <w:szCs w:val="20"/>
                <w:color w:val="auto"/>
              </w:rPr>
            </w:pPr>
            <w:r>
              <w:rPr>
                <w:rFonts w:ascii="Arial" w:cs="Arial" w:eastAsia="Arial" w:hAnsi="Arial"/>
                <w:sz w:val="18"/>
                <w:szCs w:val="18"/>
                <w:b w:val="1"/>
                <w:bCs w:val="1"/>
                <w:color w:val="auto"/>
              </w:rPr>
              <w:t>(5,326)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55"/>
              <w:spacing w:after="0"/>
              <w:rPr>
                <w:sz w:val="20"/>
                <w:szCs w:val="20"/>
                <w:color w:val="auto"/>
              </w:rPr>
            </w:pPr>
            <w:r>
              <w:rPr>
                <w:rFonts w:ascii="Arial" w:cs="Arial" w:eastAsia="Arial" w:hAnsi="Arial"/>
                <w:sz w:val="18"/>
                <w:szCs w:val="18"/>
                <w:b w:val="1"/>
                <w:bCs w:val="1"/>
                <w:color w:val="auto"/>
              </w:rPr>
              <w:t>76,551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3"/>
              <w:spacing w:after="0"/>
              <w:rPr>
                <w:sz w:val="20"/>
                <w:szCs w:val="20"/>
                <w:color w:val="auto"/>
              </w:rPr>
            </w:pPr>
            <w:r>
              <w:rPr>
                <w:rFonts w:ascii="Arial" w:cs="Arial" w:eastAsia="Arial" w:hAnsi="Arial"/>
                <w:sz w:val="18"/>
                <w:szCs w:val="18"/>
                <w:b w:val="1"/>
                <w:bCs w:val="1"/>
                <w:color w:val="auto"/>
              </w:rPr>
              <w:t>41,248</w:t>
            </w:r>
          </w:p>
        </w:tc>
      </w:tr>
      <w:tr>
        <w:trPr>
          <w:trHeight w:val="225"/>
        </w:trPr>
        <w:tc>
          <w:tcPr>
            <w:tcW w:w="6000" w:type="dxa"/>
            <w:vAlign w:val="bottom"/>
          </w:tcPr>
          <w:p>
            <w:pPr>
              <w:ind w:left="20"/>
              <w:spacing w:after="0"/>
              <w:rPr>
                <w:sz w:val="20"/>
                <w:szCs w:val="20"/>
                <w:color w:val="auto"/>
              </w:rPr>
            </w:pPr>
            <w:r>
              <w:rPr>
                <w:rFonts w:ascii="Arial" w:cs="Arial" w:eastAsia="Arial" w:hAnsi="Arial"/>
                <w:sz w:val="18"/>
                <w:szCs w:val="18"/>
                <w:b w:val="1"/>
                <w:bCs w:val="1"/>
                <w:color w:val="auto"/>
              </w:rPr>
              <w:t>Add:</w:t>
            </w: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5"/>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13,947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710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748</w:t>
            </w:r>
          </w:p>
        </w:tc>
      </w:tr>
      <w:tr>
        <w:trPr>
          <w:trHeight w:val="225"/>
        </w:trPr>
        <w:tc>
          <w:tcPr>
            <w:tcW w:w="6000" w:type="dxa"/>
            <w:vAlign w:val="bottom"/>
          </w:tcPr>
          <w:p>
            <w:pPr>
              <w:ind w:left="20"/>
              <w:spacing w:after="0" w:line="225" w:lineRule="exact"/>
              <w:rPr>
                <w:sz w:val="20"/>
                <w:szCs w:val="20"/>
                <w:color w:val="auto"/>
              </w:rPr>
            </w:pPr>
            <w:r>
              <w:rPr>
                <w:rFonts w:ascii="Arial" w:cs="Arial" w:eastAsia="Arial" w:hAnsi="Arial"/>
                <w:sz w:val="18"/>
                <w:szCs w:val="18"/>
                <w:color w:val="auto"/>
              </w:rPr>
              <w:t xml:space="preserve">Related party expenses </w:t>
            </w:r>
            <w:r>
              <w:rPr>
                <w:rFonts w:ascii="Arial" w:cs="Arial" w:eastAsia="Arial" w:hAnsi="Arial"/>
                <w:sz w:val="22"/>
                <w:szCs w:val="22"/>
                <w:color w:val="auto"/>
                <w:vertAlign w:val="superscript"/>
              </w:rPr>
              <w:t>(1)</w:t>
            </w:r>
          </w:p>
        </w:tc>
        <w:tc>
          <w:tcPr>
            <w:tcW w:w="420" w:type="dxa"/>
            <w:vAlign w:val="bottom"/>
          </w:tcPr>
          <w:p>
            <w:pPr>
              <w:spacing w:after="0"/>
              <w:rPr>
                <w:sz w:val="19"/>
                <w:szCs w:val="19"/>
                <w:color w:val="auto"/>
              </w:rPr>
            </w:pPr>
          </w:p>
        </w:tc>
        <w:tc>
          <w:tcPr>
            <w:tcW w:w="1280" w:type="dxa"/>
            <w:vAlign w:val="bottom"/>
          </w:tcPr>
          <w:p>
            <w:pPr>
              <w:jc w:val="right"/>
              <w:ind w:right="173"/>
              <w:spacing w:after="0"/>
              <w:rPr>
                <w:sz w:val="20"/>
                <w:szCs w:val="20"/>
                <w:color w:val="auto"/>
              </w:rPr>
            </w:pPr>
            <w:r>
              <w:rPr>
                <w:rFonts w:ascii="Arial" w:cs="Arial" w:eastAsia="Arial" w:hAnsi="Arial"/>
                <w:sz w:val="18"/>
                <w:szCs w:val="18"/>
                <w:color w:val="auto"/>
              </w:rPr>
              <w:t>2,189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ind w:right="155"/>
              <w:spacing w:after="0"/>
              <w:rPr>
                <w:sz w:val="20"/>
                <w:szCs w:val="20"/>
                <w:color w:val="auto"/>
              </w:rPr>
            </w:pPr>
            <w:r>
              <w:rPr>
                <w:rFonts w:ascii="Arial" w:cs="Arial" w:eastAsia="Arial" w:hAnsi="Arial"/>
                <w:sz w:val="18"/>
                <w:szCs w:val="18"/>
                <w:color w:val="auto"/>
              </w:rPr>
              <w:t>1,859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153"/>
              <w:spacing w:after="0"/>
              <w:rPr>
                <w:sz w:val="20"/>
                <w:szCs w:val="20"/>
                <w:color w:val="auto"/>
              </w:rPr>
            </w:pPr>
            <w:r>
              <w:rPr>
                <w:rFonts w:ascii="Arial" w:cs="Arial" w:eastAsia="Arial" w:hAnsi="Arial"/>
                <w:sz w:val="18"/>
                <w:szCs w:val="18"/>
                <w:color w:val="auto"/>
              </w:rPr>
              <w:t>4,122</w:t>
            </w:r>
          </w:p>
        </w:tc>
      </w:tr>
      <w:tr>
        <w:trPr>
          <w:trHeight w:val="225"/>
        </w:trPr>
        <w:tc>
          <w:tcPr>
            <w:tcW w:w="600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Labor costs due to laboratory move </w:t>
            </w:r>
            <w:r>
              <w:rPr>
                <w:rFonts w:ascii="Arial" w:cs="Arial" w:eastAsia="Arial" w:hAnsi="Arial"/>
                <w:sz w:val="22"/>
                <w:szCs w:val="22"/>
                <w:color w:val="auto"/>
                <w:vertAlign w:val="superscript"/>
              </w:rPr>
              <w:t>(2)</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16,391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r>
      <w:tr>
        <w:trPr>
          <w:trHeight w:val="225"/>
        </w:trPr>
        <w:tc>
          <w:tcPr>
            <w:tcW w:w="6000" w:type="dxa"/>
            <w:vAlign w:val="bottom"/>
          </w:tcPr>
          <w:p>
            <w:pPr>
              <w:ind w:left="20"/>
              <w:spacing w:after="0" w:line="225" w:lineRule="exact"/>
              <w:rPr>
                <w:sz w:val="20"/>
                <w:szCs w:val="20"/>
                <w:color w:val="auto"/>
              </w:rPr>
            </w:pPr>
            <w:r>
              <w:rPr>
                <w:rFonts w:ascii="Arial" w:cs="Arial" w:eastAsia="Arial" w:hAnsi="Arial"/>
                <w:sz w:val="18"/>
                <w:szCs w:val="18"/>
                <w:color w:val="auto"/>
              </w:rPr>
              <w:t xml:space="preserve">COVID-19 costs </w:t>
            </w:r>
            <w:r>
              <w:rPr>
                <w:rFonts w:ascii="Arial" w:cs="Arial" w:eastAsia="Arial" w:hAnsi="Arial"/>
                <w:sz w:val="22"/>
                <w:szCs w:val="22"/>
                <w:color w:val="auto"/>
                <w:vertAlign w:val="superscript"/>
              </w:rPr>
              <w:t>(3)</w:t>
            </w:r>
          </w:p>
        </w:tc>
        <w:tc>
          <w:tcPr>
            <w:tcW w:w="420" w:type="dxa"/>
            <w:vAlign w:val="bottom"/>
          </w:tcPr>
          <w:p>
            <w:pPr>
              <w:spacing w:after="0"/>
              <w:rPr>
                <w:sz w:val="19"/>
                <w:szCs w:val="19"/>
                <w:color w:val="auto"/>
              </w:rPr>
            </w:pPr>
          </w:p>
        </w:tc>
        <w:tc>
          <w:tcPr>
            <w:tcW w:w="1280" w:type="dxa"/>
            <w:vAlign w:val="bottom"/>
          </w:tcPr>
          <w:p>
            <w:pPr>
              <w:jc w:val="right"/>
              <w:ind w:right="173"/>
              <w:spacing w:after="0"/>
              <w:rPr>
                <w:sz w:val="20"/>
                <w:szCs w:val="20"/>
                <w:color w:val="auto"/>
              </w:rPr>
            </w:pPr>
            <w:r>
              <w:rPr>
                <w:rFonts w:ascii="Arial" w:cs="Arial" w:eastAsia="Arial" w:hAnsi="Arial"/>
                <w:sz w:val="18"/>
                <w:szCs w:val="18"/>
                <w:color w:val="auto"/>
              </w:rPr>
              <w:t>3,179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80" w:type="dxa"/>
            <w:vAlign w:val="bottom"/>
          </w:tcPr>
          <w:p>
            <w:pPr>
              <w:jc w:val="right"/>
              <w:ind w:right="153"/>
              <w:spacing w:after="0"/>
              <w:rPr>
                <w:sz w:val="20"/>
                <w:szCs w:val="20"/>
                <w:color w:val="auto"/>
              </w:rPr>
            </w:pPr>
            <w:r>
              <w:rPr>
                <w:rFonts w:ascii="Arial" w:cs="Arial" w:eastAsia="Arial" w:hAnsi="Arial"/>
                <w:sz w:val="18"/>
                <w:szCs w:val="18"/>
                <w:color w:val="auto"/>
              </w:rPr>
              <w:t>—</w:t>
            </w:r>
          </w:p>
        </w:tc>
      </w:tr>
      <w:tr>
        <w:trPr>
          <w:trHeight w:val="219"/>
        </w:trPr>
        <w:tc>
          <w:tcPr>
            <w:tcW w:w="6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Gross Profit</w:t>
            </w:r>
          </w:p>
        </w:tc>
        <w:tc>
          <w:tcPr>
            <w:tcW w:w="420" w:type="dxa"/>
            <w:vAlign w:val="bottom"/>
            <w:tcBorders>
              <w:top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b w:val="1"/>
                <w:bCs w:val="1"/>
                <w:color w:val="auto"/>
              </w:rPr>
              <w:t>30,380</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top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b w:val="1"/>
                <w:bCs w:val="1"/>
                <w:color w:val="auto"/>
              </w:rPr>
              <w:t>79,120</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top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b w:val="1"/>
                <w:bCs w:val="1"/>
                <w:color w:val="auto"/>
              </w:rPr>
              <w:t>46,118</w:t>
            </w:r>
          </w:p>
        </w:tc>
      </w:tr>
      <w:tr>
        <w:trPr>
          <w:trHeight w:val="229"/>
        </w:trPr>
        <w:tc>
          <w:tcPr>
            <w:tcW w:w="6000" w:type="dxa"/>
            <w:vAlign w:val="bottom"/>
          </w:tcPr>
          <w:p>
            <w:pPr>
              <w:ind w:left="20"/>
              <w:spacing w:after="0"/>
              <w:rPr>
                <w:sz w:val="20"/>
                <w:szCs w:val="20"/>
                <w:color w:val="auto"/>
              </w:rPr>
            </w:pPr>
            <w:r>
              <w:rPr>
                <w:rFonts w:ascii="Arial" w:cs="Arial" w:eastAsia="Arial" w:hAnsi="Arial"/>
                <w:sz w:val="18"/>
                <w:szCs w:val="18"/>
                <w:b w:val="1"/>
                <w:bCs w:val="1"/>
                <w:color w:val="auto"/>
              </w:rPr>
              <w:t>Adjusted Gross Margin</w:t>
            </w: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17 %</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40 %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35 %</w:t>
            </w:r>
          </w:p>
        </w:tc>
      </w:tr>
    </w:tbl>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8" w:lineRule="exact"/>
        <w:rPr>
          <w:sz w:val="20"/>
          <w:szCs w:val="20"/>
          <w:color w:val="auto"/>
        </w:rPr>
      </w:pPr>
    </w:p>
    <w:p>
      <w:pPr>
        <w:ind w:left="320" w:hanging="314"/>
        <w:spacing w:after="0"/>
        <w:tabs>
          <w:tab w:leader="none" w:pos="320" w:val="left"/>
        </w:tabs>
        <w:numPr>
          <w:ilvl w:val="0"/>
          <w:numId w:val="49"/>
        </w:numPr>
        <w:rPr>
          <w:rFonts w:ascii="Arial" w:cs="Arial" w:eastAsia="Arial" w:hAnsi="Arial"/>
          <w:sz w:val="14"/>
          <w:szCs w:val="14"/>
          <w:b w:val="1"/>
          <w:bCs w:val="1"/>
          <w:i w:val="1"/>
          <w:iCs w:val="1"/>
          <w:color w:val="auto"/>
        </w:rPr>
      </w:pPr>
      <w:r>
        <w:rPr>
          <w:rFonts w:ascii="Arial" w:cs="Arial" w:eastAsia="Arial" w:hAnsi="Arial"/>
          <w:sz w:val="14"/>
          <w:szCs w:val="14"/>
          <w:color w:val="auto"/>
        </w:rPr>
        <w:t>Represents fees paid to ISMMS for certain services that, for GAAP purposes, are included in Cost of Services.</w:t>
      </w:r>
    </w:p>
    <w:p>
      <w:pPr>
        <w:ind w:left="320" w:right="120" w:hanging="314"/>
        <w:spacing w:after="0" w:line="237" w:lineRule="auto"/>
        <w:tabs>
          <w:tab w:leader="none" w:pos="312" w:val="left"/>
        </w:tabs>
        <w:numPr>
          <w:ilvl w:val="0"/>
          <w:numId w:val="49"/>
        </w:numPr>
        <w:rPr>
          <w:rFonts w:ascii="Arial" w:cs="Arial" w:eastAsia="Arial" w:hAnsi="Arial"/>
          <w:sz w:val="14"/>
          <w:szCs w:val="14"/>
          <w:b w:val="1"/>
          <w:bCs w:val="1"/>
          <w:i w:val="1"/>
          <w:iCs w:val="1"/>
          <w:color w:val="auto"/>
        </w:rPr>
      </w:pPr>
      <w:r>
        <w:rPr>
          <w:rFonts w:ascii="Arial" w:cs="Arial" w:eastAsia="Arial" w:hAnsi="Arial"/>
          <w:sz w:val="14"/>
          <w:szCs w:val="14"/>
          <w:color w:val="auto"/>
        </w:rPr>
        <w:t>Represents labor costs in respect of laboratory employees' time spent to support our laboratory move from New York City to Stamford, Connecticut in 2020. During the move, our laboratory employees dedicated their time to re-validating and re-establishing instruments and equipment, rebuilding interface, obtaining a CLIA license, and other tasks to make sure the move was done correctly. For GAAP purposes we included these activities in Cost of Services. However, as the laboratory move and effort spent by our employees are one-time activities, we adjusted our Gross Profit to reflect management’s view of our normal operations.</w:t>
      </w:r>
    </w:p>
    <w:p>
      <w:pPr>
        <w:ind w:left="320" w:right="80" w:hanging="314"/>
        <w:spacing w:after="0" w:line="242" w:lineRule="auto"/>
        <w:tabs>
          <w:tab w:leader="none" w:pos="312" w:val="left"/>
        </w:tabs>
        <w:numPr>
          <w:ilvl w:val="0"/>
          <w:numId w:val="49"/>
        </w:numPr>
        <w:rPr>
          <w:rFonts w:ascii="Arial" w:cs="Arial" w:eastAsia="Arial" w:hAnsi="Arial"/>
          <w:sz w:val="14"/>
          <w:szCs w:val="14"/>
          <w:b w:val="1"/>
          <w:bCs w:val="1"/>
          <w:i w:val="1"/>
          <w:iCs w:val="1"/>
          <w:color w:val="auto"/>
        </w:rPr>
      </w:pPr>
      <w:r>
        <w:rPr>
          <w:rFonts w:ascii="Arial" w:cs="Arial" w:eastAsia="Arial" w:hAnsi="Arial"/>
          <w:sz w:val="14"/>
          <w:szCs w:val="14"/>
          <w:color w:val="auto"/>
        </w:rPr>
        <w:t>Represents labor costs in respect laboratory employees’ downtime. During the second quarter of 2020, we did not reduce the workforce in our laboratory from COVID-19. However, we suffered significantly due to the decrease in volume in Women's Health and other products. Accordingly, we have adjusted our Gross Profit to reflect the management-assessed impact from the decrease in productivity of existing laboratory employees due to COVID-19 in the second quarter of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19"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following is a reconciliation of revenue to our Adjusted Gross Profit and Adjusted Gross Margin for the three months ended March 31, 2021 and 2020:</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694"/>
              <w:spacing w:after="0"/>
              <w:rPr>
                <w:sz w:val="20"/>
                <w:szCs w:val="20"/>
                <w:color w:val="auto"/>
              </w:rPr>
            </w:pPr>
            <w:r>
              <w:rPr>
                <w:rFonts w:ascii="Arial" w:cs="Arial" w:eastAsia="Arial" w:hAnsi="Arial"/>
                <w:sz w:val="14"/>
                <w:szCs w:val="14"/>
                <w:b w:val="1"/>
                <w:bCs w:val="1"/>
                <w:color w:val="auto"/>
              </w:rPr>
              <w:t>Three Months Ended March 31,</w:t>
            </w:r>
          </w:p>
        </w:tc>
      </w:tr>
      <w:tr>
        <w:trPr>
          <w:trHeight w:val="183"/>
        </w:trPr>
        <w:tc>
          <w:tcPr>
            <w:tcW w:w="77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2020</w:t>
            </w:r>
          </w:p>
        </w:tc>
      </w:tr>
      <w:tr>
        <w:trPr>
          <w:trHeight w:val="179"/>
        </w:trPr>
        <w:tc>
          <w:tcPr>
            <w:tcW w:w="7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940" w:type="dxa"/>
            <w:vAlign w:val="bottom"/>
            <w:gridSpan w:val="3"/>
          </w:tcPr>
          <w:p>
            <w:pPr>
              <w:jc w:val="right"/>
              <w:ind w:right="72"/>
              <w:spacing w:after="0"/>
              <w:rPr>
                <w:sz w:val="20"/>
                <w:szCs w:val="20"/>
                <w:color w:val="auto"/>
              </w:rPr>
            </w:pPr>
            <w:r>
              <w:rPr>
                <w:rFonts w:ascii="Arial" w:cs="Arial" w:eastAsia="Arial" w:hAnsi="Arial"/>
                <w:sz w:val="14"/>
                <w:szCs w:val="14"/>
                <w:b w:val="1"/>
                <w:bCs w:val="1"/>
                <w:color w:val="auto"/>
              </w:rPr>
              <w:t>(in thousands)</w:t>
            </w:r>
          </w:p>
        </w:tc>
        <w:tc>
          <w:tcPr>
            <w:tcW w:w="1160" w:type="dxa"/>
            <w:vAlign w:val="bottom"/>
          </w:tcPr>
          <w:p>
            <w:pPr>
              <w:spacing w:after="0"/>
              <w:rPr>
                <w:sz w:val="15"/>
                <w:szCs w:val="15"/>
                <w:color w:val="auto"/>
              </w:rPr>
            </w:pPr>
          </w:p>
        </w:tc>
      </w:tr>
      <w:tr>
        <w:trPr>
          <w:trHeight w:val="226"/>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64,351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46,655</w:t>
            </w:r>
          </w:p>
        </w:tc>
      </w:tr>
      <w:tr>
        <w:trPr>
          <w:trHeight w:val="225"/>
        </w:trPr>
        <w:tc>
          <w:tcPr>
            <w:tcW w:w="7740" w:type="dxa"/>
            <w:vAlign w:val="bottom"/>
          </w:tcPr>
          <w:p>
            <w:pPr>
              <w:ind w:left="20"/>
              <w:spacing w:after="0"/>
              <w:rPr>
                <w:sz w:val="20"/>
                <w:szCs w:val="20"/>
                <w:color w:val="auto"/>
              </w:rPr>
            </w:pPr>
            <w:r>
              <w:rPr>
                <w:rFonts w:ascii="Arial" w:cs="Arial" w:eastAsia="Arial" w:hAnsi="Arial"/>
                <w:sz w:val="18"/>
                <w:szCs w:val="18"/>
                <w:color w:val="auto"/>
              </w:rPr>
              <w:t>Cost of services</w:t>
            </w:r>
          </w:p>
        </w:tc>
        <w:tc>
          <w:tcPr>
            <w:tcW w:w="400" w:type="dxa"/>
            <w:vAlign w:val="bottom"/>
          </w:tcPr>
          <w:p>
            <w:pPr>
              <w:spacing w:after="0"/>
              <w:rPr>
                <w:sz w:val="19"/>
                <w:szCs w:val="19"/>
                <w:color w:val="auto"/>
              </w:rPr>
            </w:pPr>
          </w:p>
        </w:tc>
        <w:tc>
          <w:tcPr>
            <w:tcW w:w="1300" w:type="dxa"/>
            <w:vAlign w:val="bottom"/>
          </w:tcPr>
          <w:p>
            <w:pPr>
              <w:jc w:val="right"/>
              <w:ind w:right="157"/>
              <w:spacing w:after="0"/>
              <w:rPr>
                <w:sz w:val="20"/>
                <w:szCs w:val="20"/>
                <w:color w:val="auto"/>
              </w:rPr>
            </w:pPr>
            <w:r>
              <w:rPr>
                <w:rFonts w:ascii="Arial" w:cs="Arial" w:eastAsia="Arial" w:hAnsi="Arial"/>
                <w:sz w:val="18"/>
                <w:szCs w:val="18"/>
                <w:color w:val="auto"/>
              </w:rPr>
              <w:t>71,812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jc w:val="right"/>
              <w:ind w:right="154"/>
              <w:spacing w:after="0"/>
              <w:rPr>
                <w:sz w:val="20"/>
                <w:szCs w:val="20"/>
                <w:color w:val="auto"/>
              </w:rPr>
            </w:pPr>
            <w:r>
              <w:rPr>
                <w:rFonts w:ascii="Arial" w:cs="Arial" w:eastAsia="Arial" w:hAnsi="Arial"/>
                <w:sz w:val="18"/>
                <w:szCs w:val="18"/>
                <w:color w:val="auto"/>
              </w:rPr>
              <w:t>39,239</w:t>
            </w:r>
          </w:p>
        </w:tc>
      </w:tr>
      <w:tr>
        <w:trPr>
          <w:trHeight w:val="226"/>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(Loss) Profit</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7"/>
              <w:spacing w:after="0"/>
              <w:rPr>
                <w:sz w:val="20"/>
                <w:szCs w:val="20"/>
                <w:color w:val="auto"/>
              </w:rPr>
            </w:pPr>
            <w:r>
              <w:rPr>
                <w:rFonts w:ascii="Arial" w:cs="Arial" w:eastAsia="Arial" w:hAnsi="Arial"/>
                <w:sz w:val="18"/>
                <w:szCs w:val="18"/>
                <w:b w:val="1"/>
                <w:bCs w:val="1"/>
                <w:color w:val="auto"/>
              </w:rPr>
              <w:t>(7,461)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7,416</w:t>
            </w:r>
          </w:p>
        </w:tc>
      </w:tr>
      <w:tr>
        <w:trPr>
          <w:trHeight w:val="225"/>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Add:</w:t>
            </w: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5"/>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19,782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120</w:t>
            </w:r>
          </w:p>
        </w:tc>
      </w:tr>
      <w:tr>
        <w:trPr>
          <w:trHeight w:val="225"/>
        </w:trPr>
        <w:tc>
          <w:tcPr>
            <w:tcW w:w="7740" w:type="dxa"/>
            <w:vAlign w:val="bottom"/>
            <w:tcBorders>
              <w:bottom w:val="single" w:sz="8" w:color="CCEEFF"/>
            </w:tcBorders>
          </w:tcPr>
          <w:p>
            <w:pPr>
              <w:ind w:left="20"/>
              <w:spacing w:after="0" w:line="225" w:lineRule="exact"/>
              <w:rPr>
                <w:sz w:val="20"/>
                <w:szCs w:val="20"/>
                <w:color w:val="auto"/>
              </w:rPr>
            </w:pPr>
            <w:r>
              <w:rPr>
                <w:rFonts w:ascii="Arial" w:cs="Arial" w:eastAsia="Arial" w:hAnsi="Arial"/>
                <w:sz w:val="18"/>
                <w:szCs w:val="18"/>
                <w:color w:val="auto"/>
              </w:rPr>
              <w:t xml:space="preserve">Related party expenses </w:t>
            </w:r>
            <w:r>
              <w:rPr>
                <w:rFonts w:ascii="Arial" w:cs="Arial" w:eastAsia="Arial" w:hAnsi="Arial"/>
                <w:sz w:val="22"/>
                <w:szCs w:val="22"/>
                <w:color w:val="auto"/>
                <w:vertAlign w:val="superscript"/>
              </w:rPr>
              <w:t>(1)</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574</w:t>
            </w:r>
          </w:p>
        </w:tc>
      </w:tr>
      <w:tr>
        <w:trPr>
          <w:trHeight w:val="218"/>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Gross Profit</w:t>
            </w: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w w:val="79"/>
              </w:rPr>
              <w:t>$</w:t>
            </w:r>
          </w:p>
        </w:tc>
        <w:tc>
          <w:tcPr>
            <w:tcW w:w="1300" w:type="dxa"/>
            <w:vAlign w:val="bottom"/>
            <w:shd w:val="clear" w:color="auto" w:fill="CCEEFF"/>
          </w:tcPr>
          <w:p>
            <w:pPr>
              <w:jc w:val="right"/>
              <w:ind w:right="157"/>
              <w:spacing w:after="0"/>
              <w:rPr>
                <w:sz w:val="20"/>
                <w:szCs w:val="20"/>
                <w:color w:val="auto"/>
              </w:rPr>
            </w:pPr>
            <w:r>
              <w:rPr>
                <w:rFonts w:ascii="Arial" w:cs="Arial" w:eastAsia="Arial" w:hAnsi="Arial"/>
                <w:sz w:val="18"/>
                <w:szCs w:val="18"/>
                <w:b w:val="1"/>
                <w:bCs w:val="1"/>
                <w:color w:val="auto"/>
              </w:rPr>
              <w:t>12,599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2"/>
              <w:spacing w:after="0"/>
              <w:rPr>
                <w:sz w:val="20"/>
                <w:szCs w:val="20"/>
                <w:color w:val="auto"/>
              </w:rPr>
            </w:pPr>
            <w:r>
              <w:rPr>
                <w:rFonts w:ascii="Arial" w:cs="Arial" w:eastAsia="Arial" w:hAnsi="Arial"/>
                <w:sz w:val="18"/>
                <w:szCs w:val="18"/>
                <w:b w:val="1"/>
                <w:bCs w:val="1"/>
                <w:color w:val="auto"/>
                <w:w w:val="79"/>
              </w:rPr>
              <w:t>$</w:t>
            </w:r>
          </w:p>
        </w:tc>
        <w:tc>
          <w:tcPr>
            <w:tcW w:w="1160" w:type="dxa"/>
            <w:vAlign w:val="bottom"/>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8,110</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Adjusted Gross Margin</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20 %</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17 %</w:t>
            </w:r>
          </w:p>
        </w:tc>
      </w:tr>
    </w:tbl>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0" w:lineRule="exact"/>
        <w:rPr>
          <w:sz w:val="20"/>
          <w:szCs w:val="20"/>
          <w:color w:val="auto"/>
        </w:rPr>
      </w:pPr>
    </w:p>
    <w:p>
      <w:pPr>
        <w:ind w:left="320" w:hanging="314"/>
        <w:spacing w:after="0"/>
        <w:tabs>
          <w:tab w:leader="none" w:pos="320" w:val="left"/>
        </w:tabs>
        <w:numPr>
          <w:ilvl w:val="0"/>
          <w:numId w:val="50"/>
        </w:numPr>
        <w:rPr>
          <w:rFonts w:ascii="Arial" w:cs="Arial" w:eastAsia="Arial" w:hAnsi="Arial"/>
          <w:sz w:val="14"/>
          <w:szCs w:val="14"/>
          <w:b w:val="1"/>
          <w:bCs w:val="1"/>
          <w:i w:val="1"/>
          <w:iCs w:val="1"/>
          <w:color w:val="auto"/>
        </w:rPr>
      </w:pPr>
      <w:r>
        <w:rPr>
          <w:rFonts w:ascii="Arial" w:cs="Arial" w:eastAsia="Arial" w:hAnsi="Arial"/>
          <w:sz w:val="14"/>
          <w:szCs w:val="14"/>
          <w:color w:val="auto"/>
        </w:rPr>
        <w:t>Represents fees paid to ISMMS for certain services that, for GAAP purposes, are included in Cost of Services.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Adjusted EBITDA is a non-GAAP financial measure that we define as net loss adjusted for interest (income) expense, net, other (income) expense, net, provision for (benefit from) income taxes, gain on extinguishment of debt, depreciation and amortization and stock-based compensation expenses, labor costs due to a laboratory move and COVID-19 costs. We believe Adjusted EBITDA is useful in evaluating our operating performance compared to that of other companies in our industry, as this metric generally eliminates the effects of certain items that may vary from company to company for reasons unrelated to overall operating performance.</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is a reconciliation of our net loss to Adjusted EBITDA for the years ended December 31, 2020, 2019, and 2018:</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5"/>
              </w:rPr>
              <w:t>Year Ended December 31,</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83"/>
        </w:trPr>
        <w:tc>
          <w:tcPr>
            <w:tcW w:w="63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2018</w:t>
            </w:r>
          </w:p>
        </w:tc>
      </w:tr>
      <w:tr>
        <w:trPr>
          <w:trHeight w:val="179"/>
        </w:trPr>
        <w:tc>
          <w:tcPr>
            <w:tcW w:w="6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2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(241,340)</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(23,872)</w:t>
            </w:r>
          </w:p>
        </w:tc>
      </w:tr>
      <w:tr>
        <w:trPr>
          <w:trHeight w:val="225"/>
        </w:trPr>
        <w:tc>
          <w:tcPr>
            <w:tcW w:w="6360" w:type="dxa"/>
            <w:vAlign w:val="bottom"/>
          </w:tcPr>
          <w:p>
            <w:pPr>
              <w:ind w:left="20"/>
              <w:spacing w:after="0" w:line="225" w:lineRule="exact"/>
              <w:rPr>
                <w:sz w:val="20"/>
                <w:szCs w:val="20"/>
                <w:color w:val="auto"/>
              </w:rPr>
            </w:pPr>
            <w:r>
              <w:rPr>
                <w:rFonts w:ascii="Arial" w:cs="Arial" w:eastAsia="Arial" w:hAnsi="Arial"/>
                <w:sz w:val="18"/>
                <w:szCs w:val="18"/>
                <w:color w:val="auto"/>
              </w:rPr>
              <w:t xml:space="preserve">Interest (income) expense, net </w:t>
            </w:r>
            <w:r>
              <w:rPr>
                <w:rFonts w:ascii="Arial" w:cs="Arial" w:eastAsia="Arial" w:hAnsi="Arial"/>
                <w:sz w:val="22"/>
                <w:szCs w:val="22"/>
                <w:color w:val="auto"/>
                <w:vertAlign w:val="superscript"/>
              </w:rPr>
              <w:t>(1)</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248</w:t>
            </w:r>
          </w:p>
        </w:tc>
      </w:tr>
      <w:tr>
        <w:trPr>
          <w:trHeight w:val="225"/>
        </w:trPr>
        <w:tc>
          <w:tcPr>
            <w:tcW w:w="636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Gain on extinguishment of debt </w:t>
            </w:r>
            <w:r>
              <w:rPr>
                <w:rFonts w:ascii="Arial" w:cs="Arial" w:eastAsia="Arial" w:hAnsi="Arial"/>
                <w:sz w:val="22"/>
                <w:szCs w:val="22"/>
                <w:color w:val="auto"/>
                <w:vertAlign w:val="superscript"/>
              </w:rPr>
              <w:t>(2)</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11,734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6,407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5,433</w:t>
            </w:r>
          </w:p>
        </w:tc>
      </w:tr>
      <w:tr>
        <w:trPr>
          <w:trHeight w:val="22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5,605</w:t>
            </w:r>
          </w:p>
        </w:tc>
      </w:tr>
      <w:tr>
        <w:trPr>
          <w:trHeight w:val="225"/>
        </w:trPr>
        <w:tc>
          <w:tcPr>
            <w:tcW w:w="6360" w:type="dxa"/>
            <w:vAlign w:val="bottom"/>
          </w:tcPr>
          <w:p>
            <w:pPr>
              <w:ind w:left="20"/>
              <w:spacing w:after="0" w:line="225" w:lineRule="exact"/>
              <w:rPr>
                <w:sz w:val="20"/>
                <w:szCs w:val="20"/>
                <w:color w:val="auto"/>
              </w:rPr>
            </w:pPr>
            <w:r>
              <w:rPr>
                <w:rFonts w:ascii="Arial" w:cs="Arial" w:eastAsia="Arial" w:hAnsi="Arial"/>
                <w:sz w:val="18"/>
                <w:szCs w:val="18"/>
                <w:color w:val="auto"/>
              </w:rPr>
              <w:t xml:space="preserve">Other (income) expense, net </w:t>
            </w:r>
            <w:r>
              <w:rPr>
                <w:rFonts w:ascii="Arial" w:cs="Arial" w:eastAsia="Arial" w:hAnsi="Arial"/>
                <w:sz w:val="22"/>
                <w:szCs w:val="22"/>
                <w:color w:val="auto"/>
                <w:vertAlign w:val="superscript"/>
              </w:rPr>
              <w:t>(3)</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(539)</w:t>
            </w:r>
          </w:p>
        </w:tc>
      </w:tr>
      <w:tr>
        <w:trPr>
          <w:trHeight w:val="239"/>
        </w:trPr>
        <w:tc>
          <w:tcPr>
            <w:tcW w:w="6360" w:type="dxa"/>
            <w:vAlign w:val="bottom"/>
            <w:shd w:val="clear" w:color="auto" w:fill="CCEEFF"/>
          </w:tcPr>
          <w:p>
            <w:pPr>
              <w:ind w:left="20"/>
              <w:spacing w:after="0" w:line="239" w:lineRule="exact"/>
              <w:rPr>
                <w:sz w:val="20"/>
                <w:szCs w:val="20"/>
                <w:color w:val="auto"/>
              </w:rPr>
            </w:pPr>
            <w:r>
              <w:rPr>
                <w:rFonts w:ascii="Arial" w:cs="Arial" w:eastAsia="Arial" w:hAnsi="Arial"/>
                <w:sz w:val="18"/>
                <w:szCs w:val="18"/>
                <w:color w:val="auto"/>
              </w:rPr>
              <w:t xml:space="preserve">Labor costs due to laboratory move </w:t>
            </w:r>
            <w:r>
              <w:rPr>
                <w:rFonts w:ascii="Arial" w:cs="Arial" w:eastAsia="Arial" w:hAnsi="Arial"/>
                <w:sz w:val="22"/>
                <w:szCs w:val="22"/>
                <w:color w:val="auto"/>
                <w:vertAlign w:val="superscript"/>
              </w:rPr>
              <w:t>(4)</w:t>
            </w: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5"/>
        </w:trPr>
        <w:tc>
          <w:tcPr>
            <w:tcW w:w="6360" w:type="dxa"/>
            <w:vAlign w:val="bottom"/>
            <w:tcBorders>
              <w:bottom w:val="single" w:sz="8" w:color="CCEEFF"/>
            </w:tcBorders>
          </w:tcPr>
          <w:p>
            <w:pPr>
              <w:ind w:left="20"/>
              <w:spacing w:after="0" w:line="225" w:lineRule="exact"/>
              <w:rPr>
                <w:sz w:val="20"/>
                <w:szCs w:val="20"/>
                <w:color w:val="auto"/>
              </w:rPr>
            </w:pPr>
            <w:r>
              <w:rPr>
                <w:rFonts w:ascii="Arial" w:cs="Arial" w:eastAsia="Arial" w:hAnsi="Arial"/>
                <w:sz w:val="18"/>
                <w:szCs w:val="18"/>
                <w:color w:val="auto"/>
              </w:rPr>
              <w:t xml:space="preserve">COVID-19 costs </w:t>
            </w:r>
            <w:r>
              <w:rPr>
                <w:rFonts w:ascii="Arial" w:cs="Arial" w:eastAsia="Arial" w:hAnsi="Arial"/>
                <w:sz w:val="22"/>
                <w:szCs w:val="22"/>
                <w:color w:val="auto"/>
                <w:vertAlign w:val="superscript"/>
              </w:rPr>
              <w:t>(5)</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9"/>
        </w:trPr>
        <w:tc>
          <w:tcPr>
            <w:tcW w:w="63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Adjusted EBITDA</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(90,459)</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(18,524)</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(17,625)</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8" w:lineRule="exact"/>
        <w:rPr>
          <w:sz w:val="20"/>
          <w:szCs w:val="20"/>
          <w:color w:val="auto"/>
        </w:rPr>
      </w:pPr>
    </w:p>
    <w:p>
      <w:pPr>
        <w:ind w:left="320" w:hanging="314"/>
        <w:spacing w:after="0"/>
        <w:tabs>
          <w:tab w:leader="none" w:pos="3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Represents the total of Interest Expense related to our capital leases and interest-bearing loans and Interest Income on money market funds.</w:t>
      </w:r>
    </w:p>
    <w:p>
      <w:pPr>
        <w:ind w:left="320" w:hanging="314"/>
        <w:spacing w:after="0" w:line="237" w:lineRule="auto"/>
        <w:tabs>
          <w:tab w:leader="none" w:pos="3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Represents a gain on debt extinguishment for the year ended December 31, 2018 related to principal loan forgiveness under one of our loan agreements.</w:t>
      </w:r>
    </w:p>
    <w:p>
      <w:pPr>
        <w:ind w:left="320" w:hanging="314"/>
        <w:spacing w:after="0" w:line="237" w:lineRule="auto"/>
        <w:tabs>
          <w:tab w:leader="none" w:pos="3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For fiscal year 2020, consists of funding received under the CARES Act Provider Relief Fund, and sales and use taxes.</w:t>
      </w:r>
    </w:p>
    <w:p>
      <w:pPr>
        <w:ind w:left="320" w:right="100" w:hanging="314"/>
        <w:spacing w:after="0" w:line="237" w:lineRule="auto"/>
        <w:tabs>
          <w:tab w:leader="none" w:pos="312" w:val="left"/>
        </w:tabs>
        <w:numPr>
          <w:ilvl w:val="0"/>
          <w:numId w:val="51"/>
        </w:numPr>
        <w:rPr>
          <w:rFonts w:ascii="Arial" w:cs="Arial" w:eastAsia="Arial" w:hAnsi="Arial"/>
          <w:sz w:val="14"/>
          <w:szCs w:val="14"/>
          <w:color w:val="auto"/>
        </w:rPr>
      </w:pPr>
      <w:r>
        <w:rPr>
          <w:rFonts w:ascii="Arial" w:cs="Arial" w:eastAsia="Arial" w:hAnsi="Arial"/>
          <w:sz w:val="14"/>
          <w:szCs w:val="14"/>
          <w:color w:val="auto"/>
        </w:rPr>
        <w:t>Represents labor costs in respect of laboratory employees' time spent to support our laboratory move from New York City to Stamford, Connecticut in 2020. During the move, our laboratory employees dedicated their time to re-validating and re-establishing instruments and equipment, rebuilding interface, obtaining a CLIA license, and other tasks to make sure the move was done correctly. For GAAP purposes we included these activities in Cost of Services. However, as the laboratory move and effort spent by our employees are one-time activities, we adjusted our Net Loss to reflect management’s view of our normal operations.</w:t>
      </w:r>
    </w:p>
    <w:p>
      <w:pPr>
        <w:ind w:left="320" w:right="480" w:hanging="314"/>
        <w:spacing w:after="0" w:line="247" w:lineRule="auto"/>
        <w:tabs>
          <w:tab w:leader="none" w:pos="312" w:val="left"/>
        </w:tabs>
        <w:numPr>
          <w:ilvl w:val="0"/>
          <w:numId w:val="51"/>
        </w:numPr>
        <w:rPr>
          <w:rFonts w:ascii="Arial" w:cs="Arial" w:eastAsia="Arial" w:hAnsi="Arial"/>
          <w:sz w:val="14"/>
          <w:szCs w:val="14"/>
          <w:color w:val="auto"/>
        </w:rPr>
      </w:pPr>
      <w:r>
        <w:rPr>
          <w:rFonts w:ascii="Arial" w:cs="Arial" w:eastAsia="Arial" w:hAnsi="Arial"/>
          <w:sz w:val="14"/>
          <w:szCs w:val="14"/>
          <w:color w:val="auto"/>
        </w:rPr>
        <w:t>Represents labor costs in respect laboratory employees’ downtime. During the second quarter of 2020, we did not reduce the workforce in our laboratory from COVID-19. However, we suffered significantly due to the decrease in volume in Women's Health and other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12" w:lineRule="exact"/>
        <w:rPr>
          <w:sz w:val="20"/>
          <w:szCs w:val="20"/>
          <w:color w:val="auto"/>
        </w:rPr>
      </w:pPr>
    </w:p>
    <w:p>
      <w:pPr>
        <w:ind w:left="320" w:right="140"/>
        <w:spacing w:after="0" w:line="265" w:lineRule="auto"/>
        <w:rPr>
          <w:sz w:val="20"/>
          <w:szCs w:val="20"/>
          <w:color w:val="auto"/>
        </w:rPr>
      </w:pPr>
      <w:r>
        <w:rPr>
          <w:rFonts w:ascii="Arial" w:cs="Arial" w:eastAsia="Arial" w:hAnsi="Arial"/>
          <w:sz w:val="14"/>
          <w:szCs w:val="14"/>
          <w:color w:val="auto"/>
        </w:rPr>
        <w:t>Accordingly, we have adjusted our Gross Profit to reflect the management-assessed impact from the decrease in productivity of existing laboratory employees due to COVID-19 in the second quarter of 2020.</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is a reconciliation of our net loss to Adjusted EBITDA for the three months ended March 31, 2021 and 2020:</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554"/>
              <w:spacing w:after="0"/>
              <w:rPr>
                <w:sz w:val="20"/>
                <w:szCs w:val="20"/>
                <w:color w:val="auto"/>
              </w:rPr>
            </w:pPr>
            <w:r>
              <w:rPr>
                <w:rFonts w:ascii="Arial" w:cs="Arial" w:eastAsia="Arial" w:hAnsi="Arial"/>
                <w:sz w:val="14"/>
                <w:szCs w:val="14"/>
                <w:b w:val="1"/>
                <w:bCs w:val="1"/>
                <w:color w:val="auto"/>
              </w:rPr>
              <w:t>Three Months Ended March 31,</w:t>
            </w:r>
          </w:p>
        </w:tc>
      </w:tr>
      <w:tr>
        <w:trPr>
          <w:trHeight w:val="183"/>
        </w:trPr>
        <w:tc>
          <w:tcPr>
            <w:tcW w:w="80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r>
      <w:tr>
        <w:trPr>
          <w:trHeight w:val="179"/>
        </w:trPr>
        <w:tc>
          <w:tcPr>
            <w:tcW w:w="8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5"/>
                <w:szCs w:val="15"/>
                <w:color w:val="auto"/>
              </w:rPr>
            </w:pPr>
          </w:p>
        </w:tc>
      </w:tr>
      <w:tr>
        <w:trPr>
          <w:trHeight w:val="23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(190,993)</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(26,990)</w:t>
            </w:r>
          </w:p>
        </w:tc>
      </w:tr>
      <w:tr>
        <w:trPr>
          <w:trHeight w:val="225"/>
        </w:trPr>
        <w:tc>
          <w:tcPr>
            <w:tcW w:w="8020" w:type="dxa"/>
            <w:vAlign w:val="bottom"/>
          </w:tcPr>
          <w:p>
            <w:pPr>
              <w:ind w:left="20"/>
              <w:spacing w:after="0" w:line="225"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2"/>
                <w:szCs w:val="22"/>
                <w:color w:val="auto"/>
                <w:vertAlign w:val="superscript"/>
              </w:rPr>
              <w:t>(1)</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240</w:t>
            </w: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2,398</w:t>
            </w:r>
          </w:p>
        </w:tc>
      </w:tr>
      <w:tr>
        <w:trPr>
          <w:trHeight w:val="238"/>
        </w:trPr>
        <w:tc>
          <w:tcPr>
            <w:tcW w:w="802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164,962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815</w:t>
            </w:r>
          </w:p>
        </w:tc>
      </w:tr>
      <w:tr>
        <w:trPr>
          <w:trHeight w:val="226"/>
        </w:trPr>
        <w:tc>
          <w:tcPr>
            <w:tcW w:w="802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Transaction costs</w:t>
            </w:r>
            <w:r>
              <w:rPr>
                <w:rFonts w:ascii="Arial" w:cs="Arial" w:eastAsia="Arial" w:hAnsi="Arial"/>
                <w:sz w:val="22"/>
                <w:szCs w:val="22"/>
                <w:color w:val="auto"/>
                <w:vertAlign w:val="superscript"/>
              </w:rPr>
              <w:t>(2)</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020" w:type="dxa"/>
            <w:vAlign w:val="bottom"/>
            <w:tcBorders>
              <w:bottom w:val="single" w:sz="8" w:color="CCEEFF"/>
            </w:tcBorders>
          </w:tcPr>
          <w:p>
            <w:pPr>
              <w:ind w:left="20"/>
              <w:spacing w:after="0" w:line="225" w:lineRule="exact"/>
              <w:rPr>
                <w:sz w:val="20"/>
                <w:szCs w:val="20"/>
                <w:color w:val="auto"/>
              </w:rPr>
            </w:pPr>
            <w:r>
              <w:rPr>
                <w:rFonts w:ascii="Arial" w:cs="Arial" w:eastAsia="Arial" w:hAnsi="Arial"/>
                <w:sz w:val="18"/>
                <w:szCs w:val="18"/>
                <w:color w:val="auto"/>
              </w:rPr>
              <w:t xml:space="preserve">Other (income) expense, net </w:t>
            </w:r>
            <w:r>
              <w:rPr>
                <w:rFonts w:ascii="Arial" w:cs="Arial" w:eastAsia="Arial" w:hAnsi="Arial"/>
                <w:sz w:val="22"/>
                <w:szCs w:val="22"/>
                <w:color w:val="auto"/>
                <w:vertAlign w:val="superscript"/>
              </w:rPr>
              <w:t>(3)</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57"/>
        </w:trPr>
        <w:tc>
          <w:tcPr>
            <w:tcW w:w="80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Adjusted EBITDA</w:t>
            </w: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(24,057)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(23,559)</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8" w:lineRule="exact"/>
        <w:rPr>
          <w:sz w:val="20"/>
          <w:szCs w:val="20"/>
          <w:color w:val="auto"/>
        </w:rPr>
      </w:pPr>
    </w:p>
    <w:p>
      <w:pPr>
        <w:ind w:left="320" w:hanging="314"/>
        <w:spacing w:after="0"/>
        <w:tabs>
          <w:tab w:leader="none" w:pos="320" w:val="left"/>
        </w:tabs>
        <w:numPr>
          <w:ilvl w:val="0"/>
          <w:numId w:val="52"/>
        </w:numPr>
        <w:rPr>
          <w:rFonts w:ascii="Arial" w:cs="Arial" w:eastAsia="Arial" w:hAnsi="Arial"/>
          <w:sz w:val="14"/>
          <w:szCs w:val="14"/>
          <w:b w:val="1"/>
          <w:bCs w:val="1"/>
          <w:i w:val="1"/>
          <w:iCs w:val="1"/>
          <w:color w:val="auto"/>
        </w:rPr>
      </w:pPr>
      <w:r>
        <w:rPr>
          <w:rFonts w:ascii="Arial" w:cs="Arial" w:eastAsia="Arial" w:hAnsi="Arial"/>
          <w:sz w:val="14"/>
          <w:szCs w:val="14"/>
          <w:color w:val="auto"/>
        </w:rPr>
        <w:t>Represents the total of Interest Expense related to our capital leases and interest-bearing loans and Interest Income on money market funds.</w:t>
      </w:r>
    </w:p>
    <w:p>
      <w:pPr>
        <w:ind w:left="320" w:hanging="314"/>
        <w:spacing w:after="0" w:line="237" w:lineRule="auto"/>
        <w:tabs>
          <w:tab w:leader="none" w:pos="320" w:val="left"/>
        </w:tabs>
        <w:numPr>
          <w:ilvl w:val="0"/>
          <w:numId w:val="52"/>
        </w:numPr>
        <w:rPr>
          <w:rFonts w:ascii="Arial" w:cs="Arial" w:eastAsia="Arial" w:hAnsi="Arial"/>
          <w:sz w:val="14"/>
          <w:szCs w:val="14"/>
          <w:b w:val="1"/>
          <w:bCs w:val="1"/>
          <w:i w:val="1"/>
          <w:iCs w:val="1"/>
          <w:color w:val="auto"/>
        </w:rPr>
      </w:pPr>
      <w:r>
        <w:rPr>
          <w:rFonts w:ascii="Arial" w:cs="Arial" w:eastAsia="Arial" w:hAnsi="Arial"/>
          <w:sz w:val="14"/>
          <w:szCs w:val="14"/>
          <w:color w:val="auto"/>
        </w:rPr>
        <w:t>Represents professional service costs directly related to the Business Combination.</w:t>
      </w:r>
    </w:p>
    <w:p>
      <w:pPr>
        <w:ind w:left="320" w:hanging="314"/>
        <w:spacing w:after="0"/>
        <w:tabs>
          <w:tab w:leader="none" w:pos="320" w:val="left"/>
        </w:tabs>
        <w:numPr>
          <w:ilvl w:val="0"/>
          <w:numId w:val="52"/>
        </w:numPr>
        <w:rPr>
          <w:rFonts w:ascii="Arial" w:cs="Arial" w:eastAsia="Arial" w:hAnsi="Arial"/>
          <w:sz w:val="14"/>
          <w:szCs w:val="14"/>
          <w:b w:val="1"/>
          <w:bCs w:val="1"/>
          <w:i w:val="1"/>
          <w:iCs w:val="1"/>
          <w:color w:val="auto"/>
        </w:rPr>
      </w:pPr>
      <w:r>
        <w:rPr>
          <w:rFonts w:ascii="Arial" w:cs="Arial" w:eastAsia="Arial" w:hAnsi="Arial"/>
          <w:sz w:val="14"/>
          <w:szCs w:val="14"/>
          <w:color w:val="auto"/>
        </w:rPr>
        <w:t>For the three months ended March 31, 2021, consists of funding received under the CARES Act Provider Relief Fund.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 Liquidity and Capital Resources</w:t>
      </w:r>
    </w:p>
    <w:p>
      <w:pPr>
        <w:spacing w:after="0" w:line="170"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Sema4 has incurred net losses and negative cash flows from operations since its inception, including net losses of $241.3 million, $29.7 million and $23.9 million for the years ended December 31, 2020, 2019 and 2018, respectively, and net losses of $191.0 million and $27.0 million for the three months ended March 31, 2021 and 2020, respectively. As of March 31, 2021, we had an accumulated deficit of $521.0 million. We expect to continue to generate significant operating losses for the foreseeable future. Through March 31, 2021, we have funded our operations primarily with proceeds from the issuance of redeemable convertible preferred stock and the issuance of long-term debt. On July 22, 2021, we consummated the Business Combination, receiving net cash proceeds of $510 million in cash.</w:t>
      </w:r>
    </w:p>
    <w:p>
      <w:pPr>
        <w:spacing w:after="0" w:line="143"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Based on our recurring losses from operations incurred since inception, expectation of continuing operating losses for the foreseeable future, and the need to raise additional capital to finance future operations, as of June 10, 2021, the issuance date of our unaudited condensed financial statements for the three months ended March 31, 2021 included elsewhere in this prospectus, we had concluded that there was substantial doubt about our ability to continue as a going concern for a period of one year from the date that these financial statements were issued. Although the funding we received upon the completion of the Business Combination addressed the substantial doubt about our ability to continue as a going concern, we may also seek additional funding in the future through the sale of common or preferred equity or convertible debt securities, the entry into a credit facility or another form of third-party funding or by seeking other debt financing.</w:t>
      </w:r>
    </w:p>
    <w:p>
      <w:pPr>
        <w:spacing w:after="0" w:line="132"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We plan to utilize the existing cash and cash equivalents on hand primarily to fund our operations as we continue to grow our business, enter into partnerships, pursue strategic investments and continue research and development initiatives related to Women’s Health and Oncology. We expect to incur additional costs associated with operating as a public company, including expenses related to legal, accounting, and regulatory matters; maintaining compliance with requirements of the Nasdaq and of the SEC; director and officer insurance premiums and investor relations. Cash used to fund operating expenses is affected by the timing of when we pay expenses, as reflected in the change in our outstanding accounts payable and accrued expenses. We also expect to make increased capital expenditures in the near term related to our laboratory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Cash Requirements for Known Contractual Obligations and Commitments</w:t>
      </w:r>
    </w:p>
    <w:p>
      <w:pPr>
        <w:spacing w:after="0" w:line="17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is a description of commitments for known and reasonably likely cash requirements as of December 31, 2020 and March 31, 2021. We anticipate fulfilling such commitments with our existing cash and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equivalents, which amounted to $108.1 million and $58.7 million as of December 31, 2020 and March 31, 2021, respectively, or through additional capital raised to finance our operations; see "—Going Concern, Liquidity and Capital Resources".</w:t>
      </w:r>
    </w:p>
    <w:p>
      <w:pPr>
        <w:spacing w:after="0" w:line="128"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Our future minimum payments under non-cancellable operating lease agreements were $73.3 million as of December 31, 2020 and $71.5 million as of March 31, 2021. The timing of these future payments, by year, can be found in Sema4’s audited financial statements in Note 8, “Commitments and Contingencies” and Sema4’s unaudited condensed financial statements in Note 8, “Commitments and Contingencies,” respectively.</w:t>
      </w:r>
    </w:p>
    <w:p>
      <w:pPr>
        <w:spacing w:after="0" w:line="11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future payments under capital leases were $70.2 million as of December 31, 2020 and $69.2 million as of March 31, 2021. The timing of these future payments, by year, can be found in Sema4’s audited financial statements in Note 8, “Commitments and Contingencies” and Sema4’s unaudited condensed financial statements in Note 8, “Commitments and Contingencies,” respectively.</w:t>
      </w:r>
    </w:p>
    <w:p>
      <w:pPr>
        <w:spacing w:after="0" w:line="135"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In 2016, ISMMS received a loan funding commitment from the DECD, or the DECD Loan Agreement, to support the Genetic Sequencing Laboratory Project, which we refer to as the Project. As part of the spin-out of Sema4 from ISMMS, ISMMS assigned both the Project and the DECD Loan Agreement to us. In June of 2018, we amended the DECD Loan Agreement by increasing the total loan commitment amount to $15.5 million. During the years ended December 31, 2020 and 2018, we received $6.0 million and $4.5 million, respectively, in loan funding. During the year ended December 31, 2020, we entered into a Master Loan and Security Agreement, or the Equipment Note, with a bank resulting in the receipt of $6.3 million of proceeds. The loan is fully secured with funds deposited in a bank account opened by us in the lender-designated bank. Also, during the year ended December 31, 2020, we entered into a Master Lease Agreement with a lender whereby we agreed to sell certain equipment and immediately lease it back, resulting in the receipt of $3.6 million of proceeds. We issued a letter of credit as security for this loan. More information on the terms of these financing arrangements can be found in Sema4’s audited financial statements in Note 7, “Long-term debt” and Sema4’s unaudited condensed financial statements in Note 7, “Long-term debt.”</w:t>
      </w:r>
    </w:p>
    <w:p>
      <w:pPr>
        <w:spacing w:after="0" w:line="107"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terms of the amended DECD Loan Agreement require us to make interest-only payments through July 2023 and principal and interest payments commencing in August 2023. The final payment of principal and interest is due in July 2028. Interest payments are fixed at an annual interest rate of 2.0%. The outstanding loan balance from the DECD was $11.0 million and $11.0 million at December 31, 2020 and March 31, 2021, respectively. The DECD may grant partial principal loan forgiveness that is contingent upon us achieving certain milestones. The timing of these future payments, by year, can be found in Sema4’s audited financial statements in Note 7, “Long-Term Debt” and Sema4’s unaudited condensed financial statements in Note 7, “Long-term debt.”</w:t>
      </w:r>
    </w:p>
    <w:p>
      <w:pPr>
        <w:spacing w:after="0" w:line="98"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terms of the Equipment Note require us to make sixty consecutive monthly payments of principal and interest at a fixed monthly amount of $0.1 million beginning in November 2020. Interest payments are fixed at an annual interest rate of 4.75%. The outstanding loan balance was $6.1 million and $5.8 million at December 31, 2020 and March 31, 2021, respectively. The timing of these future payments, by year, can be found in Sema4’s audited financial statements in Note 7, “Long-Term Debt” and Sema4’s unaudited condensed financial statements in Note 7, “Long-term debt,” respectively.</w:t>
      </w:r>
    </w:p>
    <w:p>
      <w:pPr>
        <w:spacing w:after="0" w:line="93"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terms of the Master Lease Agreement require us to make sixty consecutive monthly payments of principal and interest at a fixed monthly amount of $0.1 million beginning in February 2021. Interest payments are fixed at an annual interest rate of 3.54%. The outstanding loan balance was $3.6 million and $3.5 million at December 31, 2020 and March 31, 2021, respectively. The timing of these future payments, by year, can be found Sema4’s audited financial statements in Note 7, “Long-Term Debt” and Sema4’s unaudited condensed financial statements in Note 7, “Long-term debt,”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center"/>
              <w:ind w:right="161"/>
              <w:spacing w:after="0"/>
              <w:rPr>
                <w:sz w:val="20"/>
                <w:szCs w:val="20"/>
                <w:color w:val="auto"/>
              </w:rPr>
            </w:pPr>
            <w:r>
              <w:rPr>
                <w:rFonts w:ascii="Arial" w:cs="Arial" w:eastAsia="Arial" w:hAnsi="Arial"/>
                <w:sz w:val="14"/>
                <w:szCs w:val="14"/>
                <w:b w:val="1"/>
                <w:bCs w:val="1"/>
                <w:color w:val="auto"/>
                <w:w w:val="90"/>
              </w:rPr>
              <w:t>Year Ended</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0" w:type="dxa"/>
            <w:vAlign w:val="bottom"/>
            <w:gridSpan w:val="3"/>
          </w:tcPr>
          <w:p>
            <w:pPr>
              <w:jc w:val="center"/>
              <w:ind w:right="236"/>
              <w:spacing w:after="0"/>
              <w:rPr>
                <w:sz w:val="20"/>
                <w:szCs w:val="20"/>
                <w:color w:val="auto"/>
              </w:rPr>
            </w:pPr>
            <w:r>
              <w:rPr>
                <w:rFonts w:ascii="Arial" w:cs="Arial" w:eastAsia="Arial" w:hAnsi="Arial"/>
                <w:sz w:val="14"/>
                <w:szCs w:val="14"/>
                <w:b w:val="1"/>
                <w:bCs w:val="1"/>
                <w:color w:val="auto"/>
                <w:w w:val="92"/>
              </w:rPr>
              <w:t>Three Months Ended</w:t>
            </w:r>
          </w:p>
        </w:tc>
      </w:tr>
      <w:tr>
        <w:trPr>
          <w:trHeight w:val="185"/>
        </w:trPr>
        <w:tc>
          <w:tcPr>
            <w:tcW w:w="43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90"/>
              </w:rPr>
              <w:t>December 31,</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left="541"/>
              <w:spacing w:after="0"/>
              <w:rPr>
                <w:sz w:val="20"/>
                <w:szCs w:val="20"/>
                <w:color w:val="auto"/>
              </w:rPr>
            </w:pPr>
            <w:r>
              <w:rPr>
                <w:rFonts w:ascii="Arial" w:cs="Arial" w:eastAsia="Arial" w:hAnsi="Arial"/>
                <w:sz w:val="14"/>
                <w:szCs w:val="14"/>
                <w:b w:val="1"/>
                <w:bCs w:val="1"/>
                <w:color w:val="auto"/>
                <w:w w:val="95"/>
              </w:rPr>
              <w:t>March, 31</w:t>
            </w:r>
          </w:p>
        </w:tc>
        <w:tc>
          <w:tcPr>
            <w:tcW w:w="920" w:type="dxa"/>
            <w:vAlign w:val="bottom"/>
            <w:tcBorders>
              <w:bottom w:val="single" w:sz="8" w:color="auto"/>
            </w:tcBorders>
          </w:tcPr>
          <w:p>
            <w:pPr>
              <w:spacing w:after="0"/>
              <w:rPr>
                <w:sz w:val="16"/>
                <w:szCs w:val="16"/>
                <w:color w:val="auto"/>
              </w:rPr>
            </w:pPr>
          </w:p>
        </w:tc>
      </w:tr>
      <w:tr>
        <w:trPr>
          <w:trHeight w:val="179"/>
        </w:trPr>
        <w:tc>
          <w:tcPr>
            <w:tcW w:w="43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89"/>
              </w:rPr>
              <w:t>2019</w:t>
            </w: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2020</w:t>
            </w:r>
          </w:p>
        </w:tc>
      </w:tr>
      <w:tr>
        <w:trPr>
          <w:trHeight w:val="179"/>
        </w:trPr>
        <w:tc>
          <w:tcPr>
            <w:tcW w:w="4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26"/>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5"/>
              </w:rPr>
              <w:t>(93,128)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8"/>
              </w:rPr>
              <w:t>(18,728)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(24,684)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(42,208)</w:t>
            </w:r>
          </w:p>
        </w:tc>
        <w:tc>
          <w:tcPr>
            <w:tcW w:w="4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(22,613)</w:t>
            </w:r>
          </w:p>
        </w:tc>
      </w:tr>
      <w:tr>
        <w:trPr>
          <w:trHeight w:val="225"/>
        </w:trPr>
        <w:tc>
          <w:tcPr>
            <w:tcW w:w="43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19"/>
                <w:szCs w:val="19"/>
                <w:color w:val="auto"/>
              </w:rPr>
            </w:pPr>
          </w:p>
        </w:tc>
        <w:tc>
          <w:tcPr>
            <w:tcW w:w="1040" w:type="dxa"/>
            <w:vAlign w:val="bottom"/>
          </w:tcPr>
          <w:p>
            <w:pPr>
              <w:ind w:left="380"/>
              <w:spacing w:after="0"/>
              <w:rPr>
                <w:sz w:val="20"/>
                <w:szCs w:val="20"/>
                <w:color w:val="auto"/>
              </w:rPr>
            </w:pPr>
            <w:r>
              <w:rPr>
                <w:rFonts w:ascii="Arial" w:cs="Arial" w:eastAsia="Arial" w:hAnsi="Arial"/>
                <w:sz w:val="18"/>
                <w:szCs w:val="18"/>
                <w:color w:val="auto"/>
                <w:w w:val="95"/>
              </w:rPr>
              <w:t>(31,974)</w:t>
            </w:r>
          </w:p>
        </w:tc>
        <w:tc>
          <w:tcPr>
            <w:tcW w:w="240" w:type="dxa"/>
            <w:vAlign w:val="bottom"/>
          </w:tcPr>
          <w:p>
            <w:pPr>
              <w:spacing w:after="0"/>
              <w:rPr>
                <w:sz w:val="19"/>
                <w:szCs w:val="19"/>
                <w:color w:val="auto"/>
              </w:rPr>
            </w:pPr>
          </w:p>
        </w:tc>
        <w:tc>
          <w:tcPr>
            <w:tcW w:w="1180" w:type="dxa"/>
            <w:vAlign w:val="bottom"/>
          </w:tcPr>
          <w:p>
            <w:pPr>
              <w:ind w:left="500"/>
              <w:spacing w:after="0"/>
              <w:rPr>
                <w:sz w:val="20"/>
                <w:szCs w:val="20"/>
                <w:color w:val="auto"/>
              </w:rPr>
            </w:pPr>
            <w:r>
              <w:rPr>
                <w:rFonts w:ascii="Arial" w:cs="Arial" w:eastAsia="Arial" w:hAnsi="Arial"/>
                <w:sz w:val="18"/>
                <w:szCs w:val="18"/>
                <w:color w:val="auto"/>
                <w:w w:val="98"/>
              </w:rPr>
              <w:t>(15,456)</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(3,803)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(4,994)</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(5,321)</w:t>
            </w:r>
          </w:p>
        </w:tc>
      </w:tr>
      <w:tr>
        <w:trPr>
          <w:trHeight w:val="226"/>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129,056</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148,012</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27,065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4,657</w:t>
            </w:r>
          </w:p>
        </w:tc>
      </w:tr>
    </w:tbl>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64"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Net cash used in operating activities during the year ended December 31, 2020 was $93.1 million, which was primarily attributable to a net loss of $241.3 million, partially offset by non-cash depreciation and amortization of $11.7 million, non-cash stock-based compensation expense of $120.2 million and a net change in our operating assets and liabilities of $13.8 million. The net change in our operating assets and liabilities primarily reflected an increase in accounts receivable of $10.6 million driven by a slowdown in collections due to the COVID-19 pandemic, a $9.0 million increase in inventories in preparation for the move of certain laboratory operations to a new location in December 2020, an increase in accounts payable and accrued expenses of $14.8 million due to timing of vendor payments and increased spending during the year related to COVID-19 diagnostic testing and a $16.0 million increase in other current liabilities driven by higher personnel-related accruals due to increased headcount at 2020 year-end as compared to 2019 year-end, as well as an increase in accrued payroll taxes due to the deferral of U.S. payroll taxes as part of the CARES Act.</w:t>
      </w:r>
    </w:p>
    <w:p>
      <w:pPr>
        <w:spacing w:after="0" w:line="101"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Net cash used in operating activities during the year ended December 31, 2019 was $18.7 million, which was primarily attributable to a net loss of $29.7 million and a net change in our operating assets and liabilities of $0.7 million, partially offset by non-cash depreciation and amortization of $6.4 million and non-cash stock-based compensation expense of $5.5 million. The net change in our operating assets and liabilities primarily reflected an increase in accounts receivable of $4.6 million driven by increase in testing volumes and billings, an $8.0 million increase in inventories driven by anticipated future growth due to a year-over-year increase in testing volumes for the year ended December 31, 2019 as compared to the year ended December 31, 2018, a $4.4 million increase in other assets due to security deposits on certain office and laboratory locations, an increase in accounts payable and accrued expenses of $12.8 million due to increased operating expenditures in line with the growth of the business and a $4.5 million increase in other current liabilities driven by higher personnel-related accruals due to increased headcount at 2019 year-end as compared to 2018 year-end.</w:t>
      </w:r>
    </w:p>
    <w:p>
      <w:pPr>
        <w:spacing w:after="0" w:line="101"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Net cash used in operating activities during the year ended December 31, 2018 was $24.7 million, which was primarily attributable to a net loss of $23.9 million, a $4.5 million non-cash gain on extinguishment of debt and a net change in our operating assets and liabilities of $7.9 million, which were partially offset by non-cash depreciation and amortization of $5.4 million and non-cash stock-based compensation expense of $5.6 million. The net change in our operating assets and liabilities primarily reflected an increase in accounts receivable of $4.7 million driven by an increase in testing volumes and billings, a $4.9 million increase in inventories to support anticipated future growth in diagnostic testing and a $3.9 million increase in other current liabilities driven by higher personnel-related accruals due to increased headcount at 2018 year-end as compared to 2017 year-end.</w:t>
      </w:r>
    </w:p>
    <w:p>
      <w:pPr>
        <w:spacing w:after="0" w:line="12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Net cash used in operating activities during the three months ended March 31, 2021 was $42.2 million, which was primarily attributable to a net loss of $191.0 million and a net change in our operating assets and liabilities of $23.1 million, partially offset by non-cash depreciation and amortization of $4.9 million and non-cash stock-based compensation expense of $165.0 million. The net change in our operating assets and liabilities primarily reflected an $9.8 million increase in inventories driven by a higher volume of purchases to support increasing testing volumes, a $6.5 million increase in prepaid expenses and other current assets mainly driven by professional services costs directly related to the Business Combination, a $3.5 million increase in accounts payable and accrued expenses due to the timing of vendor payments, and an $8.7 million decrease in other current liabilities mainly driven by a decline in our bonus accrual following bonus payments in March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19"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Net cash used in operating activities during the three months ended March 31, 2020 was $22.6 million, which was primarily attributable to a net loss of $27.0 million, partially offset by non-cash depreciation and amortization of $2.4 million, non-cash stock-based compensation expense of $0.8 million and non-cash lease expenses of $1.1 million. The net change in our operating assets and liabilities was nominal for the three months ended March 31, 2020.</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Net cash used in investing activities during the year ended December 31, 2020 was $32.0 million, which was attributable to $24.1 million in purchases of property and equipment and $7.9 million of costs related to development of internal-use software assets.</w:t>
      </w:r>
    </w:p>
    <w:p>
      <w:pPr>
        <w:spacing w:after="0" w:line="12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Net cash used in investing activities during the year ended December 31, 2019 was $15.4 million, which was attributable to $11.9 million in purchases of property and equipment and $3.5 million of costs related to development of internal-use software assets.</w:t>
      </w:r>
    </w:p>
    <w:p>
      <w:pPr>
        <w:spacing w:after="0" w:line="12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Net cash used in investing activities during the year ended December 31, 2018 was $3.8 million, which was attributable to $2.2 million in purchases of property and equipment and $1.7 million of costs related to development of internal-use software assets, partially offset by $0.1 million in proceeds from the sale of laboratory equipment.</w:t>
      </w:r>
    </w:p>
    <w:p>
      <w:pPr>
        <w:spacing w:after="0" w:line="13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Net cash used in investing activities during the three months ended March 31, 2021 was $5.0 million, which was attributable to $2.1 million in purchases of property and equipment and $2.9 million of costs related to development of internal-use software assets.</w:t>
      </w:r>
    </w:p>
    <w:p>
      <w:pPr>
        <w:spacing w:after="0" w:line="12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Net cash used in investing activities during the three months ended March 31, 2020 was $5.3 million, which was attributable to $3.9 million in purchases of property and equipment and $1.4 million of costs related to development of internal-use software assets.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Net cash provided by financing activities during the year ended December 31, 2020 was $129.0 million, which was primarily attributable to $117.3 million in net cash proceeds from the issuance of our Series C redeemable convertible preferred stock and $15.9 million in net cash proceeds from the issuance of long-term debt. These increases were partially offset by $4.0 million in principal payments on our capital lease obligations and $0.2 million in principal payments on our long-term debt obligations.</w:t>
      </w:r>
    </w:p>
    <w:p>
      <w:pPr>
        <w:spacing w:after="0" w:line="13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Net cash provided by financing activities during the year ended December 31, 2019 was $148.0 million, which was attributable to $118.8 million in net cash proceeds from the issuance of our Series B redeemable convertible preferred stock and $30.9 million in capital contributions from ISMMS, partially offset by $1.7 million in principal payments on our capital lease obligations.</w:t>
      </w:r>
    </w:p>
    <w:p>
      <w:pPr>
        <w:spacing w:after="0" w:line="13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Net cash provided by financing activities during the year ended December 31, 2018 was $27.0 million, which was attributable to $24.6 million in capital contributions from ISMMS and $4.5 million in net cash proceeds from the issuance of long-term debt, partially offset by $2.1 million in principal payments on our capital lease obligations.</w:t>
      </w:r>
    </w:p>
    <w:p>
      <w:pPr>
        <w:spacing w:after="0" w:line="135"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Net cash used in financing activities during the three months ended March 31, 2021 was $2.3 million, which was attributable to $1.3 million in payments for deferred transaction costs related to the Business Combination, $1.0 million in principal payments on our capital lease obligations and $0.4 million in principal payments on our long-term debt obligations, offset by $0.4 million cash received from stock option exercise.</w:t>
      </w:r>
    </w:p>
    <w:p>
      <w:pPr>
        <w:spacing w:after="0" w:line="118"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Net cash provided by financing activities during the three months ended March 31, 2020 was $4.7 million, which was attributable to $6.0 million in net cash proceeds from the issuance of long-term debt, partially offset by $1.3 million in principal payments on our capital lease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70"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are exposed to market risks in the ordinary course of our business. These risks primarily relate to interest rates. Our cash, cash equivalents, and restricted cash consists of bank deposits and money market funds, which totaled $118.9 million and $115.0 million at December 31, 2020 and 2019, respectively, and $69.5 million at March 31, 2021. Such interest-bearing instruments carry a degree of risk; however, because our investments are primarily high-quality credit instruments with short-term in durations with high-quality institutions, we have not been exposed to, nor do we anticipate being exposed to, material risks due to changes in interest rates. A 100 basis point change in interest rates would not have a material effect on the fair market value of our cash, cash equivalents and restricted cash.</w:t>
      </w:r>
    </w:p>
    <w:p>
      <w:pPr>
        <w:spacing w:after="0" w:line="14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loans and financing obligations are recorded at amortized cost and are set at fixed interest rates. As a result, fluctuations in interest rates would not impact our financial statements. However, the fair value of our debt will generally fluctuate with movements of interest rates. Additional information on our long-term debt can be found in Sema4’s audited financial statements in Note 7, “Long-Term Debt” and Sema4’s unaudited condensed financial statements in Note 7, “Long-Term Debt.”</w:t>
      </w:r>
    </w:p>
    <w:p>
      <w:pPr>
        <w:spacing w:after="0" w:line="13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fair value of our liability-classified stock options is determined using the Black-Scholes model, which uses the risk-free interest rate as an input. A 100 basis point change in interest rates would not have a material effect on the fair value of our liability classified stock options using the Black-Scholes model.</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have prepared our financial statements in accordance with GAAP. Our preparation of these financial statements requires us to make estimates, assumptions and judgments that affect the reported amounts of assets, liabilities and related disclosures at the date of the financial statements, as well as revenue and expense recorded during the reporting periods. We evaluate our estimates and judgments on an ongoing basis. We base our estimates on historical experience and or other relevant assumptions that we believe to be reasonable under the circumstances. Actual results may differ from these estimates under different assumptions or conditions.</w:t>
      </w:r>
    </w:p>
    <w:p>
      <w:pPr>
        <w:spacing w:after="0" w:line="14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An accounting policy is deemed to be critical if it requires an accounting estimate to be made based on assumptions about matters that are highly uncertain at the time the estimate is made, if different estimates reasonably could have been used, or if changes in the estimate that are reasonably possible could materially impact the financial statements. While our significant accounting policies are described in more detail in Sema4’s audited financial statements in Note 2, “Summary of Significant Accounting Policies” and Sema4’s unaudited condensed financial statements in Note 2, “Summary of Significant Accounting Policies,” included elsewhere in this prospectus, we believe the following accounting policies to be critical to the judgments and estimates used in the preparation of our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Effective January 1, 2019 we adopted Accounting Standards Codification (“ASC”) Topic 606 (“ASC 606”), Revenue from Contracts with Customers. Under ASC 606, revenue is recognized when, or as, performance obligations under the terms of a contract are satisfied, which occurs when control of the promised products or services are transferred to a customer. Revenue is measured as the amount of consideration we expect to receive in exchange for transferring products or services to a customer. Our contracts require significant judgments in determining the transaction price and satisfying performance obligations under ASC 606.</w:t>
      </w:r>
    </w:p>
    <w:p>
      <w:pPr>
        <w:spacing w:after="0" w:line="14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recognized revenue pursuant to ASC Topic 605 (“ASC 605”), Revenue recognition, for the year ended December 31, 2018 prior to the adoption of ASC 606. Under ASC 605, revenue was recognized when persuasive evidence of a final agreement existed; delivery had occurred or services were rendered; the price of the product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service was fixed or determinable; and collectability from the customer was reasonably assured. Our contracts require significant judgments in determining whether the price is fixed or determinable and whether collectability is reasonably assured under ASC 605.</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Diagnostic test revenue</w:t>
      </w:r>
    </w:p>
    <w:p>
      <w:pPr>
        <w:spacing w:after="0" w:line="16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Our diagnostic test revenue contracts typically consist of a single performance obligation to deliver diagnostic testing services to the ordering facility or patient and therefore allocation of the contract transaction price is not applicable. Control over diagnostic testing services is transferred at a point in time. Specifically, we determined the customer obtains control of the promised service upon delivery of the test results.</w:t>
      </w:r>
    </w:p>
    <w:p>
      <w:pPr>
        <w:spacing w:after="0" w:line="118"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Under ASC 606, we include the unconstrained amount of estimated variable consideration in the transaction price. The transaction price is constrained to only include the amount for which it is probable that a significant reversal of cumulative revenue recognized will not occur when underlying uncertainties or contingencies resolve. At the end of each subsequent reporting period, we re-evaluate the estimated variable consideration included in the transaction price and any related constraint and, if necessary, adjust our estimate of the overall transaction price. The process for estimating the transaction price associated with services provided to customers involves significant judgments and assumptions.</w:t>
      </w:r>
    </w:p>
    <w:p>
      <w:pPr>
        <w:spacing w:after="0" w:line="128"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We estimate the transaction price in arrangements with third-party insurance payors based on historical collection experience, contractual provisions and insurance reimbursement policies, payor mix, and other relevant information for applicable payor portfolios. The estimates for implicit price concessions require significant judgment and are based upon management’s assessment of expected net collections, business and economic conditions, historical trends, trends in federal, state and private employer health care coverage and other collection indicators.</w:t>
      </w:r>
    </w:p>
    <w:p>
      <w:pPr>
        <w:spacing w:after="0" w:line="12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For self-pay patients, we determine the transaction price associated with services rendered in consideration of implicit price concessions that are granted to such patients. The estimates for implicit price concessions require significant judgment and are based upon management’s assessment of expected net collections, business and economic conditions, historical trends, trends in federal, state and private employer health care coverage and other collection indicators.</w:t>
      </w:r>
    </w:p>
    <w:p>
      <w:pPr>
        <w:spacing w:after="0" w:line="138"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For institutional clients, the customer is the institution. We determine the transaction price associated with services rendered in accordance with the contractual rates established with each customer.</w:t>
      </w:r>
    </w:p>
    <w:p>
      <w:pPr>
        <w:spacing w:after="0" w:line="128"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We monitor these accrual estimates at each reporting period based on actual cash collections in order to assess whether a revision to the estimate is required. Both the initial estimate and any subsequent revision to the estimate contain uncertainty and require the use of judgment in the estimation of the transaction price and application of the constraint for variable consideration. If actual results in the future vary from our estimates, we will adjust these estimates, which could affect revenue and earnings in the period such variances become known.</w:t>
      </w:r>
    </w:p>
    <w:p>
      <w:pPr>
        <w:spacing w:after="0" w:line="12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Under ASC 605, we recognize revenue from diagnostic tests performed in the period in which tests are reported to customers if the price is fixed or determinable and collectability from the customer is reasonably assured. The criterion for whether the price was fixed or determinable and whether collectability was reasonably assured were based on management’s judgments. When evaluating collectability, in situations where reimbursement coverage did not exist, we considered whether a sufficient history to reliably estimate a payer’s individual payment patterns existed. For most uninsured customers, we were not able to demonstrate a predictable pattern of collectability and, therefore, recognized revenue when payment was received. For customers who had demonstrated a consistent pattern of payment of tests billed at the appropriate amounts, we recognized revenue at estimated realizable amounts upon delivery of test results.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16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We also recognize revenue from collaboration service agreements with Biopharma companies and other third parties pursuant to which we provide diagnostic testing and related data aggregation reporting services. The goods and services transferred to our customers pursuant to these agreements generally comprise a single performance obligation on the basis that such goods and services are not distinct within the context of the contract. This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1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because the goods and services are highly interdependent and interrelated such that we would not be able to fulfill its underlying promise to our customers by transferring each good or service independently. These contracts generally include non-refundable upfront payments, which we record as contract liabilities, and variable payments based upon the achievement of certain milestones during the contract term. Milestone payments are a form of variable consideration that are included in the transaction price only when it is probable that doing so will not result in a significant reversal of cumulative revenue recognized when the uncertainty associated with the milestone is subsequently resolved.</w:t>
      </w:r>
    </w:p>
    <w:p>
      <w:pPr>
        <w:spacing w:after="0" w:line="128"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Under ASC 606, we recognize revenue over time using an input measure based on costs incurred on the basis that this measure best reflects the pattern of transfer of control of the services to the customer. The measure of progress is developed using our best estimate of the performance period and the anticipated costs to be incurred to perform such services. The costs for any subcontracted services are included in our measure of progress used to recognize revenue.</w:t>
      </w:r>
    </w:p>
    <w:p>
      <w:pPr>
        <w:spacing w:after="0" w:line="84" w:lineRule="exact"/>
        <w:rPr>
          <w:sz w:val="20"/>
          <w:szCs w:val="20"/>
          <w:color w:val="auto"/>
        </w:rPr>
      </w:pPr>
    </w:p>
    <w:p>
      <w:pPr>
        <w:ind w:right="1700" w:firstLine="318"/>
        <w:spacing w:after="0" w:line="430" w:lineRule="auto"/>
        <w:rPr>
          <w:sz w:val="20"/>
          <w:szCs w:val="20"/>
          <w:color w:val="auto"/>
        </w:rPr>
      </w:pPr>
      <w:r>
        <w:rPr>
          <w:rFonts w:ascii="Arial" w:cs="Arial" w:eastAsia="Arial" w:hAnsi="Arial"/>
          <w:sz w:val="18"/>
          <w:szCs w:val="18"/>
          <w:color w:val="auto"/>
        </w:rPr>
        <w:t xml:space="preserve">Under ASC 605, we recognize revenues when the contractual obligations are met based on the terms of the respective agreements. </w:t>
      </w:r>
      <w:r>
        <w:rPr>
          <w:rFonts w:ascii="Arial" w:cs="Arial" w:eastAsia="Arial" w:hAnsi="Arial"/>
          <w:sz w:val="18"/>
          <w:szCs w:val="18"/>
          <w:b w:val="1"/>
          <w:bCs w:val="1"/>
          <w:i w:val="1"/>
          <w:iCs w:val="1"/>
          <w:color w:val="auto"/>
        </w:rPr>
        <w:t>Capitalized Internal-Use Software Costs</w:t>
      </w:r>
    </w:p>
    <w:p>
      <w:pPr>
        <w:jc w:val="both"/>
        <w:ind w:firstLine="318"/>
        <w:spacing w:after="0" w:line="305" w:lineRule="auto"/>
        <w:rPr>
          <w:sz w:val="20"/>
          <w:szCs w:val="20"/>
          <w:color w:val="auto"/>
        </w:rPr>
      </w:pPr>
      <w:r>
        <w:rPr>
          <w:rFonts w:ascii="Arial" w:cs="Arial" w:eastAsia="Arial" w:hAnsi="Arial"/>
          <w:sz w:val="15"/>
          <w:szCs w:val="15"/>
          <w:color w:val="auto"/>
        </w:rPr>
        <w:t>We capitalize certain costs related to the development of our software applications for internal use. Capitalization begins during the application development stage, once the preliminary project stage has been completed. If a project constitutes an enhancement to existing software, we assess whether the enhancement creates additional functionality to the software, thus qualifying the work incurred for capitalization. Costs incurred prior to meeting these criteria together with costs incurred for training and maintenance are expensed as incurred. Once the project is available for general release, capitalization ceases and we estimate the useful life of the asset and begin amortization. We exercise judgment in determining the point at which various projects may be capitalized, in assessing the ongoing value of the capitalized costs and in determining the estimated useful lives over which the costs are amortized. We periodically assess whether triggering events are present to review internal-use software for impairment. To the extent that we change our estimates related to internal-use software, the amount of internal-use software development costs we capitalize and amortize could change in future periods.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64"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We measure stock-based compensation expense for liability-classified stock options granted to employees, consultants and directors based on the estimated fair value of the awards and recognize compensation expense over the requisite service period for each separate vesting portion of the award as if the award was, in-substance, multiple awards. Terms of our stock options include a provision whereby we have a call option to repurchase the award for cash upon termination of employment or termination of the consulting agreement. We have concluded that it is probable we will continue to exercise our call option prior to the award holder being subject to the risks and rewards of equity ownership. As a result, stock options are classified as liabilities in the accompanying balance sheets. Additional information on our stock-based compensation can be found in Sema4’s audited financial statements in Note 9, “Stock-Based Compensation” and Sema4’s unaudited condensed financial statements in Note 9, “Stock-Based Compensation.”</w:t>
      </w:r>
    </w:p>
    <w:p>
      <w:pPr>
        <w:spacing w:after="0" w:line="10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initial measurement of fair value and subsequent change in fair value are recognized as compensation expense over the requisite service period from grant date to settlement date for all awards that vest with a corresponding adjustment to stock-based compensation liabilities on the balance sheet. Shares of common stock issued upon settlement of an award continue to be classified as a liability and remeasured to fair value each reporting period until the shareholder bears the risks and rewards of equity ownership for a reasonable period of time, which we conclude is a period of at least six months.</w:t>
      </w:r>
    </w:p>
    <w:p>
      <w:pPr>
        <w:spacing w:after="0" w:line="9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estimate the fair value of stock options using the Black-Scholes option-pricing model. The Black-Scholes option-pricing model requires the use of assumptions regarding a number of variables that are complex, subjective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and generally require significant judgment to determine. Changes in the assumptions can materially affect the fair value and ultimately how much stock-based compensation expense is recognized. These assumptions include:</w:t>
      </w:r>
    </w:p>
    <w:p>
      <w:pPr>
        <w:spacing w:after="0" w:line="12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As we do not have any trading history for our common stock, the expected volatility was estimated based on the average volatility for</w:t>
      </w:r>
      <w:r>
        <w:rPr>
          <w:rFonts w:ascii="Arial" w:cs="Arial" w:eastAsia="Arial" w:hAnsi="Arial"/>
          <w:sz w:val="18"/>
          <w:szCs w:val="18"/>
          <w:i w:val="1"/>
          <w:iCs w:val="1"/>
          <w:color w:val="auto"/>
        </w:rPr>
        <w:t xml:space="preserve"> </w:t>
      </w:r>
      <w:r>
        <w:rPr>
          <w:rFonts w:ascii="Arial" w:cs="Arial" w:eastAsia="Arial" w:hAnsi="Arial"/>
          <w:sz w:val="18"/>
          <w:szCs w:val="18"/>
          <w:color w:val="auto"/>
        </w:rPr>
        <w:t>comparable publicly traded companies over a period equal to the expected term of stock option grants. When selecting these comparable companies, we considered the enterprise value, risk profiles, position within the industry, and whether there was sufficient historical share price information to meet the expected life of the stock-based awards. We computed historical volatility using the daily closing prices for the selected companies’ common stock during the equivalent period of the calculated expected term of the stock-based awards.</w:t>
      </w:r>
    </w:p>
    <w:p>
      <w:pPr>
        <w:spacing w:after="0" w:line="14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The expected term represents the period that awards are expected to be outstanding and is determined by the potential timing of a liquidity</w:t>
      </w:r>
      <w:r>
        <w:rPr>
          <w:rFonts w:ascii="Arial" w:cs="Arial" w:eastAsia="Arial" w:hAnsi="Arial"/>
          <w:sz w:val="18"/>
          <w:szCs w:val="18"/>
          <w:i w:val="1"/>
          <w:iCs w:val="1"/>
          <w:color w:val="auto"/>
        </w:rPr>
        <w:t xml:space="preserve"> </w:t>
      </w:r>
      <w:r>
        <w:rPr>
          <w:rFonts w:ascii="Arial" w:cs="Arial" w:eastAsia="Arial" w:hAnsi="Arial"/>
          <w:sz w:val="18"/>
          <w:szCs w:val="18"/>
          <w:color w:val="auto"/>
        </w:rPr>
        <w:t>event since all awards have accelerated vesting features upon a liquidation event and we generally do not expect grantees to exercise vested options prior to a liquidation event.</w:t>
      </w:r>
    </w:p>
    <w:p>
      <w:pPr>
        <w:spacing w:after="0" w:line="13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risk-free interest rate is based on the U.S. Treasury yield curve in effect at the time of grant for bonds with maturities</w:t>
      </w:r>
      <w:r>
        <w:rPr>
          <w:rFonts w:ascii="Arial" w:cs="Arial" w:eastAsia="Arial" w:hAnsi="Arial"/>
          <w:sz w:val="18"/>
          <w:szCs w:val="18"/>
          <w:i w:val="1"/>
          <w:iCs w:val="1"/>
          <w:color w:val="auto"/>
        </w:rPr>
        <w:t xml:space="preserve"> </w:t>
      </w:r>
      <w:r>
        <w:rPr>
          <w:rFonts w:ascii="Arial" w:cs="Arial" w:eastAsia="Arial" w:hAnsi="Arial"/>
          <w:sz w:val="18"/>
          <w:szCs w:val="18"/>
          <w:color w:val="auto"/>
        </w:rPr>
        <w:t>consistent with the expected holding periods corresponding with the expected term of the option.</w:t>
      </w:r>
    </w:p>
    <w:p>
      <w:pPr>
        <w:spacing w:after="0" w:line="12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i w:val="1"/>
          <w:iCs w:val="1"/>
          <w:color w:val="auto"/>
        </w:rPr>
        <w:t>Dividend yield</w:t>
      </w:r>
      <w:r>
        <w:rPr>
          <w:rFonts w:ascii="Arial" w:cs="Arial" w:eastAsia="Arial" w:hAnsi="Arial"/>
          <w:sz w:val="18"/>
          <w:szCs w:val="18"/>
          <w:color w:val="auto"/>
        </w:rPr>
        <w:t>. We have not historically paid dividends on common stock and do not anticipate paying dividends in the foreseeable future. Therefore, the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dividend yield is zero.</w:t>
      </w:r>
    </w:p>
    <w:p>
      <w:pPr>
        <w:spacing w:after="0" w:line="12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i w:val="1"/>
          <w:iCs w:val="1"/>
          <w:color w:val="auto"/>
        </w:rPr>
        <w:t xml:space="preserve">Fair value of common stock. </w:t>
      </w:r>
      <w:r>
        <w:rPr>
          <w:rFonts w:ascii="Arial" w:cs="Arial" w:eastAsia="Arial" w:hAnsi="Arial"/>
          <w:sz w:val="18"/>
          <w:szCs w:val="18"/>
          <w:color w:val="auto"/>
        </w:rPr>
        <w:t>Prior to the closing of the Business Combination, the fair value of our common stock issuable upon exercise of stock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was determined by our board of directors, with input from management and independent third-party valuations, as discussed in “Common Stock Valuations” below.</w:t>
      </w:r>
    </w:p>
    <w:p>
      <w:pPr>
        <w:spacing w:after="0" w:line="135" w:lineRule="exact"/>
        <w:rPr>
          <w:sz w:val="20"/>
          <w:szCs w:val="20"/>
          <w:color w:val="auto"/>
        </w:rPr>
      </w:pPr>
    </w:p>
    <w:p>
      <w:pPr>
        <w:ind w:right="460" w:firstLine="318"/>
        <w:spacing w:after="0" w:line="430" w:lineRule="auto"/>
        <w:rPr>
          <w:sz w:val="20"/>
          <w:szCs w:val="20"/>
          <w:color w:val="auto"/>
        </w:rPr>
      </w:pPr>
      <w:r>
        <w:rPr>
          <w:rFonts w:ascii="Arial" w:cs="Arial" w:eastAsia="Arial" w:hAnsi="Arial"/>
          <w:sz w:val="18"/>
          <w:szCs w:val="18"/>
          <w:color w:val="auto"/>
        </w:rPr>
        <w:t xml:space="preserve">The estimated forfeiture rate is not determinable due to a lack of historical and comparable data. Therefore, we account for forfeitures as they occur. </w:t>
      </w:r>
      <w:r>
        <w:rPr>
          <w:rFonts w:ascii="Arial" w:cs="Arial" w:eastAsia="Arial" w:hAnsi="Arial"/>
          <w:sz w:val="18"/>
          <w:szCs w:val="18"/>
          <w:b w:val="1"/>
          <w:bCs w:val="1"/>
          <w:i w:val="1"/>
          <w:iCs w:val="1"/>
          <w:color w:val="auto"/>
        </w:rPr>
        <w:t>Common Stock Valuations</w:t>
      </w:r>
    </w:p>
    <w:p>
      <w:pPr>
        <w:jc w:val="both"/>
        <w:ind w:firstLine="318"/>
        <w:spacing w:after="0" w:line="250" w:lineRule="auto"/>
        <w:rPr>
          <w:sz w:val="20"/>
          <w:szCs w:val="20"/>
          <w:color w:val="auto"/>
        </w:rPr>
      </w:pPr>
      <w:r>
        <w:rPr>
          <w:rFonts w:ascii="Arial" w:cs="Arial" w:eastAsia="Arial" w:hAnsi="Arial"/>
          <w:sz w:val="18"/>
          <w:szCs w:val="18"/>
          <w:color w:val="auto"/>
        </w:rPr>
        <w:t>The estimated fair value of common stock underlying our stock options was determined at each grant date by our board of directors, with input from management, considering our most recently available third-party valuations of common stock and our board of directors’ assessment of additional objective and subjective factors that it believed were relevant and factors that may have changed from the date of the most recent valuation through the end of the reporting period. All options to purchase shares of our common stock are intended to be exercisable at a price per share not less than the per-share fair value of our common stock underlying those options on the date of grant.</w:t>
      </w:r>
    </w:p>
    <w:p>
      <w:pPr>
        <w:spacing w:after="0" w:line="141"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We determined the fair value of our common stock using methodologies, approaches and assumptions consistent with the American Institute of Certified Public Accountants Accounting and Valuation Guide, Valuation of Privately-Held-Company Equity Securities Issued as Compensation. Given the absence of a public trading market for our common stock, our common stock valuation methodologies utilize certain assumptions, including probability weighting of events, volatility, time to liquidation, a risk-free interest rate and an assumption for a discount for lack of marketability. Other considerations include:</w:t>
      </w:r>
    </w:p>
    <w:p>
      <w:pPr>
        <w:spacing w:after="0" w:line="93" w:lineRule="exact"/>
        <w:rPr>
          <w:sz w:val="20"/>
          <w:szCs w:val="20"/>
          <w:color w:val="auto"/>
        </w:rPr>
      </w:pPr>
    </w:p>
    <w:p>
      <w:pPr>
        <w:ind w:left="640" w:hanging="316"/>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prices, rights, preferences and privileges of our redeemable convertible preferred stock relative to our common stock;</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operating and financial performance, forecasts and capital resources;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current business conditions;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stage of commercialization;</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likelihood of achieving a liquidity event for the shares of common stock issuable upon exercise of these stock options, such as an initial public offering, reverse merger SPAC transaction, or sale of Sema4, given prevailing market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19" w:lineRule="exact"/>
        <w:rPr>
          <w:sz w:val="20"/>
          <w:szCs w:val="20"/>
          <w:color w:val="auto"/>
        </w:rPr>
      </w:pPr>
    </w:p>
    <w:p>
      <w:pPr>
        <w:ind w:left="640" w:hanging="316"/>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market performance of comparable publicly traded technology companies;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U.S. and global economic and capital market conditions.</w:t>
      </w:r>
    </w:p>
    <w:p>
      <w:pPr>
        <w:spacing w:after="0" w:line="164"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In valuing our common stock for periods prior to December 31, 2020, we utilized the “backsolve” method to derive our implied enterprise value from arm’s length transactions in our redeemable convertible preferred securities assuming various timelines to liquidity via an initial public offering or sale. We then used an option-pricing model (“OPM”) to estimate the fair value of our common stock based on the calculated enterprise value under each liquidity scenario. The OPM treats the rights of the holders of redeemable convertible preferred stock and common stock as equivalent to that of call options on any value of the enterprise above certain break points of value based upon the liquidation preferences of the holders of preferred stock, as well as their rights to participation and conversion. Based on the timing and nature of an assumed liquidity event in each scenario, a discount for lack of marketability was applied to each scenario. We then probability weighted the value of each expected outcome to arrive at an estimate of fair value per share of common stock.</w:t>
      </w:r>
    </w:p>
    <w:p>
      <w:pPr>
        <w:spacing w:after="0" w:line="10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In valuing our common stock prior to the closing of the Business Combination, including as of December 31, 2020, we estimated the fair value of the enterprise using the probability-weighted expected return method (“PWERM”), which is a highly complex and subjective valuation methodology. Under a PWERM, the fair market value of the common stock is estimated based upon the discounted expected future values for the enterprise assuming various future outcomes. Based on the timing and nature of an assumed liquidity event in each scenario, a discount for lack of marketability was applied to each scenario. We then probability-weighted the value of each expected outcome to arrive at an estimate of fair value per share of common stock.</w:t>
      </w:r>
    </w:p>
    <w:p>
      <w:pPr>
        <w:spacing w:after="0" w:line="9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For valuations after the closing of the Business Combination, our board of directors determines the fair value of each share of common stock based on the closing price of our common stock on the date of grant or other relevant determination date, as reported on Nasdaq.</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7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are an “emerging growth company” within the meaning of the JOBS Act. The JOBS Act allows an emerging growth company to delay the adoption of new or revised accounting standards that have different effective dates for public and private companies until those standards apply to private companies. We have elected to use this extended transition period and, as a result, our financial statements may not be comparable to companies that comply with public company effective dates. We also intend to rely on other exemptions provided by the JOBS Act, including not being required to comply with the auditor attestation requirements of Section 404(b) of the Sarbanes-Oxley Act.</w:t>
      </w:r>
    </w:p>
    <w:p>
      <w:pPr>
        <w:spacing w:after="0" w:line="14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will remain an emerging growth company until the earliest of (1) September 1, 2025, (2) the last day of the fiscal year in which we have total annual gross revenue of at least $1.07 billion, (3)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or (4) the date on which we have issued more than $1.0 billion in non-convertible debt securities during the prior three-year period.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0"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Additional information on recent accounting pronouncements can be found in Sema4’s audited financial statements in Note 2, “Summary of Significant Accounting Policies” and Sema4’s unaudited condensed financial statements in Note 2, “Summary of Significant Accounting Policies.”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Controls</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connection with the preparation of Sema4’s audited financial statements included elsewhere in this prospectus, we identified material weaknesses in our internal control over financial reporting, which existed as of December 31, 2020. Our management is actively engaged and committed to taking the steps necessary to remediate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the control deficiencies that constituted the material weaknesses. During 2021, we made the following enhancements to our control environment:</w:t>
      </w:r>
    </w:p>
    <w:p>
      <w:pPr>
        <w:spacing w:after="0" w:line="176" w:lineRule="exact"/>
        <w:rPr>
          <w:sz w:val="20"/>
          <w:szCs w:val="20"/>
          <w:color w:val="auto"/>
        </w:rPr>
      </w:pPr>
    </w:p>
    <w:p>
      <w:pPr>
        <w:jc w:val="both"/>
        <w:ind w:left="640" w:hanging="316"/>
        <w:spacing w:after="0" w:line="255" w:lineRule="auto"/>
        <w:tabs>
          <w:tab w:leader="none" w:pos="635"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 May 2021, we hired a permanent Chief Accounting Officer with substantial technical accounting and internal controls experience, whose responsibilities include working with our Chief Financial Officer, existing employees and third-party consultants to improve the design, implementation, execution and supervision of our internal control over financial reporting.</w:t>
      </w:r>
    </w:p>
    <w:p>
      <w:pPr>
        <w:spacing w:after="0" w:line="135" w:lineRule="exact"/>
        <w:rPr>
          <w:rFonts w:ascii="Arial" w:cs="Arial" w:eastAsia="Arial" w:hAnsi="Arial"/>
          <w:sz w:val="18"/>
          <w:szCs w:val="18"/>
          <w:color w:val="auto"/>
        </w:rPr>
      </w:pPr>
    </w:p>
    <w:p>
      <w:pPr>
        <w:jc w:val="both"/>
        <w:ind w:left="640" w:hanging="316"/>
        <w:spacing w:after="0" w:line="248" w:lineRule="auto"/>
        <w:tabs>
          <w:tab w:leader="none" w:pos="635"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added accounting and information technology employees with appropriate experience, certification, education and training to the organization to strengthen our internal accounting team, to provide oversight, structure and reporting lines, and to provide additional review over our disclosures. This includes hiring a Corporate Controller, whose primary responsibilities include working with third-party consultants to improve the design, implementation, execution, and supervision of our internal controls over financial reporting. We expect to continue to evaluate our needs for additional personnel. We expect to provide enhanced training to existing and new employees in order to enhance the level of communication and understanding of controls with key individuals that provide key information and perform key roles within our financial accounting and reporting group.</w:t>
      </w:r>
    </w:p>
    <w:p>
      <w:pPr>
        <w:spacing w:after="0" w:line="145"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engaged outside consultants to assist in the design, implementation, and documentation of internal controls that address the relevant risks, are properly designed, and provide for appropriate evidence of performance of the internal controls; and</w:t>
      </w:r>
    </w:p>
    <w:p>
      <w:pPr>
        <w:spacing w:after="0" w:line="127"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engaged outside consultants to assist us in the evaluation of a new Enterprise Resource Planning (“ERP”) system in order to mitigate the internal control gaps and limitations that cannot be addressed by the current ERP around segregation of duties, and to enhance the information technology general controls environment.</w:t>
      </w:r>
    </w:p>
    <w:p>
      <w:pPr>
        <w:spacing w:after="0" w:line="135"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Our remediation activities are continuing during 2021. In addition to the above actions, we expect to engage in additional activities, including, but not limited to:</w:t>
      </w:r>
    </w:p>
    <w:p>
      <w:pPr>
        <w:spacing w:after="0" w:line="128" w:lineRule="exact"/>
        <w:rPr>
          <w:sz w:val="20"/>
          <w:szCs w:val="20"/>
          <w:color w:val="auto"/>
        </w:rPr>
      </w:pPr>
    </w:p>
    <w:p>
      <w:pPr>
        <w:ind w:left="640" w:hanging="316"/>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Hiring more technical accounting resources to enhance our control environment;</w:t>
      </w:r>
    </w:p>
    <w:p>
      <w:pPr>
        <w:spacing w:after="0" w:line="164" w:lineRule="exact"/>
        <w:rPr>
          <w:rFonts w:ascii="Arial" w:cs="Arial" w:eastAsia="Arial" w:hAnsi="Arial"/>
          <w:sz w:val="18"/>
          <w:szCs w:val="18"/>
          <w:color w:val="auto"/>
        </w:rPr>
      </w:pPr>
    </w:p>
    <w:p>
      <w:pPr>
        <w:ind w:left="640" w:hanging="316"/>
        <w:spacing w:after="0" w:line="294" w:lineRule="auto"/>
        <w:tabs>
          <w:tab w:leader="none" w:pos="635" w:val="left"/>
        </w:tabs>
        <w:numPr>
          <w:ilvl w:val="0"/>
          <w:numId w:val="56"/>
        </w:numPr>
        <w:rPr>
          <w:rFonts w:ascii="Arial" w:cs="Arial" w:eastAsia="Arial" w:hAnsi="Arial"/>
          <w:sz w:val="17"/>
          <w:szCs w:val="17"/>
          <w:color w:val="auto"/>
        </w:rPr>
      </w:pPr>
      <w:r>
        <w:rPr>
          <w:rFonts w:ascii="Arial" w:cs="Arial" w:eastAsia="Arial" w:hAnsi="Arial"/>
          <w:sz w:val="17"/>
          <w:szCs w:val="17"/>
          <w:color w:val="auto"/>
        </w:rPr>
        <w:t>Until we have sufficient technical accounting resources, engaging external consultants to provide support and to assist us in our evaluation of more complex applications of GAAP, and to assist us with documenting and assessing our accounting policies and procedures;</w:t>
      </w:r>
    </w:p>
    <w:p>
      <w:pPr>
        <w:spacing w:after="0" w:line="104" w:lineRule="exact"/>
        <w:rPr>
          <w:rFonts w:ascii="Arial" w:cs="Arial" w:eastAsia="Arial" w:hAnsi="Arial"/>
          <w:sz w:val="17"/>
          <w:szCs w:val="17"/>
          <w:color w:val="auto"/>
        </w:rPr>
      </w:pPr>
    </w:p>
    <w:p>
      <w:pPr>
        <w:jc w:val="both"/>
        <w:ind w:left="640" w:hanging="316"/>
        <w:spacing w:after="0" w:line="330" w:lineRule="auto"/>
        <w:tabs>
          <w:tab w:leader="none" w:pos="635" w:val="left"/>
        </w:tabs>
        <w:numPr>
          <w:ilvl w:val="0"/>
          <w:numId w:val="56"/>
        </w:numPr>
        <w:rPr>
          <w:rFonts w:ascii="Arial" w:cs="Arial" w:eastAsia="Arial" w:hAnsi="Arial"/>
          <w:sz w:val="15"/>
          <w:szCs w:val="15"/>
          <w:color w:val="auto"/>
        </w:rPr>
      </w:pPr>
      <w:r>
        <w:rPr>
          <w:rFonts w:ascii="Arial" w:cs="Arial" w:eastAsia="Arial" w:hAnsi="Arial"/>
          <w:sz w:val="15"/>
          <w:szCs w:val="15"/>
          <w:color w:val="auto"/>
        </w:rPr>
        <w:t>Implementing business process-level controls across all significant accounts and information technology general controls across all relevant domains. This will include providing training such that the preparers and control operators to establish clear expectations as it relates to the control design, execution and monitoring of such controls, including enhancements to the documentation to evidence the execution of the controls; and</w:t>
      </w:r>
    </w:p>
    <w:p>
      <w:pPr>
        <w:spacing w:after="0" w:line="83" w:lineRule="exact"/>
        <w:rPr>
          <w:rFonts w:ascii="Arial" w:cs="Arial" w:eastAsia="Arial" w:hAnsi="Arial"/>
          <w:sz w:val="15"/>
          <w:szCs w:val="15"/>
          <w:color w:val="auto"/>
        </w:rPr>
      </w:pPr>
    </w:p>
    <w:p>
      <w:pPr>
        <w:ind w:left="640" w:hanging="316"/>
        <w:spacing w:after="0" w:line="264" w:lineRule="auto"/>
        <w:tabs>
          <w:tab w:leader="none" w:pos="635" w:val="left"/>
        </w:tabs>
        <w:numPr>
          <w:ilvl w:val="0"/>
          <w:numId w:val="56"/>
        </w:numPr>
        <w:rPr>
          <w:rFonts w:ascii="Arial" w:cs="Arial" w:eastAsia="Arial" w:hAnsi="Arial"/>
          <w:sz w:val="18"/>
          <w:szCs w:val="18"/>
          <w:color w:val="auto"/>
        </w:rPr>
      </w:pPr>
      <w:r>
        <w:rPr>
          <w:rFonts w:ascii="Arial" w:cs="Arial" w:eastAsia="Arial" w:hAnsi="Arial"/>
          <w:sz w:val="18"/>
          <w:szCs w:val="18"/>
          <w:color w:val="auto"/>
        </w:rPr>
        <w:t>Implementing improvements to our ERP to enhance the accuracy of our financial records, enable the enforcement of systematic segregation of duties, and to improve our information technology general controls environment.</w:t>
      </w:r>
    </w:p>
    <w:p>
      <w:pPr>
        <w:spacing w:after="0" w:line="12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continue to enhance corporate oversight over process-level controls and structures to ensure that there is appropriate assignment of authority, responsibility, and accountability to enable remediation of our material weaknesses. We believe that our remediation plan will be sufficient to remediate the identified material weaknesses and strengthen our internal control over financial reporting. As we continue to evaluate, and work to improve, our internal control over financial reporting, management may determine that additional measures to address control deficiencies or modifications to the remediation plan are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We Are</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are a patient-centered, health intelligence company with a mission to use artificial intelligence, or AI, and machine learning to enable personalized medicine for all. Our integrated information platform leverages longitudinal patient data, AI-driven predictive modeling, and genomics in combination with other molecular and high-dimensional data in our efforts both to deliver better outcomes for patients and to transform the practice of medicine, including how disease is diagnosed, treated, and prevented.</w:t>
      </w:r>
    </w:p>
    <w:p>
      <w:pPr>
        <w:spacing w:after="0" w:line="13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have established one of the largest, most comprehensive, and fastest growing integrated health information platforms, collecting and leveraging genomic and clinical data in partnership with patients, healthcare providers and an extensive ecosystem of life science industry contributors. We are now generating and processing over 30 petabytes of data per month, growing by almost 1 petabyte per month, and maintains a database that includes more than 11.5 million de-identified clinical records, many with genomic profiles, integrated in a way that enables physicians to proactively diagnose and manage disease. This expanding database is a virtuous cycle of data: new data enables us to further develop, train, and refine predictive models and drive differentiated insights, which models and insights we deploy through our next generation diagnostic and research solutions and portals to support clinicians and researchers and engage patients, all of which interactions generate more data to continue the cycle.</w:t>
      </w:r>
    </w:p>
    <w:p>
      <w:pPr>
        <w:spacing w:after="0" w:line="132"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Today, by providing differentiated insights through diagnostic testing solutions to physicians and patients across the United States in areas such as reproductive health, or Women’s Health, population health, and oncology, or Oncology, we are reimbursed by payors, providers, and patients for providing these services. In collaboration with pharmaceutical and biotech, or Biopharma, companies, we receive payments for a broad range of services relating to the aggregated data on our information platform, such as consenting and recontacting patients, the development and implementation of a wide range of predictive models, including drug discovery programs, conducting real-world evidence studies, and aiding in the identification and recruitment of patients into clinical trials. Over the next several years, we expect to focus on expanding the revenue from our health system and Biopharma partners, while also working to continue to grow the volumes and revenues from our diagnostics test solutions.</w:t>
      </w:r>
    </w:p>
    <w:p>
      <w:pPr>
        <w:spacing w:after="0" w:line="132"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While there are many companies seeking to harness the potential of “big data” to address the challenges within the healthcare ecosystem, we believe that few have the scale of our company combined with our revenue-generating diagnostics testing business and origins as a company conceived and nurtured within a world-class health system. These characteristics have enabled us to build a significant and highly differentiated technological and informational asset positioned to drive precision medicine solutions into the standard of care in an unparalleled way.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World Class Team and Unique Origins</w:t>
      </w:r>
    </w:p>
    <w:p>
      <w:pPr>
        <w:spacing w:after="0" w:line="16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Sema4 was founded by Eric Schadt, Ph.D. as part of Icahn School of Medicine at Mount Sinai’s Department of Genetics and Genomic Sciences and the Icahn Institute for Genomics and Multiscale Biology. Dr. Schadt is a world-renowned expert on constructing predictive models of disease that link molecular data to physiology to enable clinical medicine. He has published more than 450 peer-reviewed papers in leading scientific journals, with a public citation or h-index of 128, and contributed to discoveries relating to the genetic basis of common human diseases such as cancer, diabetes, obesity, and Alzheimer’s disease. As of March 31, 2021, we have almost 1000 employees, including over 160 Ph.D.-level data scientists whose collective work has been recognized in areas such as data science, network modeling, multiscale biotechnology and genomics.</w:t>
      </w:r>
    </w:p>
    <w:p>
      <w:pPr>
        <w:spacing w:after="0" w:line="126"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Sema4 was established out of the Mount Sinai Health System (which we refer to together with our related entities as Mount Sinai) and commenced operations in June 2017 as a commercial entity that could effectively engage diverse patient populations and health care institutions at scale, founded on the idea that more information, deeper AI-driven learning, and increased engagement of patients and their providers will improve diagnosis, treatment, and prevention of disease. We have since established and deployed our comprehensive and integrated genomics and information platforms, and intend to continue to expand our scale and reach through organic and inorganic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Purpose-Built, Flexible Platforms Address Immediate and Untapped Market Opportunities</w:t>
      </w:r>
    </w:p>
    <w:p>
      <w:pPr>
        <w:spacing w:after="0" w:line="16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With the rapid decline in next generation sequencing costs and the increased accessibility of large scale, commoditized computer hardware and storage information products through the cloud, we expect that our core information platform, Centrellis®, supported and fueled by our genomic analysis platform, Traversa™, will be well-positioned to drive improved clinical outcomes competitively in the healthcare market.</w:t>
      </w:r>
    </w:p>
    <w:p>
      <w:pPr>
        <w:spacing w:after="0" w:line="11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Our information platform was built to be highly adaptable to different data types and different diseases and health conditions, with the aim to deliver precision medicine and improved health outcomes across a patient’s entire life cycle. Accordingly, we expect our platforms to capitalize on a wide range of growth opportunities, and we intend to apply capital over time to make targeted acquisitions to accelerate our ability to reach a wider range of patients, integrate more deeply into clinical workflows, and address the significant, unaddressed white space for health intelligence in the healthcare ecosystem. These include a broad range of therapeutic segments, beyond our existing focus of our diagnostics solutions for Women’s Health, and Oncology, where we believe there is an immediate need for precision medicine solutions such as in autoimmune disorders, which are expected to represent an approximately $149.4 billion global market by 2025, rare diseases, which are expected to represent an approximately $317 billion global market in 2026, and cardiovascular disease, which are expected to represent an approximately $106.1 billion global market in 2023.</w:t>
      </w:r>
    </w:p>
    <w:p>
      <w:pPr>
        <w:spacing w:after="0" w:line="128"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By combining our data-driven approach and our deep understanding of health system workflows, we have developed a holistic health information platform, Centrellis, to transform the disease diagnosis and treatment paradigm for the entire healthcare ecosystem: patients, physicians, health systems, payers, and Biopharma companies. The Centrellis platform is comprised of a data management backend that supports a wide array of databases, data warehouses, and knowledge bases, a data analytics layer to mine the data and construct predictive models that provide differentiated insights, and a series of application programmable interfaces to enable tool and software applications to access the data and models. Centrellis serves as the underlying foundation of our precision medicine solution and comprises a sophisticated data management and analytics engine. In the data management layer, our platform processes and stores data in a highly structured and accessible way, which is then analyzed by an advanced insights engine in the analytics layer that deploys state-of-the-art AI, probabilistic causal reasoning and machine learning approaches, and complementary analytics capabilities to deliver increasingly accurate insights to patients, providers, and researchers across a broad range of applications. Centrellis is designed to transform treatment decisions across multiple therapeutic areas by engaging large-scale, high-dimensional data and querying the predictive models of disease and wellness using patient-specific data to derive highly personalized, clinically actionable insights. Centrellis supports various applications, such as delivery of personalized and actionable treatment insights into clinical reports, clinical trial matching, real-world evidence trials and clinical decision support, through an advanced programmable interface, or API, layer.</w:t>
      </w:r>
    </w:p>
    <w:p>
      <w:pPr>
        <w:spacing w:after="0" w:line="10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have also developed a comprehensive genomic platform, Traversa™, to serve as the backbone of our screening and diagnostic products and with the capacity to deliver molecular data that can be re-accessed, analyzed and delivered throughout a patient’s lifetime. Traversa is designed to simultaneously assay at clinical-grade coverage all known medically relevant regions of the genome, as well as survey the entirety of the human genome, to surface signals that might be medically relevant to a patient in the future. Traversa is integrated with the Centrellis information platform and is designed to adapt at the rate of learning and to match the significant pace of information and knowledge growth, especially in the genomics arena, to allow us to provide actionable, accurate, and cutting-edge insights from complex and comprehensive data assets. We also expect this platform to enable us to scale our operations and to improve its margins in generating secondary insights for patients and providers.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Building Richer Longitudinal Data Through Deeper Patient and Provider Engagement</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engage with patients, physicians, and health systems as partners and based on principles of transparency, choice, and consent. Driven by our direct engagement with patients and strategic relationships with multiple health systems, the database we have built contains extensive electronic medical record, or EMR, data, surpassing 11.5 million de-identified clinical records, many with genomic profiles, and has been designed to enable Centrellis to draw from our extensive data assets in a way that enables physicians to proactively diagnose and manage disease. We expect our current and targeted strategic relationships will provide us with access to additional active patient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cohorts and datasets to fuel this growth and perpetuate our iterative, data-driven business model, including by rapidly scaling our diagnostic test solutions franchise with physicians and patients through direct engagement with multiple health system partners.</w:t>
      </w:r>
    </w:p>
    <w:p>
      <w:pPr>
        <w:spacing w:after="0" w:line="12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In addition to providing a majority of our current revenue and generating hundreds of thousands of genomic profiles, our established diagnostic test solutions also allow us to engage patients directly as partners, both as part of their clinical care and also acting on their behalf, with appropriate informed consent, to acquire, organize and manage any health data generated on them through the course of their care, all of which contributes to the further development of our genomics and information platforms. Further, we have demonstrated patients’ willingness to partner with us. For example, over 80% of diagnostics solutions patients and users who engaged with our patient portal have given us their informed consent to retrieve, organize, and manage their health records and data, and to facilitate their access to and sharing of those data, as well as additional data that patients share and create through their use of our expanding suite of digital experience products.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Established Diagnostic Solutions Are Scaling Rapidly</w:t>
      </w:r>
    </w:p>
    <w:p>
      <w:pPr>
        <w:spacing w:after="0" w:line="16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currently operate a mature diagnostic business that generates revenue and engages with patients through our varied and sophisticated diagnostics and screening offerings. Our population health offerings are designed to run through our Traversa platform and give us the ability to inform on thousands of diseases and conditions, from rare disorders, to drug safety, to risk profiles across a broad range of common human diseases of significant public health concern. We have developed an array of diagnostic and screening solutions to inform across a patient’s life course, ranging from reproductive health and newborn screening to drug safety and oncology. Our Women’s Health solutions sequence and analyze an industry-leading number of genes, and use Centrellis’ interpretive information tools to translate raw sequencing and clinical data efficiently and accurately into digestible clinical reports that guide decision making by patients and physicians. Our Oncology diagnostic solutions feature both somatic tumor profiling and hereditary cancer screenings, along with a foundational whole exome and whole transcriptome sequencing approach.</w:t>
      </w:r>
    </w:p>
    <w:p>
      <w:pPr>
        <w:spacing w:after="0" w:line="12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Centrellis enables the complex interpretations of these data to identify key driver genes, activated and suppressed pathways, molecular subtypes, therapeutic interventions and matching to clinical trials. We believe our array of diverse diagnostic solutions, built on our differentiated grounding in scientific excellence and coupled with an end-to-end full-service model, have led to our rapidly growing customer bases in Women’s Health and Oncology and increasing traction with health systems, as well as deep, trusting engagement with patients.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Embedding Our Solutions Through Innovative, Deep Relationships</w:t>
      </w:r>
    </w:p>
    <w:p>
      <w:pPr>
        <w:spacing w:after="0" w:line="164"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Our origins in and subsequent work with Mount Sinai have provided us with an extensive understanding of health systems, patient, and physician workflows as well as the complex interconnectivities that define patient-physician relationships. We have used this knowledge to develop our integrated health system collaboration model, where we have the capabilities necessary to integrate across health system workflows as a holistic health intelligence partner in order to deploy our comprehensive genomics and information platforms, our data curation and harmonization capabilities, and our patient and provider engagement software applications. Our solutions support our health system partners across their operations, helping them integrate a new standard of care and creating a deep relationship with us that helps both partners realize the potential of the relationship. In addition to creating diagnostic revenue and a clinical relationship with our health system partners and their patients, this engagement provides us with access to insights informed by analyzed and processed EMRs from the health system, as well as the expansive molecular information we generate from our genomics platform as the health system’s precision medicine partner. Learning from our long-standing relationship with Mount Sinai, we have refined a health system engagement model that is both operational and economic and designed to maximize both our and our health system partner’s value from the relationship. We are currently activating and expanding our relationships with several leading health systems that will expand our access to data and that we expect will position our platforms for rapid growth and broad commercial opportunities, and have recently signed contracts with three new health systems in support of this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19"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Centered on Centrellis and Traversa, we have also established and continue to seek strategic relationships with Biopharma companies to enable innovation across the entire drug lifecycle, from next generation drug discovery and development, to post-market efficacy surveillance, to informing on bioavailability, toxicity, tolerability, and other features critical to drug development. We have demonstrated the ability to integrate across all aspects of the next generation therapeutic and drug development process, including: biomarker identification as part of early stage drug discovery; identification, validation and prioritization of drug targets; clinical trial patient recruitment; real-world evidence studies; and identifying new markets and indications for existing assets. We believe our solutions allow our Biopharma partners to harness the potential of big data to enable the development of next generation precision medicine therapeutics.</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8"/>
          <w:szCs w:val="18"/>
          <w:b w:val="1"/>
          <w:bCs w:val="1"/>
          <w:u w:val="single" w:color="auto"/>
          <w:color w:val="auto"/>
        </w:rPr>
        <w:t>The Current Opportunity for a Comprehensive Health Information and Precision Medicine Solution</w:t>
      </w:r>
    </w:p>
    <w:p>
      <w:pPr>
        <w:spacing w:after="0" w:line="170"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“Big data” and analytics have been increasingly viewed as critical components of healthcare delivery in order to achieve the best patient outcomes at increasing efficiencies, including participation in clinical trials and research to deliver more accurate insights that augment clinical decision making. There has been an exponential increase in the availability of health-related data in recent years, driven by increasing digitization of medical records and the adoption of fast-moving technologies such as imaging and next generation sequencing capable of generating massive amounts of data on individual patients. However, we believe today’s practice of medicine persists in classifying patients in more binary terms—healthy or sick, high risk or low risk—based on clinical assessments that are informative but ultimately overly simplistic, based on low-dimensional biomarkers, with many diagnoses still applying thresholds that are predefined using standardized epidemiological tables.</w:t>
      </w:r>
    </w:p>
    <w:p>
      <w:pPr>
        <w:spacing w:after="0" w:line="132"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are here to change that. Our goal is to enable the transformation of traditional practices in medicine, and we recognize that a different approach is required in order to fully harness the potential of big data. Accordingly, we seek to achieve this through a single, health intelligence solution that systematizes, harmonizes and curates data; standardizes genomic data across diseases and conditions; and integrates and applies probabilistic, causal reasoning to the healthcare data available today to improve patient clinical outcomes, to enable better physician diagnostics and decision making, and to optimize the life cycle of next generation therapeutics.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u w:val="single" w:color="auto"/>
          <w:color w:val="auto"/>
        </w:rPr>
        <w:t>Centrellis: Our Health Information Platform Solution</w:t>
      </w:r>
    </w:p>
    <w:p>
      <w:pPr>
        <w:spacing w:after="0" w:line="170"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By combining our data-driven approach and our deep understanding of health system workflows, we have developed a holistic health information platform, Centrellis, to transform the disease diagnosis and treatment paradigm for the entire healthcare ecosystem: patients, physicians, health systems, payers, and Biopharma companies. Centrellis is the culmination of our critical competencies and goals as a company:</w:t>
      </w:r>
    </w:p>
    <w:p>
      <w:pPr>
        <w:spacing w:after="0" w:line="118" w:lineRule="exact"/>
        <w:rPr>
          <w:sz w:val="20"/>
          <w:szCs w:val="20"/>
          <w:color w:val="auto"/>
        </w:rPr>
      </w:pPr>
    </w:p>
    <w:p>
      <w:pPr>
        <w:ind w:left="640" w:hanging="316"/>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technologies aimed at patient and provider engagement,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generation, aggregation and standardization of multi-dimensional data,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modeling and generation of differentiated, domain-specific insights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Driven by the virtuous cycle and interconnection of our clinical diagnostics products, rich data assets, database engineering and data science applications, we continue to evolve and deploy our platform to facilitate a better understanding of disease and wellness and improve the standard of care through information driven knowledge and understanding.</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Provider Engagement Technologies: Our Next Generation Tools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have built comprehensive solutions in Centrellis that enable clinicians, researchers, and patients to engage with the relevant structured health data and to leverage our predictive models of disease and wellness and produce clinically actionable insights.</w:t>
      </w:r>
    </w:p>
    <w:p>
      <w:pPr>
        <w:spacing w:after="0" w:line="12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For clinicians and researchers, we have designed Centrellis’s adaptive learning capabilities and tools to enable health systems and clinicians to manage their patient care, research, and health data in one place and to adapt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rapidly changing scientific and clinical norms through an advanced programmable interface, or API, layer, including:</w:t>
      </w:r>
    </w:p>
    <w:p>
      <w:pPr>
        <w:spacing w:after="0" w:line="164" w:lineRule="exact"/>
        <w:rPr>
          <w:sz w:val="20"/>
          <w:szCs w:val="20"/>
          <w:color w:val="auto"/>
        </w:rPr>
      </w:pPr>
    </w:p>
    <w:p>
      <w:pPr>
        <w:ind w:left="640" w:hanging="316"/>
        <w:spacing w:after="0"/>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Integration and on-boarding for health systems and practices that connects data from EMRs and disparate and varied databases,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Searching and analyzing cohorts of patients, allowing an assessment of their patient populations and quality of care in real-time,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Enabling clinical decision support and personalized and actionable treatment insights into clinical reports,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Identifying patients who are candidates for certain clinical genomic analyses,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Managing the clinical analysis ordered for their patients, from ordering, tracking, resulting, and reanalyzing based on new findings,</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58"/>
        </w:numPr>
        <w:rPr>
          <w:rFonts w:ascii="Arial" w:cs="Arial" w:eastAsia="Arial" w:hAnsi="Arial"/>
          <w:sz w:val="18"/>
          <w:szCs w:val="18"/>
          <w:color w:val="auto"/>
        </w:rPr>
      </w:pPr>
      <w:r>
        <w:rPr>
          <w:rFonts w:ascii="Arial" w:cs="Arial" w:eastAsia="Arial" w:hAnsi="Arial"/>
          <w:sz w:val="18"/>
          <w:szCs w:val="18"/>
          <w:color w:val="auto"/>
        </w:rPr>
        <w:t>Supporting clinical care and research by matching patients to available clinical trials based on highly personalized inclusion and exclusion metrics, and</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Informing on administrative decisions including as they relate to patient growth, total cost of care, and risk identification and mitigation.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Patient Engagement Technologies: Building Trust and Providing Value Through Clinical Partnership</w:t>
      </w:r>
    </w:p>
    <w:p>
      <w:pPr>
        <w:spacing w:after="0" w:line="164"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We are dedicated to giving patients control of their own health data, and in support of this goal, we have designed patient access to Centrellis through our patient portal. Patients have demonstrated their trust by engaging with us and providing consent for us to collect and store their EMR data. After creating an account, patients are able to manage and track the clinical analysis that we are performing for them, including by being able to track, receive, and understand the initial insights into their clinical tests and data (including expanded carrier screening, or ECS, tests, and hereditary cancer tests), and to access our supporting clinical services, such as genetic counseling. Our patient portal also provides patients with the opportunity to partner with us to collect, manage, and regularly update their health data from their disparate healthcare providers, and help participants engage with their data through user-friendly applications, such as their genomic ancestry, personalized residual risk calculations, and other clinical and educational insights and information through important health events, like their pregnancy journey. For patients who have indicated their willingness to participate in research studies, our platform also provides integrated digital informed consenting and research program participation, through transparent, institutional review board approved processes, including targeted clinical trials offerings that provide relevant alternatives and access to the latest scientific trials.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Activating Data Through Generation, Curation and Engineering</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In order to create an accessible and usable database that can support interpretation consistently across patient populations represented within the broad healthcare ecosystem, we designed Centrellis to aggregate large-scale and diverse data, abstract and structure informative unstructured data, and finally integrate the data into an accessible, web-scalable data warehouse that employs a common data model across a broad series of databases. Unstructured data derived from EMR and associated data are run through multiple pipelines leveraging machine learning-enabled natural language processing, augmented as needed by human annotators, to extract information and knowledge from those data and then structure and implement extensive quality assurance processes for the resulting annotations. Our multiscale, integrative strategy allows us to connect the processed EMR data with complex biological data from many sources, such as the genome, proteome, transcriptome, epigenome, and microbiome. Our standardization of the genomic and EMR data also allows us to pursue strategic relationships in the Biopharma industry, connecting Biopharma companies with clinicians and researchers to create computational models of disease, discover and validate targets and biomarkers, help design clinical trials and recruit patients, and support the collection of real-world data and evidence.</w:t>
      </w:r>
    </w:p>
    <w:p>
      <w:pPr>
        <w:spacing w:after="0" w:line="12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not only collect data from external sources, but also generates clinical-grade genomic datasets in our clinical and research processes, which further fuels the richness of the data from which Centrellis draws. Our genomic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1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infrastructure enables us to convert bio-samples into datasets that span a range of genomic modalities, from DNA and RNA sequencing to epigenomic profiling, as well as different next generation sequencing technologies, including long-read, single molecule sequencing, low pass whole genome sequencing, and additional transformative technologies. Together with our diagnostic solutions, we use this multi-technology approach to ensure we generate data to comprehensively cover clinically actionable insights from and common variation in the genome, enabling the diagnosis of rare conditions and diseases or risk of passing on mutations to offspring that may cause severe disease, predicting risks of developing diseases such as cancer, predicting tolerability of various therapeutics, and creating broad genomic health profiles through the use of polygenic risk scores.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Advanced Domain-Specific AI Informatics for Insight Generation</w:t>
      </w:r>
    </w:p>
    <w:p>
      <w:pPr>
        <w:spacing w:after="0" w:line="16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Finally, we believe our informatics and analysis capabilities form a meaningful connection between the web of databases that we have created in our data warehouse and the utility of Centrellis to our users. Based on our informatics engine, Centrellis generates deep interpretive insights derived from large-scale, multi-omic data, taking advantage of our deeper data generation capabilities, and provides actionable treatment recommendations and innovative research findings. These insights are provided to patients, clinicians, researchers, and partners through the tools described above.</w:t>
      </w:r>
    </w:p>
    <w:p>
      <w:pPr>
        <w:spacing w:after="0" w:line="124"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We are also continuing to develop these models and insights. Our researchers have developed a methodology to integrate diverse multi-omics data, including genomic, transcriptomic, and proteomic data, into causal probabilistic networks that help us to understand disease processes and identify key biomarkers through advanced network analysis. Our scientists have pioneered the use of DNA variation information to statistically infer causal relationships among any number of traits that have common genetic variance components. These approaches allow our teams to infer directed causal relationships among a pair of traits with shared genetic variance components, which then can be more systematically applied to traits to infer probabilistic causal network structures that can be mined for a broad range of discoveries. We also designed Centrellis with a high degree of flexibility to allow the platform to adjust to the rapidly changing and advancing health information landscape, highlighted by our Traversa genomic analysis platform, which we believe will lead to improved cost profiles over time as assays transition to whole genome sequencing at increasing resolutions.</w:t>
      </w:r>
    </w:p>
    <w:p>
      <w:pPr>
        <w:spacing w:after="0" w:line="10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As we collect and analyze additional datasets, our platform enables the virtuous cycle of data, and we are able to further refine our products and hone our capabilities to provide enhanced analysis of these data. More data and more insights generate further data and insights to support our models. We have constructed automated pipelines to continuously search the literature and research repositories to expand and distill our knowledge graphs, which are in turn queried to provide the interpretations and insights delivered to users of our systems. To support our interpretations and insights, we utilize internal experts as needed to help resolve conflicting findings to improve upon the actionable insights we deliver to physicians and patients.</w:t>
      </w:r>
    </w:p>
    <w:p>
      <w:pPr>
        <w:spacing w:after="0" w:line="92" w:lineRule="exact"/>
        <w:rPr>
          <w:sz w:val="20"/>
          <w:szCs w:val="20"/>
          <w:color w:val="auto"/>
        </w:rPr>
      </w:pPr>
    </w:p>
    <w:p>
      <w:pPr>
        <w:ind w:left="320"/>
        <w:spacing w:after="0"/>
        <w:rPr>
          <w:sz w:val="20"/>
          <w:szCs w:val="20"/>
          <w:color w:val="auto"/>
        </w:rPr>
      </w:pPr>
      <w:r>
        <w:rPr>
          <w:rFonts w:ascii="Arial" w:cs="Arial" w:eastAsia="Arial" w:hAnsi="Arial"/>
          <w:sz w:val="17"/>
          <w:szCs w:val="17"/>
          <w:b w:val="1"/>
          <w:bCs w:val="1"/>
          <w:u w:val="single" w:color="auto"/>
          <w:color w:val="auto"/>
        </w:rPr>
        <w:t>Traversa: Our Genomics Platform for Optimizing Screening and Diagnostic Genomics Products and Population Health Initiatives</w:t>
      </w:r>
    </w:p>
    <w:p>
      <w:pPr>
        <w:spacing w:after="0" w:line="182"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Traversa is our comprehensive genomics platform that has been designed to serve as the backbone of our genomic analysis products, and we are in the process of transitioning all of our genomic analyses to this platform. For products on the Traversa platform, we generate data on all known medically relevant regions of the genome at clinical-grade coverage, as well as low-pass whole genome data to span all common variation in the genome. We also ask for the patient’s consent to biobank the corresponding samples for future clinical testing. While we report on the specific genes analyzed at the request of the clinician and patient, these baseline data and bio-banked samples allow us to respond to requests for additional analysis quickly by generating “in silico” interpretations on genomic data already existing on a patient and to surface signals that might be medically relevant across a patient’s life course.</w:t>
      </w:r>
    </w:p>
    <w:p>
      <w:pPr>
        <w:spacing w:after="0" w:line="99"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When deployed at across an entire health system, as we intend with our health system partners, Traversa will enable data driven collaborations and initiatives with health systems by establishing comprehensive clinical and genomic data profiles with patient consent. Particularly where integrated with EMR data, Traversa provides health systems with a unique opportunity to deploy population health management programs because of the robust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19"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from which those programs will draw and because of the efficiencies it will create across the health ecosystem by eliminating the repetition of the most time-consuming and costly aspects of genomic analysis, including sample collection and preparation and the generation of sequence data. Using Traversa, clinicians and health systems will have the freedom to advance patient care by allowing clinicians to establish clinical utility and drive adoption of new analysis products, which we believe will consequently expedite improved reimbursements against lower total production costs for those offerings.</w:t>
      </w:r>
    </w:p>
    <w:p>
      <w:pPr>
        <w:spacing w:after="0" w:line="87" w:lineRule="exact"/>
        <w:rPr>
          <w:sz w:val="20"/>
          <w:szCs w:val="20"/>
          <w:color w:val="auto"/>
        </w:rPr>
      </w:pPr>
    </w:p>
    <w:p>
      <w:pPr>
        <w:ind w:left="320"/>
        <w:spacing w:after="0"/>
        <w:rPr>
          <w:sz w:val="20"/>
          <w:szCs w:val="20"/>
          <w:color w:val="auto"/>
        </w:rPr>
      </w:pPr>
      <w:r>
        <w:rPr>
          <w:rFonts w:ascii="Arial" w:cs="Arial" w:eastAsia="Arial" w:hAnsi="Arial"/>
          <w:sz w:val="18"/>
          <w:szCs w:val="18"/>
          <w:b w:val="1"/>
          <w:bCs w:val="1"/>
          <w:u w:val="single" w:color="auto"/>
          <w:color w:val="auto"/>
        </w:rPr>
        <w:t>We Collect and Manage Rich, Longitudinal Data Built from Diverse Sources</w:t>
      </w:r>
    </w:p>
    <w:p>
      <w:pPr>
        <w:spacing w:after="0" w:line="170"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health information database that we have created draws from many complementary sources, which we manage in accordance with patient consent and preferences, our regulatory obligations, and our transparent privacy policy and practices. These data are housed in a complex, cloud-based data lake that allows us to manage the various rights and obligations for each dataset at a granular level, including patient-specific requests with regard to their data.</w:t>
      </w:r>
    </w:p>
    <w:p>
      <w:pPr>
        <w:spacing w:after="0" w:line="84"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This database includes data generated in the performance of our clinical services to patients and clinicians, including Women’s Health and Oncology testing, as well as additional data that patients provide to us through their engagement with our patient portal and research programs. In addition, we participate in health information exchanges and public database programs, including through the National Institutes of Health. We also generate and collect data by collaborating with our research partners and provide sequencing and analysis services in connection with research programs. We further leverage the data rights provided by patients and secured through our strategic relationships, such as our oncology information partnership with VieCure that by the end of 2021 is expected to provide us with access to multiple cancer centers and data from all of their active cancer patients, with the number of newly diagnosed active cancer patients growing substantially each year. Additionally, we support health systems and other clinical service providers by applying our Centrellis tools to their clinical workflows and medical record databases, and we receive certain rights to work with anonymized datasets and to partner with the health systems in their ongoing clinical and research programs. We have provided such services extensively for Mount Sinai and are in the process of expanding this program with additional health systems, including NorthShore University Healthsystem, as discussed below. For more information regarding our data arrangements with Mount Sinai, see “</w:t>
      </w:r>
      <w:r>
        <w:rPr>
          <w:rFonts w:ascii="Arial" w:cs="Arial" w:eastAsia="Arial" w:hAnsi="Arial"/>
          <w:sz w:val="15"/>
          <w:szCs w:val="15"/>
          <w:i w:val="1"/>
          <w:iCs w:val="1"/>
          <w:color w:val="auto"/>
        </w:rPr>
        <w:t>Certain Relationships and Related Party Transactions —Related Party Transactions – Sema4</w:t>
      </w:r>
      <w:r>
        <w:rPr>
          <w:rFonts w:ascii="Arial" w:cs="Arial" w:eastAsia="Arial" w:hAnsi="Arial"/>
          <w:sz w:val="15"/>
          <w:szCs w:val="15"/>
          <w:color w:val="auto"/>
        </w:rPr>
        <w:t>”.</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8"/>
          <w:szCs w:val="18"/>
          <w:b w:val="1"/>
          <w:bCs w:val="1"/>
          <w:u w:val="single" w:color="auto"/>
          <w:color w:val="auto"/>
        </w:rPr>
        <w:t>Our Established Diagnostics Solutions</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existing diagnostics solutions business centers around Women’s Health and Oncology and our industry-leading diagnostic solutions are powered by Centrellis and delivered through a full-service model that efficiently integrates into provider workflows. Currently, we derive the majority of our revenue from these established diagnostic test solutions.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Women’s Health Solutions</w:t>
      </w:r>
    </w:p>
    <w:p>
      <w:pPr>
        <w:spacing w:after="0" w:line="16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Our deep foundation in Women’s Health began before Sema4’s formation within Mount Sinai, where our lab—then called the “Mount Sinai Genetics Testing Lab”—pursued the goal of providing compassionate patient care to a highly diverse population while advancing science through education, research, and outreach. We pioneered accurate and precise pre-conception genetic screening, and we have continued to build upon that work, expanding its focus into a multi-generational and pan-ethnic view of the health of individual women and their families. We continue our focused effort to accelerate the expansion of genomic diagnostic solutions, secondary insights, platform solutions and enriching health system value to drive continued growth in our Women’s Health business, including by leveraging our state-of-the-art genomic infrastructure and Centrellis platform.</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Carrier Screening: Deriving population-health insights from genomic data to differentiate our industry-leading tests</w:t>
      </w:r>
    </w:p>
    <w:p>
      <w:pPr>
        <w:spacing w:after="0" w:line="16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Our Expanded Carrier Screen, or ECS, test is one of the most comprehensive and accurate carrier screening tests available in the market, covering up to 502 genes. We provide a comprehensive solution to physician practices to enable them not only to deliver sophisticated differential insights and care management guidance in support of the clinician’s care plan for the patient, but to also do so with minimal impact on the practice’s operation, helping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ensure physician offices are not overwhelmed by the amount of information and follow up that can be necessitated by carrier screening.</w:t>
      </w:r>
    </w:p>
    <w:p>
      <w:pPr>
        <w:spacing w:after="0" w:line="16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Our ECS solution uses proprietary technology to identify a patient’s molecular ancestry on a genome-wide level for personalized residual risk assessments by analyzing patient-specific genealogical information that is critical to better understand a patient’s chance for passing on inherited disease. This technology has been designed to increase the accuracy of the residual risks reported to patients, in comparison to competing products that determine residual risk based on using self-reported ancestry information that does not reflect the population groups represented in the patient’s genome. Our solution also provides patients with personalized residual risk education, along with the option to view their molecular ancestry report in the Sema4 patient portal.</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Non-invasive Prenatal Select Solutions</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Noninvasive Prenatal Select is a comprehensive noninvasive prenatal test, or NIPT, that screens for autosomal and sex chromosome aneuploidies. Our advanced sequencing technology has been designed to provide reliable results down to approximately 2% fetal fraction, the amount of fetal cell-free DNA in the maternal blood sample, and has been designed to have a low failure rate, which helps reduce the need for redraws, limits unnecessary invasive procedures, and improves time to results.</w:t>
      </w:r>
    </w:p>
    <w:p>
      <w:pPr>
        <w:spacing w:after="0" w:line="138"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Expansive development in prenatal screening allows our to advance scientific efforts to deliver Genome Wide Screening and includes the ability to detect additional whole chromosome aneuploidies and copy number variations, or CNVs. We believe an updated bioinformatics pipeline will help to further reduce false positives. We expect to release new versions of our code in 2021, which we believe will help improve the positive predictive value for CNV calling through fetal fraction enrichment and CNV normalization through nucleosome positioning and fragment characteristics</w:t>
      </w:r>
    </w:p>
    <w:p>
      <w:pPr>
        <w:spacing w:after="0" w:line="12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We are developing these future test versions to enable the detection of single gene disorders, such as cystic fibrosis and sickle cell disease. This testing may be used for at risk couples to screen a pregnancy for genomic analysis of a specific disorder or as a general screening tool with a panel of diseases. We believe these code enhancements will also facilitate validation of polyploidy, fetal zygosity and molar pregnancy detection, all of which are important aspects of screening pregnancies for chromosomal abnormalities and are not widely available through non-invasive testing.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Natalis Newborn Screening Solutions</w:t>
      </w:r>
    </w:p>
    <w:p>
      <w:pPr>
        <w:spacing w:after="0" w:line="16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Our Natalis test is an extension of our screening portfolio allowing for detection of heritable conditions from pre-conception, pregnancy and childhood. Newborn Screening, or NBS, detects heritable conditions that are amenable to medical management in newborns and young children. Natalis screens for 193 conditions where knowledge of the condition by the pediatrician may result in prescribing treatment with medications, dietary modifications, or other therapies to improve the baby’s health. All positives are confirmed using biochemical and molecular analysis. Natalis screens for up to five times as many conditions as the newborn screening programs run by certain state governments.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Signal Precision Oncology Solutions</w:t>
      </w:r>
    </w:p>
    <w:p>
      <w:pPr>
        <w:spacing w:after="0" w:line="16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believe that our Centrellis platform, combined with our comprehensive whole exome and whole transcriptome tumor profiling and hereditary cancer genomic testing solutions, will make a meaningful difference in transforming cancer care. We have developed the “Sema4 Signal®” portfolio of solutions to be leveraged individually or as part of a holistic solution for precision oncology care. The Sema4 Signal portfolio features the integration of our germline, somatic, and informatics tools, along with customized services to meet patient needs and to help drive better personalized care. The Sema4 Signal products include our oncology genomic test solutions, our molecular and clinical data curation and annotation capabilities to inform on the genomic information in the context of the patient’s previous and current medical records, and various software applications to enable engagement of these data and complex results to facilitate clinical decisions or research discoveries.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Sema4 Signal Hereditary Cancer Solution</w:t>
      </w:r>
    </w:p>
    <w:p>
      <w:pPr>
        <w:spacing w:after="0" w:line="16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Our Sema4 Signal Hereditary Cancer solution determines if a patient carries an inherited genetic change that increases the risk of cancer or informs on cancer treatment. It is used to inform personalized medical management decisions to aid early detection and prevention of cancer, as well as to determine the most appropriate treatment approaches if cancer occurs, and strategies to reduce risk of additional cancers.</w:t>
      </w:r>
    </w:p>
    <w:p>
      <w:pPr>
        <w:spacing w:after="0" w:line="118"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We offer one of the most comprehensive set of panels on the U.S. market, and deliver this solution supported by the Traversa platform to enable us to adapt our panels as new discoveries on clinically actionable variants are made, enabling our genomic testing solutions to adapt at the rate of learning. Our solution includes tools to enable testing at the point of care or outside the office, including digital ordering via an EMR portal, video-based education, saliva procurement in the patient’s home, proactive billing investigation, pre-and post-test genetic counselling and family outreach to enable cascade testing.</w:t>
      </w:r>
    </w:p>
    <w:p>
      <w:pPr>
        <w:spacing w:after="0" w:line="9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Hereditary Cancer Solution is a unique product in our portfolio in that it is sold in connection with our Oncology and Women's Health solutions. For affected cancer patients, integrating hereditary cancer with our Sema4 Signal Whole Exome and Transcriptome and our informatics offerings creates a holistic approach that can help inform better personalized clinical care decisions. For unaffected patients, our Sema4 Signal Hereditary Cancer solution is incorporated into both our Women’s Health and Population Health products and services.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Signal Whole Exome and Transcriptome Solution</w:t>
      </w:r>
    </w:p>
    <w:p>
      <w:pPr>
        <w:spacing w:after="0" w:line="16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We believe our Sema4 Signal Whole Exome and Transcriptome solution is one of the most comprehensive molecular profiling solutions from a commercial entity to receive New York State approval. Our profiling platform integrates tumor-normal matched whole exome sequencing, or WES, with whole transcriptome sequencing, or WTS, to deliver clinically actionable information about somatic and germline alterations in solid tumors and hematologic malignancies. This solution provides for access to a holistic view of a patient’s genome and insights into novel fusions, splice variants, and molecular pathways. It also provides for germline findings for cancer and non-cancer genes, as per American College of Medical Genetics guidelines, with relevance to comorbidities, such as familial hypercholesterolemia, and certain drug interactions.</w:t>
      </w:r>
    </w:p>
    <w:p>
      <w:pPr>
        <w:spacing w:after="0" w:line="126"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We deliver the WES/WTS solution using a number of proprietary tools housed in Centrellis, including our oncology knowledge-base, which contains comprehensive structured data and learnings on clinically relevant variants, including curated maps that link relevant clinical trials to variants that serve as eligibility biomarkers for the trials, as annotated by Ph.D. oncology experts. Our variant interpretation station for oncology automates clinical reporting by managing the variant curation process and recommending suitable therapies. This AI-driven genomic platform is updated regularly with recent medical literature and prioritizes clinically-significant variants, enabling providers to quickly review and leverage actionable insights.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Strategy and Managed Care</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have developed and are advancing our strategy to drive increased reimbursement and higher average selling prices, or ASPs, for our Sema4 Signal Oncology solutions. As part of this strategy, we are expanding our presence in select markets covered by the Molecular Diagnostic Services Program, or MolDx Program, by Palmetto GBA. We plan to submit our WES/WTS and other tumor profiling solutions and take advantage of the established coverage and reimbursement for Comprehensive Genomic Profiling.</w:t>
      </w:r>
    </w:p>
    <w:p>
      <w:pPr>
        <w:spacing w:after="0" w:line="138"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We also intend to move all Oncology solutions onto the Traversa platform, which we expect will substantially reduce our production costs and streamline our analysis operations, and we are preparing to submit our WES/WTS for approval by the FDA by engaging in the studies needed to demonstrate clinical utility, which will, if approved, enable us to enhance our coverage and reimbursement with our commercial payors.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Sema4 Signal Informatics Solutions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To complement the genomics diagnostic solutions, the Sema4 Signal products leverage Centrellis’s provider engagement technologies, described above, including to automatically abstract, annotate, and combine oncology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1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specific datasets, including clinical medical record data, imaging, and genomics. This clinical-genomic data set is provided back to health systems and providers and is powered by our digital applications to drive better personalized care for patients, improved system-wide quality of care and increased financial and research activity.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Covid-19 Testing Initiative</w:t>
      </w:r>
    </w:p>
    <w:p>
      <w:pPr>
        <w:spacing w:after="0" w:line="164"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In response to the worldwide COVID-19 pandemic, in the first quarter of 2020, we rapidly leveraged our existing technologies and infrastructure capabilities, supplemented by a requisite set of technologies and services, to offer a comprehensive COVID-19 diagnostic testing service for our customers.</w:t>
      </w:r>
    </w:p>
    <w:p>
      <w:pPr>
        <w:spacing w:after="0" w:line="58"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Within a highly concentrated and coordinated research, development and commercialization planning effort over a ten-week period, we developed a testing solution designed to assist the State of Connecticut and commercial customers looking to safely return their employees to the workplace. In particular, we developed a set of technologies and services that led to our implementing viral genomic sequencing and testing capabilities in our Branford lab, including securing a reliable supply chain for chemical reagents and testing kits. To complement the COVID-19 testing services, we built out an integrated, end-to-end software environment by adapting our Centrellis platform to the needs of COVID-19 patients, then expanded our existing customer services and support framework to accommodate the unique turn-around time and workflow needs of COVID-19 testing. Since April 2020, we have completed hundreds of thousands of COVID-19 tests across a wide range of patients in both public and commercial settings.</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8"/>
          <w:szCs w:val="18"/>
          <w:b w:val="1"/>
          <w:bCs w:val="1"/>
          <w:u w:val="single" w:color="auto"/>
          <w:color w:val="auto"/>
        </w:rPr>
        <w:t>Our Solution for Health Systems and Providers</w:t>
      </w:r>
    </w:p>
    <w:p>
      <w:pPr>
        <w:spacing w:after="0" w:line="170"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Our origins within a large academic medical center helped us establish our integrated health system collaboration model, where we seek to integrate our platform across numerous health system workflows to enable precision medicine solutions using Centrellis, from Women’s Health, to Oncology, to patient wellness. Our provider and health system engagement offerings include patient and provider portals, facilitating scheduling of patient appointments, patient consenting, pre-test and post-test genetic counseling, results delivery and patient record management, among other tools and applications that are designed to allow physicians to better engage contextualized information around their patients to improve decision making.</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Health System Engagement Model</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believe we have developed a compelling value proposition for our initial health system partners, with distinguishing features including our focus on serving local community populations, our track-record of delivering digital or technology-enabled standards of care, and our investment in precision medicine and adoption of genomic diagnostic solutions, with our desire to have predictive insights permeate all service lines and the general patient experience in their system. In addition to our deep relationship with Mount Sinai, we have contracted to deploy Centrellis in additional health systems, which we expect will expand our impact and reach.</w:t>
      </w:r>
    </w:p>
    <w:p>
      <w:pPr>
        <w:spacing w:after="0" w:line="141"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We have refined a health system engagement model designed to maximize both our and our partner health system’s value from the relationship. We balance clinical-grade and research-based projects in order to deliver value in an economically sustainable manner and establish health and economic performance metrics that form the basis of quarterly steering committee reviews with the program’s executive sponsors. Our model focuses on:</w:t>
      </w:r>
    </w:p>
    <w:p>
      <w:pPr>
        <w:spacing w:after="0" w:line="84" w:lineRule="exact"/>
        <w:rPr>
          <w:sz w:val="20"/>
          <w:szCs w:val="20"/>
          <w:color w:val="auto"/>
        </w:rPr>
      </w:pPr>
    </w:p>
    <w:p>
      <w:pPr>
        <w:jc w:val="both"/>
        <w:ind w:left="640" w:hanging="316"/>
        <w:spacing w:after="0" w:line="255" w:lineRule="auto"/>
        <w:tabs>
          <w:tab w:leader="none" w:pos="635" w:val="left"/>
        </w:tabs>
        <w:numPr>
          <w:ilvl w:val="0"/>
          <w:numId w:val="59"/>
        </w:numPr>
        <w:rPr>
          <w:rFonts w:ascii="Arial" w:cs="Arial" w:eastAsia="Arial" w:hAnsi="Arial"/>
          <w:sz w:val="18"/>
          <w:szCs w:val="18"/>
          <w:color w:val="auto"/>
        </w:rPr>
      </w:pPr>
      <w:r>
        <w:rPr>
          <w:rFonts w:ascii="Arial" w:cs="Arial" w:eastAsia="Arial" w:hAnsi="Arial"/>
          <w:sz w:val="18"/>
          <w:szCs w:val="18"/>
          <w:color w:val="auto"/>
        </w:rPr>
        <w:t>Embedding our genomic analyses as a standard of care for Women’s Health, Oncology and/or specific diseases, which includes our full-service model including patient and provider education, patient engagement, genetic counseling and integration with the health systems’ clinical workflow and EMR,</w:t>
      </w:r>
    </w:p>
    <w:p>
      <w:pPr>
        <w:spacing w:after="0" w:line="135"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59"/>
        </w:numPr>
        <w:rPr>
          <w:rFonts w:ascii="Arial" w:cs="Arial" w:eastAsia="Arial" w:hAnsi="Arial"/>
          <w:sz w:val="18"/>
          <w:szCs w:val="18"/>
          <w:color w:val="auto"/>
        </w:rPr>
      </w:pPr>
      <w:r>
        <w:rPr>
          <w:rFonts w:ascii="Arial" w:cs="Arial" w:eastAsia="Arial" w:hAnsi="Arial"/>
          <w:sz w:val="18"/>
          <w:szCs w:val="18"/>
          <w:color w:val="auto"/>
        </w:rPr>
        <w:t>Enhancing existing health system data sets by leveraging our data curation capabilities for both structured and unstructured data to identify clinical utility that can be used by health system providers, researchers and administration,</w:t>
      </w:r>
    </w:p>
    <w:p>
      <w:pPr>
        <w:spacing w:after="0" w:line="12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Developing software applications to facilitate deeper engagement of the enhanced health system data we produce, such as reconstructing and visualizing patient health journeys, identifying patient cohorts based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11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any number of filter criteria, and characterizing outcomes of patients in response to different treatments prescribed,</w:t>
      </w:r>
    </w:p>
    <w:p>
      <w:pPr>
        <w:spacing w:after="0" w:line="164" w:lineRule="exact"/>
        <w:rPr>
          <w:sz w:val="20"/>
          <w:szCs w:val="20"/>
          <w:color w:val="auto"/>
        </w:rPr>
      </w:pPr>
    </w:p>
    <w:p>
      <w:pPr>
        <w:ind w:left="640" w:hanging="316"/>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Establishing population health programs where health system patients are invited to broad population genetic screening,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Developing mutually beneficial research collaboration programs that leverage the strengths of our and our health system partners.</w:t>
      </w:r>
    </w:p>
    <w:p>
      <w:pPr>
        <w:spacing w:after="0" w:line="16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We seek to develop its products and services by focusing on partnering more intimately with a select number of health system partners with whom we can deeply integrate and deploy holistic solutions that drive improvements in both economics and outcomes for patient populations. We then intend to take our learnings and developments to deploy more widely, fundamentally re-imagining the care model with similarly committed partners.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Solutions Create Mutually Beneficially Value for Us and Our Health System Partners</w:t>
      </w:r>
    </w:p>
    <w:p>
      <w:pPr>
        <w:spacing w:after="0" w:line="164"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We pursue strategic relationships with health systems that evaluate financial returns on a holistic basis. We evaluate success on a long-term basis and recognize that the primary aim of every health system is to provide superior patient care with improved health economics. As such, we intend to use the proceeds from the Business Combination, the PIPE Investment and related transactions to accelerate growth in our health system relationships by further investing in research-oriented projects, as well as data curation, platform integrations, and building standards of care to operationalize our testing programs. Starting with Mount Sinai and extending throughout our network, we intend to cross-validate and scale our technologies across health systems, as we seek to enable patients by leveraging data and tools across systems and patient populations in a network model so each partner can benefit from what is being learned across the healthcare ecosystem. One such health system where we have established a strategic relationship is NorthShore University Healthsystem, where we are integrating our data-driven precision medicine solutions, built on the Centrellis and Traversa platforms, into the standard of care to deliver personalized insights and improve clinical outcomes to eligible participants included in the 1.2 million patients served by NorthShore. We have also established a strategic relationship with AdventHealth, where we will focus on accelerating research through data structuring and curation of combined genomic and clinical data in AdventHealth’s Orlando-area network, which includes more than 20 hospitals and emergency departments, and accounts for more than 2 million patient visits annually.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Act as a Broker and Catalyst for Commercial Engagement Between Health System and Biopharma Companies</w:t>
      </w:r>
    </w:p>
    <w:p>
      <w:pPr>
        <w:spacing w:after="0" w:line="164"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5"/>
          <w:szCs w:val="15"/>
          <w:color w:val="auto"/>
        </w:rPr>
        <w:t>While health systems and Biopharma companies have an established ability to collaborate effectively and will continue to partner directly, we believe that our network in both segments of the healthcare ecosystem and ability to add value to these relationships through data engineering makes it well-positioned as a valued collaborator for both types of organizations. Biopharma collaborations are often not the focus for health systems, as they have high start-up costs to develop relationships that extend to patient care. We can support our health system partners by working more collaboratively with the health systems to understand their capabilities and how those capabilities are complemented by our enhancement of a health systems’ data assets and clinical-genomic data generation capabilities, and by facilitating solutions that can be provided jointly to Biopharma companies. For example, we have built tools that comply with applicable security requirements and regulations and that leverage Centrellis datasets to help Biopharma companies understand clinical trial eligible patient population characteristics and help launch trial sites or design trial protocols more precisely. In turn, health systems can enroll more of their patients into clinical trials and research, bringing their patient population innovative treatments.</w:t>
      </w:r>
    </w:p>
    <w:p>
      <w:pPr>
        <w:spacing w:after="0" w:line="313" w:lineRule="exact"/>
        <w:rPr>
          <w:sz w:val="20"/>
          <w:szCs w:val="20"/>
          <w:color w:val="auto"/>
        </w:rPr>
      </w:pPr>
    </w:p>
    <w:p>
      <w:pPr>
        <w:ind w:left="320"/>
        <w:spacing w:after="0"/>
        <w:rPr>
          <w:sz w:val="20"/>
          <w:szCs w:val="20"/>
          <w:color w:val="auto"/>
        </w:rPr>
      </w:pPr>
      <w:r>
        <w:rPr>
          <w:rFonts w:ascii="Arial" w:cs="Arial" w:eastAsia="Arial" w:hAnsi="Arial"/>
          <w:sz w:val="18"/>
          <w:szCs w:val="18"/>
          <w:b w:val="1"/>
          <w:bCs w:val="1"/>
          <w:u w:val="single" w:color="auto"/>
          <w:color w:val="auto"/>
        </w:rPr>
        <w:t>Our Biopharma Solutions Engage and Enable Our Partners</w:t>
      </w:r>
    </w:p>
    <w:p>
      <w:pPr>
        <w:spacing w:after="0" w:line="17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have established and continue to seek strategic relationships with Biopharma companies to enable drug discovery, development, and commercialization. We have demonstrated the ability to integrate across the pharmaceutical life cycle as a result of the unique data and patient and provider engagements developed in our health system relationships and information-driven diagnostics solutions, combined with our powerful analytics capabilities and software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1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Biopharma industry has become increasingly competitive as it moves toward the more precise targeting of patients in crowded disease segments and we believe this trend positions us as a key partner for Biopharma companies to build a competitive advantage by unlocking the power of big data and enabling next generation precision medicine.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Strive for Interconnected Strategic Relationships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serve our Biopharma customers through a unique combination of clinical testing services, clinical and research study design and execution, and advanced data and analytics capabilities.</w:t>
      </w:r>
    </w:p>
    <w:p>
      <w:pPr>
        <w:spacing w:after="0" w:line="128"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Our competitive advantage in this space comes from leveraging comprehensive data generated via testing, integrating these deep molecular profiles with clinical patient information, and representing this comprehensive patient data in the Centrellis platform. This enables us to create direct and real time integration of clinical and genetic data with providers connected to drug discovery research, real world evidence studies, and other therapy development opportunities. We are also able to utilize our solutions and unique data assets to enroll patients into clinical trials and to connect Biopharma partners to patient populations matching eligibility criteria for their trials, to facilitate patients receiving novel therapies still under development, and to perform broad genomic and transcriptomic sequencing on health system partner sample banks in collaboration with Biopharma partners.</w:t>
      </w:r>
    </w:p>
    <w:p>
      <w:pPr>
        <w:spacing w:after="0" w:line="99"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In our engagement with Biopharma customers, we are focused on a range of disease conditions, including oncology, autoimmune and inflammatory disorders, and rare diseases. Our disease-agnostic approach provides us with the flexibility to support our Biopharma partners across varied therapeutic areas. We continue to work with our Biopharma partners to identify their specific needs and broaden the scope of our disease coverage accordingly.</w:t>
      </w:r>
    </w:p>
    <w:p>
      <w:pPr>
        <w:spacing w:after="0" w:line="8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believe that, because of our core capabilities and differentiated approach, we are well-positioned to support next-generation drug discovery, development, and commercialization. We further believe our ability to generate deep, clinical-grade multi-omic datasets renders us a valuable genomic testing solution provider for precision medicine Biopharma products. Through direct engagement of providers and patients, we assist Biopharma partners in a patient-centric approach to research and clinical development. By obtaining and curating high-dimensional data in our Centrellis platform, we can deliver novel insights that help to de-risk the development of next generation therapeutics, provide for pharmacologic proof of concept via the integration of genomic and clinical data support, reduce development costs, enhance the patient experience, and increase speed to market. We believe the integration of our solutions forms a holistic and highly differentiated value proposition to Biopharma customers and makes Sema4 a key partner to support our customers across the Biopharma value chain.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113"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MANAGEMENT</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provides information, including ages as of the Closing Date, regarding our executive officers and directors: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w:t>
            </w:r>
          </w:p>
        </w:tc>
        <w:tc>
          <w:tcPr>
            <w:tcW w:w="940" w:type="dxa"/>
            <w:vAlign w:val="bottom"/>
            <w:gridSpan w:val="2"/>
          </w:tcPr>
          <w:p>
            <w:pPr>
              <w:ind w:left="20"/>
              <w:spacing w:after="0"/>
              <w:rPr>
                <w:sz w:val="20"/>
                <w:szCs w:val="20"/>
                <w:color w:val="auto"/>
              </w:rPr>
            </w:pPr>
            <w:r>
              <w:rPr>
                <w:rFonts w:ascii="Arial" w:cs="Arial" w:eastAsia="Arial" w:hAnsi="Arial"/>
                <w:sz w:val="18"/>
                <w:szCs w:val="18"/>
                <w:b w:val="1"/>
                <w:bCs w:val="1"/>
                <w:color w:val="auto"/>
              </w:rPr>
              <w:t>Age</w:t>
            </w:r>
          </w:p>
        </w:tc>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Position</w:t>
            </w:r>
          </w:p>
        </w:tc>
      </w:tr>
      <w:tr>
        <w:trPr>
          <w:trHeight w:val="219"/>
        </w:trPr>
        <w:tc>
          <w:tcPr>
            <w:tcW w:w="5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Executive Officers:</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140" w:type="dxa"/>
            <w:vAlign w:val="bottom"/>
            <w:tcBorders>
              <w:top w:val="single" w:sz="8" w:color="auto"/>
            </w:tcBorders>
            <w:shd w:val="clear" w:color="auto" w:fill="CCEEFF"/>
          </w:tcPr>
          <w:p>
            <w:pPr>
              <w:spacing w:after="0"/>
              <w:rPr>
                <w:sz w:val="19"/>
                <w:szCs w:val="19"/>
                <w:color w:val="auto"/>
              </w:rPr>
            </w:pPr>
          </w:p>
        </w:tc>
      </w:tr>
      <w:tr>
        <w:trPr>
          <w:trHeight w:val="225"/>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Eric Schadt, Ph.D.</w:t>
            </w:r>
          </w:p>
        </w:tc>
        <w:tc>
          <w:tcPr>
            <w:tcW w:w="840" w:type="dxa"/>
            <w:vAlign w:val="bottom"/>
          </w:tcPr>
          <w:p>
            <w:pPr>
              <w:ind w:left="2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Chief Executive Officer and Director</w:t>
            </w:r>
          </w:p>
        </w:tc>
      </w:tr>
      <w:tr>
        <w:trPr>
          <w:trHeight w:val="226"/>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Isaac Ro</w:t>
            </w:r>
          </w:p>
        </w:tc>
        <w:tc>
          <w:tcPr>
            <w:tcW w:w="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Financial Officer</w:t>
            </w:r>
          </w:p>
        </w:tc>
      </w:tr>
      <w:tr>
        <w:trPr>
          <w:trHeight w:val="225"/>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James Coffin, Ph.D.</w:t>
            </w:r>
          </w:p>
        </w:tc>
        <w:tc>
          <w:tcPr>
            <w:tcW w:w="840" w:type="dxa"/>
            <w:vAlign w:val="bottom"/>
          </w:tcPr>
          <w:p>
            <w:pPr>
              <w:ind w:left="2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President and Chief Operating Officer</w:t>
            </w:r>
          </w:p>
        </w:tc>
      </w:tr>
      <w:tr>
        <w:trPr>
          <w:trHeight w:val="226"/>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Daniel Clark, J.D.</w:t>
            </w:r>
          </w:p>
        </w:tc>
        <w:tc>
          <w:tcPr>
            <w:tcW w:w="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Secretary and General Counsel</w:t>
            </w:r>
          </w:p>
        </w:tc>
      </w:tr>
      <w:tr>
        <w:trPr>
          <w:trHeight w:val="225"/>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Anthony Prentice</w:t>
            </w:r>
          </w:p>
        </w:tc>
        <w:tc>
          <w:tcPr>
            <w:tcW w:w="840" w:type="dxa"/>
            <w:vAlign w:val="bottom"/>
          </w:tcPr>
          <w:p>
            <w:pPr>
              <w:ind w:left="2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Chief Product Officer</w:t>
            </w:r>
          </w:p>
        </w:tc>
      </w:tr>
      <w:tr>
        <w:trPr>
          <w:trHeight w:val="226"/>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Kareem Saad</w:t>
            </w:r>
          </w:p>
        </w:tc>
        <w:tc>
          <w:tcPr>
            <w:tcW w:w="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Business Officer</w:t>
            </w:r>
          </w:p>
        </w:tc>
      </w:tr>
      <w:tr>
        <w:trPr>
          <w:trHeight w:val="225"/>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Karen White</w:t>
            </w:r>
          </w:p>
        </w:tc>
        <w:tc>
          <w:tcPr>
            <w:tcW w:w="840" w:type="dxa"/>
            <w:vAlign w:val="bottom"/>
          </w:tcPr>
          <w:p>
            <w:pPr>
              <w:ind w:left="2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Chief People Officer</w:t>
            </w:r>
          </w:p>
        </w:tc>
      </w:tr>
      <w:tr>
        <w:trPr>
          <w:trHeight w:val="213"/>
        </w:trPr>
        <w:tc>
          <w:tcPr>
            <w:tcW w:w="5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140" w:type="dxa"/>
            <w:vAlign w:val="bottom"/>
            <w:shd w:val="clear" w:color="auto" w:fill="CCEEFF"/>
          </w:tcPr>
          <w:p>
            <w:pPr>
              <w:spacing w:after="0"/>
              <w:rPr>
                <w:sz w:val="18"/>
                <w:szCs w:val="18"/>
                <w:color w:val="auto"/>
              </w:rPr>
            </w:pPr>
          </w:p>
        </w:tc>
      </w:tr>
      <w:tr>
        <w:trPr>
          <w:trHeight w:val="225"/>
        </w:trPr>
        <w:tc>
          <w:tcPr>
            <w:tcW w:w="5160" w:type="dxa"/>
            <w:vAlign w:val="bottom"/>
            <w:gridSpan w:val="2"/>
          </w:tcPr>
          <w:p>
            <w:pPr>
              <w:ind w:left="20"/>
              <w:spacing w:after="0"/>
              <w:rPr>
                <w:sz w:val="20"/>
                <w:szCs w:val="20"/>
                <w:color w:val="auto"/>
              </w:rPr>
            </w:pPr>
            <w:r>
              <w:rPr>
                <w:rFonts w:ascii="Arial" w:cs="Arial" w:eastAsia="Arial" w:hAnsi="Arial"/>
                <w:sz w:val="18"/>
                <w:szCs w:val="18"/>
                <w:b w:val="1"/>
                <w:bCs w:val="1"/>
                <w:color w:val="auto"/>
              </w:rPr>
              <w:t>Non-Employee Directors:</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140" w:type="dxa"/>
            <w:vAlign w:val="bottom"/>
          </w:tcPr>
          <w:p>
            <w:pPr>
              <w:spacing w:after="0"/>
              <w:rPr>
                <w:sz w:val="19"/>
                <w:szCs w:val="19"/>
                <w:color w:val="auto"/>
              </w:rPr>
            </w:pPr>
          </w:p>
        </w:tc>
      </w:tr>
      <w:tr>
        <w:trPr>
          <w:trHeight w:val="225"/>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Joshua Ruch</w:t>
            </w:r>
          </w:p>
        </w:tc>
        <w:tc>
          <w:tcPr>
            <w:tcW w:w="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Chairman of the Board and Director</w:t>
            </w:r>
          </w:p>
        </w:tc>
      </w:tr>
      <w:tr>
        <w:trPr>
          <w:trHeight w:val="225"/>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Dennis Charney, M.D.</w:t>
            </w:r>
          </w:p>
        </w:tc>
        <w:tc>
          <w:tcPr>
            <w:tcW w:w="840" w:type="dxa"/>
            <w:vAlign w:val="bottom"/>
          </w:tcPr>
          <w:p>
            <w:pPr>
              <w:ind w:left="2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6"/>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Eli D. Casdin</w:t>
            </w:r>
          </w:p>
        </w:tc>
        <w:tc>
          <w:tcPr>
            <w:tcW w:w="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25"/>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Emily Leproust, Ph.D.</w:t>
            </w:r>
          </w:p>
        </w:tc>
        <w:tc>
          <w:tcPr>
            <w:tcW w:w="840" w:type="dxa"/>
            <w:vAlign w:val="bottom"/>
          </w:tcPr>
          <w:p>
            <w:pPr>
              <w:ind w:left="2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6"/>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Jason Ryan</w:t>
            </w:r>
          </w:p>
        </w:tc>
        <w:tc>
          <w:tcPr>
            <w:tcW w:w="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25"/>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Michael Pellini, M.D.</w:t>
            </w:r>
          </w:p>
        </w:tc>
        <w:tc>
          <w:tcPr>
            <w:tcW w:w="840" w:type="dxa"/>
            <w:vAlign w:val="bottom"/>
          </w:tcPr>
          <w:p>
            <w:pPr>
              <w:ind w:left="2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6"/>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Nat Turner</w:t>
            </w:r>
          </w:p>
        </w:tc>
        <w:tc>
          <w:tcPr>
            <w:tcW w:w="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24"/>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Rachel Sherman, M.D., M.P.H., F.A.C.P.</w:t>
            </w:r>
          </w:p>
        </w:tc>
        <w:tc>
          <w:tcPr>
            <w:tcW w:w="840" w:type="dxa"/>
            <w:vAlign w:val="bottom"/>
          </w:tcPr>
          <w:p>
            <w:pPr>
              <w:ind w:left="2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Director</w:t>
            </w: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64"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b w:val="1"/>
          <w:bCs w:val="1"/>
          <w:i w:val="1"/>
          <w:iCs w:val="1"/>
          <w:color w:val="auto"/>
        </w:rPr>
        <w:t>Eric Schadt, Ph.D.</w:t>
      </w:r>
      <w:r>
        <w:rPr>
          <w:rFonts w:ascii="Arial" w:cs="Arial" w:eastAsia="Arial" w:hAnsi="Arial"/>
          <w:sz w:val="15"/>
          <w:szCs w:val="15"/>
          <w:color w:val="auto"/>
        </w:rPr>
        <w:t>, has served as our Chief Executive Officer and as a member of our Board since July 2021. Prior to the Business Combination, he was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founder of Sema4 and had served as its Chief Executive Officer and as a member of its board of directors since June 2017. Dr. Schadt also serves as the Dean for Precision Medicine, and Mount Sinai Professor in Predictive Health and Computational Biology at the Icahn School of Medicine at Mount Sinai. Dr. Schadt was previously Founding Director of the Icahn Institute for Genomics and Multiscale Biology from September 2011 to June 2017, and Professor and Chair of the Department of Genetics and Genomic Sciences from August 2011 to June 2017. Dr. Schadt previously served as the Chief Scientific Officer at Pacific Biosciences of California, a biotechnology company, from May 2009 to July 2012, and as an Executive Director at Merck from July 2001 to May 2009. Dr. Schadt also currently serves on numerous boards of directors and scientific advisory boards for various private companies. Dr. Schadt earned his Ph.D. from the University of California, Los Angeles, his M.A. from the University of California, Davis, and his B.S. from California Polytechnic State University-San Luis Obispo. Dr. Schadt’s expertise in computational biology, genomics, health systems operating experience, and knowledge of Sema4’s business, years of senior management experience at a biotechnology company, and his service as a director of other biopharmaceutical companies provide him with the qualifications and skills to serve as a director on our Board.</w:t>
      </w:r>
    </w:p>
    <w:p>
      <w:pPr>
        <w:spacing w:after="0" w:line="32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b w:val="1"/>
          <w:bCs w:val="1"/>
          <w:i w:val="1"/>
          <w:iCs w:val="1"/>
          <w:color w:val="auto"/>
        </w:rPr>
        <w:t xml:space="preserve">Isaac Ro </w:t>
      </w:r>
      <w:r>
        <w:rPr>
          <w:rFonts w:ascii="Arial" w:cs="Arial" w:eastAsia="Arial" w:hAnsi="Arial"/>
          <w:sz w:val="15"/>
          <w:szCs w:val="15"/>
          <w:color w:val="auto"/>
        </w:rPr>
        <w:t>has served as our Chief Financial Officer since July 2021. Prior to the Business Combination, he had served as Sema4’s Chief Financial Officer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since February 2021. Mr. Ro previously served as the Chief Financial Officer of Thrive Earlier Detection Corp., a company focused on early detection cancer screening, from June 2019 to February 2021, through Thrive’s sale to Exact Sciences Corporation in January 2021. From July 2010 to June 2019, Mr. Ro held roles of increasing responsibility at Goldman Sachs leading the U.S. Medical Technology team, including as Vice President. Prior to Goldman Sachs, Mr. Ro served as a Director at SVB Leerink from June 2004 to July 2010. Mr. Ro holds a B.A. in History, with honors, from Middlebury College.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119"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b w:val="1"/>
          <w:bCs w:val="1"/>
          <w:i w:val="1"/>
          <w:iCs w:val="1"/>
          <w:color w:val="auto"/>
        </w:rPr>
        <w:t>James Coffin, Ph.D.</w:t>
      </w:r>
      <w:r>
        <w:rPr>
          <w:rFonts w:ascii="Arial" w:cs="Arial" w:eastAsia="Arial" w:hAnsi="Arial"/>
          <w:sz w:val="17"/>
          <w:szCs w:val="17"/>
          <w:color w:val="auto"/>
        </w:rPr>
        <w:t>, has served as our President and Chief Operating Officer since July 2021. Prior to the Business Combination, he had served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Sema4’s President and Chief Operating Officer since August 2017 and previously served as our Treasurer from January 2021 to March 2021. Dr. Coffin previously served as Chief Executive Officer, Chairman of the Board and President at Source Medical Solutions, a practice management and EMR solutions provider in the ambulatory surgical space, from December 2014 to June 2017. Prior to joining Source Medical Solutions, Dr. Coffin was Worldwide Vice President and General Manager at Dell, leading the Global Healthcare and Life Science business from January 2007 to April 2013. Prior to Dell, Dr. Coffin served as Worldwide Vice President of IBM’s Healthcare and Life Sciences and its Life Sciences Solutions divisions between August 1999 and January 2007. Dr. Coffin earned his Ph.D. in Chemistry from the University of Arkansas and his B.S. in Chemistry from Louisiana Tech University. Dr. Coffin also completed a fellowship in Chemistry at the University of Cambridge.</w:t>
      </w:r>
    </w:p>
    <w:p>
      <w:pPr>
        <w:spacing w:after="0" w:line="128"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b w:val="1"/>
          <w:bCs w:val="1"/>
          <w:i w:val="1"/>
          <w:iCs w:val="1"/>
          <w:color w:val="auto"/>
        </w:rPr>
        <w:t>Daniel Clark, J.D.</w:t>
      </w:r>
      <w:r>
        <w:rPr>
          <w:rFonts w:ascii="Arial" w:cs="Arial" w:eastAsia="Arial" w:hAnsi="Arial"/>
          <w:sz w:val="18"/>
          <w:szCs w:val="18"/>
          <w:color w:val="auto"/>
        </w:rPr>
        <w:t>, has served as our General Counsel since July 2021. Prior to the Business Combination, he had served as Sema4’s General Counsel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since March 2016 and Secretary since March 2020. From 2015 to May 2017, Mr. Clark served as the Senior Contracts Manager – Genetics &amp; Genomics at Mount Sinai Innovation Partners. Prior to joining Mount Sinai Innovation Partners, Mr. Clark practiced with two leading law firms in New York, clerked for Judge Frederic Block in the Eastern District of New York, and helped found a boutique startup law firm. Mr. Clark received his J.D. from the University of Michigan School of Law, cum laude, and his B.A. in Economics and Philosophy from Pomona College, cum laude. Mr. Clark also traveled as a Thomas J. Watson Fellow.</w:t>
      </w:r>
    </w:p>
    <w:p>
      <w:pPr>
        <w:spacing w:after="0" w:line="143"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b w:val="1"/>
          <w:bCs w:val="1"/>
          <w:i w:val="1"/>
          <w:iCs w:val="1"/>
          <w:color w:val="auto"/>
        </w:rPr>
        <w:t xml:space="preserve">Anthony Prentice </w:t>
      </w:r>
      <w:r>
        <w:rPr>
          <w:rFonts w:ascii="Arial" w:cs="Arial" w:eastAsia="Arial" w:hAnsi="Arial"/>
          <w:sz w:val="17"/>
          <w:szCs w:val="17"/>
          <w:color w:val="auto"/>
        </w:rPr>
        <w:t>has served as our Chief Product Officer since July 2021. Prior to the Business Combination, he had served as Sema4’s Chief Product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 since September 2016. Prior to joining Sema4, Mr. Prentice served in various roles of increasing responsibility at American Express from May 2005 to September 2016, including as the Vice President of Mobile Payments from August 2011 to September 2016 and as the Vice President of Gold Card Product Management from April 2010 to October 2011. Prior to joining American Express, Mr. Prentice served as the Director of Category Management at Starbucks Corp from 2002 to 2005, and as an Engagement Manager at McKinsey &amp; Company from 1998 to 2002. Mr. Prentice earned an M.B.A. from Columbia University and his B.S. in Mechanical Engineering from Cornell University.</w:t>
      </w:r>
    </w:p>
    <w:p>
      <w:pPr>
        <w:spacing w:after="0" w:line="126"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b w:val="1"/>
          <w:bCs w:val="1"/>
          <w:i w:val="1"/>
          <w:iCs w:val="1"/>
          <w:color w:val="auto"/>
        </w:rPr>
        <w:t xml:space="preserve">Kareem Saad </w:t>
      </w:r>
      <w:r>
        <w:rPr>
          <w:rFonts w:ascii="Arial" w:cs="Arial" w:eastAsia="Arial" w:hAnsi="Arial"/>
          <w:sz w:val="15"/>
          <w:szCs w:val="15"/>
          <w:color w:val="auto"/>
        </w:rPr>
        <w:t>has served as our Chief Business Officer since July 2021. Prior to the Business Combination, he had served as Sema4’s Chief Business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Officer since January 2021. Mr. Saad also previously served as the Chief Strategy Officer at Sema4 from October 2017 to January 2020. Prior to rejoining Sema4, Mr. Saad served as the President and Chief Operating Officer of Apervita, Inc., a healthcare technology company, from February 2020 to January 2021. Mr. Saad previously served as the Chief Commercial Officer and EVP of Strategy and Business Development of SourceMed, a healthcare technology company, between January 2015 and June 2017. Prior to joining SourceMed, Mr. Saad served as a National Sales Director and Manager in Dell’s Healthcare and Life Sciences division between June 2009 and July 2013, and as a Business Segment Executive in IBM’s Healthcare Life Sciences group from November 2001 to February 2006. Mr. Saad received an M.B.A. with a concentration in Economics and Finance from the University of Chicago and a B.S. in Biochemistry and Molecular Biology with a minor in Computer Science from the University of British Columbia.</w:t>
      </w:r>
    </w:p>
    <w:p>
      <w:pPr>
        <w:spacing w:after="0" w:line="10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b w:val="1"/>
          <w:bCs w:val="1"/>
          <w:i w:val="1"/>
          <w:iCs w:val="1"/>
          <w:color w:val="auto"/>
        </w:rPr>
        <w:t xml:space="preserve">Karen White </w:t>
      </w:r>
      <w:r>
        <w:rPr>
          <w:rFonts w:ascii="Arial" w:cs="Arial" w:eastAsia="Arial" w:hAnsi="Arial"/>
          <w:sz w:val="17"/>
          <w:szCs w:val="17"/>
          <w:color w:val="auto"/>
        </w:rPr>
        <w:t>has served as our Chief People Officer since July 2021. Prior to the Business Combination, she had served as Sema4’s Chief People Officer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September 2020. Prior to joining Sema4, Ms. White was Vice President of Human Resources for Commercial Solutions at Syneos Health, Inc., a biopharmaceutical outsource services organization, from June 2016 to September 2020. Prior to the merger of inVentiv Health, Inc. and INC Research Holdings, Inc. in August 2017, and later rebranding to Syneos Health in January 2018, Ms. White served as Managing Director of Human Capital at inVentiv Health from June 2016 to August 2017. Prior to that, Ms. White served as Director of Talent Development at Memorial Sloan Kettering Cancer Center where she was employed from October 2011 to June 2016. Before October 2011, Ms. White held various positions at large global organizations such as Goldman Sachs Group Inc., International Business Machines Corp., and PricewaterhouseCoopers. Ms. White earned her M.B.A. from The George Washington University and her B.A. from Hobart and William Smith Colleges.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b w:val="1"/>
          <w:bCs w:val="1"/>
          <w:i w:val="1"/>
          <w:iCs w:val="1"/>
          <w:color w:val="auto"/>
        </w:rPr>
        <w:t xml:space="preserve">Joshua Ruch </w:t>
      </w:r>
      <w:r>
        <w:rPr>
          <w:rFonts w:ascii="Arial" w:cs="Arial" w:eastAsia="Arial" w:hAnsi="Arial"/>
          <w:sz w:val="17"/>
          <w:szCs w:val="17"/>
          <w:color w:val="auto"/>
        </w:rPr>
        <w:t>has served as the chairman of our Board since July 2021, and prior to the Business Combination, he had served as a member of Sema4’s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board of directors since November 2017. Mr. Ruch is also a managing partner and co-founder of Rho Capital Partners, an investment and venture capital management company focused on innovative technology, and has held such positions since the founding of Rho Capital Partners in 1981. Prior to co-founding Rho Capital Partners and Rho Ventures in 1981, Mr. Ruch worked as an investment banker at Salomon Brothers in New York, a multinational investment bank. In addition to Sema4, Mr. Ruch is also a trustee of the Mount Sinai Health System, Carnegie Hall and the National Humanities Center, and is a member of the Board of Governors of the Technion – Israel Institute of Technology and the Steering Committee of the Jacobs Institute. Joshua received an M.B.A. from the Harvard Business School and a B.S. in electrical engineering from the Technion – Israel Institute of Technology in Haifa, Israel. Mr. Ruch’s broad experience as an investor and serving on the boards of emerging technology companies, including health care and biotechnology companies, qualifies him to serve on our Board.</w:t>
      </w:r>
    </w:p>
    <w:p>
      <w:pPr>
        <w:spacing w:after="0" w:line="13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b w:val="1"/>
          <w:bCs w:val="1"/>
          <w:i w:val="1"/>
          <w:iCs w:val="1"/>
          <w:color w:val="auto"/>
        </w:rPr>
        <w:t xml:space="preserve">Dennis Charney, M.D., </w:t>
      </w:r>
      <w:r>
        <w:rPr>
          <w:rFonts w:ascii="Arial" w:cs="Arial" w:eastAsia="Arial" w:hAnsi="Arial"/>
          <w:sz w:val="17"/>
          <w:szCs w:val="17"/>
          <w:color w:val="auto"/>
        </w:rPr>
        <w:t>has served as a member of our Board since July 2021, and prior to the Business Combination, he had served as a member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Sema4’s board of directors since June 2017. Dr. Charney has served as the Anne and Joel Ehrenkranz Dean of the Icahn School of Medicine at Mount Sinai since January 2007, and as President for Academic Affairs for the Mount Sinai Health System since September 2013. From March 2006 to March 2007, Dr. Charney served as the Dean of the School and Executive Vice President for Academic Affairs of the Medical Center. Dr. Charney first joined the Icahn School of Medicine at Mount Sinai in 2004 as Dean of Research. Prior to joining the Icahn School of Medicine at Mount Sinai, Dr. Charney led the Mood and Anxiety Disorder Research Program and the Experimental Therapeutics and Pathophysiology Branch at the National Institute of Mental Health, and he served as Professor of Psychiatry with tenure at Yale University from January 1990 to January 2000. Dr. Charney received his M.D. from Penn State College of Medicine and his B.A. from Rutgers University. Dr. Charney completed a residency in clinical psychiatry at Yale University School of Medicine and a fellowship in biological psychiatry at Connecticut Mental Health Center. Dr. Charney’s extensive medical and clinical experience in the biotechnology industry qualifies him to serve as a director on our Board.</w:t>
      </w:r>
    </w:p>
    <w:p>
      <w:pPr>
        <w:spacing w:after="0" w:line="12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b w:val="1"/>
          <w:bCs w:val="1"/>
          <w:i w:val="1"/>
          <w:iCs w:val="1"/>
          <w:color w:val="auto"/>
        </w:rPr>
        <w:t xml:space="preserve">Eli D. Casdin </w:t>
      </w:r>
      <w:r>
        <w:rPr>
          <w:rFonts w:ascii="Arial" w:cs="Arial" w:eastAsia="Arial" w:hAnsi="Arial"/>
          <w:sz w:val="17"/>
          <w:szCs w:val="17"/>
          <w:color w:val="auto"/>
        </w:rPr>
        <w:t>has served as a member of our Board since July 2020, and prior to the Business Combination, he had served as our Chief Executive Officer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July 2020. Mr. Casdin has served as a member of the board of directors and as the Chief Executive Officer of CMLS since July 2020. Mr. Casdin founded Casdin Capital, LLC, an investment firm focused on the life sciences and healthcare industry, in November 2011 and currently serves as its Chief Investment Officer. Mr. Casdin has served on the board of directors of Tenaya Therapeutics, Inc., a biotechnology company, since August 2019, and previously served on the board of directors of Exact Sciences Corp., a molecular diagnostics company focused on early cancer detection, treatment and monitoring, from October 2017 to September 2020. Mr. Casdin holds an M.B.A. from Columbia Business School and a B.S. degree from Columbia University School of General Studies. Mr. Casdin’s qualifications to serve on our Board include his extensive leadership experience as an executive officer of an investment firm, his extensive public and private company directorship experience in the life sciences and healthcare sectors, and his expertise in finance, capital markets, and the biotechnology industry.</w:t>
      </w:r>
    </w:p>
    <w:p>
      <w:pPr>
        <w:spacing w:after="0" w:line="132"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b w:val="1"/>
          <w:bCs w:val="1"/>
          <w:i w:val="1"/>
          <w:iCs w:val="1"/>
          <w:color w:val="auto"/>
        </w:rPr>
        <w:t xml:space="preserve">Emily Leproust, Ph.D., </w:t>
      </w:r>
      <w:r>
        <w:rPr>
          <w:rFonts w:ascii="Arial" w:cs="Arial" w:eastAsia="Arial" w:hAnsi="Arial"/>
          <w:sz w:val="15"/>
          <w:szCs w:val="15"/>
          <w:color w:val="auto"/>
        </w:rPr>
        <w:t>has served as a member of our Board since September 2020. Dr. Leproust has been President and Chief Executive Officer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Twist Bioscience Corp., a biotechnology company, since co-founding Twist in 2013. Since October 2018, she has also served as Chair of the board of directors for Twist. Prior to co-founding Twist, Dr. Leproust served in various positions at Agilent Technologies, Inc., an analytical instrumentation development and manufacturing company, most recently as its Director, Applications and Chemistry R&amp;D from February 2009 to April 2013. Dr. Leproust holds a Ph.D. in Organic Chemistry from the University of Houston and a M.Sc. in Industrial Chemistry from the Lyon School of Industrial Chemistry. Dr. Leproust’s qualifications to serve on our Board include her extensive professional and educational experience in the life sciences industry.</w:t>
      </w:r>
    </w:p>
    <w:p>
      <w:pPr>
        <w:spacing w:after="0" w:line="99"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b w:val="1"/>
          <w:bCs w:val="1"/>
          <w:i w:val="1"/>
          <w:iCs w:val="1"/>
          <w:color w:val="auto"/>
        </w:rPr>
        <w:t xml:space="preserve">Jason Ryan </w:t>
      </w:r>
      <w:r>
        <w:rPr>
          <w:rFonts w:ascii="Arial" w:cs="Arial" w:eastAsia="Arial" w:hAnsi="Arial"/>
          <w:sz w:val="15"/>
          <w:szCs w:val="15"/>
          <w:color w:val="auto"/>
        </w:rPr>
        <w:t>has served as a member of our Board since July 2021. Mr. Ryan served as Chief Operating and Financial Officer of Magenta Therapeutics,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Inc., a biotechnology company, from January 2019 to October 2020. Prior to joining Magenta Therapeutics, Inc., Mr. Ryan previously served as Chief Financial Officer of Foundation Medicine, Inc., a molecular information company which became a wholly-owned subsidiary of Roche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119"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Inc., from March 2015 to November 2018. Prior to his position as Chief Financial Officer of Foundation Medicine, Inc., Mr. Ryan served in various other finance roles at Foundation Medicine, including as Senior Vice President of Finance. Prior to joining Foundation Medicine, Inc., Mr. Ryan led the finance and strategic planning functions of various other life science companies including Taligen Therapeutics, Inc., Codon Devices Inc. and Genomics Collaborative, Inc. Mr. Ryan joined the board of directors of Singular Genomics Systems, Inc. in April 2021, and previously served on the board of directors of ArcherDX, Inc. (which was acquired by Invitae Corporation) from April 2020 to October 2020. He began his career at Deloitte &amp; Touche. Mr. Ryan holds an M.B.A. from Babson College and a B.S. in economics from Bates College, and earned a C.P.A. in Massachusetts. Mr. Ryan’s extensive finance experience and his leadership experience in the life sciences and biopharmaceutical industries qualifies him to serve as a director on our Board.</w:t>
      </w:r>
    </w:p>
    <w:p>
      <w:pPr>
        <w:spacing w:after="0" w:line="104"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b w:val="1"/>
          <w:bCs w:val="1"/>
          <w:i w:val="1"/>
          <w:iCs w:val="1"/>
          <w:color w:val="auto"/>
        </w:rPr>
        <w:t>Michael Pellini, M.D.</w:t>
      </w:r>
      <w:r>
        <w:rPr>
          <w:rFonts w:ascii="Arial" w:cs="Arial" w:eastAsia="Arial" w:hAnsi="Arial"/>
          <w:sz w:val="15"/>
          <w:szCs w:val="15"/>
          <w:color w:val="auto"/>
        </w:rPr>
        <w:t>, has served as a member of our Board since July 2021, and prior to the Business Combination, he had served as a member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Sema4’s board of directors since August 2019. Since December 2017, Dr. Pellini has served as a Managing Partner of Section 32, LLC, a technology and life sciences-based venture capital fund. Dr. Pellini held roles of increasing responsibility at Foundation Medicine, Inc., a molecular information company, which was acquired by F. Hoffmann-La Roche Ltd. in 2018, from May 2011 until its acquisition, including as Chairman of the board of directors, Chief Executive Officer and President. From April 2008 to April 2011, Dr. Pellini held the position of President and Chief Operating Officer at Clarient, Inc., a medical diagnostic services company, which was acquired by General Electric Healthcare Company in 2010, and also served on Clarient’s board of directors from May 2007 to April 2009. Dr. Pellini also previously served as Vice President, Life Sciences at Safeguard Scientifics, Inc., a private equity and venture capital firm from March 2007 to April 2008. Dr. Pellini currently serves as a member of the board of directors of Adaptive Biotechnologies Corporation, the Personalized Medicine Coalition, the Mission Hospital Foundation and several private companies. Dr. Pellini earned an M.D. from Jefferson Medical College (now the Sidney Kimmel Medical College of Thomas Jefferson University), an M.B.A. from Drexel University, and a B.A. in Economics from Boston College. Dr. Pellini’s broad experience in the technology, health care and life sciences industries as an investor, and his years of senior management experience at public biotechnology companies, provides him with the qualifications and skills to serve as a director on our Board.</w:t>
      </w:r>
    </w:p>
    <w:p>
      <w:pPr>
        <w:spacing w:after="0" w:line="323"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b w:val="1"/>
          <w:bCs w:val="1"/>
          <w:i w:val="1"/>
          <w:iCs w:val="1"/>
          <w:color w:val="auto"/>
        </w:rPr>
        <w:t xml:space="preserve">Nat Turner </w:t>
      </w:r>
      <w:r>
        <w:rPr>
          <w:rFonts w:ascii="Arial" w:cs="Arial" w:eastAsia="Arial" w:hAnsi="Arial"/>
          <w:sz w:val="15"/>
          <w:szCs w:val="15"/>
          <w:color w:val="auto"/>
        </w:rPr>
        <w:t>has served as a member of our Board since September 2020. Mr. Turner has been the Co-Founder and Chief Executive Officer of Flatiron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Health, Inc., a healthcare technology company focusing on accelerating oncology research and improving patient care since June 2012 and was acquired by Roche Holding AG in April 2018. Previously, Mr. Turner co-founded and served as Chief Executive Officer of Invite Media, Inc., an advertising technology company, from March 2007 until it was acquired by Google Inc. in June 2010, after which he remained at Google until June 2012. Mr. Turner received a B.S., cum laude, in Economics with concentrations in entrepreneurship and marketing from The Wharton School of the University of Pennsylvania. Mr. Turner’s qualifications to serve on our Board include his significant experience in the life sciences industry, both as an executive and as an angel investor.</w:t>
      </w:r>
    </w:p>
    <w:p>
      <w:pPr>
        <w:spacing w:after="0" w:line="99"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b w:val="1"/>
          <w:bCs w:val="1"/>
          <w:i w:val="1"/>
          <w:iCs w:val="1"/>
          <w:color w:val="auto"/>
        </w:rPr>
        <w:t xml:space="preserve">Rachel Sherman, M.D., </w:t>
      </w:r>
      <w:r>
        <w:rPr>
          <w:rFonts w:ascii="Arial" w:cs="Arial" w:eastAsia="Arial" w:hAnsi="Arial"/>
          <w:sz w:val="15"/>
          <w:szCs w:val="15"/>
          <w:color w:val="auto"/>
        </w:rPr>
        <w:t>M.P.H., F.A.C.P., has served as a member of our Board since July 2021, and prior to the Business Combination, she had served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as a member of Sema4’s board of directors since March 2020. Dr. Sherman is currently the President of Rachel Sherman Partners LLC, a drug development, regulatory, and policy consulting firm she founded in 2019, and a clinical lecturer at Harvard Pilgrim Health Care Institute. Dr. Sherman also currently serves as a member of the Board of Directors for Aptinyx Inc., a biopharmaceutical company. From May 2017 to January 2019, Dr. Sherman served as Principal Deputy Commissioner at the U.S. Food and Drug Administration (FDA), where she spent nearly 30 years in medical product development and regulation. Dr. Sherman also served in additional roles at the FDA including as deputy commissioner for Medical Products and Tobacco in the Office of the Commissioner and director of the Office of Medical Policy in the Center for Drug Evaluation and Research. Dr. Sherman earned an M.D. from Mount Sinai School of Medicine, an M.P.H from The School of Hygiene and Public Health at Johns Hopkins University and an A.B. in mathematics from Washington University (St. Louis). Dr. Sherman’s medical and regulatory experience across a broad range of subject matters, including biosimilars, expedited drug development, prescription drug promotion, and active post-market surveillance provides her with the qualifications and skills to serve on our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Classified Board of Directors</w:t>
      </w:r>
    </w:p>
    <w:p>
      <w:pPr>
        <w:spacing w:after="0" w:line="17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accordance with the Amended and Restated Certificate of Incorporation, our Board is divided into three staggered classes of directors. At each annual meeting of stockholders, a class of directors will be subject to re-election for a three-year term. As a result, only one class of directors will be elected at each annual meeting of our stockholders, with the other classes continuing for the remainder of their respective three-year terms. The directors are divided among the three classes as follows:</w:t>
      </w:r>
    </w:p>
    <w:p>
      <w:pPr>
        <w:spacing w:after="0" w:line="138" w:lineRule="exact"/>
        <w:rPr>
          <w:sz w:val="20"/>
          <w:szCs w:val="20"/>
          <w:color w:val="auto"/>
        </w:rPr>
      </w:pPr>
    </w:p>
    <w:p>
      <w:pPr>
        <w:ind w:left="640" w:hanging="316"/>
        <w:spacing w:after="0" w:line="264" w:lineRule="auto"/>
        <w:tabs>
          <w:tab w:leader="none" w:pos="635"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Class I directors are Eli D. Casdin, Joshua Ruch and Michael Pellini and their terms will expire at the first annual meeting of stockholders held after the Closing;</w:t>
      </w:r>
    </w:p>
    <w:p>
      <w:pPr>
        <w:spacing w:after="0" w:line="12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Class II directors are Rachel Sherman, Eric Schadt, Nat Turner and Dennis Charney, and their terms will expire at the second annual meeting of stockholders held after the Closing; and</w:t>
      </w:r>
    </w:p>
    <w:p>
      <w:pPr>
        <w:spacing w:after="0" w:line="12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Class III directors are Emily Leproust and Jason Ryan and their terms will expire at the third annual meeting of stockholders held after the Closing.</w:t>
      </w:r>
    </w:p>
    <w:p>
      <w:pPr>
        <w:spacing w:after="0" w:line="128" w:lineRule="exact"/>
        <w:rPr>
          <w:sz w:val="20"/>
          <w:szCs w:val="20"/>
          <w:color w:val="auto"/>
        </w:rPr>
      </w:pPr>
    </w:p>
    <w:p>
      <w:pPr>
        <w:jc w:val="both"/>
        <w:ind w:firstLine="318"/>
        <w:spacing w:after="0" w:line="268" w:lineRule="auto"/>
        <w:rPr>
          <w:rFonts w:ascii="Arial" w:cs="Arial" w:eastAsia="Arial" w:hAnsi="Arial"/>
          <w:sz w:val="17"/>
          <w:szCs w:val="17"/>
          <w:i w:val="1"/>
          <w:iCs w:val="1"/>
          <w:color w:val="0000FF"/>
        </w:rPr>
      </w:pPr>
      <w:r>
        <w:rPr>
          <w:rFonts w:ascii="Arial" w:cs="Arial" w:eastAsia="Arial" w:hAnsi="Arial"/>
          <w:sz w:val="17"/>
          <w:szCs w:val="17"/>
          <w:color w:val="auto"/>
        </w:rPr>
        <w:t xml:space="preserve">Each director’s term continues until the election and qualification of his or her successor, or his or her earlier death, resignation or removal. The Amended and Restated Certificate of Incorporation and Bylaws authorize only the Board to fill vacancies on the Board. Any increase or decrease in the number of directors will be distributed among the three classes so that, as nearly as possible, each class will consist of one-third of the directors. This classification of the </w:t>
      </w:r>
      <w:hyperlink w:anchor="page148">
        <w:r>
          <w:rPr>
            <w:rFonts w:ascii="Arial" w:cs="Arial" w:eastAsia="Arial" w:hAnsi="Arial"/>
            <w:sz w:val="17"/>
            <w:szCs w:val="17"/>
            <w:color w:val="auto"/>
          </w:rPr>
          <w:t xml:space="preserve">Board may have the effect of delaying or preventing changes in control of us. See the section titled </w:t>
        </w:r>
        <w:r>
          <w:rPr>
            <w:rFonts w:ascii="Arial" w:cs="Arial" w:eastAsia="Arial" w:hAnsi="Arial"/>
            <w:sz w:val="17"/>
            <w:szCs w:val="17"/>
            <w:i w:val="1"/>
            <w:iCs w:val="1"/>
            <w:color w:val="auto"/>
          </w:rPr>
          <w:t>“</w:t>
        </w:r>
        <w:r>
          <w:rPr>
            <w:rFonts w:ascii="Arial" w:cs="Arial" w:eastAsia="Arial" w:hAnsi="Arial"/>
            <w:sz w:val="17"/>
            <w:szCs w:val="17"/>
            <w:i w:val="1"/>
            <w:iCs w:val="1"/>
            <w:u w:val="single" w:color="auto"/>
            <w:color w:val="0000FF"/>
          </w:rPr>
          <w:t>Description of Securities— Certain Anti-Takeover</w:t>
        </w:r>
      </w:hyperlink>
      <w:r>
        <w:rPr>
          <w:rFonts w:ascii="Arial" w:cs="Arial" w:eastAsia="Arial" w:hAnsi="Arial"/>
          <w:sz w:val="17"/>
          <w:szCs w:val="17"/>
          <w:color w:val="auto"/>
        </w:rPr>
        <w:t xml:space="preserve"> </w:t>
      </w:r>
      <w:hyperlink w:anchor="page148">
        <w:r>
          <w:rPr>
            <w:rFonts w:ascii="Arial" w:cs="Arial" w:eastAsia="Arial" w:hAnsi="Arial"/>
            <w:sz w:val="17"/>
            <w:szCs w:val="17"/>
            <w:i w:val="1"/>
            <w:iCs w:val="1"/>
            <w:u w:val="single" w:color="auto"/>
            <w:color w:val="0000FF"/>
          </w:rPr>
          <w:t>Provisions of Delaware Law and Our Amended and Restated Certificate of Incorporation and Bylaws</w:t>
        </w:r>
        <w:r>
          <w:rPr>
            <w:rFonts w:ascii="Arial" w:cs="Arial" w:eastAsia="Arial" w:hAnsi="Arial"/>
            <w:sz w:val="17"/>
            <w:szCs w:val="17"/>
            <w:i w:val="1"/>
            <w:iCs w:val="1"/>
            <w:color w:val="000000"/>
          </w:rPr>
          <w:t>.”</w:t>
        </w:r>
      </w:hyperlink>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7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rules of Nasdaq require that a majority of our Board be independent. An “independent director” is defined generally as a person other than an executive officer or employee of the issuer or any other individual having a relationship which, in the opinion of the issuer’s board of directors, would interfere with the exercise of independent judgement in carrying out the responsibilities of a director. Each individual serving on our Board, other than Eric Schadt and Eli Casdin, qualifies as an independent director under Nasdaq listing standards.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70"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 xml:space="preserve">Our Board has the authority to appoint committees to perform certain management and administration functions. Our Board has established an audit committee, a compensation committee, and a nominating and corporate governance committee. The composition and responsibilities of each committee are described below. Members serve on these committees until their resignation or until otherwise determined by the Board. The charters for each of these committees are available on our website at </w:t>
      </w:r>
      <w:r>
        <w:rPr>
          <w:rFonts w:ascii="Arial" w:cs="Arial" w:eastAsia="Arial" w:hAnsi="Arial"/>
          <w:sz w:val="17"/>
          <w:szCs w:val="17"/>
          <w:i w:val="1"/>
          <w:iCs w:val="1"/>
          <w:color w:val="auto"/>
        </w:rPr>
        <w:t>www.Sema4.com.</w:t>
      </w:r>
      <w:r>
        <w:rPr>
          <w:rFonts w:ascii="Arial" w:cs="Arial" w:eastAsia="Arial" w:hAnsi="Arial"/>
          <w:sz w:val="17"/>
          <w:szCs w:val="17"/>
          <w:color w:val="auto"/>
        </w:rPr>
        <w:t xml:space="preserve"> Information contained on or accessible through our website is not a part of this prospectus, and the inclusion of such website address in this prospectus is an inactive textual reference only.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6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Our audit committee is comprised of Dennis Charney, Emily Leproust, and Jason Ryan, with Mr. Ryan as the chairman of our audit committee. The Board has determined that the composition of our audit committee meets the requirements for independence under the current Nasdaq and SEC rules and regulations, and that each member of the audit committee is financially literate. In addition, the Board has determined that Jason Ryan is an “audit committee financial expert” as defined in Item 407(d)(5)(ii) of Regulation S-K promulgated under the Securities Act. This designation does not impose on him or her any duties, obligations or liabilities that are greater than are generally imposed on members of our audit committee and our board of directors. Our audit committee is directly responsible for, among other things:</w:t>
      </w:r>
    </w:p>
    <w:p>
      <w:pPr>
        <w:spacing w:after="0" w:line="143" w:lineRule="exact"/>
        <w:rPr>
          <w:sz w:val="20"/>
          <w:szCs w:val="20"/>
          <w:color w:val="auto"/>
        </w:rPr>
      </w:pPr>
    </w:p>
    <w:p>
      <w:pPr>
        <w:ind w:left="640" w:hanging="316"/>
        <w:spacing w:after="0"/>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selecting and hiring the independent registered public accounting firm;</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qualifications, independence and performance of our independent auditors;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119" w:lineRule="exact"/>
        <w:rPr>
          <w:sz w:val="20"/>
          <w:szCs w:val="20"/>
          <w:color w:val="auto"/>
        </w:rPr>
      </w:pPr>
    </w:p>
    <w:p>
      <w:pPr>
        <w:ind w:left="640" w:hanging="316"/>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preparation of the audit committee report to be included in our annual prospectus;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our accounting and financial reporting processes, including our financial statement audits and the integrity of our financial statements; and</w:t>
      </w:r>
    </w:p>
    <w:p>
      <w:pPr>
        <w:spacing w:after="0" w:line="175" w:lineRule="exact"/>
        <w:rPr>
          <w:rFonts w:ascii="Arial" w:cs="Arial" w:eastAsia="Arial" w:hAnsi="Arial"/>
          <w:sz w:val="17"/>
          <w:szCs w:val="17"/>
          <w:color w:val="auto"/>
        </w:rPr>
      </w:pPr>
    </w:p>
    <w:p>
      <w:pPr>
        <w:ind w:left="640" w:hanging="316"/>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reviewing and approving related-person transactions.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compensation committee is comprised of Joshua Ruch, Rachel Sherman and Nat Turner, with Mr. Ruch as the chairman of our compensation committee. The Board has determined that each member of our compensation committee is a non-employee director, as defined by Rule 16b-3 promulgated under the Exchange Act, and meets the requirements for independence under the current Nasdaq listing standards and SEC rules and regulations. Our compensation committee is responsible for, among other things:</w:t>
      </w:r>
    </w:p>
    <w:p>
      <w:pPr>
        <w:spacing w:after="0" w:line="138" w:lineRule="exact"/>
        <w:rPr>
          <w:sz w:val="20"/>
          <w:szCs w:val="20"/>
          <w:color w:val="auto"/>
        </w:rPr>
      </w:pPr>
    </w:p>
    <w:p>
      <w:pPr>
        <w:ind w:left="640" w:hanging="316"/>
        <w:spacing w:after="0"/>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evaluating, recommending, approving and reviewing executive officer compensation arrangements, plans, policies and programs;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evaluating and recommending non-employee director compensation arrangements for determination by our board of directors;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administering our cash-based and equity-based compensation plans;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overseeing our compliance with regulatory requirements associated with the compensation of directors, officers and employees.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6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Our nominating and governance committee is comprised of Joshua Ruch and Rachel Sherman, with Ms. Sherman as the chairwoman of our nominating and governance committee. The Board has determined that each member of our nominating and governance committee meets the requirements for independence under the current Nasdaq listing standards. Our nominating and governance committee is responsible for, among other things:</w:t>
      </w:r>
    </w:p>
    <w:p>
      <w:pPr>
        <w:spacing w:after="0" w:line="84" w:lineRule="exact"/>
        <w:rPr>
          <w:sz w:val="20"/>
          <w:szCs w:val="20"/>
          <w:color w:val="auto"/>
        </w:rPr>
      </w:pPr>
    </w:p>
    <w:p>
      <w:pPr>
        <w:ind w:left="640" w:hanging="316"/>
        <w:spacing w:after="0"/>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identifying, considering and recommending candidates for membership on our board of directors;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overseeing the process of evaluating the performance of our board of directors;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advising our board of directors on other corporate governance matters.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7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 xml:space="preserve">We have adopted a Code of Business Conduct and Ethics that applies to all of our employees, officers and directors, including those officers responsible for financial reporting. The Code of Business Conduct and Ethics is available on our website at </w:t>
      </w:r>
      <w:r>
        <w:rPr>
          <w:rFonts w:ascii="Arial" w:cs="Arial" w:eastAsia="Arial" w:hAnsi="Arial"/>
          <w:sz w:val="18"/>
          <w:szCs w:val="18"/>
          <w:i w:val="1"/>
          <w:iCs w:val="1"/>
          <w:color w:val="auto"/>
        </w:rPr>
        <w:t>www.Sema4.com.</w:t>
      </w:r>
      <w:r>
        <w:rPr>
          <w:rFonts w:ascii="Arial" w:cs="Arial" w:eastAsia="Arial" w:hAnsi="Arial"/>
          <w:sz w:val="18"/>
          <w:szCs w:val="18"/>
          <w:color w:val="auto"/>
        </w:rPr>
        <w:t xml:space="preserve"> Information contained on or accessible through such website is not a part of this prospectus, and the inclusion of the website address in this prospectus is an inactive textual reference only. We intend to disclose any amendments to the Code of Business Conduct and Ethics, or any waivers of its requirements, on its website to the extent required by the applicable rules and exchange requirements.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70"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No member of our compensation committee has ever been an officer or employee of either company. None of our executive officers serve, or have served during the last year, as a member of the board of directors, compensation committee, or other board committee performing equivalent functions of any other entity that has one or more executive officers serving as one of our directors or on our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Overview</w:t>
      </w:r>
    </w:p>
    <w:p>
      <w:pPr>
        <w:spacing w:after="0" w:line="170"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following tables and accompanying narrative disclosure set forth information about the compensation earned by Sema4’s named executive officers for the year ended December 31, 2020, who were:</w:t>
      </w:r>
    </w:p>
    <w:p>
      <w:pPr>
        <w:spacing w:after="0" w:line="128" w:lineRule="exact"/>
        <w:rPr>
          <w:sz w:val="20"/>
          <w:szCs w:val="20"/>
          <w:color w:val="auto"/>
        </w:rPr>
      </w:pPr>
    </w:p>
    <w:p>
      <w:pPr>
        <w:ind w:left="640" w:hanging="316"/>
        <w:spacing w:after="0"/>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Eric Schadt, Ph.D., Sema4’s founder and Chief Executive Officer,</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James Coffin, Ph.D., Sema4’s President and Chief Operating Officer,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Joel Sendek, Sema4’s former Chief Financial Officer.</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named executive officers’ compensation primarily consists of (1) base salary, (2) annual discretionary cash bonus and (3) equity incentive awards, as well as perquisites described below. Sema4’s named executive officers, during their employment with Sema4, are also eligible to participate in the same retirement and health and welfare benefit plans as its other full-time employees.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Summary Compensation Table</w:t>
      </w:r>
    </w:p>
    <w:p>
      <w:pPr>
        <w:spacing w:after="0" w:line="17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table presents summary information regarding the total compensation for services rendered in all capacities that was awarded to and earned by Sema4’s named executive officers during the year ended December 31, 2020.</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and Principal Position</w:t>
            </w:r>
          </w:p>
        </w:tc>
        <w:tc>
          <w:tcPr>
            <w:tcW w:w="1640" w:type="dxa"/>
            <w:vAlign w:val="bottom"/>
            <w:gridSpan w:val="2"/>
            <w:vMerge w:val="restart"/>
          </w:tcPr>
          <w:p>
            <w:pPr>
              <w:ind w:left="660"/>
              <w:spacing w:after="0"/>
              <w:rPr>
                <w:sz w:val="20"/>
                <w:szCs w:val="20"/>
                <w:color w:val="auto"/>
              </w:rPr>
            </w:pPr>
            <w:r>
              <w:rPr>
                <w:rFonts w:ascii="Arial" w:cs="Arial" w:eastAsia="Arial" w:hAnsi="Arial"/>
                <w:sz w:val="14"/>
                <w:szCs w:val="14"/>
                <w:b w:val="1"/>
                <w:bCs w:val="1"/>
                <w:color w:val="auto"/>
              </w:rPr>
              <w:t>Salary ($)</w:t>
            </w:r>
          </w:p>
        </w:tc>
        <w:tc>
          <w:tcPr>
            <w:tcW w:w="140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Bonus ($)</w:t>
            </w:r>
            <w:r>
              <w:rPr>
                <w:rFonts w:ascii="Arial" w:cs="Arial" w:eastAsia="Arial" w:hAnsi="Arial"/>
                <w:sz w:val="18"/>
                <w:szCs w:val="18"/>
                <w:b w:val="1"/>
                <w:bCs w:val="1"/>
                <w:color w:val="auto"/>
                <w:vertAlign w:val="superscript"/>
              </w:rPr>
              <w:t>(1)</w:t>
            </w:r>
          </w:p>
        </w:tc>
        <w:tc>
          <w:tcPr>
            <w:tcW w:w="15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Option Awards ($)</w:t>
            </w:r>
            <w:r>
              <w:rPr>
                <w:rFonts w:ascii="Arial" w:cs="Arial" w:eastAsia="Arial" w:hAnsi="Arial"/>
                <w:sz w:val="18"/>
                <w:szCs w:val="18"/>
                <w:b w:val="1"/>
                <w:bCs w:val="1"/>
                <w:color w:val="auto"/>
                <w:vertAlign w:val="superscript"/>
              </w:rPr>
              <w:t>(2)</w:t>
            </w:r>
          </w:p>
        </w:tc>
        <w:tc>
          <w:tcPr>
            <w:tcW w:w="1720" w:type="dxa"/>
            <w:vAlign w:val="bottom"/>
            <w:gridSpan w:val="2"/>
          </w:tcPr>
          <w:p>
            <w:pPr>
              <w:ind w:left="80"/>
              <w:spacing w:after="0"/>
              <w:rPr>
                <w:sz w:val="20"/>
                <w:szCs w:val="20"/>
                <w:color w:val="auto"/>
              </w:rPr>
            </w:pPr>
            <w:r>
              <w:rPr>
                <w:rFonts w:ascii="Arial" w:cs="Arial" w:eastAsia="Arial" w:hAnsi="Arial"/>
                <w:sz w:val="14"/>
                <w:szCs w:val="14"/>
                <w:b w:val="1"/>
                <w:bCs w:val="1"/>
                <w:color w:val="auto"/>
              </w:rPr>
              <w:t>All Other Compensation</w:t>
            </w:r>
          </w:p>
        </w:tc>
        <w:tc>
          <w:tcPr>
            <w:tcW w:w="132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85"/>
        </w:trPr>
        <w:tc>
          <w:tcPr>
            <w:tcW w:w="3540" w:type="dxa"/>
            <w:vAlign w:val="bottom"/>
            <w:vMerge w:val="continue"/>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640" w:type="dxa"/>
            <w:vAlign w:val="bottom"/>
          </w:tcPr>
          <w:p>
            <w:pPr>
              <w:jc w:val="right"/>
              <w:ind w:right="599"/>
              <w:spacing w:after="0" w:line="186"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b w:val="1"/>
                <w:bCs w:val="1"/>
                <w:color w:val="auto"/>
                <w:vertAlign w:val="superscript"/>
              </w:rPr>
              <w:t>(3)</w:t>
            </w:r>
          </w:p>
        </w:tc>
        <w:tc>
          <w:tcPr>
            <w:tcW w:w="8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540" w:type="dxa"/>
            <w:vAlign w:val="bottom"/>
            <w:tcBorders>
              <w:top w:val="single" w:sz="8" w:color="auto"/>
            </w:tcBorders>
            <w:shd w:val="clear" w:color="auto" w:fill="CCEEFF"/>
          </w:tcPr>
          <w:p>
            <w:pPr>
              <w:ind w:left="20"/>
              <w:spacing w:after="0" w:line="166" w:lineRule="exact"/>
              <w:rPr>
                <w:sz w:val="20"/>
                <w:szCs w:val="20"/>
                <w:color w:val="auto"/>
              </w:rPr>
            </w:pPr>
            <w:r>
              <w:rPr>
                <w:rFonts w:ascii="Arial" w:cs="Arial" w:eastAsia="Arial" w:hAnsi="Arial"/>
                <w:sz w:val="18"/>
                <w:szCs w:val="18"/>
                <w:color w:val="auto"/>
              </w:rPr>
              <w:t>Eric Schadt, Ph.D.</w:t>
            </w:r>
          </w:p>
        </w:tc>
        <w:tc>
          <w:tcPr>
            <w:tcW w:w="1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643,846</w:t>
            </w:r>
          </w:p>
        </w:tc>
        <w:tc>
          <w:tcPr>
            <w:tcW w:w="8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540,000</w:t>
            </w:r>
          </w:p>
        </w:tc>
        <w:tc>
          <w:tcPr>
            <w:tcW w:w="100" w:type="dxa"/>
            <w:vAlign w:val="bottom"/>
            <w:tcBorders>
              <w:top w:val="single" w:sz="8" w:color="CCEEFF"/>
            </w:tcBorders>
            <w:shd w:val="clear" w:color="auto" w:fill="CCEEFF"/>
          </w:tcPr>
          <w:p>
            <w:pPr>
              <w:spacing w:after="0"/>
              <w:rPr>
                <w:sz w:val="14"/>
                <w:szCs w:val="14"/>
                <w:color w:val="auto"/>
              </w:rPr>
            </w:pPr>
          </w:p>
        </w:tc>
        <w:tc>
          <w:tcPr>
            <w:tcW w:w="14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1,770,474</w:t>
            </w:r>
          </w:p>
        </w:tc>
        <w:tc>
          <w:tcPr>
            <w:tcW w:w="80" w:type="dxa"/>
            <w:vAlign w:val="bottom"/>
            <w:tcBorders>
              <w:top w:val="single" w:sz="8" w:color="CCEEFF"/>
            </w:tcBorders>
            <w:shd w:val="clear" w:color="auto" w:fill="CCEEFF"/>
          </w:tcPr>
          <w:p>
            <w:pPr>
              <w:spacing w:after="0"/>
              <w:rPr>
                <w:sz w:val="14"/>
                <w:szCs w:val="14"/>
                <w:color w:val="auto"/>
              </w:rPr>
            </w:pPr>
          </w:p>
        </w:tc>
        <w:tc>
          <w:tcPr>
            <w:tcW w:w="1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13,756</w:t>
            </w:r>
          </w:p>
        </w:tc>
        <w:tc>
          <w:tcPr>
            <w:tcW w:w="8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2,968,076</w:t>
            </w:r>
          </w:p>
        </w:tc>
        <w:tc>
          <w:tcPr>
            <w:tcW w:w="0" w:type="dxa"/>
            <w:vAlign w:val="bottom"/>
          </w:tcPr>
          <w:p>
            <w:pPr>
              <w:spacing w:after="0"/>
              <w:rPr>
                <w:sz w:val="1"/>
                <w:szCs w:val="1"/>
                <w:color w:val="auto"/>
              </w:rPr>
            </w:pPr>
          </w:p>
        </w:tc>
      </w:tr>
      <w:tr>
        <w:trPr>
          <w:trHeight w:val="224"/>
        </w:trPr>
        <w:tc>
          <w:tcPr>
            <w:tcW w:w="354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Chief Executive Officer</w:t>
            </w:r>
          </w:p>
        </w:tc>
        <w:tc>
          <w:tcPr>
            <w:tcW w:w="15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3540" w:type="dxa"/>
            <w:vAlign w:val="bottom"/>
          </w:tcPr>
          <w:p>
            <w:pPr>
              <w:ind w:left="20"/>
              <w:spacing w:after="0" w:line="173" w:lineRule="exact"/>
              <w:rPr>
                <w:sz w:val="20"/>
                <w:szCs w:val="20"/>
                <w:color w:val="auto"/>
              </w:rPr>
            </w:pPr>
            <w:r>
              <w:rPr>
                <w:rFonts w:ascii="Arial" w:cs="Arial" w:eastAsia="Arial" w:hAnsi="Arial"/>
                <w:sz w:val="18"/>
                <w:szCs w:val="18"/>
                <w:color w:val="auto"/>
              </w:rPr>
              <w:t>James Coffin, Ph.D.</w:t>
            </w: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524,615</w:t>
            </w:r>
          </w:p>
        </w:tc>
        <w:tc>
          <w:tcPr>
            <w:tcW w:w="8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363,000</w:t>
            </w:r>
          </w:p>
        </w:tc>
        <w:tc>
          <w:tcPr>
            <w:tcW w:w="10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623,189</w:t>
            </w:r>
          </w:p>
        </w:tc>
        <w:tc>
          <w:tcPr>
            <w:tcW w:w="80" w:type="dxa"/>
            <w:vAlign w:val="bottom"/>
          </w:tcPr>
          <w:p>
            <w:pPr>
              <w:spacing w:after="0"/>
              <w:rPr>
                <w:sz w:val="15"/>
                <w:szCs w:val="15"/>
                <w:color w:val="auto"/>
              </w:rPr>
            </w:pPr>
          </w:p>
        </w:tc>
        <w:tc>
          <w:tcPr>
            <w:tcW w:w="1640" w:type="dxa"/>
            <w:vAlign w:val="bottom"/>
            <w:vMerge w:val="restart"/>
          </w:tcPr>
          <w:p>
            <w:pPr>
              <w:jc w:val="right"/>
              <w:spacing w:after="0"/>
              <w:rPr>
                <w:sz w:val="20"/>
                <w:szCs w:val="20"/>
                <w:color w:val="auto"/>
              </w:rPr>
            </w:pPr>
            <w:r>
              <w:rPr>
                <w:rFonts w:ascii="Arial" w:cs="Arial" w:eastAsia="Arial" w:hAnsi="Arial"/>
                <w:sz w:val="18"/>
                <w:szCs w:val="18"/>
                <w:color w:val="auto"/>
              </w:rPr>
              <w:t>11,169</w:t>
            </w:r>
          </w:p>
        </w:tc>
        <w:tc>
          <w:tcPr>
            <w:tcW w:w="8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1,521,974</w:t>
            </w:r>
          </w:p>
        </w:tc>
        <w:tc>
          <w:tcPr>
            <w:tcW w:w="0" w:type="dxa"/>
            <w:vAlign w:val="bottom"/>
          </w:tcPr>
          <w:p>
            <w:pPr>
              <w:spacing w:after="0"/>
              <w:rPr>
                <w:sz w:val="1"/>
                <w:szCs w:val="1"/>
                <w:color w:val="auto"/>
              </w:rPr>
            </w:pPr>
          </w:p>
        </w:tc>
      </w:tr>
      <w:tr>
        <w:trPr>
          <w:trHeight w:val="224"/>
        </w:trPr>
        <w:tc>
          <w:tcPr>
            <w:tcW w:w="3540" w:type="dxa"/>
            <w:vAlign w:val="bottom"/>
          </w:tcPr>
          <w:p>
            <w:pPr>
              <w:ind w:left="180"/>
              <w:spacing w:after="0"/>
              <w:rPr>
                <w:sz w:val="20"/>
                <w:szCs w:val="20"/>
                <w:color w:val="auto"/>
              </w:rPr>
            </w:pPr>
            <w:r>
              <w:rPr>
                <w:rFonts w:ascii="Arial" w:cs="Arial" w:eastAsia="Arial" w:hAnsi="Arial"/>
                <w:sz w:val="18"/>
                <w:szCs w:val="18"/>
                <w:i w:val="1"/>
                <w:iCs w:val="1"/>
                <w:color w:val="auto"/>
              </w:rPr>
              <w:t>President and Chief Operating Officer</w:t>
            </w:r>
          </w:p>
        </w:tc>
        <w:tc>
          <w:tcPr>
            <w:tcW w:w="15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540" w:type="dxa"/>
            <w:vAlign w:val="bottom"/>
            <w:shd w:val="clear" w:color="auto" w:fill="CCEEFF"/>
          </w:tcPr>
          <w:p>
            <w:pPr>
              <w:ind w:left="20"/>
              <w:spacing w:after="0" w:line="174" w:lineRule="exact"/>
              <w:rPr>
                <w:sz w:val="20"/>
                <w:szCs w:val="20"/>
                <w:color w:val="auto"/>
              </w:rPr>
            </w:pPr>
            <w:r>
              <w:rPr>
                <w:rFonts w:ascii="Arial" w:cs="Arial" w:eastAsia="Arial" w:hAnsi="Arial"/>
                <w:sz w:val="16"/>
                <w:szCs w:val="16"/>
                <w:color w:val="auto"/>
              </w:rPr>
              <w:t xml:space="preserve">Joel Sendek </w:t>
            </w:r>
            <w:r>
              <w:rPr>
                <w:rFonts w:ascii="Arial" w:cs="Arial" w:eastAsia="Arial" w:hAnsi="Arial"/>
                <w:sz w:val="20"/>
                <w:szCs w:val="20"/>
                <w:color w:val="auto"/>
                <w:vertAlign w:val="superscript"/>
              </w:rPr>
              <w:t>(4)</w:t>
            </w: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405,385</w:t>
            </w:r>
          </w:p>
        </w:tc>
        <w:tc>
          <w:tcPr>
            <w:tcW w:w="80" w:type="dxa"/>
            <w:vAlign w:val="bottom"/>
            <w:shd w:val="clear" w:color="auto" w:fill="CCEEFF"/>
          </w:tcPr>
          <w:p>
            <w:pPr>
              <w:spacing w:after="0"/>
              <w:rPr>
                <w:sz w:val="15"/>
                <w:szCs w:val="15"/>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1,669,257</w:t>
            </w:r>
          </w:p>
        </w:tc>
        <w:tc>
          <w:tcPr>
            <w:tcW w:w="80" w:type="dxa"/>
            <w:vAlign w:val="bottom"/>
            <w:shd w:val="clear" w:color="auto" w:fill="CCEEFF"/>
          </w:tcPr>
          <w:p>
            <w:pPr>
              <w:spacing w:after="0"/>
              <w:rPr>
                <w:sz w:val="15"/>
                <w:szCs w:val="15"/>
                <w:color w:val="auto"/>
              </w:rPr>
            </w:pP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8,742</w:t>
            </w:r>
          </w:p>
        </w:tc>
        <w:tc>
          <w:tcPr>
            <w:tcW w:w="8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2,083,383</w:t>
            </w:r>
          </w:p>
        </w:tc>
        <w:tc>
          <w:tcPr>
            <w:tcW w:w="0" w:type="dxa"/>
            <w:vAlign w:val="bottom"/>
          </w:tcPr>
          <w:p>
            <w:pPr>
              <w:spacing w:after="0"/>
              <w:rPr>
                <w:sz w:val="1"/>
                <w:szCs w:val="1"/>
                <w:color w:val="auto"/>
              </w:rPr>
            </w:pPr>
          </w:p>
        </w:tc>
      </w:tr>
      <w:tr>
        <w:trPr>
          <w:trHeight w:val="224"/>
        </w:trPr>
        <w:tc>
          <w:tcPr>
            <w:tcW w:w="354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Former Chief Financial Officer</w:t>
            </w:r>
          </w:p>
        </w:tc>
        <w:tc>
          <w:tcPr>
            <w:tcW w:w="15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0" w:lineRule="exact"/>
        <w:rPr>
          <w:sz w:val="20"/>
          <w:szCs w:val="20"/>
          <w:color w:val="auto"/>
        </w:rPr>
      </w:pPr>
    </w:p>
    <w:p>
      <w:pPr>
        <w:ind w:left="320" w:right="20" w:hanging="314"/>
        <w:spacing w:after="0" w:line="237" w:lineRule="auto"/>
        <w:tabs>
          <w:tab w:leader="none" w:pos="312"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amounts reported reflect the annual performance-based cash bonus amounts awarded to Sema4’s named executive officers for their service in 2020. For additional information regarding the bonus compensation, see “—2020 Bonuses.”</w:t>
      </w:r>
    </w:p>
    <w:p>
      <w:pPr>
        <w:ind w:left="320" w:right="260" w:hanging="314"/>
        <w:spacing w:after="0" w:line="276" w:lineRule="auto"/>
        <w:tabs>
          <w:tab w:leader="none" w:pos="312" w:val="left"/>
        </w:tabs>
        <w:numPr>
          <w:ilvl w:val="0"/>
          <w:numId w:val="67"/>
        </w:numPr>
        <w:rPr>
          <w:rFonts w:ascii="Arial" w:cs="Arial" w:eastAsia="Arial" w:hAnsi="Arial"/>
          <w:sz w:val="12"/>
          <w:szCs w:val="12"/>
          <w:color w:val="auto"/>
        </w:rPr>
      </w:pPr>
      <w:r>
        <w:rPr>
          <w:rFonts w:ascii="Arial" w:cs="Arial" w:eastAsia="Arial" w:hAnsi="Arial"/>
          <w:sz w:val="12"/>
          <w:szCs w:val="12"/>
          <w:color w:val="auto"/>
        </w:rPr>
        <w:t>Amounts represent the aggregate grant date fair value of the stock options awarded to the named executive officer during 2020 in accordance with FASB Accounting Standards Codification Topic 718. The assumptions used in calculating the grant date fair value of the stock options reported in the Option Awards column are set forth in Note 9 of the notes to Sema4’s audited financial statements included in this prospectus. Such grant-date fair market value does not take into account any estimated forfeitures related to service-based vesting conditions.</w:t>
      </w:r>
    </w:p>
    <w:p>
      <w:pPr>
        <w:ind w:left="320" w:hanging="314"/>
        <w:spacing w:after="0" w:line="237" w:lineRule="auto"/>
        <w:tabs>
          <w:tab w:leader="none" w:pos="3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amounts reported in this column represent our matching contributions made on behalf of our named executive officers under our 401(k) plan.</w:t>
      </w:r>
    </w:p>
    <w:p>
      <w:pPr>
        <w:ind w:left="320" w:hanging="314"/>
        <w:spacing w:after="0"/>
        <w:tabs>
          <w:tab w:leader="none" w:pos="3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Mr. Sendek served as Sema4’s Chief Financial Officer from September 2019 through January 2021.</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the Summary Compensation Table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Bonuses</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Under their employment agreements, Dr. Eric Schadt and Dr. James Coffin are entitled to receive annual bonuses based on the achievement of certain corporate performance objectives. For the 2020 bonuses, the target annual bonuses for Dr. Schadt and Dr. Coffin were equal to 100% and 60%, respectively of their respective annual base salaries. In March 2020, based on the achievement of corporate performance objectives, Sema4’s board of directors determined to award bonuses for 2020 as set forth in the table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2020 Fiscal Year-End</w:t>
      </w:r>
    </w:p>
    <w:p>
      <w:pPr>
        <w:spacing w:after="0" w:line="170"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following table sets forth information concerning outstanding equity awards held by each of Sema4’s named executive officers as of December 31, 2020.</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94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w w:val="90"/>
              </w:rPr>
              <w:t>Option Awards</w:t>
            </w:r>
            <w:r>
              <w:rPr>
                <w:rFonts w:ascii="Arial" w:cs="Arial" w:eastAsia="Arial" w:hAnsi="Arial"/>
                <w:sz w:val="18"/>
                <w:szCs w:val="18"/>
                <w:b w:val="1"/>
                <w:bCs w:val="1"/>
                <w:color w:val="auto"/>
                <w:w w:val="90"/>
                <w:vertAlign w:val="superscript"/>
              </w:rPr>
              <w:t>(1)</w:t>
            </w:r>
          </w:p>
        </w:tc>
        <w:tc>
          <w:tcPr>
            <w:tcW w:w="15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18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94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90"/>
              </w:rPr>
              <w:t>Number of Securities</w:t>
            </w:r>
          </w:p>
        </w:tc>
        <w:tc>
          <w:tcPr>
            <w:tcW w:w="212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90"/>
              </w:rPr>
              <w:t>Number of Securities</w:t>
            </w:r>
          </w:p>
        </w:tc>
        <w:tc>
          <w:tcPr>
            <w:tcW w:w="150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9"/>
              </w:rPr>
              <w:t>Option Exercise Price</w:t>
            </w: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Option Expiration</w:t>
            </w:r>
          </w:p>
        </w:tc>
        <w:tc>
          <w:tcPr>
            <w:tcW w:w="0" w:type="dxa"/>
            <w:vAlign w:val="bottom"/>
          </w:tcPr>
          <w:p>
            <w:pPr>
              <w:spacing w:after="0"/>
              <w:rPr>
                <w:sz w:val="1"/>
                <w:szCs w:val="1"/>
                <w:color w:val="auto"/>
              </w:rPr>
            </w:pPr>
          </w:p>
        </w:tc>
      </w:tr>
      <w:tr>
        <w:trPr>
          <w:trHeight w:val="133"/>
        </w:trPr>
        <w:tc>
          <w:tcPr>
            <w:tcW w:w="2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2060" w:type="dxa"/>
            <w:vAlign w:val="bottom"/>
            <w:vMerge w:val="restart"/>
          </w:tcPr>
          <w:p>
            <w:pPr>
              <w:ind w:left="900"/>
              <w:spacing w:after="0"/>
              <w:rPr>
                <w:sz w:val="20"/>
                <w:szCs w:val="20"/>
                <w:color w:val="auto"/>
              </w:rPr>
            </w:pPr>
            <w:r>
              <w:rPr>
                <w:rFonts w:ascii="Arial" w:cs="Arial" w:eastAsia="Arial" w:hAnsi="Arial"/>
                <w:sz w:val="14"/>
                <w:szCs w:val="14"/>
                <w:b w:val="1"/>
                <w:bCs w:val="1"/>
                <w:color w:val="auto"/>
              </w:rPr>
              <w:t>Grant Date</w:t>
            </w:r>
          </w:p>
        </w:tc>
        <w:tc>
          <w:tcPr>
            <w:tcW w:w="19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Underlying Unexercised</w:t>
            </w:r>
          </w:p>
        </w:tc>
        <w:tc>
          <w:tcPr>
            <w:tcW w:w="21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9"/>
              </w:rPr>
              <w:t>Underlying Unexercised</w:t>
            </w:r>
          </w:p>
        </w:tc>
        <w:tc>
          <w:tcPr>
            <w:tcW w:w="150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180" w:type="dxa"/>
            <w:vAlign w:val="bottom"/>
            <w:tcBorders>
              <w:bottom w:val="single" w:sz="8" w:color="auto"/>
            </w:tcBorders>
            <w:vMerge w:val="continue"/>
          </w:tcPr>
          <w:p>
            <w:pPr>
              <w:spacing w:after="0"/>
              <w:rPr>
                <w:sz w:val="16"/>
                <w:szCs w:val="16"/>
                <w:color w:val="auto"/>
              </w:rPr>
            </w:pPr>
          </w:p>
        </w:tc>
        <w:tc>
          <w:tcPr>
            <w:tcW w:w="2060" w:type="dxa"/>
            <w:vAlign w:val="bottom"/>
            <w:tcBorders>
              <w:bottom w:val="single" w:sz="8" w:color="auto"/>
            </w:tcBorders>
            <w:vMerge w:val="continue"/>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Options Exercisable (#)</w:t>
            </w: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Options Unexercisable (#)</w:t>
            </w:r>
          </w:p>
        </w:tc>
        <w:tc>
          <w:tcPr>
            <w:tcW w:w="15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19"/>
        </w:trPr>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Eric Schadt, Ph.D</w:t>
            </w:r>
          </w:p>
        </w:tc>
        <w:tc>
          <w:tcPr>
            <w:tcW w:w="2060" w:type="dxa"/>
            <w:vAlign w:val="bottom"/>
            <w:shd w:val="clear" w:color="auto" w:fill="CCEEFF"/>
          </w:tcPr>
          <w:p>
            <w:pPr>
              <w:jc w:val="center"/>
              <w:ind w:left="374"/>
              <w:spacing w:after="0" w:line="220" w:lineRule="exact"/>
              <w:rPr>
                <w:sz w:val="20"/>
                <w:szCs w:val="20"/>
                <w:color w:val="auto"/>
              </w:rPr>
            </w:pPr>
            <w:r>
              <w:rPr>
                <w:rFonts w:ascii="Arial" w:cs="Arial" w:eastAsia="Arial" w:hAnsi="Arial"/>
                <w:sz w:val="18"/>
                <w:szCs w:val="18"/>
                <w:color w:val="auto"/>
                <w:w w:val="86"/>
              </w:rPr>
              <w:t>6/1/2017</w:t>
            </w:r>
            <w:r>
              <w:rPr>
                <w:rFonts w:ascii="Arial" w:cs="Arial" w:eastAsia="Arial" w:hAnsi="Arial"/>
                <w:sz w:val="22"/>
                <w:szCs w:val="22"/>
                <w:color w:val="auto"/>
                <w:w w:val="86"/>
                <w:vertAlign w:val="superscript"/>
              </w:rPr>
              <w:t>(2)</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39,000</w:t>
            </w:r>
          </w:p>
        </w:tc>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1500" w:type="dxa"/>
            <w:vAlign w:val="bottom"/>
            <w:shd w:val="clear" w:color="auto" w:fill="CCEEFF"/>
          </w:tcPr>
          <w:p>
            <w:pPr>
              <w:jc w:val="center"/>
              <w:ind w:right="36"/>
              <w:spacing w:after="0"/>
              <w:rPr>
                <w:sz w:val="20"/>
                <w:szCs w:val="20"/>
                <w:color w:val="auto"/>
              </w:rPr>
            </w:pPr>
            <w:r>
              <w:rPr>
                <w:rFonts w:ascii="Arial" w:cs="Arial" w:eastAsia="Arial" w:hAnsi="Arial"/>
                <w:sz w:val="18"/>
                <w:szCs w:val="18"/>
                <w:color w:val="auto"/>
                <w:w w:val="84"/>
              </w:rPr>
              <w:t>18.94</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6/1/2027</w:t>
            </w:r>
          </w:p>
        </w:tc>
        <w:tc>
          <w:tcPr>
            <w:tcW w:w="0" w:type="dxa"/>
            <w:vAlign w:val="bottom"/>
          </w:tcPr>
          <w:p>
            <w:pPr>
              <w:spacing w:after="0"/>
              <w:rPr>
                <w:sz w:val="1"/>
                <w:szCs w:val="1"/>
                <w:color w:val="auto"/>
              </w:rPr>
            </w:pPr>
          </w:p>
        </w:tc>
      </w:tr>
      <w:tr>
        <w:trPr>
          <w:trHeight w:val="225"/>
        </w:trPr>
        <w:tc>
          <w:tcPr>
            <w:tcW w:w="2180" w:type="dxa"/>
            <w:vAlign w:val="bottom"/>
          </w:tcPr>
          <w:p>
            <w:pPr>
              <w:spacing w:after="0"/>
              <w:rPr>
                <w:sz w:val="19"/>
                <w:szCs w:val="19"/>
                <w:color w:val="auto"/>
              </w:rPr>
            </w:pPr>
          </w:p>
        </w:tc>
        <w:tc>
          <w:tcPr>
            <w:tcW w:w="2060" w:type="dxa"/>
            <w:vAlign w:val="bottom"/>
          </w:tcPr>
          <w:p>
            <w:pPr>
              <w:jc w:val="center"/>
              <w:ind w:left="354"/>
              <w:spacing w:after="0" w:line="225" w:lineRule="exact"/>
              <w:rPr>
                <w:sz w:val="20"/>
                <w:szCs w:val="20"/>
                <w:color w:val="auto"/>
              </w:rPr>
            </w:pPr>
            <w:r>
              <w:rPr>
                <w:rFonts w:ascii="Arial" w:cs="Arial" w:eastAsia="Arial" w:hAnsi="Arial"/>
                <w:sz w:val="18"/>
                <w:szCs w:val="18"/>
                <w:color w:val="auto"/>
                <w:w w:val="86"/>
              </w:rPr>
              <w:t>10/17/2019</w:t>
            </w:r>
            <w:r>
              <w:rPr>
                <w:rFonts w:ascii="Arial" w:cs="Arial" w:eastAsia="Arial" w:hAnsi="Arial"/>
                <w:sz w:val="22"/>
                <w:szCs w:val="22"/>
                <w:color w:val="auto"/>
                <w:w w:val="86"/>
                <w:vertAlign w:val="superscript"/>
              </w:rPr>
              <w:t>(3)</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412,500</w:t>
            </w:r>
          </w:p>
        </w:tc>
        <w:tc>
          <w:tcPr>
            <w:tcW w:w="2120" w:type="dxa"/>
            <w:vAlign w:val="bottom"/>
          </w:tcPr>
          <w:p>
            <w:pPr>
              <w:jc w:val="center"/>
              <w:spacing w:after="0"/>
              <w:rPr>
                <w:sz w:val="20"/>
                <w:szCs w:val="20"/>
                <w:color w:val="auto"/>
              </w:rPr>
            </w:pPr>
            <w:r>
              <w:rPr>
                <w:rFonts w:ascii="Arial" w:cs="Arial" w:eastAsia="Arial" w:hAnsi="Arial"/>
                <w:sz w:val="18"/>
                <w:szCs w:val="18"/>
                <w:color w:val="auto"/>
                <w:w w:val="86"/>
              </w:rPr>
              <w:t>687,500</w:t>
            </w:r>
          </w:p>
        </w:tc>
        <w:tc>
          <w:tcPr>
            <w:tcW w:w="1500" w:type="dxa"/>
            <w:vAlign w:val="bottom"/>
          </w:tcPr>
          <w:p>
            <w:pPr>
              <w:jc w:val="center"/>
              <w:ind w:right="36"/>
              <w:spacing w:after="0"/>
              <w:rPr>
                <w:sz w:val="20"/>
                <w:szCs w:val="20"/>
                <w:color w:val="auto"/>
              </w:rPr>
            </w:pPr>
            <w:r>
              <w:rPr>
                <w:rFonts w:ascii="Arial" w:cs="Arial" w:eastAsia="Arial" w:hAnsi="Arial"/>
                <w:sz w:val="18"/>
                <w:szCs w:val="18"/>
                <w:color w:val="auto"/>
                <w:w w:val="90"/>
              </w:rPr>
              <w:t>0.9485</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10/17/2029</w:t>
            </w:r>
          </w:p>
        </w:tc>
        <w:tc>
          <w:tcPr>
            <w:tcW w:w="0" w:type="dxa"/>
            <w:vAlign w:val="bottom"/>
          </w:tcPr>
          <w:p>
            <w:pPr>
              <w:spacing w:after="0"/>
              <w:rPr>
                <w:sz w:val="1"/>
                <w:szCs w:val="1"/>
                <w:color w:val="auto"/>
              </w:rPr>
            </w:pPr>
          </w:p>
        </w:tc>
      </w:tr>
      <w:tr>
        <w:trPr>
          <w:trHeight w:val="225"/>
        </w:trPr>
        <w:tc>
          <w:tcPr>
            <w:tcW w:w="2180" w:type="dxa"/>
            <w:vAlign w:val="bottom"/>
            <w:shd w:val="clear" w:color="auto" w:fill="CCEEFF"/>
          </w:tcPr>
          <w:p>
            <w:pPr>
              <w:spacing w:after="0"/>
              <w:rPr>
                <w:sz w:val="19"/>
                <w:szCs w:val="19"/>
                <w:color w:val="auto"/>
              </w:rPr>
            </w:pPr>
          </w:p>
        </w:tc>
        <w:tc>
          <w:tcPr>
            <w:tcW w:w="2060" w:type="dxa"/>
            <w:vAlign w:val="bottom"/>
            <w:shd w:val="clear" w:color="auto" w:fill="CCEEFF"/>
          </w:tcPr>
          <w:p>
            <w:pPr>
              <w:jc w:val="center"/>
              <w:ind w:left="354"/>
              <w:spacing w:after="0" w:line="225" w:lineRule="exact"/>
              <w:rPr>
                <w:sz w:val="20"/>
                <w:szCs w:val="20"/>
                <w:color w:val="auto"/>
              </w:rPr>
            </w:pPr>
            <w:r>
              <w:rPr>
                <w:rFonts w:ascii="Arial" w:cs="Arial" w:eastAsia="Arial" w:hAnsi="Arial"/>
                <w:sz w:val="18"/>
                <w:szCs w:val="18"/>
                <w:color w:val="auto"/>
                <w:w w:val="87"/>
              </w:rPr>
              <w:t>2/18/2020</w:t>
            </w:r>
            <w:r>
              <w:rPr>
                <w:rFonts w:ascii="Arial" w:cs="Arial" w:eastAsia="Arial" w:hAnsi="Arial"/>
                <w:sz w:val="22"/>
                <w:szCs w:val="22"/>
                <w:color w:val="auto"/>
                <w:w w:val="87"/>
                <w:vertAlign w:val="superscript"/>
              </w:rPr>
              <w:t>(4)</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583,310</w:t>
            </w:r>
          </w:p>
        </w:tc>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1,283,294</w:t>
            </w:r>
          </w:p>
        </w:tc>
        <w:tc>
          <w:tcPr>
            <w:tcW w:w="1500" w:type="dxa"/>
            <w:vAlign w:val="bottom"/>
            <w:shd w:val="clear" w:color="auto" w:fill="CCEEFF"/>
          </w:tcPr>
          <w:p>
            <w:pPr>
              <w:jc w:val="center"/>
              <w:ind w:right="36"/>
              <w:spacing w:after="0"/>
              <w:rPr>
                <w:sz w:val="20"/>
                <w:szCs w:val="20"/>
                <w:color w:val="auto"/>
              </w:rPr>
            </w:pPr>
            <w:r>
              <w:rPr>
                <w:rFonts w:ascii="Arial" w:cs="Arial" w:eastAsia="Arial" w:hAnsi="Arial"/>
                <w:sz w:val="18"/>
                <w:szCs w:val="18"/>
                <w:color w:val="auto"/>
                <w:w w:val="90"/>
              </w:rPr>
              <w:t>0.9485</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2/18/2030</w:t>
            </w:r>
          </w:p>
        </w:tc>
        <w:tc>
          <w:tcPr>
            <w:tcW w:w="0" w:type="dxa"/>
            <w:vAlign w:val="bottom"/>
          </w:tcPr>
          <w:p>
            <w:pPr>
              <w:spacing w:after="0"/>
              <w:rPr>
                <w:sz w:val="1"/>
                <w:szCs w:val="1"/>
                <w:color w:val="auto"/>
              </w:rPr>
            </w:pPr>
          </w:p>
        </w:tc>
      </w:tr>
      <w:tr>
        <w:trPr>
          <w:trHeight w:val="225"/>
        </w:trPr>
        <w:tc>
          <w:tcPr>
            <w:tcW w:w="2180" w:type="dxa"/>
            <w:vAlign w:val="bottom"/>
          </w:tcPr>
          <w:p>
            <w:pPr>
              <w:ind w:left="20"/>
              <w:spacing w:after="0"/>
              <w:rPr>
                <w:sz w:val="20"/>
                <w:szCs w:val="20"/>
                <w:color w:val="auto"/>
              </w:rPr>
            </w:pPr>
            <w:r>
              <w:rPr>
                <w:rFonts w:ascii="Arial" w:cs="Arial" w:eastAsia="Arial" w:hAnsi="Arial"/>
                <w:sz w:val="18"/>
                <w:szCs w:val="18"/>
                <w:color w:val="auto"/>
              </w:rPr>
              <w:t>James Coffin, Ph.D</w:t>
            </w:r>
          </w:p>
        </w:tc>
        <w:tc>
          <w:tcPr>
            <w:tcW w:w="2060" w:type="dxa"/>
            <w:vAlign w:val="bottom"/>
          </w:tcPr>
          <w:p>
            <w:pPr>
              <w:jc w:val="center"/>
              <w:ind w:left="354"/>
              <w:spacing w:after="0" w:line="225" w:lineRule="exact"/>
              <w:rPr>
                <w:sz w:val="20"/>
                <w:szCs w:val="20"/>
                <w:color w:val="auto"/>
              </w:rPr>
            </w:pPr>
            <w:r>
              <w:rPr>
                <w:rFonts w:ascii="Arial" w:cs="Arial" w:eastAsia="Arial" w:hAnsi="Arial"/>
                <w:sz w:val="18"/>
                <w:szCs w:val="18"/>
                <w:color w:val="auto"/>
                <w:w w:val="87"/>
              </w:rPr>
              <w:t>8/31/2017</w:t>
            </w:r>
            <w:r>
              <w:rPr>
                <w:rFonts w:ascii="Arial" w:cs="Arial" w:eastAsia="Arial" w:hAnsi="Arial"/>
                <w:sz w:val="22"/>
                <w:szCs w:val="22"/>
                <w:color w:val="auto"/>
                <w:w w:val="87"/>
                <w:vertAlign w:val="superscript"/>
              </w:rPr>
              <w:t>(5)</w:t>
            </w: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14,222</w:t>
            </w:r>
          </w:p>
        </w:tc>
        <w:tc>
          <w:tcPr>
            <w:tcW w:w="2120" w:type="dxa"/>
            <w:vAlign w:val="bottom"/>
          </w:tcPr>
          <w:p>
            <w:pPr>
              <w:jc w:val="center"/>
              <w:spacing w:after="0"/>
              <w:rPr>
                <w:sz w:val="20"/>
                <w:szCs w:val="20"/>
                <w:color w:val="auto"/>
              </w:rPr>
            </w:pPr>
            <w:r>
              <w:rPr>
                <w:rFonts w:ascii="Arial" w:cs="Arial" w:eastAsia="Arial" w:hAnsi="Arial"/>
                <w:sz w:val="18"/>
                <w:szCs w:val="18"/>
                <w:color w:val="auto"/>
                <w:w w:val="88"/>
              </w:rPr>
              <w:t>3,278</w:t>
            </w:r>
          </w:p>
        </w:tc>
        <w:tc>
          <w:tcPr>
            <w:tcW w:w="1500" w:type="dxa"/>
            <w:vAlign w:val="bottom"/>
          </w:tcPr>
          <w:p>
            <w:pPr>
              <w:jc w:val="center"/>
              <w:ind w:right="36"/>
              <w:spacing w:after="0"/>
              <w:rPr>
                <w:sz w:val="20"/>
                <w:szCs w:val="20"/>
                <w:color w:val="auto"/>
              </w:rPr>
            </w:pPr>
            <w:r>
              <w:rPr>
                <w:rFonts w:ascii="Arial" w:cs="Arial" w:eastAsia="Arial" w:hAnsi="Arial"/>
                <w:sz w:val="18"/>
                <w:szCs w:val="18"/>
                <w:color w:val="auto"/>
                <w:w w:val="84"/>
              </w:rPr>
              <w:t>18.94</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8/31/2027</w:t>
            </w:r>
          </w:p>
        </w:tc>
        <w:tc>
          <w:tcPr>
            <w:tcW w:w="0" w:type="dxa"/>
            <w:vAlign w:val="bottom"/>
          </w:tcPr>
          <w:p>
            <w:pPr>
              <w:spacing w:after="0"/>
              <w:rPr>
                <w:sz w:val="1"/>
                <w:szCs w:val="1"/>
                <w:color w:val="auto"/>
              </w:rPr>
            </w:pPr>
          </w:p>
        </w:tc>
      </w:tr>
      <w:tr>
        <w:trPr>
          <w:trHeight w:val="225"/>
        </w:trPr>
        <w:tc>
          <w:tcPr>
            <w:tcW w:w="2180" w:type="dxa"/>
            <w:vAlign w:val="bottom"/>
            <w:shd w:val="clear" w:color="auto" w:fill="CCEEFF"/>
          </w:tcPr>
          <w:p>
            <w:pPr>
              <w:spacing w:after="0"/>
              <w:rPr>
                <w:sz w:val="19"/>
                <w:szCs w:val="19"/>
                <w:color w:val="auto"/>
              </w:rPr>
            </w:pPr>
          </w:p>
        </w:tc>
        <w:tc>
          <w:tcPr>
            <w:tcW w:w="2060" w:type="dxa"/>
            <w:vAlign w:val="bottom"/>
            <w:shd w:val="clear" w:color="auto" w:fill="CCEEFF"/>
          </w:tcPr>
          <w:p>
            <w:pPr>
              <w:jc w:val="center"/>
              <w:ind w:left="354"/>
              <w:spacing w:after="0" w:line="225" w:lineRule="exact"/>
              <w:rPr>
                <w:sz w:val="20"/>
                <w:szCs w:val="20"/>
                <w:color w:val="auto"/>
              </w:rPr>
            </w:pPr>
            <w:r>
              <w:rPr>
                <w:rFonts w:ascii="Arial" w:cs="Arial" w:eastAsia="Arial" w:hAnsi="Arial"/>
                <w:sz w:val="18"/>
                <w:szCs w:val="18"/>
                <w:color w:val="auto"/>
                <w:w w:val="87"/>
              </w:rPr>
              <w:t>2/18/2020</w:t>
            </w:r>
            <w:r>
              <w:rPr>
                <w:rFonts w:ascii="Arial" w:cs="Arial" w:eastAsia="Arial" w:hAnsi="Arial"/>
                <w:sz w:val="22"/>
                <w:szCs w:val="22"/>
                <w:color w:val="auto"/>
                <w:w w:val="87"/>
                <w:vertAlign w:val="superscript"/>
              </w:rPr>
              <w:t>(4)</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205,320</w:t>
            </w:r>
          </w:p>
        </w:tc>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451,706</w:t>
            </w:r>
          </w:p>
        </w:tc>
        <w:tc>
          <w:tcPr>
            <w:tcW w:w="1500" w:type="dxa"/>
            <w:vAlign w:val="bottom"/>
            <w:shd w:val="clear" w:color="auto" w:fill="CCEEFF"/>
          </w:tcPr>
          <w:p>
            <w:pPr>
              <w:jc w:val="center"/>
              <w:ind w:right="36"/>
              <w:spacing w:after="0"/>
              <w:rPr>
                <w:sz w:val="20"/>
                <w:szCs w:val="20"/>
                <w:color w:val="auto"/>
              </w:rPr>
            </w:pPr>
            <w:r>
              <w:rPr>
                <w:rFonts w:ascii="Arial" w:cs="Arial" w:eastAsia="Arial" w:hAnsi="Arial"/>
                <w:sz w:val="18"/>
                <w:szCs w:val="18"/>
                <w:color w:val="auto"/>
                <w:w w:val="90"/>
              </w:rPr>
              <w:t>0.9485</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2/18/2030</w:t>
            </w:r>
          </w:p>
        </w:tc>
        <w:tc>
          <w:tcPr>
            <w:tcW w:w="0" w:type="dxa"/>
            <w:vAlign w:val="bottom"/>
          </w:tcPr>
          <w:p>
            <w:pPr>
              <w:spacing w:after="0"/>
              <w:rPr>
                <w:sz w:val="1"/>
                <w:szCs w:val="1"/>
                <w:color w:val="auto"/>
              </w:rPr>
            </w:pPr>
          </w:p>
        </w:tc>
      </w:tr>
      <w:tr>
        <w:trPr>
          <w:trHeight w:val="300"/>
        </w:trPr>
        <w:tc>
          <w:tcPr>
            <w:tcW w:w="2180" w:type="dxa"/>
            <w:vAlign w:val="bottom"/>
          </w:tcPr>
          <w:p>
            <w:pPr>
              <w:ind w:left="20"/>
              <w:spacing w:after="0"/>
              <w:rPr>
                <w:sz w:val="20"/>
                <w:szCs w:val="20"/>
                <w:color w:val="auto"/>
              </w:rPr>
            </w:pPr>
            <w:r>
              <w:rPr>
                <w:rFonts w:ascii="Arial" w:cs="Arial" w:eastAsia="Arial" w:hAnsi="Arial"/>
                <w:sz w:val="18"/>
                <w:szCs w:val="18"/>
                <w:color w:val="auto"/>
              </w:rPr>
              <w:t>Joel Sendek</w:t>
            </w:r>
            <w:r>
              <w:rPr>
                <w:rFonts w:ascii="Arial" w:cs="Arial" w:eastAsia="Arial" w:hAnsi="Arial"/>
                <w:sz w:val="22"/>
                <w:szCs w:val="22"/>
                <w:color w:val="auto"/>
                <w:vertAlign w:val="superscript"/>
              </w:rPr>
              <w:t>(6)</w:t>
            </w:r>
          </w:p>
        </w:tc>
        <w:tc>
          <w:tcPr>
            <w:tcW w:w="2060" w:type="dxa"/>
            <w:vAlign w:val="bottom"/>
          </w:tcPr>
          <w:p>
            <w:pPr>
              <w:jc w:val="center"/>
              <w:ind w:left="354"/>
              <w:spacing w:after="0"/>
              <w:rPr>
                <w:sz w:val="20"/>
                <w:szCs w:val="20"/>
                <w:color w:val="auto"/>
              </w:rPr>
            </w:pPr>
            <w:r>
              <w:rPr>
                <w:rFonts w:ascii="Arial" w:cs="Arial" w:eastAsia="Arial" w:hAnsi="Arial"/>
                <w:sz w:val="18"/>
                <w:szCs w:val="18"/>
                <w:color w:val="auto"/>
                <w:w w:val="87"/>
              </w:rPr>
              <w:t>2/18/2020</w:t>
            </w:r>
            <w:r>
              <w:rPr>
                <w:rFonts w:ascii="Arial" w:cs="Arial" w:eastAsia="Arial" w:hAnsi="Arial"/>
                <w:sz w:val="22"/>
                <w:szCs w:val="22"/>
                <w:color w:val="auto"/>
                <w:w w:val="87"/>
                <w:vertAlign w:val="superscript"/>
              </w:rPr>
              <w:t>(7)</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549,965</w:t>
            </w:r>
          </w:p>
        </w:tc>
        <w:tc>
          <w:tcPr>
            <w:tcW w:w="2120" w:type="dxa"/>
            <w:vAlign w:val="bottom"/>
          </w:tcPr>
          <w:p>
            <w:pPr>
              <w:jc w:val="center"/>
              <w:spacing w:after="0"/>
              <w:rPr>
                <w:sz w:val="20"/>
                <w:szCs w:val="20"/>
                <w:color w:val="auto"/>
              </w:rPr>
            </w:pPr>
            <w:r>
              <w:rPr>
                <w:rFonts w:ascii="Arial" w:cs="Arial" w:eastAsia="Arial" w:hAnsi="Arial"/>
                <w:sz w:val="18"/>
                <w:szCs w:val="18"/>
                <w:color w:val="auto"/>
                <w:w w:val="89"/>
              </w:rPr>
              <w:t>1,209,926</w:t>
            </w:r>
          </w:p>
        </w:tc>
        <w:tc>
          <w:tcPr>
            <w:tcW w:w="1500" w:type="dxa"/>
            <w:vAlign w:val="bottom"/>
          </w:tcPr>
          <w:p>
            <w:pPr>
              <w:jc w:val="center"/>
              <w:ind w:right="36"/>
              <w:spacing w:after="0"/>
              <w:rPr>
                <w:sz w:val="20"/>
                <w:szCs w:val="20"/>
                <w:color w:val="auto"/>
              </w:rPr>
            </w:pPr>
            <w:r>
              <w:rPr>
                <w:rFonts w:ascii="Arial" w:cs="Arial" w:eastAsia="Arial" w:hAnsi="Arial"/>
                <w:sz w:val="18"/>
                <w:szCs w:val="18"/>
                <w:color w:val="auto"/>
                <w:w w:val="90"/>
              </w:rPr>
              <w:t>0.9485</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2/18/2030</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color w:val="auto"/>
        </w:rPr>
        <w:t>__________________</w:t>
      </w:r>
    </w:p>
    <w:p>
      <w:pPr>
        <w:spacing w:after="0" w:line="8" w:lineRule="exact"/>
        <w:rPr>
          <w:sz w:val="20"/>
          <w:szCs w:val="20"/>
          <w:color w:val="auto"/>
        </w:rPr>
      </w:pPr>
    </w:p>
    <w:p>
      <w:pPr>
        <w:ind w:left="320" w:hanging="314"/>
        <w:spacing w:after="0"/>
        <w:tabs>
          <w:tab w:leader="none" w:pos="3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All of the outstanding equity awards described in this table were granted under our 2017 Plan.</w:t>
      </w:r>
    </w:p>
    <w:p>
      <w:pPr>
        <w:ind w:left="320" w:hanging="314"/>
        <w:spacing w:after="0" w:line="237" w:lineRule="auto"/>
        <w:tabs>
          <w:tab w:leader="none" w:pos="3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shares underlying the stock option are fully vested.</w:t>
      </w:r>
    </w:p>
    <w:p>
      <w:pPr>
        <w:ind w:left="320" w:right="340" w:hanging="314"/>
        <w:spacing w:after="0" w:line="237" w:lineRule="auto"/>
        <w:tabs>
          <w:tab w:leader="none" w:pos="312"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stock option vests at a rate of 6.25% of the shares of Sema4’s Class B common stock underlying the stock option each quarter following the June 1, 2019 vesting commencement date. 100% of the shares underlying the stock option will vest upon a change in control transaction.</w:t>
      </w:r>
    </w:p>
    <w:p>
      <w:pPr>
        <w:ind w:left="320" w:right="80" w:hanging="314"/>
        <w:spacing w:after="0" w:line="276" w:lineRule="auto"/>
        <w:tabs>
          <w:tab w:leader="none" w:pos="312" w:val="left"/>
        </w:tabs>
        <w:numPr>
          <w:ilvl w:val="0"/>
          <w:numId w:val="68"/>
        </w:numPr>
        <w:rPr>
          <w:rFonts w:ascii="Arial" w:cs="Arial" w:eastAsia="Arial" w:hAnsi="Arial"/>
          <w:sz w:val="12"/>
          <w:szCs w:val="12"/>
          <w:color w:val="auto"/>
        </w:rPr>
      </w:pPr>
      <w:r>
        <w:rPr>
          <w:rFonts w:ascii="Arial" w:cs="Arial" w:eastAsia="Arial" w:hAnsi="Arial"/>
          <w:sz w:val="12"/>
          <w:szCs w:val="12"/>
          <w:color w:val="auto"/>
        </w:rPr>
        <w:t>The stock option vests at a rate of 6.25% of the shares of Sema4’s Class B common stock underlying the stock option each quarter following the August 2, 2019 vesting commencement date. 100% of the shares underlying the stock option will vest (a) in the event that the service provider’s option is not assumed or replaced by the buyer in connection with a change of control transaction or (b) upon termination of the service provider’s employment by Sema4 without cause or by the service provider for good reason in connection with a change in control transaction.</w:t>
      </w:r>
    </w:p>
    <w:p>
      <w:pPr>
        <w:ind w:left="320" w:right="180" w:hanging="314"/>
        <w:spacing w:after="0" w:line="237" w:lineRule="auto"/>
        <w:tabs>
          <w:tab w:leader="none" w:pos="312"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stock option vests at a rate of 6.25% of the shares of Sema4’s Class B common stock underlying the stock option each standard calendar quarter following the August 31, 2017 vesting commencement date, beginning on December 30, 2017 and ending on August 30, 2021. 100% of the shares underlying the stock option will vest (a) in the event that the service provider’s option is not assumed or replaced by the buyer in connection with a change of control transaction or (b) upon termination of the service provider’s employment by Sema4 without cause or by the service provider for good reason in connection with a change in control transaction.</w:t>
      </w:r>
    </w:p>
    <w:p>
      <w:pPr>
        <w:ind w:left="320" w:hanging="314"/>
        <w:spacing w:after="0" w:line="237" w:lineRule="auto"/>
        <w:tabs>
          <w:tab w:leader="none" w:pos="3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Mr. Sendek served as Sema4’s Chief Financial Officer from September 2019 through January 2021.</w:t>
      </w:r>
    </w:p>
    <w:p>
      <w:pPr>
        <w:ind w:left="320" w:right="20" w:hanging="314"/>
        <w:spacing w:after="0" w:line="276" w:lineRule="auto"/>
        <w:tabs>
          <w:tab w:leader="none" w:pos="312" w:val="left"/>
        </w:tabs>
        <w:numPr>
          <w:ilvl w:val="0"/>
          <w:numId w:val="68"/>
        </w:numPr>
        <w:rPr>
          <w:rFonts w:ascii="Arial" w:cs="Arial" w:eastAsia="Arial" w:hAnsi="Arial"/>
          <w:sz w:val="12"/>
          <w:szCs w:val="12"/>
          <w:color w:val="auto"/>
        </w:rPr>
      </w:pPr>
      <w:r>
        <w:rPr>
          <w:rFonts w:ascii="Arial" w:cs="Arial" w:eastAsia="Arial" w:hAnsi="Arial"/>
          <w:sz w:val="12"/>
          <w:szCs w:val="12"/>
          <w:color w:val="auto"/>
        </w:rPr>
        <w:t>109,993 shares of Sema4’s Class B common stock underlying the stock option vested on the Grant Date; thereafter the stock option vests at a rate of 6.25% of the shares of Sema4’s Class B common stock underlying the stock option each quarter following the September 11, 2019 vesting commencement date, beginning on March 11, 2020 and ending on September 11, 2023. 100% of the shares underlying the stock option will vest (a) in the event that the service provider’s option is not assumed or replaced by the buyer in connection with a change of control transaction or</w:t>
      </w:r>
    </w:p>
    <w:p>
      <w:pPr>
        <w:ind w:left="320"/>
        <w:spacing w:after="0"/>
        <w:rPr>
          <w:rFonts w:ascii="Arial" w:cs="Arial" w:eastAsia="Arial" w:hAnsi="Arial"/>
          <w:sz w:val="12"/>
          <w:szCs w:val="12"/>
          <w:color w:val="auto"/>
        </w:rPr>
      </w:pPr>
      <w:r>
        <w:rPr>
          <w:rFonts w:ascii="Arial" w:cs="Arial" w:eastAsia="Arial" w:hAnsi="Arial"/>
          <w:sz w:val="14"/>
          <w:szCs w:val="14"/>
          <w:color w:val="auto"/>
        </w:rPr>
        <w:t>(b) upon termination of the service provider’s employment by Sema4 without cause or by the service provider for good reason in connection with a change in control transaction.</w:t>
      </w:r>
    </w:p>
    <w:p>
      <w:pPr>
        <w:spacing w:after="0" w:line="151"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In addition, it is anticipated that Dr. Schadt and Dr. Coffin will each receive a grant of Earnout RSUs when the Earnout RSUs are granted following the closing of the Business Combination.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 with Sema4’s Named Executive Officers</w:t>
      </w:r>
    </w:p>
    <w:p>
      <w:pPr>
        <w:spacing w:after="0" w:line="164"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Each of Sema4’s current named executive officers has entered into an employment agreement with Sema4 that provides for at-will employment and includes each named executive officer’s base salary, a discretionary incentive bonus opportunity and standard employee benefit plan participation. In connection with the Business Combination, we have entered into amended and restated employment agreements with each named executive officer to provide for an annual base salary of $675,000 and a target annual bonus of 100% of annual base salary, in the case of Dr. Schadt, and an annual base salary of $550,000 and a target annual bonus of 70% of annual base salary, in the case of Dr. Coffin. The amended and restated employment agreements also provide for the potential payments and benefits upon a termination of employment or in connection with a change in control as described below in “—Potential Payments upon Termination or Change in Control.” In addition, Dr’s Schadt’s amended and restated employment agreement provides for Dr. Schadt to receive a grant of stock options following the closing of the Business Combination representing the opportunity to purchase a number of shares of Company Class A common stock equal to 1.4% of the total number of shares of Company Class A common stock outstanding as of immediately following the closing of the Business Combination, and Dr. Coffin’s amended and restated employment agreement provides for Dr. Coffin to receive a grant of stock options following the closing of the Business Combination representing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1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opportunity to purchase a number of shares of Company Class A common stock equal to 0.4% of the total number of shares of Company Class A common stock outstanding as of immediately following the closing of the Business Combination. These awards will be granted under the Incentive Plan and will be subject to service-based vesting conditions.</w:t>
      </w:r>
    </w:p>
    <w:p>
      <w:pPr>
        <w:spacing w:after="0" w:line="135"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In addition, in connection with the amended and restated employment agreements, each of Dr. Schadt and Dr. Coffin agreed that, during the nine-month period following the Closing, he will not: (i)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Exchange Act, with respect to any shares of Company Class A common stock, (ii) enter into any swap or other arrangement that transfers to another, in whole or in part, any of the economic consequences of ownership of any of such shares, in cash or otherwise, or (iii) publicly announce any intention to effect any transaction specified in clause (i) or (ii).</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Payments upon Termination or Change in Control</w:t>
      </w:r>
    </w:p>
    <w:p>
      <w:pPr>
        <w:spacing w:after="0" w:line="164"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Pursuant to his amended and restated employment agreement, if Dr. Schadt is terminated without “cause” or resigns for “good reason” (as such terms will be defined in his amended and restated employment agreement) other than in connection with a change in control, he will be entitled to receive 24 months of base salary continuation and continued coverage under our group health benefit plans, subject to his execution of a release of claims. If instead such termination occurs within the period commencing three months prior to and ending 12 months following a change in control, he will be entitled to receive 24 months of base salary continuation, a lump sum payment equal to two times his target annual bonus, 24 months of continued coverage under our group health benefit plans, and accelerated vesting of his outstanding equity-based compensation awards, subject to his execution of a release of claims.</w:t>
      </w:r>
    </w:p>
    <w:p>
      <w:pPr>
        <w:spacing w:after="0" w:line="99"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Pursuant to his amended and restated employment agreement, if Dr. Coffin is terminated without “cause” or resigns for “good reason” (as such terms will be defined in his amended and restated employment agreement) other than in connection with a change in control, he will be entitled to receive 12 months of base salary continuation and continued coverage under our group health benefit plans, subject to his execution of a release of claims. If instead such termination occurs within the 12-month period following a change in control, he will be entitled to receive 12 months of base salary continuation, a lump sum payment equal to one times his target annual bonus, 12 months of continued coverage under our group health benefit plans, and accelerated vesting of his outstanding equity-based compensation awards, subject to his execution of a release of claims.</w:t>
      </w:r>
    </w:p>
    <w:p>
      <w:pPr>
        <w:spacing w:after="0" w:line="12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described above in “—Outstanding Equity Awards at 2020 Fiscal Year-End”, a portion of the stock options held by Dr. Schadt would vest upon a change in control transaction. Our Board has determined that the Business Combination will not constitute a change in control transaction for purposes of our named executive officer’s stock options.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 and Other Benefit Plans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Incentive Plan</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Incentive Plan was adopted by our Board and approved by our stockholders in July 2021. The following summarizes the material terms of the Incentive Plan. This summary is qualified in its entirety to the full text of the Incentive Plan.</w:t>
      </w:r>
    </w:p>
    <w:p>
      <w:pPr>
        <w:spacing w:after="0" w:line="12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 xml:space="preserve">Shares reserved. </w:t>
      </w:r>
      <w:r>
        <w:rPr>
          <w:rFonts w:ascii="Arial" w:cs="Arial" w:eastAsia="Arial" w:hAnsi="Arial"/>
          <w:sz w:val="18"/>
          <w:szCs w:val="18"/>
          <w:color w:val="auto"/>
        </w:rPr>
        <w:t>We have initially reserved 28,824,070 shares of common stock for issuance pursuant to awards granted under our Incentive Plan. The</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shares reserved for issuance under our Incentive Plan will increase automatically on January 1 of each of 2022 through 2031 by the number of shares equal to 5% of the aggregate number of outstanding shares of all classes of our common stock as of the immediately preceding December 31, or a lesser number as may be determined by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addition, the shares set forth below will again be available for issuance pursuant to awards granted under our Incentive Plan:</w:t>
      </w:r>
    </w:p>
    <w:p>
      <w:pPr>
        <w:spacing w:after="0" w:line="164" w:lineRule="exact"/>
        <w:rPr>
          <w:sz w:val="20"/>
          <w:szCs w:val="20"/>
          <w:color w:val="auto"/>
        </w:rPr>
      </w:pPr>
    </w:p>
    <w:p>
      <w:pPr>
        <w:ind w:left="640" w:hanging="316"/>
        <w:spacing w:after="0" w:line="264" w:lineRule="auto"/>
        <w:tabs>
          <w:tab w:leader="none" w:pos="635" w:val="left"/>
        </w:tabs>
        <w:numPr>
          <w:ilvl w:val="0"/>
          <w:numId w:val="69"/>
        </w:numPr>
        <w:rPr>
          <w:rFonts w:ascii="Arial" w:cs="Arial" w:eastAsia="Arial" w:hAnsi="Arial"/>
          <w:sz w:val="18"/>
          <w:szCs w:val="18"/>
          <w:color w:val="auto"/>
        </w:rPr>
      </w:pPr>
      <w:r>
        <w:rPr>
          <w:rFonts w:ascii="Arial" w:cs="Arial" w:eastAsia="Arial" w:hAnsi="Arial"/>
          <w:sz w:val="18"/>
          <w:szCs w:val="18"/>
          <w:color w:val="auto"/>
        </w:rPr>
        <w:t>shares subject to options or SARs granted under our Incentive Plan that cease to be subject to the option or SAR for any reason other than exercise of the option or SAR;</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shares subject to awards granted under our Incentive Plan that are subsequently forfeited or repurchased by us at the original issue price;</w:t>
      </w:r>
    </w:p>
    <w:p>
      <w:pPr>
        <w:spacing w:after="0" w:line="175" w:lineRule="exact"/>
        <w:rPr>
          <w:rFonts w:ascii="Arial" w:cs="Arial" w:eastAsia="Arial" w:hAnsi="Arial"/>
          <w:sz w:val="17"/>
          <w:szCs w:val="17"/>
          <w:color w:val="auto"/>
        </w:rPr>
      </w:pPr>
    </w:p>
    <w:p>
      <w:pPr>
        <w:ind w:left="640" w:hanging="316"/>
        <w:spacing w:after="0"/>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shares subject to awards granted under our Incentive Plan that otherwise terminate without such shares being issued;</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69"/>
        </w:numPr>
        <w:rPr>
          <w:rFonts w:ascii="Arial" w:cs="Arial" w:eastAsia="Arial" w:hAnsi="Arial"/>
          <w:sz w:val="18"/>
          <w:szCs w:val="18"/>
          <w:color w:val="auto"/>
        </w:rPr>
      </w:pPr>
      <w:r>
        <w:rPr>
          <w:rFonts w:ascii="Arial" w:cs="Arial" w:eastAsia="Arial" w:hAnsi="Arial"/>
          <w:sz w:val="18"/>
          <w:szCs w:val="18"/>
          <w:color w:val="auto"/>
        </w:rPr>
        <w:t>shares subject to awards granted under our Incentive Plan that are surrendered, cancelled, or exchanged for cash or a different award (or combination thereof);</w:t>
      </w:r>
    </w:p>
    <w:p>
      <w:pPr>
        <w:spacing w:after="0" w:line="12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69"/>
        </w:numPr>
        <w:rPr>
          <w:rFonts w:ascii="Arial" w:cs="Arial" w:eastAsia="Arial" w:hAnsi="Arial"/>
          <w:sz w:val="18"/>
          <w:szCs w:val="18"/>
          <w:color w:val="auto"/>
        </w:rPr>
      </w:pPr>
      <w:r>
        <w:rPr>
          <w:rFonts w:ascii="Arial" w:cs="Arial" w:eastAsia="Arial" w:hAnsi="Arial"/>
          <w:sz w:val="18"/>
          <w:szCs w:val="18"/>
          <w:color w:val="auto"/>
        </w:rPr>
        <w:t>shares issuable upon the exercise of options or subject to other awards granted under the Sema4 Incentive Plan that cease to be subject to such options or other awards, by forfeiture or otherwise, after the effective date of the Incentive Plan;</w:t>
      </w:r>
    </w:p>
    <w:p>
      <w:pPr>
        <w:spacing w:after="0" w:line="12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69"/>
        </w:numPr>
        <w:rPr>
          <w:rFonts w:ascii="Arial" w:cs="Arial" w:eastAsia="Arial" w:hAnsi="Arial"/>
          <w:sz w:val="18"/>
          <w:szCs w:val="18"/>
          <w:color w:val="auto"/>
        </w:rPr>
      </w:pPr>
      <w:r>
        <w:rPr>
          <w:rFonts w:ascii="Arial" w:cs="Arial" w:eastAsia="Arial" w:hAnsi="Arial"/>
          <w:sz w:val="18"/>
          <w:szCs w:val="18"/>
          <w:color w:val="auto"/>
        </w:rPr>
        <w:t>shares subject to awards granted under the Sema4 Incentive Plan that are forfeited or repurchased by us at the original price after the effective date of the Incentive Plan; and</w:t>
      </w:r>
    </w:p>
    <w:p>
      <w:pPr>
        <w:spacing w:after="0" w:line="12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69"/>
        </w:numPr>
        <w:rPr>
          <w:rFonts w:ascii="Arial" w:cs="Arial" w:eastAsia="Arial" w:hAnsi="Arial"/>
          <w:sz w:val="18"/>
          <w:szCs w:val="18"/>
          <w:color w:val="auto"/>
        </w:rPr>
      </w:pPr>
      <w:r>
        <w:rPr>
          <w:rFonts w:ascii="Arial" w:cs="Arial" w:eastAsia="Arial" w:hAnsi="Arial"/>
          <w:sz w:val="18"/>
          <w:szCs w:val="18"/>
          <w:color w:val="auto"/>
        </w:rPr>
        <w:t>shares subject to awards under the Sema4 Incentive Plan or our Incentive Plan that are used to pay the exercise price of an option or withheld to satisfy the tax withholding obligations related to any award.</w:t>
      </w:r>
    </w:p>
    <w:p>
      <w:pPr>
        <w:spacing w:after="0" w:line="128"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i w:val="1"/>
          <w:iCs w:val="1"/>
          <w:color w:val="auto"/>
        </w:rPr>
        <w:t>Administration</w:t>
      </w:r>
      <w:r>
        <w:rPr>
          <w:rFonts w:ascii="Arial" w:cs="Arial" w:eastAsia="Arial" w:hAnsi="Arial"/>
          <w:sz w:val="17"/>
          <w:szCs w:val="17"/>
          <w:color w:val="auto"/>
        </w:rPr>
        <w:t>. Our Incentive Plan will be administered by our compensation committee, or by our board of directors acting in place of our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Subject to the terms and conditions of the Incentive Plan, the administrator will have the authority, among other things, to select the persons to whom awards may be granted, construe and interpret our Incentive Plan as well as to determine the terms of such awards and prescribe, amend and rescind the rules and regulations relating to the plan or any award granted thereunder. The Incentive Plan provides that the administrator may delegate its authority, including the authority to grant awards, to one or more executive officers to the extent permitted by applicable law, provided that awards granted to non-employee directors may only be determined by our board of directors.</w:t>
      </w:r>
    </w:p>
    <w:p>
      <w:pPr>
        <w:spacing w:after="0" w:line="126"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i w:val="1"/>
          <w:iCs w:val="1"/>
          <w:color w:val="auto"/>
        </w:rPr>
        <w:t>Options</w:t>
      </w:r>
      <w:r>
        <w:rPr>
          <w:rFonts w:ascii="Arial" w:cs="Arial" w:eastAsia="Arial" w:hAnsi="Arial"/>
          <w:sz w:val="18"/>
          <w:szCs w:val="18"/>
          <w:color w:val="auto"/>
        </w:rPr>
        <w:t>. The Incentive Plan provides for the grant of both incentive stock options intended to qualify under Section 422 of the Code, and nonqualified</w:t>
      </w:r>
      <w:r>
        <w:rPr>
          <w:rFonts w:ascii="Arial" w:cs="Arial" w:eastAsia="Arial" w:hAnsi="Arial"/>
          <w:sz w:val="18"/>
          <w:szCs w:val="18"/>
          <w:i w:val="1"/>
          <w:iCs w:val="1"/>
          <w:color w:val="auto"/>
        </w:rPr>
        <w:t xml:space="preserve"> </w:t>
      </w:r>
      <w:r>
        <w:rPr>
          <w:rFonts w:ascii="Arial" w:cs="Arial" w:eastAsia="Arial" w:hAnsi="Arial"/>
          <w:sz w:val="18"/>
          <w:szCs w:val="18"/>
          <w:color w:val="auto"/>
        </w:rPr>
        <w:t>stock options to purchase shares of our common stock at a stated exercise price. Incentive stock options may only be granted to employees, including officers and directors who are also employees. The exercise price of stock options granted under the Incentive Plan must be at least equal to the fair market value of our common stock on the date of grant. Incentive stock options granted to an individual who holds, directly or by attribution, more than ten percent of the total combined voting power of all classes of our capital stock must have an exercise price of at least 110% the fair market value of our common stock on the date of grant.</w:t>
      </w:r>
    </w:p>
    <w:p>
      <w:pPr>
        <w:spacing w:after="0" w:line="14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Options may vest based on service or achievement of performance conditions, as determined by the administrator. The administrator may provide for options to be exercised only as they vest or to be immediately exercisable, with any shares issued on exercise being subject to our right of repurchase that lapses as the shares vest. In the event of a participant’s termination of service, an option is generally exercisable, to the extent vested, for a period of three months in the case of termination without cause (except due to a participant’s death or disability), for a period of 12 months in the case of termination due to the participant’s death or disability, or such longer or shorter period as the administrator may provide, and for a period of 24 months in the case of termination due to the participant’s retirement (consistent with our policies regarding retirement). Stock options generally terminate upon a participant’s termination of employment for cause. The maximum term of options granted under our Incentive Plan is ten years from the date of grant, except that the maximum permitted term of incentive stock options granted to an individual who holds, directly or by attribution, more than ten percent of the total combined voting power of all classes of our capital stock is five years from the date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119"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 xml:space="preserve">Restricted stock awards. </w:t>
      </w:r>
      <w:r>
        <w:rPr>
          <w:rFonts w:ascii="Arial" w:cs="Arial" w:eastAsia="Arial" w:hAnsi="Arial"/>
          <w:sz w:val="18"/>
          <w:szCs w:val="18"/>
          <w:color w:val="auto"/>
        </w:rPr>
        <w:t>An RSA is an offer by us to grant or sell shares of our common stock subject to restrictions, which may lapse based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satisfaction of service or achievement of performance conditions. The price, if any, of an RSA will be determined by the administrator. Unless otherwise determined by the administrator, vesting will cease on the date the participant no longer provides services to us and unvested shares may be forfeited to or repurchased by us.</w:t>
      </w:r>
    </w:p>
    <w:p>
      <w:pPr>
        <w:spacing w:after="0" w:line="13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A SAR provides for a payment, in cash or shares of our common stock (up to a specified maximum number of shares, if</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by the administrator), to the participant based upon the difference between the fair market value of our common stock on the date of exercise and a predetermined exercise price, multiplied by the number of shares. The exercise price of a SAR must be at least the fair market value of a share of our common stock on the date of grant. SARs may vest based on service or achievement of performance conditions. No SAR may have a term that is longer than ten years from the date of grant.</w:t>
      </w:r>
    </w:p>
    <w:p>
      <w:pPr>
        <w:spacing w:after="0" w:line="14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RSUs represent the right to receive the value of shares of our common stock at a specified date in the future and may be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vesting based on service or achievement of performance conditions. RSUs may be settled in cash, shares of our common stock or a combination of both as soon as practicable following vesting or on a later date subject to the terms of the Incentive Plan. No RSU may have a term that is longer than ten years from the date of grant.</w:t>
      </w:r>
    </w:p>
    <w:p>
      <w:pPr>
        <w:spacing w:after="0" w:line="13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i w:val="1"/>
          <w:iCs w:val="1"/>
          <w:color w:val="auto"/>
        </w:rPr>
        <w:t xml:space="preserve">Performance awards. </w:t>
      </w:r>
      <w:r>
        <w:rPr>
          <w:rFonts w:ascii="Arial" w:cs="Arial" w:eastAsia="Arial" w:hAnsi="Arial"/>
          <w:sz w:val="18"/>
          <w:szCs w:val="18"/>
          <w:color w:val="auto"/>
        </w:rPr>
        <w:t>Performance awards granted pursuant to the Incentive Plan may be in the form of a cash bonus, or an award of performance shares</w:t>
      </w:r>
      <w:r>
        <w:rPr>
          <w:rFonts w:ascii="Arial" w:cs="Arial" w:eastAsia="Arial" w:hAnsi="Arial"/>
          <w:sz w:val="18"/>
          <w:szCs w:val="18"/>
          <w:i w:val="1"/>
          <w:iCs w:val="1"/>
          <w:color w:val="auto"/>
        </w:rPr>
        <w:t xml:space="preserve"> </w:t>
      </w:r>
      <w:r>
        <w:rPr>
          <w:rFonts w:ascii="Arial" w:cs="Arial" w:eastAsia="Arial" w:hAnsi="Arial"/>
          <w:sz w:val="18"/>
          <w:szCs w:val="18"/>
          <w:color w:val="auto"/>
        </w:rPr>
        <w:t>or performance units denominated in shares of our common stock that may be settled in cash, property or by issuance of those shares, subject to the satisfaction or achievement of specified performance conditions.</w:t>
      </w:r>
    </w:p>
    <w:p>
      <w:pPr>
        <w:spacing w:after="0" w:line="135"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i w:val="1"/>
          <w:iCs w:val="1"/>
          <w:color w:val="auto"/>
        </w:rPr>
        <w:t xml:space="preserve">Stock bonus awards. </w:t>
      </w:r>
      <w:r>
        <w:rPr>
          <w:rFonts w:ascii="Arial" w:cs="Arial" w:eastAsia="Arial" w:hAnsi="Arial"/>
          <w:sz w:val="15"/>
          <w:szCs w:val="15"/>
          <w:color w:val="auto"/>
        </w:rPr>
        <w:t>A stock bonus award provides for payment in the form of cash, shares of our common stock or a combination thereof, based on the</w:t>
      </w:r>
      <w:r>
        <w:rPr>
          <w:rFonts w:ascii="Arial" w:cs="Arial" w:eastAsia="Arial" w:hAnsi="Arial"/>
          <w:sz w:val="15"/>
          <w:szCs w:val="15"/>
          <w:i w:val="1"/>
          <w:iCs w:val="1"/>
          <w:color w:val="auto"/>
        </w:rPr>
        <w:t xml:space="preserve"> </w:t>
      </w:r>
      <w:r>
        <w:rPr>
          <w:rFonts w:ascii="Arial" w:cs="Arial" w:eastAsia="Arial" w:hAnsi="Arial"/>
          <w:sz w:val="15"/>
          <w:szCs w:val="15"/>
          <w:color w:val="auto"/>
        </w:rPr>
        <w:t>fair market value of shares subject to such award as determined by the administrator. The awards may be granted as consideration for services already rendered, or at the discretion of the administrator, may be subject to vesting restrictions based on continued service or performance conditions.</w:t>
      </w:r>
    </w:p>
    <w:p>
      <w:pPr>
        <w:spacing w:after="0" w:line="8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i w:val="1"/>
          <w:iCs w:val="1"/>
          <w:color w:val="auto"/>
        </w:rPr>
        <w:t xml:space="preserve">Dividend equivalents rights. </w:t>
      </w:r>
      <w:r>
        <w:rPr>
          <w:rFonts w:ascii="Arial" w:cs="Arial" w:eastAsia="Arial" w:hAnsi="Arial"/>
          <w:sz w:val="15"/>
          <w:szCs w:val="15"/>
          <w:color w:val="auto"/>
        </w:rPr>
        <w:t>Our board of directors or the compensation committee thereof may permit participants holding RSUs to receive dividend</w:t>
      </w:r>
      <w:r>
        <w:rPr>
          <w:rFonts w:ascii="Arial" w:cs="Arial" w:eastAsia="Arial" w:hAnsi="Arial"/>
          <w:sz w:val="15"/>
          <w:szCs w:val="15"/>
          <w:i w:val="1"/>
          <w:iCs w:val="1"/>
          <w:color w:val="auto"/>
        </w:rPr>
        <w:t xml:space="preserve"> </w:t>
      </w:r>
      <w:r>
        <w:rPr>
          <w:rFonts w:ascii="Arial" w:cs="Arial" w:eastAsia="Arial" w:hAnsi="Arial"/>
          <w:sz w:val="15"/>
          <w:szCs w:val="15"/>
          <w:color w:val="auto"/>
        </w:rPr>
        <w:t>equivalent payments if and when dividends are paid to stockholders. In the discretion of our board or the compensation committee thereof, such dividend equivalent payments may be paid in cash or shares of our common stock and may either be paid at the same time as dividend payments are made to stockholders or delayed until shares are issued pursuant to the RSU grants and may be subject to the same vesting or performance requirements as the RSUs.</w:t>
      </w:r>
    </w:p>
    <w:p>
      <w:pPr>
        <w:spacing w:after="0" w:line="93"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i w:val="1"/>
          <w:iCs w:val="1"/>
          <w:color w:val="auto"/>
        </w:rPr>
        <w:t xml:space="preserve">Change of control. </w:t>
      </w:r>
      <w:r>
        <w:rPr>
          <w:rFonts w:ascii="Arial" w:cs="Arial" w:eastAsia="Arial" w:hAnsi="Arial"/>
          <w:sz w:val="15"/>
          <w:szCs w:val="15"/>
          <w:color w:val="auto"/>
        </w:rPr>
        <w:t>Our Incentive Plan provides that, in the event of a corporate transaction that constitutes a change of control of our company under the</w:t>
      </w:r>
      <w:r>
        <w:rPr>
          <w:rFonts w:ascii="Arial" w:cs="Arial" w:eastAsia="Arial" w:hAnsi="Arial"/>
          <w:sz w:val="15"/>
          <w:szCs w:val="15"/>
          <w:i w:val="1"/>
          <w:iCs w:val="1"/>
          <w:color w:val="auto"/>
        </w:rPr>
        <w:t xml:space="preserve"> </w:t>
      </w:r>
      <w:r>
        <w:rPr>
          <w:rFonts w:ascii="Arial" w:cs="Arial" w:eastAsia="Arial" w:hAnsi="Arial"/>
          <w:sz w:val="15"/>
          <w:szCs w:val="15"/>
          <w:color w:val="auto"/>
        </w:rPr>
        <w:t>terms of the plan, outstanding awards will be subject to the agreement evidencing the change of control, which need not treat all outstanding awards in an identical manner, and may include one or more of the following: (i) the continuation of the outstanding awards; (ii) the assumption of the outstanding awards by the surviving corporation or its parent; (iii) the substitution by the surviving corporation or its parent of new options or equity awards for the outstanding awards; (iv) the full or partial acceleration of exercisability or vesting or lapse of the company’s right to repurchase or other terms of forfeiture and accelerated expiration of the award; or (v) the settlement of the full value of the outstanding awards (whether or not then vested or exercisable) in cash, cash equivalents, or securities of the successor entity with a fair market value equal to the required amount, as determined in accordance with the Incentive Plan, which payments may be deferred until the date or dates the award would have become exercisable or vested. Notwithstanding the foregoing, upon a change of control the vesting of all awards granted to our non-employee directors will accelerate and such awards will become exercisable, to the extent applicable, and vested in full immediately prior to the consummation of the change of control.</w:t>
      </w:r>
    </w:p>
    <w:p>
      <w:pPr>
        <w:spacing w:after="0" w:line="319"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i w:val="1"/>
          <w:iCs w:val="1"/>
          <w:color w:val="auto"/>
        </w:rPr>
        <w:t xml:space="preserve">Adjustment. </w:t>
      </w:r>
      <w:r>
        <w:rPr>
          <w:rFonts w:ascii="Arial" w:cs="Arial" w:eastAsia="Arial" w:hAnsi="Arial"/>
          <w:sz w:val="15"/>
          <w:szCs w:val="15"/>
          <w:color w:val="auto"/>
        </w:rPr>
        <w:t>In the event of a change in the number of outstanding shares of our common stock without consideration by reason of a stock dividend,</w:t>
      </w:r>
      <w:r>
        <w:rPr>
          <w:rFonts w:ascii="Arial" w:cs="Arial" w:eastAsia="Arial" w:hAnsi="Arial"/>
          <w:sz w:val="15"/>
          <w:szCs w:val="15"/>
          <w:i w:val="1"/>
          <w:iCs w:val="1"/>
          <w:color w:val="auto"/>
        </w:rPr>
        <w:t xml:space="preserve"> </w:t>
      </w:r>
      <w:r>
        <w:rPr>
          <w:rFonts w:ascii="Arial" w:cs="Arial" w:eastAsia="Arial" w:hAnsi="Arial"/>
          <w:sz w:val="15"/>
          <w:szCs w:val="15"/>
          <w:color w:val="auto"/>
        </w:rPr>
        <w:t>extraordinary dividend or distribution, spin-off, recapitalization, stock split, reverse stock split, subdivision, combination, consolidation reclassification, spin-off or similar change in our capital structure, proportional adjustments will be made to (i) the number and class of shares reserved for issuance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1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our Incentive Plan; (ii) the exercise prices, number and class of shares subject to outstanding options or SARs; (iii) the number and class of shares subject to other outstanding awards; and (iv) the maximum number and class of shares that may be issued as incentive stock options, subject to any required action by the board or our stockholders and compliance with applicable laws.</w:t>
      </w:r>
    </w:p>
    <w:p>
      <w:pPr>
        <w:spacing w:after="0" w:line="135"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i w:val="1"/>
          <w:iCs w:val="1"/>
          <w:color w:val="auto"/>
        </w:rPr>
        <w:t>Exchange, repricing and buyout of awards</w:t>
      </w:r>
      <w:r>
        <w:rPr>
          <w:rFonts w:ascii="Arial" w:cs="Arial" w:eastAsia="Arial" w:hAnsi="Arial"/>
          <w:sz w:val="17"/>
          <w:szCs w:val="17"/>
          <w:color w:val="auto"/>
        </w:rPr>
        <w:t>. The administrator may, without prior stockholder approval, (i) reduce the exercise price of outstanding options</w:t>
      </w:r>
      <w:r>
        <w:rPr>
          <w:rFonts w:ascii="Arial" w:cs="Arial" w:eastAsia="Arial" w:hAnsi="Arial"/>
          <w:sz w:val="17"/>
          <w:szCs w:val="17"/>
          <w:i w:val="1"/>
          <w:iCs w:val="1"/>
          <w:color w:val="auto"/>
        </w:rPr>
        <w:t xml:space="preserve"> </w:t>
      </w:r>
      <w:r>
        <w:rPr>
          <w:rFonts w:ascii="Arial" w:cs="Arial" w:eastAsia="Arial" w:hAnsi="Arial"/>
          <w:sz w:val="17"/>
          <w:szCs w:val="17"/>
          <w:color w:val="auto"/>
        </w:rPr>
        <w:t>or SARs without the consent of any participant and (ii) pay cash or issue new awards in exchange for the surrender and cancellation of any, or all, outstanding awards, subject to the consent of any affected participant to the extent required by the terms of the Incentive Plan.</w:t>
      </w:r>
    </w:p>
    <w:p>
      <w:pPr>
        <w:spacing w:after="0" w:line="11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i w:val="1"/>
          <w:iCs w:val="1"/>
          <w:color w:val="auto"/>
        </w:rPr>
        <w:t>Director compensation limits</w:t>
      </w:r>
      <w:r>
        <w:rPr>
          <w:rFonts w:ascii="Arial" w:cs="Arial" w:eastAsia="Arial" w:hAnsi="Arial"/>
          <w:sz w:val="18"/>
          <w:szCs w:val="18"/>
          <w:color w:val="auto"/>
        </w:rPr>
        <w:t>. No non-employee director may receive awards under our Incentive Plan with a grant date value that when combined with</w:t>
      </w:r>
      <w:r>
        <w:rPr>
          <w:rFonts w:ascii="Arial" w:cs="Arial" w:eastAsia="Arial" w:hAnsi="Arial"/>
          <w:sz w:val="18"/>
          <w:szCs w:val="18"/>
          <w:i w:val="1"/>
          <w:iCs w:val="1"/>
          <w:color w:val="auto"/>
        </w:rPr>
        <w:t xml:space="preserve"> </w:t>
      </w:r>
      <w:r>
        <w:rPr>
          <w:rFonts w:ascii="Arial" w:cs="Arial" w:eastAsia="Arial" w:hAnsi="Arial"/>
          <w:sz w:val="18"/>
          <w:szCs w:val="18"/>
          <w:color w:val="auto"/>
        </w:rPr>
        <w:t>cash compensation received for his or her service as a director, exceed $750,000 in a calendar year, increased to $1,000,000 in the calendar year of his or her initial services as a non-employee director.</w:t>
      </w:r>
    </w:p>
    <w:p>
      <w:pPr>
        <w:spacing w:after="0" w:line="13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Clawback; transferability</w:t>
      </w:r>
      <w:r>
        <w:rPr>
          <w:rFonts w:ascii="Arial" w:cs="Arial" w:eastAsia="Arial" w:hAnsi="Arial"/>
          <w:sz w:val="18"/>
          <w:szCs w:val="18"/>
          <w:color w:val="auto"/>
        </w:rPr>
        <w:t>. All awards will be subject to clawback or recoupment pursuant to any compensation clawback or recoupment policy adopted</w:t>
      </w:r>
      <w:r>
        <w:rPr>
          <w:rFonts w:ascii="Arial" w:cs="Arial" w:eastAsia="Arial" w:hAnsi="Arial"/>
          <w:sz w:val="18"/>
          <w:szCs w:val="18"/>
          <w:i w:val="1"/>
          <w:iCs w:val="1"/>
          <w:color w:val="auto"/>
        </w:rPr>
        <w:t xml:space="preserve"> </w:t>
      </w:r>
      <w:r>
        <w:rPr>
          <w:rFonts w:ascii="Arial" w:cs="Arial" w:eastAsia="Arial" w:hAnsi="Arial"/>
          <w:sz w:val="18"/>
          <w:szCs w:val="18"/>
          <w:color w:val="auto"/>
        </w:rPr>
        <w:t>by our board of directors or the compensation committee thereof or required by law during the term of service of the participant, to the extent set forth in such policy or applicable agreement. Except in limited circumstances, awards granted under our Incentive Plan may generally not be transferred in any manner other than by will or by the laws of descent and distribution.</w:t>
      </w:r>
    </w:p>
    <w:p>
      <w:pPr>
        <w:spacing w:after="0" w:line="138"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i w:val="1"/>
          <w:iCs w:val="1"/>
          <w:color w:val="auto"/>
        </w:rPr>
        <w:t>Sub-plans</w:t>
      </w:r>
      <w:r>
        <w:rPr>
          <w:rFonts w:ascii="Arial" w:cs="Arial" w:eastAsia="Arial" w:hAnsi="Arial"/>
          <w:sz w:val="17"/>
          <w:szCs w:val="17"/>
          <w:color w:val="auto"/>
        </w:rPr>
        <w:t>. Subject to the terms of the Incentive Plan, the plan administrator may establish a sub-plan under the Incentive Plan and/or modify the terms of</w:t>
      </w:r>
      <w:r>
        <w:rPr>
          <w:rFonts w:ascii="Arial" w:cs="Arial" w:eastAsia="Arial" w:hAnsi="Arial"/>
          <w:sz w:val="17"/>
          <w:szCs w:val="17"/>
          <w:i w:val="1"/>
          <w:iCs w:val="1"/>
          <w:color w:val="auto"/>
        </w:rPr>
        <w:t xml:space="preserve"> </w:t>
      </w:r>
      <w:r>
        <w:rPr>
          <w:rFonts w:ascii="Arial" w:cs="Arial" w:eastAsia="Arial" w:hAnsi="Arial"/>
          <w:sz w:val="17"/>
          <w:szCs w:val="17"/>
          <w:color w:val="auto"/>
        </w:rPr>
        <w:t>awards granted to participants outside of the United States to comply with any laws or regulations applicable to any such jurisdiction.</w:t>
      </w:r>
    </w:p>
    <w:p>
      <w:pPr>
        <w:spacing w:after="0" w:line="10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i w:val="1"/>
          <w:iCs w:val="1"/>
          <w:color w:val="auto"/>
        </w:rPr>
        <w:t>Amendment and termination</w:t>
      </w:r>
      <w:r>
        <w:rPr>
          <w:rFonts w:ascii="Arial" w:cs="Arial" w:eastAsia="Arial" w:hAnsi="Arial"/>
          <w:sz w:val="15"/>
          <w:szCs w:val="15"/>
          <w:color w:val="auto"/>
        </w:rPr>
        <w:t>. Our board of directors or compensation committee may amend our Incentive Plan at any time, subject to stockholder</w:t>
      </w:r>
      <w:r>
        <w:rPr>
          <w:rFonts w:ascii="Arial" w:cs="Arial" w:eastAsia="Arial" w:hAnsi="Arial"/>
          <w:sz w:val="15"/>
          <w:szCs w:val="15"/>
          <w:i w:val="1"/>
          <w:iCs w:val="1"/>
          <w:color w:val="auto"/>
        </w:rPr>
        <w:t xml:space="preserve"> </w:t>
      </w:r>
      <w:r>
        <w:rPr>
          <w:rFonts w:ascii="Arial" w:cs="Arial" w:eastAsia="Arial" w:hAnsi="Arial"/>
          <w:sz w:val="15"/>
          <w:szCs w:val="15"/>
          <w:color w:val="auto"/>
        </w:rPr>
        <w:t>approval as may be required. Our Incentive Plan will terminate ten years from the date our board of directors adopts the plan, unless it is terminated earlier by our board of directors. No termination or amendment of the Incentive Plan may materially adversely affect any then-outstanding award without the consent of the affected participant, except as is necessary to comply with applicable laws or as otherwise provided by the terms of the Incentive Plan.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Stock Incentive Plan</w:t>
      </w:r>
    </w:p>
    <w:p>
      <w:pPr>
        <w:spacing w:after="0" w:line="164"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Sema4’s 2017 Plan was adopted by Sema4’s board of directors and approved by its stockholders in April 2017. The 2017 Plan allows for the grant of stock options, stock appreciation rights, restricted stock, and restricted stock units, or RSUs, as described below. As of March 31, 2021, Sema4 had 122,000 shares of Sema4 Class A common stock and 11,710,025 shares of Sema4 Class B common stock reserved for issuance pursuant to awards under Sema4’s 2017 Plan, of which 3,014,526 shares remained available for grant. Sema4 terminated the 2017 Plan upon the effective date of the Incentive Plan, which was July 21, 2021. Any awards granted under the 2017 Plan that remained outstanding as of such date continue to be subject to the terms of Sema4’s 2017 Plan and applicable award agreements until such awards are exercised or amended or until they terminate or expire by their terms.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ESPP</w:t>
      </w:r>
    </w:p>
    <w:p>
      <w:pPr>
        <w:spacing w:after="0" w:line="17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ESPP was adopted by our Board and approved by our stockholders in July 2021. The following summarizes the material terms of the ESPP. This summary is qualified in its entirety to the full text of the ESPP.</w:t>
      </w:r>
    </w:p>
    <w:p>
      <w:pPr>
        <w:spacing w:after="0" w:line="128"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i w:val="1"/>
          <w:iCs w:val="1"/>
          <w:color w:val="auto"/>
        </w:rPr>
        <w:t>Shares Reserved</w:t>
      </w:r>
      <w:r>
        <w:rPr>
          <w:rFonts w:ascii="Arial" w:cs="Arial" w:eastAsia="Arial" w:hAnsi="Arial"/>
          <w:sz w:val="18"/>
          <w:szCs w:val="18"/>
          <w:color w:val="auto"/>
        </w:rPr>
        <w:t>. We have initially reserved 4,804,011 shares of our common stock equal for issuance and sale under the ESPP. The number of shares</w:t>
      </w:r>
      <w:r>
        <w:rPr>
          <w:rFonts w:ascii="Arial" w:cs="Arial" w:eastAsia="Arial" w:hAnsi="Arial"/>
          <w:sz w:val="18"/>
          <w:szCs w:val="18"/>
          <w:i w:val="1"/>
          <w:iCs w:val="1"/>
          <w:color w:val="auto"/>
        </w:rPr>
        <w:t xml:space="preserve"> </w:t>
      </w:r>
      <w:r>
        <w:rPr>
          <w:rFonts w:ascii="Arial" w:cs="Arial" w:eastAsia="Arial" w:hAnsi="Arial"/>
          <w:sz w:val="18"/>
          <w:szCs w:val="18"/>
          <w:color w:val="auto"/>
        </w:rPr>
        <w:t>reserved for issuance and sale under our ESPP will increase automatically on January 1 of each of 2022 through 2031 by the number of shares equal to 1% of the aggregate number of outstanding shares of all classes of our common stock as of the immediately preceding December 31, or a lesser number as may be determined by our compensation committee, or by our board of directors acting in place of our compensation committee. Subject to stock splits, recapitalizations, or similar events, no more than the number of shares of our common stock equal to ten times the Initial ESPP Share Reserve may be issued over the term of the ESPP.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19"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i w:val="1"/>
          <w:iCs w:val="1"/>
          <w:color w:val="auto"/>
        </w:rPr>
        <w:t xml:space="preserve">Administration. </w:t>
      </w:r>
      <w:r>
        <w:rPr>
          <w:rFonts w:ascii="Arial" w:cs="Arial" w:eastAsia="Arial" w:hAnsi="Arial"/>
          <w:sz w:val="17"/>
          <w:szCs w:val="17"/>
          <w:color w:val="auto"/>
        </w:rPr>
        <w:t>Our ESPP will be administered by our compensation committee, or by our board of directors acting in place of our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subject to the terms and conditions of the ESPP. Among other things, the administrator will have the authority to determine eligibility for participation in the ESPP, designate separate offerings under the plan, and construe, interpret and apply the terms of the plan.</w:t>
      </w:r>
    </w:p>
    <w:p>
      <w:pPr>
        <w:spacing w:after="0" w:line="118"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i w:val="1"/>
          <w:iCs w:val="1"/>
          <w:color w:val="auto"/>
        </w:rPr>
        <w:t xml:space="preserve">Eligibility. </w:t>
      </w:r>
      <w:r>
        <w:rPr>
          <w:rFonts w:ascii="Arial" w:cs="Arial" w:eastAsia="Arial" w:hAnsi="Arial"/>
          <w:sz w:val="15"/>
          <w:szCs w:val="15"/>
          <w:color w:val="auto"/>
        </w:rPr>
        <w:t>Employees eligible to participate in any offering pursuant to the ESPP generally include any employee that is employed by us or certain of our</w:t>
      </w:r>
      <w:r>
        <w:rPr>
          <w:rFonts w:ascii="Arial" w:cs="Arial" w:eastAsia="Arial" w:hAnsi="Arial"/>
          <w:sz w:val="15"/>
          <w:szCs w:val="15"/>
          <w:i w:val="1"/>
          <w:iCs w:val="1"/>
          <w:color w:val="auto"/>
        </w:rPr>
        <w:t xml:space="preserve"> </w:t>
      </w:r>
      <w:r>
        <w:rPr>
          <w:rFonts w:ascii="Arial" w:cs="Arial" w:eastAsia="Arial" w:hAnsi="Arial"/>
          <w:sz w:val="15"/>
          <w:szCs w:val="15"/>
          <w:color w:val="auto"/>
        </w:rPr>
        <w:t>designated subsidiaries at the beginning of the offering period. However, the administrator may exclude employees who do not meet eligibility requirements that our compensation committee may choose to impose (within the limits permitted by the Code), are customarily employed for 20 hours or less per week, are customarily employed for five months or less in a calendar year or certain highly-compensated employees as determined in accordance with applicable tax laws. In addition, any employee who owns (or is deemed to own because of attribution rules) 5% or more of the total combined voting power or value of all classes of our capital stock, or the capital stock of one of our qualifying subsidiaries, or who will own such amount because of participation in the ESPP, will not be eligible to participate in the ESPP. The administrator may impose additional restrictions on eligibility from time to time.</w:t>
      </w:r>
    </w:p>
    <w:p>
      <w:pPr>
        <w:spacing w:after="0" w:line="10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i w:val="1"/>
          <w:iCs w:val="1"/>
          <w:color w:val="auto"/>
        </w:rPr>
        <w:t xml:space="preserve">Offering Periods; Enrollment. </w:t>
      </w:r>
      <w:r>
        <w:rPr>
          <w:rFonts w:ascii="Arial" w:cs="Arial" w:eastAsia="Arial" w:hAnsi="Arial"/>
          <w:sz w:val="17"/>
          <w:szCs w:val="17"/>
          <w:color w:val="auto"/>
        </w:rPr>
        <w:t>Under our ESPP, eligible employees will be offered the option to purchase shares of our common stock at a discount over a</w:t>
      </w:r>
      <w:r>
        <w:rPr>
          <w:rFonts w:ascii="Arial" w:cs="Arial" w:eastAsia="Arial" w:hAnsi="Arial"/>
          <w:sz w:val="17"/>
          <w:szCs w:val="17"/>
          <w:i w:val="1"/>
          <w:iCs w:val="1"/>
          <w:color w:val="auto"/>
        </w:rPr>
        <w:t xml:space="preserve"> </w:t>
      </w:r>
      <w:r>
        <w:rPr>
          <w:rFonts w:ascii="Arial" w:cs="Arial" w:eastAsia="Arial" w:hAnsi="Arial"/>
          <w:sz w:val="17"/>
          <w:szCs w:val="17"/>
          <w:color w:val="auto"/>
        </w:rPr>
        <w:t>series of offering periods through accumulated payroll deductions over the period. The length of the offering periods under ESPP will be determined by the plan administrator and may be up to twenty-seven (27) months long. Each offering period may itself consist of one or more purchase periods. When the first offering period commences, our employees who meet the eligibility requirements for participation in that offering period will be eligible to enroll. For subsequent offering periods, new participants will be required to enroll in a timely manner. Once an employee is enrolled, participation will be automatic in subsequence offering periods. Participation in the ESPP ends automatically upon a participant’s termination of employment. A participant may withdraw his or her participation from the ESPP at any time by submitting written notice to the company.</w:t>
      </w:r>
    </w:p>
    <w:p>
      <w:pPr>
        <w:spacing w:after="0" w:line="132"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i w:val="1"/>
          <w:iCs w:val="1"/>
          <w:color w:val="auto"/>
        </w:rPr>
        <w:t xml:space="preserve">Offerings; Contributions; Limitations. </w:t>
      </w:r>
      <w:r>
        <w:rPr>
          <w:rFonts w:ascii="Arial" w:cs="Arial" w:eastAsia="Arial" w:hAnsi="Arial"/>
          <w:sz w:val="17"/>
          <w:szCs w:val="17"/>
          <w:color w:val="auto"/>
        </w:rPr>
        <w:t>The purchase price for shares purchased under the ESPP during any given purchase period will be 85% of the</w:t>
      </w:r>
      <w:r>
        <w:rPr>
          <w:rFonts w:ascii="Arial" w:cs="Arial" w:eastAsia="Arial" w:hAnsi="Arial"/>
          <w:sz w:val="17"/>
          <w:szCs w:val="17"/>
          <w:i w:val="1"/>
          <w:iCs w:val="1"/>
          <w:color w:val="auto"/>
        </w:rPr>
        <w:t xml:space="preserve"> </w:t>
      </w:r>
      <w:r>
        <w:rPr>
          <w:rFonts w:ascii="Arial" w:cs="Arial" w:eastAsia="Arial" w:hAnsi="Arial"/>
          <w:sz w:val="17"/>
          <w:szCs w:val="17"/>
          <w:color w:val="auto"/>
        </w:rPr>
        <w:t>lesser of the fair market value of our common stock on (i) the first trading day of the applicable offering period or (ii) the last trading day of the purchase period. The ESPP permits participants to purchase shares of our common stock through payroll deductions of a percentage of their eligible compensation, which may not be less than one percent (1%) and may be up to a maximum of fifteen percent (15%) or such lower limit set by the plan administrator. No participant may purchase more than 2,500 shares of our common stock during any one purchase period, and may not subscribe for more than $25,000 in fair market value of shares of our common stock (determined as of the date the offering period commences) in any calendar year in which the offering is in effect. The administrator in its discretion, may set a lower maximum number of shares which may be purchased.</w:t>
      </w:r>
    </w:p>
    <w:p>
      <w:pPr>
        <w:spacing w:after="0" w:line="132"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i w:val="1"/>
          <w:iCs w:val="1"/>
          <w:color w:val="auto"/>
        </w:rPr>
        <w:t xml:space="preserve">Adjustments upon recapitalization. </w:t>
      </w:r>
      <w:r>
        <w:rPr>
          <w:rFonts w:ascii="Arial" w:cs="Arial" w:eastAsia="Arial" w:hAnsi="Arial"/>
          <w:sz w:val="17"/>
          <w:szCs w:val="17"/>
          <w:color w:val="auto"/>
        </w:rPr>
        <w:t>If the number of outstanding shares of our common stock is changed by stock dividend, recapitalization, stock split,</w:t>
      </w:r>
      <w:r>
        <w:rPr>
          <w:rFonts w:ascii="Arial" w:cs="Arial" w:eastAsia="Arial" w:hAnsi="Arial"/>
          <w:sz w:val="17"/>
          <w:szCs w:val="17"/>
          <w:i w:val="1"/>
          <w:iCs w:val="1"/>
          <w:color w:val="auto"/>
        </w:rPr>
        <w:t xml:space="preserve"> </w:t>
      </w:r>
      <w:r>
        <w:rPr>
          <w:rFonts w:ascii="Arial" w:cs="Arial" w:eastAsia="Arial" w:hAnsi="Arial"/>
          <w:sz w:val="17"/>
          <w:szCs w:val="17"/>
          <w:color w:val="auto"/>
        </w:rPr>
        <w:t>reverse stock split, subdivision, combination, reclassification or similar change in our capital structure without consideration, then the administrator will proportionately adjust the number and class of common stock that is available under the ESPP, the purchase price and number of shares any participant has elected to purchase as well as the maximum number of shares which may be purchased by participants.</w:t>
      </w:r>
    </w:p>
    <w:p>
      <w:pPr>
        <w:spacing w:after="0" w:line="12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i w:val="1"/>
          <w:iCs w:val="1"/>
          <w:color w:val="auto"/>
        </w:rPr>
        <w:t xml:space="preserve">Corporate Transaction. </w:t>
      </w:r>
      <w:r>
        <w:rPr>
          <w:rFonts w:ascii="Arial" w:cs="Arial" w:eastAsia="Arial" w:hAnsi="Arial"/>
          <w:sz w:val="17"/>
          <w:szCs w:val="17"/>
          <w:color w:val="auto"/>
        </w:rPr>
        <w:t>If the post-combination company experiences a corporate transaction as determined under the terms of the ESPP, any offering</w:t>
      </w:r>
      <w:r>
        <w:rPr>
          <w:rFonts w:ascii="Arial" w:cs="Arial" w:eastAsia="Arial" w:hAnsi="Arial"/>
          <w:sz w:val="17"/>
          <w:szCs w:val="17"/>
          <w:i w:val="1"/>
          <w:iCs w:val="1"/>
          <w:color w:val="auto"/>
        </w:rPr>
        <w:t xml:space="preserve"> </w:t>
      </w:r>
      <w:r>
        <w:rPr>
          <w:rFonts w:ascii="Arial" w:cs="Arial" w:eastAsia="Arial" w:hAnsi="Arial"/>
          <w:sz w:val="17"/>
          <w:szCs w:val="17"/>
          <w:color w:val="auto"/>
        </w:rPr>
        <w:t>period then in effect will be shortened and terminated on a final purchase date established by the administrator. The final purchase date will occur on or prior to the effective date of change of control transaction, and our ESPP will terminate on the closing of the change of control.</w:t>
      </w:r>
    </w:p>
    <w:p>
      <w:pPr>
        <w:spacing w:after="0" w:line="118"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i w:val="1"/>
          <w:iCs w:val="1"/>
          <w:color w:val="auto"/>
        </w:rPr>
        <w:t xml:space="preserve">Transferability. </w:t>
      </w:r>
      <w:r>
        <w:rPr>
          <w:rFonts w:ascii="Arial" w:cs="Arial" w:eastAsia="Arial" w:hAnsi="Arial"/>
          <w:sz w:val="17"/>
          <w:szCs w:val="17"/>
          <w:color w:val="auto"/>
        </w:rPr>
        <w:t>Participants may generally not assign, transfer, pledge or otherwise dispose of payroll deductions credited to his or her account, or any</w:t>
      </w:r>
      <w:r>
        <w:rPr>
          <w:rFonts w:ascii="Arial" w:cs="Arial" w:eastAsia="Arial" w:hAnsi="Arial"/>
          <w:sz w:val="17"/>
          <w:szCs w:val="17"/>
          <w:i w:val="1"/>
          <w:iCs w:val="1"/>
          <w:color w:val="auto"/>
        </w:rPr>
        <w:t xml:space="preserve"> </w:t>
      </w:r>
      <w:r>
        <w:rPr>
          <w:rFonts w:ascii="Arial" w:cs="Arial" w:eastAsia="Arial" w:hAnsi="Arial"/>
          <w:sz w:val="17"/>
          <w:szCs w:val="17"/>
          <w:color w:val="auto"/>
        </w:rPr>
        <w:t>rights with regard to an election to purchase shares pursuant to the ESPP other than by will or the laws of descent or distribution.</w:t>
      </w:r>
    </w:p>
    <w:p>
      <w:pPr>
        <w:spacing w:after="0" w:line="10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i w:val="1"/>
          <w:iCs w:val="1"/>
          <w:color w:val="auto"/>
        </w:rPr>
        <w:t xml:space="preserve">Amendment; termination. </w:t>
      </w:r>
      <w:r>
        <w:rPr>
          <w:rFonts w:ascii="Arial" w:cs="Arial" w:eastAsia="Arial" w:hAnsi="Arial"/>
          <w:sz w:val="18"/>
          <w:szCs w:val="18"/>
          <w:color w:val="auto"/>
        </w:rPr>
        <w:t>The board or compensation committee may amend, suspend or terminate the ESPP at any time without stockholder consent,</w:t>
      </w:r>
      <w:r>
        <w:rPr>
          <w:rFonts w:ascii="Arial" w:cs="Arial" w:eastAsia="Arial" w:hAnsi="Arial"/>
          <w:sz w:val="18"/>
          <w:szCs w:val="18"/>
          <w:i w:val="1"/>
          <w:iCs w:val="1"/>
          <w:color w:val="auto"/>
        </w:rPr>
        <w:t xml:space="preserve"> </w:t>
      </w:r>
      <w:r>
        <w:rPr>
          <w:rFonts w:ascii="Arial" w:cs="Arial" w:eastAsia="Arial" w:hAnsi="Arial"/>
          <w:sz w:val="18"/>
          <w:szCs w:val="18"/>
          <w:color w:val="auto"/>
        </w:rPr>
        <w:t>except as to the extent such amendment would increase the number of shares available for issuance under the ESPP, change the class or designation of employees eligible for participation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11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plan or otherwise as required by law. If the ESPP is terminated, the administrator may elect to terminate all outstanding offering periods immediately, upon the next purchase date (which may be sooner than originally scheduled) or upon the last day of such offering period. If any offering period is terminated prior to its scheduled completion, all amounts credited to participants which have not been used to purchase shares will be returned to participants as soon as administratively practicable. Unless earlier terminated, the ESPP will terminated upon the earlier to occur of the issuance of all shares of common stock reserved for issuance under the ESPP, or the 10th anniversary of the effective date.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16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Sema4 sponsors a retirement savings plan established in January 1, 2018 that is intended to qualify for favorable tax treatment under Section 401(a) of the IRC, and contains a cash or deferred feature that is intended to meet the requirements of Section 401(k) of the IRC. Participants may make pre-tax and certain after-tax (Roth) salary deferral contributions to the plan from their eligible earnings up to the statutorily prescribed annual limit under the IRC. Participants who are 50 years of age or older may contribute additional amounts based on the statutory limits for catch-up contributions. Participant contributions are held in trust as required by law. No minimum benefit is provided under the plan. The plan provides for employer safe harbor matching contributions equal to 100% of an employee’s salary deferrals that do not exceed 6% of the employee’s compensation. An employee’s interest in his or her deferrals and safe harbor matching contributions is 100% vested when contributed.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Benefits</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named executive officers, while employed by us, are eligible to participate in our employee benefit plans on the same basis as our other employees, including our health and welfare plans. Sema4 generally does not provide our named executive officers with perquisites or other personal benefits. However, we do reimburse our named executive officers for their necessary and reasonable business and travel expenses incurred in connection with their services to Sema4.</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70" w:lineRule="exact"/>
        <w:rPr>
          <w:sz w:val="20"/>
          <w:szCs w:val="20"/>
          <w:color w:val="auto"/>
        </w:rPr>
      </w:pPr>
    </w:p>
    <w:p>
      <w:pPr>
        <w:jc w:val="both"/>
        <w:ind w:firstLine="318"/>
        <w:spacing w:after="0" w:line="318" w:lineRule="auto"/>
        <w:rPr>
          <w:rFonts w:ascii="Arial" w:cs="Arial" w:eastAsia="Arial" w:hAnsi="Arial"/>
          <w:sz w:val="15"/>
          <w:szCs w:val="15"/>
          <w:color w:val="auto"/>
        </w:rPr>
      </w:pPr>
      <w:r>
        <w:rPr>
          <w:rFonts w:ascii="Arial" w:cs="Arial" w:eastAsia="Arial" w:hAnsi="Arial"/>
          <w:sz w:val="15"/>
          <w:szCs w:val="15"/>
          <w:color w:val="auto"/>
        </w:rPr>
        <w:t xml:space="preserve">Dr. Schadt did not receive any compensation for his service as a director during fiscal year 2020, while also serving as Chief Executive Officer. Please see the section entitled </w:t>
      </w:r>
      <w:r>
        <w:rPr>
          <w:rFonts w:ascii="Arial" w:cs="Arial" w:eastAsia="Arial" w:hAnsi="Arial"/>
          <w:sz w:val="15"/>
          <w:szCs w:val="15"/>
          <w:i w:val="1"/>
          <w:iCs w:val="1"/>
          <w:color w:val="auto"/>
        </w:rPr>
        <w:t>“</w:t>
      </w:r>
      <w:hyperlink w:anchor="page131">
        <w:r>
          <w:rPr>
            <w:rFonts w:ascii="Arial" w:cs="Arial" w:eastAsia="Arial" w:hAnsi="Arial"/>
            <w:sz w:val="15"/>
            <w:szCs w:val="15"/>
            <w:i w:val="1"/>
            <w:iCs w:val="1"/>
            <w:u w:val="single" w:color="auto"/>
            <w:color w:val="0000FF"/>
          </w:rPr>
          <w:t>Executive Compensation—2020 Summary Compensation Table</w:t>
        </w:r>
      </w:hyperlink>
      <w:r>
        <w:rPr>
          <w:rFonts w:ascii="Arial" w:cs="Arial" w:eastAsia="Arial" w:hAnsi="Arial"/>
          <w:sz w:val="15"/>
          <w:szCs w:val="15"/>
          <w:i w:val="1"/>
          <w:iCs w:val="1"/>
          <w:color w:val="auto"/>
        </w:rPr>
        <w:t>”</w:t>
      </w:r>
      <w:r>
        <w:rPr>
          <w:rFonts w:ascii="Arial" w:cs="Arial" w:eastAsia="Arial" w:hAnsi="Arial"/>
          <w:sz w:val="15"/>
          <w:szCs w:val="15"/>
          <w:color w:val="auto"/>
        </w:rPr>
        <w:t xml:space="preserve"> for a summary of payments made to Dr. Schadt. Other than as described below, none of our non-employee directors received any fees or reimbursement of any expenses (other than customary expenses in connection with the attendance of meetings of our board of directors) or any equity or non-equity awards in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Director Compensation Table</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presents the total compensation earned by each of our non-employee directors in the year ended December 31, 2020.</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2520" w:type="dxa"/>
            <w:vAlign w:val="bottom"/>
            <w:gridSpan w:val="2"/>
          </w:tcPr>
          <w:p>
            <w:pPr>
              <w:ind w:left="960"/>
              <w:spacing w:after="0"/>
              <w:rPr>
                <w:sz w:val="20"/>
                <w:szCs w:val="20"/>
                <w:color w:val="auto"/>
              </w:rPr>
            </w:pPr>
            <w:r>
              <w:rPr>
                <w:rFonts w:ascii="Arial" w:cs="Arial" w:eastAsia="Arial" w:hAnsi="Arial"/>
                <w:sz w:val="14"/>
                <w:szCs w:val="14"/>
                <w:b w:val="1"/>
                <w:bCs w:val="1"/>
                <w:color w:val="auto"/>
              </w:rPr>
              <w:t>Fees Earned or Paid in</w:t>
            </w:r>
          </w:p>
        </w:tc>
        <w:tc>
          <w:tcPr>
            <w:tcW w:w="156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Option Awards($)</w:t>
            </w:r>
            <w:r>
              <w:rPr>
                <w:rFonts w:ascii="Arial" w:cs="Arial" w:eastAsia="Arial" w:hAnsi="Arial"/>
                <w:sz w:val="18"/>
                <w:szCs w:val="18"/>
                <w:b w:val="1"/>
                <w:bCs w:val="1"/>
                <w:color w:val="auto"/>
                <w:vertAlign w:val="superscript"/>
              </w:rPr>
              <w:t>(2)</w:t>
            </w:r>
          </w:p>
        </w:tc>
        <w:tc>
          <w:tcPr>
            <w:tcW w:w="100" w:type="dxa"/>
            <w:vAlign w:val="bottom"/>
            <w:vMerge w:val="restart"/>
          </w:tcPr>
          <w:p>
            <w:pPr>
              <w:spacing w:after="0"/>
              <w:rPr>
                <w:sz w:val="14"/>
                <w:szCs w:val="14"/>
                <w:color w:val="auto"/>
              </w:rPr>
            </w:pPr>
          </w:p>
        </w:tc>
        <w:tc>
          <w:tcPr>
            <w:tcW w:w="1660" w:type="dxa"/>
            <w:vAlign w:val="bottom"/>
            <w:gridSpan w:val="2"/>
          </w:tcPr>
          <w:p>
            <w:pPr>
              <w:ind w:left="500"/>
              <w:spacing w:after="0"/>
              <w:rPr>
                <w:sz w:val="20"/>
                <w:szCs w:val="20"/>
                <w:color w:val="auto"/>
              </w:rPr>
            </w:pPr>
            <w:r>
              <w:rPr>
                <w:rFonts w:ascii="Arial" w:cs="Arial" w:eastAsia="Arial" w:hAnsi="Arial"/>
                <w:sz w:val="14"/>
                <w:szCs w:val="14"/>
                <w:b w:val="1"/>
                <w:bCs w:val="1"/>
                <w:color w:val="auto"/>
              </w:rPr>
              <w:t>All Other</w:t>
            </w:r>
          </w:p>
        </w:tc>
        <w:tc>
          <w:tcPr>
            <w:tcW w:w="156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3840" w:type="dxa"/>
            <w:vAlign w:val="bottom"/>
            <w:tcBorders>
              <w:bottom w:val="single" w:sz="8" w:color="auto"/>
            </w:tcBorders>
            <w:vMerge w:val="continue"/>
          </w:tcPr>
          <w:p>
            <w:pPr>
              <w:spacing w:after="0"/>
              <w:rPr>
                <w:sz w:val="16"/>
                <w:szCs w:val="16"/>
                <w:color w:val="auto"/>
              </w:rPr>
            </w:pPr>
          </w:p>
        </w:tc>
        <w:tc>
          <w:tcPr>
            <w:tcW w:w="2440" w:type="dxa"/>
            <w:vAlign w:val="bottom"/>
            <w:tcBorders>
              <w:bottom w:val="single" w:sz="8" w:color="auto"/>
            </w:tcBorders>
          </w:tcPr>
          <w:p>
            <w:pPr>
              <w:jc w:val="right"/>
              <w:ind w:right="415"/>
              <w:spacing w:after="0" w:line="186" w:lineRule="exact"/>
              <w:rPr>
                <w:sz w:val="20"/>
                <w:szCs w:val="20"/>
                <w:color w:val="auto"/>
              </w:rPr>
            </w:pPr>
            <w:r>
              <w:rPr>
                <w:rFonts w:ascii="Arial" w:cs="Arial" w:eastAsia="Arial" w:hAnsi="Arial"/>
                <w:sz w:val="14"/>
                <w:szCs w:val="14"/>
                <w:b w:val="1"/>
                <w:bCs w:val="1"/>
                <w:color w:val="auto"/>
              </w:rPr>
              <w:t>Cash($)</w:t>
            </w:r>
            <w:r>
              <w:rPr>
                <w:rFonts w:ascii="Arial" w:cs="Arial" w:eastAsia="Arial" w:hAnsi="Arial"/>
                <w:sz w:val="18"/>
                <w:szCs w:val="18"/>
                <w:b w:val="1"/>
                <w:bCs w:val="1"/>
                <w:color w:val="auto"/>
                <w:vertAlign w:val="superscript"/>
              </w:rPr>
              <w:t>(1)</w:t>
            </w:r>
          </w:p>
        </w:tc>
        <w:tc>
          <w:tcPr>
            <w:tcW w:w="8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560" w:type="dxa"/>
            <w:vAlign w:val="bottom"/>
            <w:tcBorders>
              <w:bottom w:val="single" w:sz="8" w:color="auto"/>
            </w:tcBorders>
          </w:tcPr>
          <w:p>
            <w:pPr>
              <w:ind w:left="220"/>
              <w:spacing w:after="0" w:line="186" w:lineRule="exact"/>
              <w:rPr>
                <w:sz w:val="20"/>
                <w:szCs w:val="20"/>
                <w:color w:val="auto"/>
              </w:rPr>
            </w:pPr>
            <w:r>
              <w:rPr>
                <w:rFonts w:ascii="Arial" w:cs="Arial" w:eastAsia="Arial" w:hAnsi="Arial"/>
                <w:sz w:val="14"/>
                <w:szCs w:val="14"/>
                <w:b w:val="1"/>
                <w:bCs w:val="1"/>
                <w:color w:val="auto"/>
              </w:rPr>
              <w:t>Compensation($)</w:t>
            </w:r>
            <w:r>
              <w:rPr>
                <w:rFonts w:ascii="Arial" w:cs="Arial" w:eastAsia="Arial" w:hAnsi="Arial"/>
                <w:sz w:val="18"/>
                <w:szCs w:val="18"/>
                <w:b w:val="1"/>
                <w:bCs w:val="1"/>
                <w:color w:val="auto"/>
                <w:vertAlign w:val="superscript"/>
              </w:rPr>
              <w:t>(3)</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Joshua Ruch</w:t>
            </w:r>
          </w:p>
        </w:tc>
        <w:tc>
          <w:tcPr>
            <w:tcW w:w="2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3840" w:type="dxa"/>
            <w:vAlign w:val="bottom"/>
          </w:tcPr>
          <w:p>
            <w:pPr>
              <w:ind w:left="20"/>
              <w:spacing w:after="0"/>
              <w:rPr>
                <w:sz w:val="20"/>
                <w:szCs w:val="20"/>
                <w:color w:val="auto"/>
              </w:rPr>
            </w:pPr>
            <w:r>
              <w:rPr>
                <w:rFonts w:ascii="Arial" w:cs="Arial" w:eastAsia="Arial" w:hAnsi="Arial"/>
                <w:sz w:val="18"/>
                <w:szCs w:val="18"/>
                <w:color w:val="auto"/>
              </w:rPr>
              <w:t>Kenneth Davis, M.D</w:t>
            </w:r>
          </w:p>
        </w:tc>
        <w:tc>
          <w:tcPr>
            <w:tcW w:w="2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Rachel Sherman, M.D., M.P.H., F.A.C.P</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88,736</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278,209</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366,945</w:t>
            </w:r>
          </w:p>
        </w:tc>
        <w:tc>
          <w:tcPr>
            <w:tcW w:w="0" w:type="dxa"/>
            <w:vAlign w:val="bottom"/>
          </w:tcPr>
          <w:p>
            <w:pPr>
              <w:spacing w:after="0"/>
              <w:rPr>
                <w:sz w:val="1"/>
                <w:szCs w:val="1"/>
                <w:color w:val="auto"/>
              </w:rPr>
            </w:pPr>
          </w:p>
        </w:tc>
      </w:tr>
      <w:tr>
        <w:trPr>
          <w:trHeight w:val="225"/>
        </w:trPr>
        <w:tc>
          <w:tcPr>
            <w:tcW w:w="3840" w:type="dxa"/>
            <w:vAlign w:val="bottom"/>
          </w:tcPr>
          <w:p>
            <w:pPr>
              <w:ind w:left="20"/>
              <w:spacing w:after="0"/>
              <w:rPr>
                <w:sz w:val="20"/>
                <w:szCs w:val="20"/>
                <w:color w:val="auto"/>
              </w:rPr>
            </w:pPr>
            <w:r>
              <w:rPr>
                <w:rFonts w:ascii="Arial" w:cs="Arial" w:eastAsia="Arial" w:hAnsi="Arial"/>
                <w:sz w:val="18"/>
                <w:szCs w:val="18"/>
                <w:color w:val="auto"/>
              </w:rPr>
              <w:t>R. Martin Chavez, Ph.D</w:t>
            </w:r>
          </w:p>
        </w:tc>
        <w:tc>
          <w:tcPr>
            <w:tcW w:w="2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1,960,993</w:t>
            </w:r>
          </w:p>
        </w:tc>
        <w:tc>
          <w:tcPr>
            <w:tcW w:w="100" w:type="dxa"/>
            <w:vAlign w:val="bottom"/>
          </w:tcPr>
          <w:p>
            <w:pPr>
              <w:spacing w:after="0"/>
              <w:rPr>
                <w:sz w:val="19"/>
                <w:szCs w:val="19"/>
                <w:color w:val="auto"/>
              </w:rPr>
            </w:pPr>
          </w:p>
        </w:tc>
        <w:tc>
          <w:tcPr>
            <w:tcW w:w="166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1,960,993</w:t>
            </w:r>
          </w:p>
        </w:tc>
        <w:tc>
          <w:tcPr>
            <w:tcW w:w="0" w:type="dxa"/>
            <w:vAlign w:val="bottom"/>
          </w:tcPr>
          <w:p>
            <w:pPr>
              <w:spacing w:after="0"/>
              <w:rPr>
                <w:sz w:val="1"/>
                <w:szCs w:val="1"/>
                <w:color w:val="auto"/>
              </w:rPr>
            </w:pPr>
          </w:p>
        </w:tc>
      </w:tr>
      <w:tr>
        <w:trPr>
          <w:trHeight w:val="226"/>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Dennis Charney, M.D</w:t>
            </w:r>
          </w:p>
        </w:tc>
        <w:tc>
          <w:tcPr>
            <w:tcW w:w="2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3840" w:type="dxa"/>
            <w:vAlign w:val="bottom"/>
          </w:tcPr>
          <w:p>
            <w:pPr>
              <w:ind w:left="20"/>
              <w:spacing w:after="0"/>
              <w:rPr>
                <w:sz w:val="20"/>
                <w:szCs w:val="20"/>
                <w:color w:val="auto"/>
              </w:rPr>
            </w:pPr>
            <w:r>
              <w:rPr>
                <w:rFonts w:ascii="Arial" w:cs="Arial" w:eastAsia="Arial" w:hAnsi="Arial"/>
                <w:sz w:val="18"/>
                <w:szCs w:val="18"/>
                <w:color w:val="auto"/>
              </w:rPr>
              <w:t>Michael Pellini, M.D</w:t>
            </w:r>
          </w:p>
        </w:tc>
        <w:tc>
          <w:tcPr>
            <w:tcW w:w="2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Andrew ElBardissi</w:t>
            </w:r>
          </w:p>
        </w:tc>
        <w:tc>
          <w:tcPr>
            <w:tcW w:w="2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3840" w:type="dxa"/>
            <w:vAlign w:val="bottom"/>
          </w:tcPr>
          <w:p>
            <w:pPr>
              <w:ind w:left="20"/>
              <w:spacing w:after="0"/>
              <w:rPr>
                <w:sz w:val="20"/>
                <w:szCs w:val="20"/>
                <w:color w:val="auto"/>
              </w:rPr>
            </w:pPr>
            <w:r>
              <w:rPr>
                <w:rFonts w:ascii="Arial" w:cs="Arial" w:eastAsia="Arial" w:hAnsi="Arial"/>
                <w:sz w:val="18"/>
                <w:szCs w:val="18"/>
                <w:color w:val="auto"/>
              </w:rPr>
              <w:t>Viral Patel</w:t>
            </w:r>
          </w:p>
        </w:tc>
        <w:tc>
          <w:tcPr>
            <w:tcW w:w="2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David Windreich</w:t>
            </w:r>
          </w:p>
        </w:tc>
        <w:tc>
          <w:tcPr>
            <w:tcW w:w="2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5"/>
        </w:trPr>
        <w:tc>
          <w:tcPr>
            <w:tcW w:w="3840" w:type="dxa"/>
            <w:vAlign w:val="bottom"/>
          </w:tcPr>
          <w:p>
            <w:pPr>
              <w:spacing w:after="0"/>
              <w:rPr>
                <w:sz w:val="20"/>
                <w:szCs w:val="20"/>
                <w:color w:val="auto"/>
              </w:rPr>
            </w:pPr>
            <w:r>
              <w:rPr>
                <w:rFonts w:ascii="Arial" w:cs="Arial" w:eastAsia="Arial" w:hAnsi="Arial"/>
                <w:sz w:val="14"/>
                <w:szCs w:val="14"/>
                <w:color w:val="auto"/>
              </w:rPr>
              <w:t>__________________</w:t>
            </w:r>
          </w:p>
        </w:tc>
        <w:tc>
          <w:tcPr>
            <w:tcW w:w="2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320" w:hanging="314"/>
        <w:spacing w:after="0" w:line="237" w:lineRule="auto"/>
        <w:tabs>
          <w:tab w:leader="none" w:pos="3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amounts reported in this column represent fees earned for service on Sema4’s board of directors.</w:t>
      </w:r>
    </w:p>
    <w:p>
      <w:pPr>
        <w:ind w:left="320" w:right="140" w:hanging="314"/>
        <w:spacing w:after="0" w:line="255" w:lineRule="auto"/>
        <w:tabs>
          <w:tab w:leader="none" w:pos="312" w:val="left"/>
        </w:tabs>
        <w:numPr>
          <w:ilvl w:val="0"/>
          <w:numId w:val="70"/>
        </w:numPr>
        <w:rPr>
          <w:rFonts w:ascii="Arial" w:cs="Arial" w:eastAsia="Arial" w:hAnsi="Arial"/>
          <w:sz w:val="13"/>
          <w:szCs w:val="13"/>
          <w:color w:val="auto"/>
        </w:rPr>
      </w:pPr>
      <w:r>
        <w:rPr>
          <w:rFonts w:ascii="Arial" w:cs="Arial" w:eastAsia="Arial" w:hAnsi="Arial"/>
          <w:sz w:val="13"/>
          <w:szCs w:val="13"/>
          <w:color w:val="auto"/>
        </w:rPr>
        <w:t>The amounts reported in this column represent the aggregate grant date fair value of the awards granted under Sema4’s 2017 Equity Incentive Plan to Sema4’s directors during the year ended December 31, 2020, as computed in accordance with FASB ASC Topic 718. The assumptions used in calculating the grant date fair value of the awards reported in the Option Awards column are set forth in Note 9 to Sema4’s financial statements included elsewhere in this prospectus. Note that the amounts reported in this column reflect the aggregate accounting cost for these awards, and do not necessarily correspond to the actual economic value that may be received by the director from the awards.</w:t>
      </w:r>
    </w:p>
    <w:p>
      <w:pPr>
        <w:ind w:left="320" w:hanging="314"/>
        <w:spacing w:after="0"/>
        <w:tabs>
          <w:tab w:leader="none" w:pos="320" w:val="left"/>
        </w:tabs>
        <w:numPr>
          <w:ilvl w:val="0"/>
          <w:numId w:val="70"/>
        </w:numPr>
        <w:rPr>
          <w:rFonts w:ascii="Arial" w:cs="Arial" w:eastAsia="Arial" w:hAnsi="Arial"/>
          <w:sz w:val="13"/>
          <w:szCs w:val="13"/>
          <w:color w:val="auto"/>
        </w:rPr>
      </w:pPr>
      <w:r>
        <w:rPr>
          <w:rFonts w:ascii="Arial" w:cs="Arial" w:eastAsia="Arial" w:hAnsi="Arial"/>
          <w:sz w:val="13"/>
          <w:szCs w:val="13"/>
          <w:color w:val="auto"/>
        </w:rPr>
        <w:t>The amounts reported in this column represents Sema4’s reimbursement for reasonable business and travel expenses incurred in connection with the director’s services to Sema4.</w:t>
      </w:r>
    </w:p>
    <w:p>
      <w:pPr>
        <w:spacing w:after="0" w:line="163"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following table sets forth the aggregate number of shares of Sema4’s Class B common stock subject to outstanding options held by Sema4’s non-employee directors as of December 31, 2020:</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4960" w:type="dxa"/>
            <w:vAlign w:val="bottom"/>
          </w:tcPr>
          <w:p>
            <w:pPr>
              <w:ind w:left="3640"/>
              <w:spacing w:after="0"/>
              <w:rPr>
                <w:sz w:val="20"/>
                <w:szCs w:val="20"/>
                <w:color w:val="auto"/>
              </w:rPr>
            </w:pPr>
            <w:r>
              <w:rPr>
                <w:rFonts w:ascii="Arial" w:cs="Arial" w:eastAsia="Arial" w:hAnsi="Arial"/>
                <w:sz w:val="14"/>
                <w:szCs w:val="14"/>
                <w:b w:val="1"/>
                <w:bCs w:val="1"/>
                <w:color w:val="auto"/>
              </w:rPr>
              <w:t>Number of Shares</w:t>
            </w:r>
          </w:p>
        </w:tc>
        <w:tc>
          <w:tcPr>
            <w:tcW w:w="0" w:type="dxa"/>
            <w:vAlign w:val="bottom"/>
          </w:tcPr>
          <w:p>
            <w:pPr>
              <w:spacing w:after="0"/>
              <w:rPr>
                <w:sz w:val="1"/>
                <w:szCs w:val="1"/>
                <w:color w:val="auto"/>
              </w:rPr>
            </w:pPr>
          </w:p>
        </w:tc>
      </w:tr>
      <w:tr>
        <w:trPr>
          <w:trHeight w:val="133"/>
        </w:trPr>
        <w:tc>
          <w:tcPr>
            <w:tcW w:w="6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496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Underlying Options Held</w:t>
            </w:r>
          </w:p>
        </w:tc>
        <w:tc>
          <w:tcPr>
            <w:tcW w:w="0" w:type="dxa"/>
            <w:vAlign w:val="bottom"/>
          </w:tcPr>
          <w:p>
            <w:pPr>
              <w:spacing w:after="0"/>
              <w:rPr>
                <w:sz w:val="1"/>
                <w:szCs w:val="1"/>
                <w:color w:val="auto"/>
              </w:rPr>
            </w:pPr>
          </w:p>
        </w:tc>
      </w:tr>
      <w:tr>
        <w:trPr>
          <w:trHeight w:val="185"/>
        </w:trPr>
        <w:tc>
          <w:tcPr>
            <w:tcW w:w="6280" w:type="dxa"/>
            <w:vAlign w:val="bottom"/>
            <w:tcBorders>
              <w:bottom w:val="single" w:sz="8" w:color="auto"/>
            </w:tcBorders>
            <w:vMerge w:val="continue"/>
          </w:tcPr>
          <w:p>
            <w:pPr>
              <w:spacing w:after="0"/>
              <w:rPr>
                <w:sz w:val="16"/>
                <w:szCs w:val="16"/>
                <w:color w:val="auto"/>
              </w:rPr>
            </w:pPr>
          </w:p>
        </w:tc>
        <w:tc>
          <w:tcPr>
            <w:tcW w:w="4960" w:type="dxa"/>
            <w:vAlign w:val="bottom"/>
            <w:tcBorders>
              <w:bottom w:val="single" w:sz="8" w:color="auto"/>
            </w:tcBorders>
          </w:tcPr>
          <w:p>
            <w:pPr>
              <w:ind w:left="3460"/>
              <w:spacing w:after="0"/>
              <w:rPr>
                <w:sz w:val="20"/>
                <w:szCs w:val="20"/>
                <w:color w:val="auto"/>
              </w:rPr>
            </w:pPr>
            <w:r>
              <w:rPr>
                <w:rFonts w:ascii="Arial" w:cs="Arial" w:eastAsia="Arial" w:hAnsi="Arial"/>
                <w:sz w:val="14"/>
                <w:szCs w:val="14"/>
                <w:b w:val="1"/>
                <w:bCs w:val="1"/>
                <w:color w:val="auto"/>
                <w:w w:val="90"/>
              </w:rPr>
              <w:t>as of December 31, 2020</w:t>
            </w:r>
          </w:p>
        </w:tc>
        <w:tc>
          <w:tcPr>
            <w:tcW w:w="0" w:type="dxa"/>
            <w:vAlign w:val="bottom"/>
          </w:tcPr>
          <w:p>
            <w:pPr>
              <w:spacing w:after="0"/>
              <w:rPr>
                <w:sz w:val="1"/>
                <w:szCs w:val="1"/>
                <w:color w:val="auto"/>
              </w:rPr>
            </w:pPr>
          </w:p>
        </w:tc>
      </w:tr>
      <w:tr>
        <w:trPr>
          <w:trHeight w:val="21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Joshua Ruch</w:t>
            </w:r>
          </w:p>
        </w:tc>
        <w:tc>
          <w:tcPr>
            <w:tcW w:w="4960" w:type="dxa"/>
            <w:vAlign w:val="bottom"/>
            <w:shd w:val="clear" w:color="auto" w:fill="CCEEFF"/>
          </w:tcPr>
          <w:p>
            <w:pPr>
              <w:ind w:left="4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280" w:type="dxa"/>
            <w:vAlign w:val="bottom"/>
          </w:tcPr>
          <w:p>
            <w:pPr>
              <w:ind w:left="20"/>
              <w:spacing w:after="0"/>
              <w:rPr>
                <w:sz w:val="20"/>
                <w:szCs w:val="20"/>
                <w:color w:val="auto"/>
              </w:rPr>
            </w:pPr>
            <w:r>
              <w:rPr>
                <w:rFonts w:ascii="Arial" w:cs="Arial" w:eastAsia="Arial" w:hAnsi="Arial"/>
                <w:sz w:val="18"/>
                <w:szCs w:val="18"/>
                <w:color w:val="auto"/>
              </w:rPr>
              <w:t>Kenneth Davis, M.D</w:t>
            </w:r>
          </w:p>
        </w:tc>
        <w:tc>
          <w:tcPr>
            <w:tcW w:w="4960" w:type="dxa"/>
            <w:vAlign w:val="bottom"/>
          </w:tcPr>
          <w:p>
            <w:pPr>
              <w:ind w:left="4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Dennis Charney, M.D</w:t>
            </w:r>
          </w:p>
        </w:tc>
        <w:tc>
          <w:tcPr>
            <w:tcW w:w="4960" w:type="dxa"/>
            <w:vAlign w:val="bottom"/>
            <w:shd w:val="clear" w:color="auto" w:fill="CCEEFF"/>
          </w:tcPr>
          <w:p>
            <w:pPr>
              <w:ind w:left="4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280" w:type="dxa"/>
            <w:vAlign w:val="bottom"/>
          </w:tcPr>
          <w:p>
            <w:pPr>
              <w:ind w:left="20"/>
              <w:spacing w:after="0"/>
              <w:rPr>
                <w:sz w:val="20"/>
                <w:szCs w:val="20"/>
                <w:color w:val="auto"/>
              </w:rPr>
            </w:pPr>
            <w:r>
              <w:rPr>
                <w:rFonts w:ascii="Arial" w:cs="Arial" w:eastAsia="Arial" w:hAnsi="Arial"/>
                <w:sz w:val="18"/>
                <w:szCs w:val="18"/>
                <w:color w:val="auto"/>
              </w:rPr>
              <w:t>Michael Pellini, M.D</w:t>
            </w:r>
          </w:p>
        </w:tc>
        <w:tc>
          <w:tcPr>
            <w:tcW w:w="4960" w:type="dxa"/>
            <w:vAlign w:val="bottom"/>
          </w:tcPr>
          <w:p>
            <w:pPr>
              <w:ind w:left="4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Rachel Sherman, M.D., M.P.H., F.A.C.P</w:t>
            </w:r>
          </w:p>
        </w:tc>
        <w:tc>
          <w:tcPr>
            <w:tcW w:w="4960" w:type="dxa"/>
            <w:vAlign w:val="bottom"/>
            <w:shd w:val="clear" w:color="auto" w:fill="CCEEFF"/>
          </w:tcPr>
          <w:p>
            <w:pPr>
              <w:jc w:val="right"/>
              <w:spacing w:after="0" w:line="226" w:lineRule="exact"/>
              <w:rPr>
                <w:sz w:val="20"/>
                <w:szCs w:val="20"/>
                <w:color w:val="auto"/>
              </w:rPr>
            </w:pPr>
            <w:r>
              <w:rPr>
                <w:rFonts w:ascii="Arial" w:cs="Arial" w:eastAsia="Arial" w:hAnsi="Arial"/>
                <w:sz w:val="18"/>
                <w:szCs w:val="18"/>
                <w:color w:val="auto"/>
              </w:rPr>
              <w:t>293,315</w:t>
            </w:r>
            <w:r>
              <w:rPr>
                <w:rFonts w:ascii="Arial" w:cs="Arial" w:eastAsia="Arial" w:hAnsi="Arial"/>
                <w:sz w:val="22"/>
                <w:szCs w:val="22"/>
                <w:color w:val="auto"/>
                <w:vertAlign w:val="superscript"/>
              </w:rPr>
              <w:t>(1)</w:t>
            </w:r>
          </w:p>
        </w:tc>
        <w:tc>
          <w:tcPr>
            <w:tcW w:w="0" w:type="dxa"/>
            <w:vAlign w:val="bottom"/>
          </w:tcPr>
          <w:p>
            <w:pPr>
              <w:spacing w:after="0"/>
              <w:rPr>
                <w:sz w:val="1"/>
                <w:szCs w:val="1"/>
                <w:color w:val="auto"/>
              </w:rPr>
            </w:pPr>
          </w:p>
        </w:tc>
      </w:tr>
      <w:tr>
        <w:trPr>
          <w:trHeight w:val="225"/>
        </w:trPr>
        <w:tc>
          <w:tcPr>
            <w:tcW w:w="6280" w:type="dxa"/>
            <w:vAlign w:val="bottom"/>
          </w:tcPr>
          <w:p>
            <w:pPr>
              <w:ind w:left="20"/>
              <w:spacing w:after="0"/>
              <w:rPr>
                <w:sz w:val="20"/>
                <w:szCs w:val="20"/>
                <w:color w:val="auto"/>
              </w:rPr>
            </w:pPr>
            <w:r>
              <w:rPr>
                <w:rFonts w:ascii="Arial" w:cs="Arial" w:eastAsia="Arial" w:hAnsi="Arial"/>
                <w:sz w:val="18"/>
                <w:szCs w:val="18"/>
                <w:color w:val="auto"/>
              </w:rPr>
              <w:t>R. Martin Chavez, Ph.D</w:t>
            </w:r>
          </w:p>
        </w:tc>
        <w:tc>
          <w:tcPr>
            <w:tcW w:w="4960" w:type="dxa"/>
            <w:vAlign w:val="bottom"/>
          </w:tcPr>
          <w:p>
            <w:pPr>
              <w:jc w:val="right"/>
              <w:spacing w:after="0" w:line="225" w:lineRule="exact"/>
              <w:rPr>
                <w:sz w:val="20"/>
                <w:szCs w:val="20"/>
                <w:color w:val="auto"/>
              </w:rPr>
            </w:pPr>
            <w:r>
              <w:rPr>
                <w:rFonts w:ascii="Arial" w:cs="Arial" w:eastAsia="Arial" w:hAnsi="Arial"/>
                <w:sz w:val="18"/>
                <w:szCs w:val="18"/>
                <w:color w:val="auto"/>
              </w:rPr>
              <w:t>832,199</w:t>
            </w:r>
            <w:r>
              <w:rPr>
                <w:rFonts w:ascii="Arial" w:cs="Arial" w:eastAsia="Arial" w:hAnsi="Arial"/>
                <w:sz w:val="22"/>
                <w:szCs w:val="22"/>
                <w:color w:val="auto"/>
                <w:vertAlign w:val="superscript"/>
              </w:rPr>
              <w:t>(2)</w:t>
            </w:r>
          </w:p>
        </w:tc>
        <w:tc>
          <w:tcPr>
            <w:tcW w:w="0" w:type="dxa"/>
            <w:vAlign w:val="bottom"/>
          </w:tcPr>
          <w:p>
            <w:pPr>
              <w:spacing w:after="0"/>
              <w:rPr>
                <w:sz w:val="1"/>
                <w:szCs w:val="1"/>
                <w:color w:val="auto"/>
              </w:rPr>
            </w:pPr>
          </w:p>
        </w:tc>
      </w:tr>
      <w:tr>
        <w:trPr>
          <w:trHeight w:val="225"/>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Andrew ElBardissi</w:t>
            </w:r>
          </w:p>
        </w:tc>
        <w:tc>
          <w:tcPr>
            <w:tcW w:w="4960" w:type="dxa"/>
            <w:vAlign w:val="bottom"/>
            <w:shd w:val="clear" w:color="auto" w:fill="CCEEFF"/>
          </w:tcPr>
          <w:p>
            <w:pPr>
              <w:ind w:left="4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280" w:type="dxa"/>
            <w:vAlign w:val="bottom"/>
          </w:tcPr>
          <w:p>
            <w:pPr>
              <w:ind w:left="20"/>
              <w:spacing w:after="0"/>
              <w:rPr>
                <w:sz w:val="20"/>
                <w:szCs w:val="20"/>
                <w:color w:val="auto"/>
              </w:rPr>
            </w:pPr>
            <w:r>
              <w:rPr>
                <w:rFonts w:ascii="Arial" w:cs="Arial" w:eastAsia="Arial" w:hAnsi="Arial"/>
                <w:sz w:val="18"/>
                <w:szCs w:val="18"/>
                <w:color w:val="auto"/>
              </w:rPr>
              <w:t>Viral Patel</w:t>
            </w:r>
          </w:p>
        </w:tc>
        <w:tc>
          <w:tcPr>
            <w:tcW w:w="4960" w:type="dxa"/>
            <w:vAlign w:val="bottom"/>
          </w:tcPr>
          <w:p>
            <w:pPr>
              <w:ind w:left="4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David Windreich</w:t>
            </w:r>
          </w:p>
        </w:tc>
        <w:tc>
          <w:tcPr>
            <w:tcW w:w="4960" w:type="dxa"/>
            <w:vAlign w:val="bottom"/>
            <w:shd w:val="clear" w:color="auto" w:fill="CCEEFF"/>
          </w:tcPr>
          <w:p>
            <w:pPr>
              <w:ind w:left="4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2"/>
        </w:trPr>
        <w:tc>
          <w:tcPr>
            <w:tcW w:w="6280" w:type="dxa"/>
            <w:vAlign w:val="bottom"/>
          </w:tcPr>
          <w:p>
            <w:pPr>
              <w:spacing w:after="0"/>
              <w:rPr>
                <w:sz w:val="20"/>
                <w:szCs w:val="20"/>
                <w:color w:val="auto"/>
              </w:rPr>
            </w:pPr>
            <w:r>
              <w:rPr>
                <w:rFonts w:ascii="Arial" w:cs="Arial" w:eastAsia="Arial" w:hAnsi="Arial"/>
                <w:sz w:val="14"/>
                <w:szCs w:val="14"/>
                <w:color w:val="auto"/>
              </w:rPr>
              <w:t>__________________</w:t>
            </w:r>
          </w:p>
        </w:tc>
        <w:tc>
          <w:tcPr>
            <w:tcW w:w="4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320" w:right="20" w:hanging="314"/>
        <w:spacing w:after="0" w:line="237" w:lineRule="auto"/>
        <w:tabs>
          <w:tab w:leader="none" w:pos="312"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stock option vests at a rate of 6.25% of the shares of Sema4’s Class B common stock underlying the stock option each quarter following the February 18, 2020 vesting commencement date. 100% of the shares underlying the stock option will vest in connection with a change in control transaction.</w:t>
      </w:r>
    </w:p>
    <w:p>
      <w:pPr>
        <w:ind w:left="320" w:right="60" w:hanging="314"/>
        <w:spacing w:after="0"/>
        <w:tabs>
          <w:tab w:leader="none" w:pos="312" w:val="left"/>
        </w:tabs>
        <w:numPr>
          <w:ilvl w:val="0"/>
          <w:numId w:val="71"/>
        </w:numPr>
        <w:rPr>
          <w:rFonts w:ascii="Arial" w:cs="Arial" w:eastAsia="Arial" w:hAnsi="Arial"/>
          <w:sz w:val="14"/>
          <w:szCs w:val="14"/>
          <w:color w:val="auto"/>
        </w:rPr>
      </w:pPr>
      <w:r>
        <w:rPr>
          <w:rFonts w:ascii="Arial" w:cs="Arial" w:eastAsia="Arial" w:hAnsi="Arial"/>
          <w:sz w:val="14"/>
          <w:szCs w:val="14"/>
          <w:color w:val="auto"/>
        </w:rPr>
        <w:t>52,012 shares of Sema4’s Class B common stock underlying the stock option shall vest on the 11th day of each August, November, February and May from May 11, 2020 through May 11, 2024, with the first such vesting date to occur on August 11, 2020, such that 52,012 of the shares of Sema4’s Class B common stock underlying the stock option shall be vested as of the date of the award. The balance of 7 shares of Sema4’s Class B common stock underlying the stock option shall vest on May 11, 2024. 100% of the shares underlying the stock option will vest in connection with a change in control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 Policy</w:t>
      </w:r>
    </w:p>
    <w:p>
      <w:pPr>
        <w:spacing w:after="0" w:line="170"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Following the Business Combination, we adopted a non-employee director compensation policy that is designed to enable us to attract and retain, on a long-term basis, highly qualified non-employee directors. Our non-employee directors will receive an annual cash retainer of $40,000, payable quarterly, and a grant of stock options and restricted stock units with an aggregate grant-date value of $200,000, which will vest on the earlier of the first anniversary of the grant date and the next annual meeting of our stockholders. New non-employee directors will receive a grant of stock options and restricted stock units upon joining our Board with an aggregate grant-date value of $400,000, which will vest over the three-year period following the grant date.</w:t>
      </w:r>
    </w:p>
    <w:p>
      <w:pPr>
        <w:spacing w:after="0" w:line="9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Chairman of our Board will receive an additional annual cash retainer of $35,000. Members of our audit committee will receive an additional annual cash retainer of $10,000, and the chairperson of our audit committee will receive an additional cash retainer of $30,000 (in lieu of the annual retainer for membership on the audit committee). Members of our compensation committee will receive an additional annual cash retainer of $7,500, and the chairperson of our compensation committee will receive an additional cash retainer of $22,500 (in lieu of the annual retainer for membership on the compensation committee). Members of our nominating and governance committee will receive an additional annual cash retainer of $5,000, and the chairperson of our nominating and governance committee will receive an additional cash retainer of $15,000 (in lieu of the annual retainer for membership on the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 – CMLS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Shares</w:t>
      </w:r>
    </w:p>
    <w:p>
      <w:pPr>
        <w:spacing w:after="0" w:line="16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On July 16, 2020, the Sponsor purchased an aggregate 10,062,500 shares of Class B common stock for a total purchase price of $25,000, or approximately $0.002 per share. In August 2020, the Sponsor transferred 25,000 shares of Class B common stock each of Mr. Islam, Dr. Leproust and Mr. Turner. On September 1, 2020, we effected a 1:1.1 stock split of our Class B common stock, resulting in the Sponsor holding an aggregate of 10,993,750 shares of Class B common stock and there being an aggregate of 11,068,750 shares of Class B common stock outstanding. The purchase price of the shares of Class B common stock was determined by dividing the amount of cash contributed to CMLS by the number of shares of Class B common stock issued. In connection with the closing of the Business Combination, we issued 11,068,750 share of Class A common stock to the Initial Stockholders in exchange for the then-outstanding shares of Class B common stock then outstanding.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6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Simultaneously with the closing of the IPO, the Sponsor and each of Mr. Islam and Dr. Leproust purchased an aggregate of 7,236,667 private placement warrants, at a price of $1.50 per private placement warrant, for an aggregate purchase price of $10,855,000. The Sponsor purchased 6,903,335 private placement warrants, and each of Mr. Islam and Dr. Leproust (and/or one or more entities controlled by them) purchased 166,666 private placement warrants. Each private placement warrant is exercisable to purchase one share of Class A common stock at a price of $11.50 per share, subject to adjustment. Proceeds from the sale of the private placement warrants were added to the net proceeds from the IPO held in the Trust Account.</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 – Related Party</w:t>
      </w:r>
    </w:p>
    <w:p>
      <w:pPr>
        <w:spacing w:after="0" w:line="16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On July 16, 2020, the Sponsor issued an unsecured promissory note to CMLS (the “Promissory Note”), pursuant to which CMLS could borrow up to an aggregate principal amount of $300,000. The Promissory Note was non-interest bearing and payable on the earlier of (i) December 31, 2020 or (ii) the consummation of the IPO. The outstanding balance under the Promissory Note of $165,081 was repaid at the closing of the IPO on September 4, 2020.</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Subscription Agreement</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connection with the Business Combination, the PIPE Investors (which included certain former equity holders in Sema4) purchased an aggregate of 35,000,000 shares of our Class A common stock at $10.00 per share, for an aggregate purchase price of $350,000,000, in private placements that closed immediately prior to the Closing. The funds from such private placement were used as part of the consideration to Sema4’s equity holders in connection with the Business Combination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Insider Letter</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In connection with the IPO of CMLS, CMLS, the Sponsor and each insider and the Sponsor entered into the Insider Letter providing for a lock-up in relation to the Class B common stock of CMLS or any shares of our Class A common stock until the earlier of (a) one year after the completion of the Business Combination and (b) subsequent to the Business Combination, (x) if the closing price of our Class A common stock equals or exceeds $12.00 per share (as adjusted for stock splits, stock dividends, reorganizations, recapitalizations, and the like) for any 20 trading days within any 30-day trading day period commencing at least 150 days after the Business Combination or (y) the date following the completion of the Business Combination on which we complete a liquidation, merger, capital stock exchange, reorganization or other similar transaction that results in all of our stockholders having the right to exchange their shares of our Class A common stock for cash securities or other property. The Sponsor and each insider also agreed not to transfer any private placement warrants (or any share of our Class A common stock issued or issuable upon the exercise of the private placement warrants), until 30 days after the completion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Policy</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Prior to the consummation of CMLS’s IPO, CMLS adopted a code of ethics requiring CMLS to avoid, wherever possible, all conflicts of interests, except under guidelines or resolutions approved by the CMLS board of directors (or the appropriate committee of the board) or as disclosed in CMLS’s public filings with the SEC. Under CMLS’s code of ethics, conflict of interest situations included any financial transaction, arrangement or relationship (including any indebtedness or guarantee of indebtedness) involving CMLS.</w:t>
      </w:r>
    </w:p>
    <w:p>
      <w:pPr>
        <w:spacing w:after="0" w:line="138"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In addition, CMLS’s audit committee, pursuant to a written charter that CMLS adopted prior to the consummation of the IPO, was responsible for reviewing and approving related party transactions to the extent that CMLS entered into such transactions. An affirmative vote of a majority of the members of the audit committee present at a meeting at which a quorum is present was required in order to approve a related party transaction. A majority of the members of the entire audit committee constituted a quorum. Without a meeting, the unanimous written consent of all of the members of the audit committee was required to approve a related party transaction. CMLS also required each of its directors and executive officers to complete a directors’ and officers’ questionnaire that elicited information about related party transactions.</w:t>
      </w:r>
    </w:p>
    <w:p>
      <w:pPr>
        <w:spacing w:after="0" w:line="126"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These procedures were intended to determine whether any such related party transaction impaired the independence of a director or presented a conflict of interest on the part of a director, employee or officer.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 – Sema4</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is a description of transactions since January 1, 2020 and currently proposed transactions in which:</w:t>
      </w:r>
    </w:p>
    <w:p>
      <w:pPr>
        <w:spacing w:after="0" w:line="164" w:lineRule="exact"/>
        <w:rPr>
          <w:sz w:val="20"/>
          <w:szCs w:val="20"/>
          <w:color w:val="auto"/>
        </w:rPr>
      </w:pPr>
    </w:p>
    <w:p>
      <w:pPr>
        <w:ind w:left="640" w:hanging="316"/>
        <w:spacing w:after="0"/>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we have been or is to be a participant;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amount involved exceeded or exceeds $120,000; and</w:t>
      </w:r>
    </w:p>
    <w:p>
      <w:pPr>
        <w:spacing w:after="0" w:line="164" w:lineRule="exact"/>
        <w:rPr>
          <w:rFonts w:ascii="Arial" w:cs="Arial" w:eastAsia="Arial" w:hAnsi="Arial"/>
          <w:sz w:val="18"/>
          <w:szCs w:val="18"/>
          <w:color w:val="auto"/>
        </w:rPr>
      </w:pPr>
    </w:p>
    <w:p>
      <w:pPr>
        <w:ind w:firstLine="324"/>
        <w:spacing w:after="0" w:line="294" w:lineRule="auto"/>
        <w:tabs>
          <w:tab w:leader="none" w:pos="626" w:val="left"/>
        </w:tabs>
        <w:numPr>
          <w:ilvl w:val="0"/>
          <w:numId w:val="72"/>
        </w:numPr>
        <w:rPr>
          <w:rFonts w:ascii="Arial" w:cs="Arial" w:eastAsia="Arial" w:hAnsi="Arial"/>
          <w:sz w:val="17"/>
          <w:szCs w:val="17"/>
          <w:color w:val="auto"/>
        </w:rPr>
      </w:pPr>
      <w:r>
        <w:rPr>
          <w:rFonts w:ascii="Arial" w:cs="Arial" w:eastAsia="Arial" w:hAnsi="Arial"/>
          <w:sz w:val="17"/>
          <w:szCs w:val="17"/>
          <w:color w:val="auto"/>
        </w:rPr>
        <w:t>any of Sema4’s directors, executive officers or holders of more than 5% of its capital stock prior to the Business Combination, or any immediate family member of, or person sharing the household with, any of these individuals, had or will have a direct or indirect material interest.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C Preferred Stock Financing</w:t>
      </w:r>
    </w:p>
    <w:p>
      <w:pPr>
        <w:spacing w:after="0" w:line="16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In July 2020, Sema4 sold an aggregate of 197,821 shares of its Series C preferred stock at a purchase price of $613.6743 per share to accredited investors for an aggregate purchase price of approximately $121.4 million. Each share of Sema4’s Series C preferred stock was cancelled and represent the right to receive a portion of the merger consideration in connection with the completion of the Business Combination, as provided in the Merger Agreement.</w:t>
      </w:r>
    </w:p>
    <w:p>
      <w:pPr>
        <w:spacing w:after="0" w:line="84" w:lineRule="exact"/>
        <w:rPr>
          <w:sz w:val="20"/>
          <w:szCs w:val="20"/>
          <w:color w:val="auto"/>
        </w:rPr>
      </w:pPr>
    </w:p>
    <w:p>
      <w:pPr>
        <w:ind w:left="320" w:right="200" w:hanging="317"/>
        <w:spacing w:after="0" w:line="262" w:lineRule="auto"/>
        <w:rPr>
          <w:sz w:val="20"/>
          <w:szCs w:val="20"/>
          <w:color w:val="auto"/>
        </w:rPr>
      </w:pPr>
      <w:r>
        <w:rPr>
          <w:rFonts w:ascii="Arial" w:cs="Arial" w:eastAsia="Arial" w:hAnsi="Arial"/>
          <w:sz w:val="18"/>
          <w:szCs w:val="18"/>
          <w:color w:val="auto"/>
        </w:rPr>
        <w:t>The following table summarizes purchases of shares of Sema4’s Series C preferred stock by its executive officers, directors, and holders of more than 5% of its capital stock.</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300" w:type="dxa"/>
            <w:vAlign w:val="bottom"/>
          </w:tcPr>
          <w:p>
            <w:pPr>
              <w:spacing w:after="0"/>
              <w:rPr>
                <w:sz w:val="16"/>
                <w:szCs w:val="16"/>
                <w:color w:val="auto"/>
              </w:rPr>
            </w:pPr>
          </w:p>
        </w:tc>
        <w:tc>
          <w:tcPr>
            <w:tcW w:w="7560" w:type="dxa"/>
            <w:vAlign w:val="bottom"/>
          </w:tcPr>
          <w:p>
            <w:pPr>
              <w:spacing w:after="0"/>
              <w:rPr>
                <w:sz w:val="16"/>
                <w:szCs w:val="16"/>
                <w:color w:val="auto"/>
              </w:rPr>
            </w:pPr>
          </w:p>
        </w:tc>
        <w:tc>
          <w:tcPr>
            <w:tcW w:w="3360" w:type="dxa"/>
            <w:vAlign w:val="bottom"/>
            <w:tcBorders>
              <w:bottom w:val="single" w:sz="8" w:color="auto"/>
            </w:tcBorders>
            <w:gridSpan w:val="3"/>
          </w:tcPr>
          <w:p>
            <w:pPr>
              <w:jc w:val="right"/>
              <w:ind w:right="721"/>
              <w:spacing w:after="0"/>
              <w:rPr>
                <w:sz w:val="20"/>
                <w:szCs w:val="20"/>
                <w:color w:val="auto"/>
              </w:rPr>
            </w:pPr>
            <w:r>
              <w:rPr>
                <w:rFonts w:ascii="Arial" w:cs="Arial" w:eastAsia="Arial" w:hAnsi="Arial"/>
                <w:sz w:val="14"/>
                <w:szCs w:val="14"/>
                <w:b w:val="1"/>
                <w:bCs w:val="1"/>
                <w:color w:val="auto"/>
              </w:rPr>
              <w:t>Shares of Series C Preferred Stock</w:t>
            </w:r>
          </w:p>
        </w:tc>
        <w:tc>
          <w:tcPr>
            <w:tcW w:w="0" w:type="dxa"/>
            <w:vAlign w:val="bottom"/>
          </w:tcPr>
          <w:p>
            <w:pPr>
              <w:spacing w:after="0"/>
              <w:rPr>
                <w:sz w:val="1"/>
                <w:szCs w:val="1"/>
                <w:color w:val="auto"/>
              </w:rPr>
            </w:pPr>
          </w:p>
        </w:tc>
      </w:tr>
      <w:tr>
        <w:trPr>
          <w:trHeight w:val="131"/>
        </w:trPr>
        <w:tc>
          <w:tcPr>
            <w:tcW w:w="7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Purchaser</w:t>
            </w:r>
          </w:p>
        </w:tc>
        <w:tc>
          <w:tcPr>
            <w:tcW w:w="3360" w:type="dxa"/>
            <w:vAlign w:val="bottom"/>
            <w:gridSpan w:val="3"/>
          </w:tcPr>
          <w:p>
            <w:pPr>
              <w:jc w:val="right"/>
              <w:ind w:right="1"/>
              <w:spacing w:after="0" w:line="131" w:lineRule="exact"/>
              <w:rPr>
                <w:sz w:val="20"/>
                <w:szCs w:val="20"/>
                <w:color w:val="auto"/>
              </w:rPr>
            </w:pPr>
            <w:r>
              <w:rPr>
                <w:rFonts w:ascii="Arial" w:cs="Arial" w:eastAsia="Arial" w:hAnsi="Arial"/>
                <w:sz w:val="14"/>
                <w:szCs w:val="14"/>
                <w:b w:val="1"/>
                <w:bCs w:val="1"/>
                <w:color w:val="auto"/>
              </w:rPr>
              <w:t>Aggregate Gross Consideration</w:t>
            </w:r>
          </w:p>
        </w:tc>
        <w:tc>
          <w:tcPr>
            <w:tcW w:w="0" w:type="dxa"/>
            <w:vAlign w:val="bottom"/>
          </w:tcPr>
          <w:p>
            <w:pPr>
              <w:spacing w:after="0"/>
              <w:rPr>
                <w:sz w:val="1"/>
                <w:szCs w:val="1"/>
                <w:color w:val="auto"/>
              </w:rPr>
            </w:pPr>
          </w:p>
        </w:tc>
      </w:tr>
      <w:tr>
        <w:trPr>
          <w:trHeight w:val="185"/>
        </w:trPr>
        <w:tc>
          <w:tcPr>
            <w:tcW w:w="7860" w:type="dxa"/>
            <w:vAlign w:val="bottom"/>
            <w:gridSpan w:val="2"/>
            <w:vMerge w:val="continue"/>
          </w:tcPr>
          <w:p>
            <w:pPr>
              <w:spacing w:after="0"/>
              <w:rPr>
                <w:sz w:val="16"/>
                <w:szCs w:val="16"/>
                <w:color w:val="auto"/>
              </w:rPr>
            </w:pPr>
          </w:p>
        </w:tc>
        <w:tc>
          <w:tcPr>
            <w:tcW w:w="1620" w:type="dxa"/>
            <w:vAlign w:val="bottom"/>
            <w:gridSpan w:val="2"/>
          </w:tcPr>
          <w:p>
            <w:pPr>
              <w:ind w:left="60"/>
              <w:spacing w:after="0"/>
              <w:rPr>
                <w:sz w:val="20"/>
                <w:szCs w:val="20"/>
                <w:color w:val="auto"/>
              </w:rPr>
            </w:pPr>
            <w:r>
              <w:rPr>
                <w:rFonts w:ascii="Arial" w:cs="Arial" w:eastAsia="Arial" w:hAnsi="Arial"/>
                <w:sz w:val="14"/>
                <w:szCs w:val="14"/>
                <w:b w:val="1"/>
                <w:bCs w:val="1"/>
                <w:color w:val="auto"/>
              </w:rPr>
              <w:t>Number of Shares</w:t>
            </w:r>
          </w:p>
        </w:tc>
        <w:tc>
          <w:tcPr>
            <w:tcW w:w="1740" w:type="dxa"/>
            <w:vAlign w:val="bottom"/>
          </w:tcPr>
          <w:p>
            <w:pPr>
              <w:jc w:val="right"/>
              <w:ind w:right="70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75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860" w:type="dxa"/>
            <w:vAlign w:val="bottom"/>
            <w:gridSpan w:val="2"/>
          </w:tcPr>
          <w:p>
            <w:pPr>
              <w:spacing w:after="0" w:line="220" w:lineRule="exact"/>
              <w:rPr>
                <w:sz w:val="20"/>
                <w:szCs w:val="20"/>
                <w:color w:val="auto"/>
              </w:rPr>
            </w:pPr>
            <w:r>
              <w:rPr>
                <w:rFonts w:ascii="Arial" w:cs="Arial" w:eastAsia="Arial" w:hAnsi="Arial"/>
                <w:sz w:val="18"/>
                <w:szCs w:val="18"/>
                <w:color w:val="auto"/>
              </w:rPr>
              <w:t>Entities affiliated with Blackstone</w:t>
            </w:r>
            <w:r>
              <w:rPr>
                <w:rFonts w:ascii="Arial" w:cs="Arial" w:eastAsia="Arial" w:hAnsi="Arial"/>
                <w:sz w:val="22"/>
                <w:szCs w:val="22"/>
                <w:color w:val="auto"/>
                <w:vertAlign w:val="superscript"/>
              </w:rPr>
              <w:t>(1)</w:t>
            </w:r>
          </w:p>
        </w:tc>
        <w:tc>
          <w:tcPr>
            <w:tcW w:w="1540" w:type="dxa"/>
            <w:vAlign w:val="bottom"/>
          </w:tcPr>
          <w:p>
            <w:pPr>
              <w:jc w:val="right"/>
              <w:ind w:right="5"/>
              <w:spacing w:after="0"/>
              <w:rPr>
                <w:sz w:val="20"/>
                <w:szCs w:val="20"/>
                <w:color w:val="auto"/>
              </w:rPr>
            </w:pPr>
            <w:r>
              <w:rPr>
                <w:rFonts w:ascii="Arial" w:cs="Arial" w:eastAsia="Arial" w:hAnsi="Arial"/>
                <w:sz w:val="18"/>
                <w:szCs w:val="18"/>
                <w:color w:val="auto"/>
              </w:rPr>
              <w:t>38,130$</w:t>
            </w:r>
          </w:p>
        </w:tc>
        <w:tc>
          <w:tcPr>
            <w:tcW w:w="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23,399,401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-151130</wp:posOffset>
            </wp:positionV>
            <wp:extent cx="6932930" cy="1517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32930" cy="151765"/>
                    </a:xfrm>
                    <a:prstGeom prst="rect">
                      <a:avLst/>
                    </a:prstGeom>
                    <a:noFill/>
                  </pic:spPr>
                </pic:pic>
              </a:graphicData>
            </a:graphic>
          </wp:anchor>
        </w:drawing>
      </w:r>
    </w:p>
    <w:p>
      <w:pPr>
        <w:spacing w:after="0" w:line="5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__________________</w:t>
      </w:r>
    </w:p>
    <w:p>
      <w:pPr>
        <w:spacing w:after="0" w:line="10" w:lineRule="exact"/>
        <w:rPr>
          <w:sz w:val="20"/>
          <w:szCs w:val="20"/>
          <w:color w:val="auto"/>
        </w:rPr>
      </w:pPr>
    </w:p>
    <w:p>
      <w:pPr>
        <w:ind w:left="320" w:right="180" w:hanging="314"/>
        <w:spacing w:after="0" w:line="247" w:lineRule="auto"/>
        <w:tabs>
          <w:tab w:leader="none" w:pos="312" w:val="left"/>
        </w:tabs>
        <w:numPr>
          <w:ilvl w:val="0"/>
          <w:numId w:val="73"/>
        </w:numPr>
        <w:rPr>
          <w:rFonts w:ascii="Arial" w:cs="Arial" w:eastAsia="Arial" w:hAnsi="Arial"/>
          <w:sz w:val="14"/>
          <w:szCs w:val="14"/>
          <w:color w:val="auto"/>
        </w:rPr>
      </w:pPr>
      <w:r>
        <w:rPr>
          <w:rFonts w:ascii="Arial" w:cs="Arial" w:eastAsia="Arial" w:hAnsi="Arial"/>
          <w:sz w:val="14"/>
          <w:szCs w:val="14"/>
          <w:color w:val="auto"/>
        </w:rPr>
        <w:t>Consists of 37,138 shares of Series C preferred stock held by BTO Sema4 Holdings L.P., 768 shares of Series C preferred stock held by Blackstone Tactical Opportunities Fund - FD L.P. and 224 shares of Series C preferred stock held by Blackstone Family Tactical Opportunities Investment Partnership III ESC L.P.</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Arrangements with Immediate Family Members of Sema4’s Executive Officers and Directors</w:t>
      </w:r>
    </w:p>
    <w:p>
      <w:pPr>
        <w:spacing w:after="0" w:line="16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Rick Wallsten, the brother of Eric Schadt, Sema4’s Chief Executive Officer and a director, has been employed by Sema4 since November 2017 as a clinical pharmacist. As a clinical pharmacist for Sema4, Mr. Wallsten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responsible for certain aspects of Sema4’s pharmacogenomics program. During the year ended December 31, 2020, Mr. Wallsten had total cash compensation, including base salary and bonus, of $157,620.</w:t>
      </w:r>
    </w:p>
    <w:p>
      <w:pPr>
        <w:spacing w:after="0" w:line="128"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Kelly Peterson, the sister of James Coffin, Sema4’s President and Chief Operating Officer has been employed by Sema4 since February 2019 as an account manager. As an account manager for Sema4, Ms. Peterson is responsible for managing certain of Sema4’s oncology customer accounts. During the year ended December 31, 2020, Ms. Peterson had total cash compensation, including base salary, commission and other compensation, of $160,223.</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Licenses and Subleases</w:t>
      </w:r>
    </w:p>
    <w:p>
      <w:pPr>
        <w:spacing w:after="0" w:line="164"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Sema4 was a party to several space license agreements and continues to be a party to sublease agreements with the Mount Sinai Health System (which we refer to together with its related entities as Mount Sinai) pursuant to which Sema4 leased certain office and laboratory space from Mount Sinai at fair market value, including approximately 124,000 square feet of office and laboratory space in Stamford, Connecticut for its headquarters and laboratory operations, and approximately 26,000 square feet of office and laboratory space in New York, New York for additional office space and laboratory operations. Rent expense for these licensed and subleased facilities was $5.9 million for the year ended December 31, 2020 and $1.4 million for the three months ended March 31, 2021. Future minimum lease payments are expected to total $4.8 million related to all facilities subleased by ISMMS to Sema4 for the year ending December 31, 2021. We will continue to operate out of the office and laboratory space in Stamford, Connecticut for its headquarters and laboratory operations, and certain of the subleased office space in New York, New York, following the completion of the Business Combination.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Transition Services and Employee Compensation</w:t>
      </w:r>
    </w:p>
    <w:p>
      <w:pPr>
        <w:spacing w:after="0" w:line="16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ISMMS provided transition services, under a transition services agreement and other contractual arrangements with Sema4 for services related to finance (accounts payable &amp; purchasing, general accounting, financial systems, and payroll), real estate management, insurance coverage, compliance, equipment subleases, and IT. The transition services agreement expired on March 28, 2021. Sema4 made direct payments to ISMMS of approximately $3.1 million and $0.7 million for the year ended December 31, 2020 and the three months ended March 31, 2021 pursuant to the transition services agreement. It is expected that Sema4 will negotiate and enter into a new transition services agreement prior to the completion of the Business Combination.</w:t>
      </w:r>
    </w:p>
    <w:p>
      <w:pPr>
        <w:spacing w:after="0" w:line="9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provide partial reimbursement to Mount Sinai for limited compensation, services, and related expenses for certain individuals employed by Mount Sinai and certain individuals employed at both Mount Sinai and Sema4. For the year ended December 31, 2020 and the three months ended March 31, 2021, the total amount of reimbursement for employee compensation and expenses paid by Sema4 to Mount Sinai was equal to approximately $1.3 million and $0.3 million, respectively.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Relationships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provide products and services to Mount Sinai at fair market value, including for certain oncology testing, research services and clinical data services. Mount Sinai pays for certain of these services in cash, and for other of these services in kind through performing components of collaborative research projects and/or the provision of intellectual property and data rights.</w:t>
      </w:r>
    </w:p>
    <w:p>
      <w:pPr>
        <w:spacing w:after="0" w:line="135"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In particular, these arrangements include a data structuring and curation services agreement, dated August 1, 2019, with ISMMS and certain other Mount Sinai entities, pursuant to which we provide certain data structuring and clinical support services to Mount Sinai, including the delivery to Mount Sinai of a curated dataset and interface allowing Mount Sinai users to query the curated dataset as mutually agreed by the parties. As compensation for these services, Mount Sinai provides Sema4 certain rights to use de-identified curated data. The data structuring and curation services agreement has a five-year term and, provided we are not in default under the terms of the agreement, the agreement may be renewed at Sema4’s option for up to two one-year extension periods. Following the extension periods, the agreement may be further renewed by the mutual agreement of the parties. The agreement may be terminated earlier by Mount Sinai upon certain fundamental breaches by Sema4, by Sema4 upon a breach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Mount Sinai of its material obligations, and by either party if certain insolvency or bankruptcy events occur with respect to the other party.</w:t>
      </w:r>
    </w:p>
    <w:p>
      <w:pPr>
        <w:spacing w:after="0" w:line="16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We also receive products and services from Mount Sinai at fair market value, including for certain research and clinical services, development services and lab services, and licenses certain intellectual property from Mount Sinai. Pursuant to these arrangements, Sema4 made direct payments to Mount Sinai of approximately $3.7 million and $0.3 million for the year ended December 31, 2020 and the three months ended March 31, 2021, respectively.</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 Entered into in Connection with the Business Combination</w:t>
      </w:r>
    </w:p>
    <w:p>
      <w:pPr>
        <w:spacing w:after="0" w:line="17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connection with the Business Combination, affiliates of each of Eli Casdin and Keith Meister purchased an aggregate of 9,000,000 shares of our Class A common stock in the PIPE Financing.</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addition, certain agreements were entered into pursuant to the Merger Agreement. These agreements include: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Registration Rights Agreement</w:t>
      </w:r>
    </w:p>
    <w:p>
      <w:pPr>
        <w:spacing w:after="0" w:line="164"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In connection with the consummation of the Business Combination, we, the Sponsor and certain other parties thereto (collectively, the “</w:t>
      </w:r>
      <w:r>
        <w:rPr>
          <w:rFonts w:ascii="Arial" w:cs="Arial" w:eastAsia="Arial" w:hAnsi="Arial"/>
          <w:sz w:val="15"/>
          <w:szCs w:val="15"/>
          <w:i w:val="1"/>
          <w:iCs w:val="1"/>
          <w:color w:val="auto"/>
        </w:rPr>
        <w:t>rights holders</w:t>
      </w:r>
      <w:r>
        <w:rPr>
          <w:rFonts w:ascii="Arial" w:cs="Arial" w:eastAsia="Arial" w:hAnsi="Arial"/>
          <w:sz w:val="15"/>
          <w:szCs w:val="15"/>
          <w:color w:val="auto"/>
        </w:rPr>
        <w:t>”) entered into the Amended and Restated Registration Rights Agreement, which amended and restated in its entirety the existing registration rights agreement, dated September 1, 2020, by and between us and the parties thereto. Pursuant to the terms of the Amended and Restated Registration Rights Agreement, we are to prepare and file with the SEC, no later than 30 days after the Closing Date, a shelf registration statement for an offering to be made on a continuous basis from time to time with respect to the resale of the registrable shares under the Amended and Restated Registration Rights Agreement. We are further required to use commercially reasonable efforts to cause such shelf registration statement to be declared effective as soon as possible after filing, but in no event later than the earlier of 60 days following the filing date thereof and five business days after the SEC notifies us that it will not review such registration statement, subject to extension in the event that the registration is subject comments from the SEC.</w:t>
      </w:r>
    </w:p>
    <w:p>
      <w:pPr>
        <w:spacing w:after="0" w:line="10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In addition, pursuant to the terms of the Amended and Restated Registration Rights Agreement and subject to certain requirements and customary conditions, including with regard to the number of demand rights that may be exercised, the rights holders may demand at any time or from time to time, that we file a registration statement on Form S-1 or Form S-3 to register certain shares of our Class A common stock held by such rights holders. The Amended and Restated Registration Rights Agreement also provides the rights holders with “piggy-back” registration rights, subject to certain requirements and customary conditions. We will bear the expenses incurred in connection with the filing of any such registration statement.</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ISMMS Lock-Up Agreement</w:t>
      </w:r>
    </w:p>
    <w:p>
      <w:pPr>
        <w:spacing w:after="0" w:line="164" w:lineRule="exact"/>
        <w:rPr>
          <w:sz w:val="20"/>
          <w:szCs w:val="20"/>
          <w:color w:val="auto"/>
        </w:rPr>
      </w:pPr>
    </w:p>
    <w:p>
      <w:pPr>
        <w:jc w:val="both"/>
        <w:ind w:firstLine="318"/>
        <w:spacing w:after="0" w:line="297" w:lineRule="auto"/>
        <w:rPr>
          <w:sz w:val="20"/>
          <w:szCs w:val="20"/>
          <w:color w:val="auto"/>
        </w:rPr>
      </w:pPr>
      <w:r>
        <w:rPr>
          <w:rFonts w:ascii="Arial" w:cs="Arial" w:eastAsia="Arial" w:hAnsi="Arial"/>
          <w:sz w:val="15"/>
          <w:szCs w:val="15"/>
          <w:color w:val="auto"/>
        </w:rPr>
        <w:t>In connection with the execution of the Merger Agreement, we and Icahn School of Medicine at Mount Sinai (“</w:t>
      </w:r>
      <w:r>
        <w:rPr>
          <w:rFonts w:ascii="Arial" w:cs="Arial" w:eastAsia="Arial" w:hAnsi="Arial"/>
          <w:sz w:val="15"/>
          <w:szCs w:val="15"/>
          <w:i w:val="1"/>
          <w:iCs w:val="1"/>
          <w:color w:val="auto"/>
        </w:rPr>
        <w:t>ISMMS</w:t>
      </w:r>
      <w:r>
        <w:rPr>
          <w:rFonts w:ascii="Arial" w:cs="Arial" w:eastAsia="Arial" w:hAnsi="Arial"/>
          <w:sz w:val="15"/>
          <w:szCs w:val="15"/>
          <w:color w:val="auto"/>
        </w:rPr>
        <w:t>”), a shareholder of Sema4, entered into the ISMMS Lock-Up Agreement whereby ISMMS agreed not to (i)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Exchange Act, with respect to shares of our Class A common stock issued to ISMMS pursuant to the Merger Agreement (such shares of our Class A common stock, the “</w:t>
      </w:r>
      <w:r>
        <w:rPr>
          <w:rFonts w:ascii="Arial" w:cs="Arial" w:eastAsia="Arial" w:hAnsi="Arial"/>
          <w:sz w:val="15"/>
          <w:szCs w:val="15"/>
          <w:i w:val="1"/>
          <w:iCs w:val="1"/>
          <w:color w:val="auto"/>
        </w:rPr>
        <w:t>Lock-up Shares</w:t>
      </w:r>
      <w:r>
        <w:rPr>
          <w:rFonts w:ascii="Arial" w:cs="Arial" w:eastAsia="Arial" w:hAnsi="Arial"/>
          <w:sz w:val="15"/>
          <w:szCs w:val="15"/>
          <w:color w:val="auto"/>
        </w:rPr>
        <w:t>”), (ii) enter into any swap or other arrangement that transfers to another, in whole or in part, any of the economic consequences of ownership of any of the Lock-up Shares, in cash or otherwise, or (iii) publicly announce any intention to effect any transaction specified in clause (i) or (ii); the ISMMS will take none of the foregoing actions until the earliest of</w:t>
      </w:r>
    </w:p>
    <w:p>
      <w:pPr>
        <w:spacing w:after="0" w:line="1" w:lineRule="exact"/>
        <w:rPr>
          <w:sz w:val="20"/>
          <w:szCs w:val="20"/>
          <w:color w:val="auto"/>
        </w:rPr>
      </w:pPr>
    </w:p>
    <w:p>
      <w:pPr>
        <w:jc w:val="both"/>
        <w:ind w:firstLine="6"/>
        <w:spacing w:after="0" w:line="308" w:lineRule="auto"/>
        <w:tabs>
          <w:tab w:leader="none" w:pos="250" w:val="left"/>
        </w:tabs>
        <w:numPr>
          <w:ilvl w:val="0"/>
          <w:numId w:val="74"/>
        </w:numPr>
        <w:rPr>
          <w:rFonts w:ascii="Arial" w:cs="Arial" w:eastAsia="Arial" w:hAnsi="Arial"/>
          <w:sz w:val="15"/>
          <w:szCs w:val="15"/>
          <w:color w:val="auto"/>
        </w:rPr>
      </w:pPr>
      <w:r>
        <w:rPr>
          <w:rFonts w:ascii="Arial" w:cs="Arial" w:eastAsia="Arial" w:hAnsi="Arial"/>
          <w:sz w:val="15"/>
          <w:szCs w:val="15"/>
          <w:color w:val="auto"/>
        </w:rPr>
        <w:t>the date that is 180 calendar days from the Closing Date, and (b) the date following the Closing Date on which we complete a liquidation, merger, stock exchange or other similar transaction that results in all of the our stockholders having the right to exchange their shares of our capital stock for cash, securities or other property. Notwithstanding the foregoing, the ISMMS may take any of the actions specified in clauses (i), (ii) and (iii) above at any time after the first date on which the closing price of our Class A common stock has equaled or exceeded $12.00 per share (as adjusted for stock splits, stock dividends, reorganizations, recapitalizations and the like) for any 20 trading days within any 30-trading day period commencing at least 150 days after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Lock-up Agreement</w:t>
      </w:r>
    </w:p>
    <w:p>
      <w:pPr>
        <w:spacing w:after="0" w:line="164"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In connection with the execution of the Merger Agreement, each Sema4 Stockholder holding more than 1% of the outstanding common stock of Sema4 as of the date thereof, entered into a Stockholder Lock-up Agreement whereby such shareholder agreed not to (i)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Exchange Act, with respect to shares of our Class A common stock issued to such shareholder pursuant to the Merger Agreement (such shares of our Class A common stock, the “Lock-up Shares”), (ii) enter into any swap or other arrangement that transfers to another, in whole or in part, any of the economic consequences of ownership of any of the Lock-up Shares, in cash or otherwise, or (iii) publicly announce any intention to effect any transaction specified in clause (i) or (ii); the PIPE Investor will take none of the foregoing actions until the earliest of (a) the date that is 180 calendar days from the Closing Date, and (b) the date following the Closing Date on which we complete a liquidation, merger, stock exchange or other similar transaction that results in all of our stockholders having the right to exchange their shares of our capital stock for cash, securities or other property. Notwithstanding the foregoing, the shareholder may take any of the actions specified in clauses (i), (ii) and (iii) above at any time after the first date on which the closing price of our Class A common stock has equaled or exceeded $12.00 per share (as adjusted for stock splits, stock dividends, reorganizations, recapitalizations and the like) for any 20 trading days within any 30-trading day period commencing at least 150 days after the Closing Date.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6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The Amended and Restated Certificate of Incorporation contains provisions limiting the liability of directors, and our Bylaws provide that we will indemnify each of its directors to the fullest extent permitted under Delaware law. The Amended and Restated Certificate of Incorporation and the Bylaws also provide the board of directors with discretion to indemnify officers and employees when determined appropriate by our board of directors.</w:t>
      </w:r>
    </w:p>
    <w:p>
      <w:pPr>
        <w:spacing w:after="0" w:line="11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entered into indemnification agreements with each of our directors and executive officers and certain other key employees upon the completion of the Business Combination. The indemnification agreements provide that the we will indemnify each of our directors, executive officers, and such other key employees against any and all expenses incurred by that director, executive officer, or other key employee because of his or her status as one of our directors, executive officers, or other key employees, to the fullest extent permitted by Delaware law, the Amended and Restated Certificate of Incorporation and our Bylaws. In addition, the indemnification agreements provide that, to the fullest extent permitted by Delaware law, we will advance all expenses incurred by its directors, executive officers, and other key employees in connection with a legal proceeding involving his or her status as a director, executive officer, or key employee.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170"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We adopted a written related party transaction policy effective upon the completion of the Business Combination. The policy provides that officers, directors, holders of more than 5% of any class of our voting securities, and any member of the immediate family of and any entity affiliated with any of the foregoing persons, will not be permitted to enter into a related-party transaction with us without the prior consent of our audit committee, or other independent members of our board of directors in the event it is inappropriate for the audit committee to review such transaction due to a conflict of interest. Any request for us to enter into a transaction with an executive officer, director, principal stockholder, or any of their immediate family members or affiliates, in which the amount involved exceeds $120,000, must first be presented to our audit committee for review, consideration, and approval. In approving or rejecting the proposed transactions, our audit committee will take into account all of the relevant facts and circumstances available.</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All of the transactions described in this section were entered into prior to the adoption of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SECURITYHOLDERS</w:t>
      </w:r>
    </w:p>
    <w:p>
      <w:pPr>
        <w:spacing w:after="0" w:line="170"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following table sets forth information known to us regarding the beneficial ownership of our common stock immediately following consummation of the Business Combination by:</w:t>
      </w:r>
    </w:p>
    <w:p>
      <w:pPr>
        <w:spacing w:after="0" w:line="128" w:lineRule="exact"/>
        <w:rPr>
          <w:sz w:val="20"/>
          <w:szCs w:val="20"/>
          <w:color w:val="auto"/>
        </w:rPr>
      </w:pPr>
    </w:p>
    <w:p>
      <w:pPr>
        <w:ind w:left="640" w:hanging="316"/>
        <w:spacing w:after="0"/>
        <w:tabs>
          <w:tab w:leader="none" w:pos="6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each person who is the beneficial owner of more than 5% of the outstanding shares of common stock;</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each of our named executive officers and directors;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16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Except as described in the footnotes below and subject to applicable community property laws and similar laws, we believe that each person listed above has sole voting and investment power with respect to such shares. Unless otherwise noted, the address of each beneficial owner is c/o Sema4 Holdings Corp., 333 Ludlow Street, North Tower, 8th Floor, Stamford, Connecticut 06902.</w:t>
      </w:r>
    </w:p>
    <w:p>
      <w:pPr>
        <w:spacing w:after="0" w:line="128"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The beneficial ownership of common stock is based on 240,190,402 shares of our Class A common stock issued and outstanding immediately following consummation of the Business Combination, including the redemption of the public shares as described elsewhere in this prospectus, the conversion of the Class B common stock as described elsewhere in this prospectus and the consummation of the PIPE Financing.</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3280" w:type="dxa"/>
            <w:vAlign w:val="bottom"/>
          </w:tcPr>
          <w:p>
            <w:pPr>
              <w:jc w:val="center"/>
              <w:ind w:left="1634"/>
              <w:spacing w:after="0"/>
              <w:rPr>
                <w:sz w:val="20"/>
                <w:szCs w:val="20"/>
                <w:color w:val="auto"/>
              </w:rPr>
            </w:pPr>
            <w:r>
              <w:rPr>
                <w:rFonts w:ascii="Arial" w:cs="Arial" w:eastAsia="Arial" w:hAnsi="Arial"/>
                <w:sz w:val="14"/>
                <w:szCs w:val="14"/>
                <w:b w:val="1"/>
                <w:bCs w:val="1"/>
                <w:color w:val="auto"/>
                <w:w w:val="90"/>
              </w:rPr>
              <w:t>Number of Shares of</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6"/>
              </w:rPr>
              <w:t>Percentage of</w:t>
            </w:r>
          </w:p>
        </w:tc>
        <w:tc>
          <w:tcPr>
            <w:tcW w:w="0" w:type="dxa"/>
            <w:vAlign w:val="bottom"/>
          </w:tcPr>
          <w:p>
            <w:pPr>
              <w:spacing w:after="0"/>
              <w:rPr>
                <w:sz w:val="1"/>
                <w:szCs w:val="1"/>
                <w:color w:val="auto"/>
              </w:rPr>
            </w:pPr>
          </w:p>
        </w:tc>
      </w:tr>
      <w:tr>
        <w:trPr>
          <w:trHeight w:val="133"/>
        </w:trPr>
        <w:tc>
          <w:tcPr>
            <w:tcW w:w="6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of Beneficial Owners</w:t>
            </w:r>
          </w:p>
        </w:tc>
        <w:tc>
          <w:tcPr>
            <w:tcW w:w="3280" w:type="dxa"/>
            <w:vAlign w:val="bottom"/>
          </w:tcPr>
          <w:p>
            <w:pPr>
              <w:jc w:val="center"/>
              <w:ind w:left="1614"/>
              <w:spacing w:after="0" w:line="133" w:lineRule="exact"/>
              <w:rPr>
                <w:sz w:val="20"/>
                <w:szCs w:val="20"/>
                <w:color w:val="auto"/>
              </w:rPr>
            </w:pPr>
            <w:r>
              <w:rPr>
                <w:rFonts w:ascii="Arial" w:cs="Arial" w:eastAsia="Arial" w:hAnsi="Arial"/>
                <w:sz w:val="14"/>
                <w:szCs w:val="14"/>
                <w:b w:val="1"/>
                <w:bCs w:val="1"/>
                <w:color w:val="auto"/>
                <w:w w:val="89"/>
              </w:rPr>
              <w:t>Class A Common Stock</w:t>
            </w:r>
          </w:p>
        </w:tc>
        <w:tc>
          <w:tcPr>
            <w:tcW w:w="15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185"/>
        </w:trPr>
        <w:tc>
          <w:tcPr>
            <w:tcW w:w="6400" w:type="dxa"/>
            <w:vAlign w:val="bottom"/>
            <w:tcBorders>
              <w:bottom w:val="single" w:sz="8" w:color="auto"/>
            </w:tcBorders>
            <w:vMerge w:val="continue"/>
          </w:tcPr>
          <w:p>
            <w:pPr>
              <w:spacing w:after="0"/>
              <w:rPr>
                <w:sz w:val="16"/>
                <w:szCs w:val="16"/>
                <w:color w:val="auto"/>
              </w:rPr>
            </w:pPr>
          </w:p>
        </w:tc>
        <w:tc>
          <w:tcPr>
            <w:tcW w:w="3280" w:type="dxa"/>
            <w:vAlign w:val="bottom"/>
            <w:tcBorders>
              <w:bottom w:val="single" w:sz="8" w:color="auto"/>
            </w:tcBorders>
          </w:tcPr>
          <w:p>
            <w:pPr>
              <w:jc w:val="center"/>
              <w:ind w:left="1634"/>
              <w:spacing w:after="0"/>
              <w:rPr>
                <w:sz w:val="20"/>
                <w:szCs w:val="20"/>
                <w:color w:val="auto"/>
              </w:rPr>
            </w:pPr>
            <w:r>
              <w:rPr>
                <w:rFonts w:ascii="Arial" w:cs="Arial" w:eastAsia="Arial" w:hAnsi="Arial"/>
                <w:sz w:val="14"/>
                <w:szCs w:val="14"/>
                <w:b w:val="1"/>
                <w:bCs w:val="1"/>
                <w:color w:val="auto"/>
                <w:w w:val="90"/>
              </w:rPr>
              <w:t>Beneficially Owned</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Class A Common Stock</w:t>
            </w:r>
          </w:p>
        </w:tc>
        <w:tc>
          <w:tcPr>
            <w:tcW w:w="0" w:type="dxa"/>
            <w:vAlign w:val="bottom"/>
          </w:tcPr>
          <w:p>
            <w:pPr>
              <w:spacing w:after="0"/>
              <w:rPr>
                <w:sz w:val="1"/>
                <w:szCs w:val="1"/>
                <w:color w:val="auto"/>
              </w:rPr>
            </w:pPr>
          </w:p>
        </w:tc>
      </w:tr>
      <w:tr>
        <w:trPr>
          <w:trHeight w:val="21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5% Stockholders:</w:t>
            </w:r>
          </w:p>
        </w:tc>
        <w:tc>
          <w:tcPr>
            <w:tcW w:w="32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400" w:type="dxa"/>
            <w:vAlign w:val="bottom"/>
          </w:tcPr>
          <w:p>
            <w:pPr>
              <w:ind w:left="20"/>
              <w:spacing w:after="0" w:line="225" w:lineRule="exact"/>
              <w:rPr>
                <w:sz w:val="20"/>
                <w:szCs w:val="20"/>
                <w:color w:val="auto"/>
              </w:rPr>
            </w:pPr>
            <w:r>
              <w:rPr>
                <w:rFonts w:ascii="Arial" w:cs="Arial" w:eastAsia="Arial" w:hAnsi="Arial"/>
                <w:sz w:val="18"/>
                <w:szCs w:val="18"/>
                <w:color w:val="auto"/>
              </w:rPr>
              <w:t>Entities affiliated with Blackstone Group Inc.</w:t>
            </w:r>
            <w:r>
              <w:rPr>
                <w:rFonts w:ascii="Arial" w:cs="Arial" w:eastAsia="Arial" w:hAnsi="Arial"/>
                <w:sz w:val="22"/>
                <w:szCs w:val="22"/>
                <w:color w:val="auto"/>
                <w:vertAlign w:val="superscript"/>
              </w:rPr>
              <w:t>(1)</w:t>
            </w:r>
          </w:p>
        </w:tc>
        <w:tc>
          <w:tcPr>
            <w:tcW w:w="3280" w:type="dxa"/>
            <w:vAlign w:val="bottom"/>
          </w:tcPr>
          <w:p>
            <w:pPr>
              <w:jc w:val="center"/>
              <w:ind w:left="1634"/>
              <w:spacing w:after="0"/>
              <w:rPr>
                <w:sz w:val="20"/>
                <w:szCs w:val="20"/>
                <w:color w:val="auto"/>
              </w:rPr>
            </w:pPr>
            <w:r>
              <w:rPr>
                <w:rFonts w:ascii="Arial" w:cs="Arial" w:eastAsia="Arial" w:hAnsi="Arial"/>
                <w:sz w:val="18"/>
                <w:szCs w:val="18"/>
                <w:color w:val="auto"/>
                <w:w w:val="88"/>
              </w:rPr>
              <w:t>25,056,993</w:t>
            </w:r>
          </w:p>
        </w:tc>
        <w:tc>
          <w:tcPr>
            <w:tcW w:w="1560" w:type="dxa"/>
            <w:vAlign w:val="bottom"/>
          </w:tcPr>
          <w:p>
            <w:pPr>
              <w:jc w:val="center"/>
              <w:spacing w:after="0"/>
              <w:rPr>
                <w:sz w:val="20"/>
                <w:szCs w:val="20"/>
                <w:color w:val="auto"/>
              </w:rPr>
            </w:pPr>
            <w:r>
              <w:rPr>
                <w:rFonts w:ascii="Arial" w:cs="Arial" w:eastAsia="Arial" w:hAnsi="Arial"/>
                <w:sz w:val="18"/>
                <w:szCs w:val="18"/>
                <w:color w:val="auto"/>
                <w:w w:val="86"/>
              </w:rPr>
              <w:t>10.4%</w:t>
            </w:r>
          </w:p>
        </w:tc>
        <w:tc>
          <w:tcPr>
            <w:tcW w:w="0" w:type="dxa"/>
            <w:vAlign w:val="bottom"/>
          </w:tcPr>
          <w:p>
            <w:pPr>
              <w:spacing w:after="0"/>
              <w:rPr>
                <w:sz w:val="1"/>
                <w:szCs w:val="1"/>
                <w:color w:val="auto"/>
              </w:rPr>
            </w:pPr>
          </w:p>
        </w:tc>
      </w:tr>
      <w:tr>
        <w:trPr>
          <w:trHeight w:val="225"/>
        </w:trPr>
        <w:tc>
          <w:tcPr>
            <w:tcW w:w="640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Entities affiliated with Deerfield Management Company, L.P.</w:t>
            </w:r>
            <w:r>
              <w:rPr>
                <w:rFonts w:ascii="Arial" w:cs="Arial" w:eastAsia="Arial" w:hAnsi="Arial"/>
                <w:sz w:val="22"/>
                <w:szCs w:val="22"/>
                <w:color w:val="auto"/>
                <w:vertAlign w:val="superscript"/>
              </w:rPr>
              <w:t>(2)</w:t>
            </w:r>
          </w:p>
        </w:tc>
        <w:tc>
          <w:tcPr>
            <w:tcW w:w="3280" w:type="dxa"/>
            <w:vAlign w:val="bottom"/>
            <w:shd w:val="clear" w:color="auto" w:fill="CCEEFF"/>
          </w:tcPr>
          <w:p>
            <w:pPr>
              <w:jc w:val="center"/>
              <w:ind w:left="1634"/>
              <w:spacing w:after="0"/>
              <w:rPr>
                <w:sz w:val="20"/>
                <w:szCs w:val="20"/>
                <w:color w:val="auto"/>
              </w:rPr>
            </w:pPr>
            <w:r>
              <w:rPr>
                <w:rFonts w:ascii="Arial" w:cs="Arial" w:eastAsia="Arial" w:hAnsi="Arial"/>
                <w:sz w:val="18"/>
                <w:szCs w:val="18"/>
                <w:color w:val="auto"/>
                <w:w w:val="88"/>
              </w:rPr>
              <w:t>13,848,488</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5.8%</w:t>
            </w:r>
          </w:p>
        </w:tc>
        <w:tc>
          <w:tcPr>
            <w:tcW w:w="0" w:type="dxa"/>
            <w:vAlign w:val="bottom"/>
          </w:tcPr>
          <w:p>
            <w:pPr>
              <w:spacing w:after="0"/>
              <w:rPr>
                <w:sz w:val="1"/>
                <w:szCs w:val="1"/>
                <w:color w:val="auto"/>
              </w:rPr>
            </w:pPr>
          </w:p>
        </w:tc>
      </w:tr>
      <w:tr>
        <w:trPr>
          <w:trHeight w:val="225"/>
        </w:trPr>
        <w:tc>
          <w:tcPr>
            <w:tcW w:w="6400" w:type="dxa"/>
            <w:vAlign w:val="bottom"/>
          </w:tcPr>
          <w:p>
            <w:pPr>
              <w:ind w:left="20"/>
              <w:spacing w:after="0" w:line="225" w:lineRule="exact"/>
              <w:rPr>
                <w:sz w:val="20"/>
                <w:szCs w:val="20"/>
                <w:color w:val="auto"/>
              </w:rPr>
            </w:pPr>
            <w:r>
              <w:rPr>
                <w:rFonts w:ascii="Arial" w:cs="Arial" w:eastAsia="Arial" w:hAnsi="Arial"/>
                <w:sz w:val="18"/>
                <w:szCs w:val="18"/>
                <w:color w:val="auto"/>
              </w:rPr>
              <w:t>Icahn School of Medicine at Mount Sinai</w:t>
            </w:r>
            <w:r>
              <w:rPr>
                <w:rFonts w:ascii="Arial" w:cs="Arial" w:eastAsia="Arial" w:hAnsi="Arial"/>
                <w:sz w:val="22"/>
                <w:szCs w:val="22"/>
                <w:color w:val="auto"/>
                <w:vertAlign w:val="superscript"/>
              </w:rPr>
              <w:t>(3)</w:t>
            </w:r>
          </w:p>
        </w:tc>
        <w:tc>
          <w:tcPr>
            <w:tcW w:w="3280" w:type="dxa"/>
            <w:vAlign w:val="bottom"/>
          </w:tcPr>
          <w:p>
            <w:pPr>
              <w:jc w:val="center"/>
              <w:ind w:left="1634"/>
              <w:spacing w:after="0"/>
              <w:rPr>
                <w:sz w:val="20"/>
                <w:szCs w:val="20"/>
                <w:color w:val="auto"/>
              </w:rPr>
            </w:pPr>
            <w:r>
              <w:rPr>
                <w:rFonts w:ascii="Arial" w:cs="Arial" w:eastAsia="Arial" w:hAnsi="Arial"/>
                <w:sz w:val="18"/>
                <w:szCs w:val="18"/>
                <w:color w:val="auto"/>
                <w:w w:val="88"/>
              </w:rPr>
              <w:t>88,355,473</w:t>
            </w:r>
          </w:p>
        </w:tc>
        <w:tc>
          <w:tcPr>
            <w:tcW w:w="1560" w:type="dxa"/>
            <w:vAlign w:val="bottom"/>
          </w:tcPr>
          <w:p>
            <w:pPr>
              <w:jc w:val="center"/>
              <w:spacing w:after="0"/>
              <w:rPr>
                <w:sz w:val="20"/>
                <w:szCs w:val="20"/>
                <w:color w:val="auto"/>
              </w:rPr>
            </w:pPr>
            <w:r>
              <w:rPr>
                <w:rFonts w:ascii="Arial" w:cs="Arial" w:eastAsia="Arial" w:hAnsi="Arial"/>
                <w:sz w:val="18"/>
                <w:szCs w:val="18"/>
                <w:color w:val="auto"/>
                <w:w w:val="86"/>
              </w:rPr>
              <w:t>36.8%</w:t>
            </w:r>
          </w:p>
        </w:tc>
        <w:tc>
          <w:tcPr>
            <w:tcW w:w="0" w:type="dxa"/>
            <w:vAlign w:val="bottom"/>
          </w:tcPr>
          <w:p>
            <w:pPr>
              <w:spacing w:after="0"/>
              <w:rPr>
                <w:sz w:val="1"/>
                <w:szCs w:val="1"/>
                <w:color w:val="auto"/>
              </w:rPr>
            </w:pPr>
          </w:p>
        </w:tc>
      </w:tr>
      <w:tr>
        <w:trPr>
          <w:trHeight w:val="225"/>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Directors and Named Executive Officers:</w:t>
            </w:r>
          </w:p>
        </w:tc>
        <w:tc>
          <w:tcPr>
            <w:tcW w:w="32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400" w:type="dxa"/>
            <w:vAlign w:val="bottom"/>
          </w:tcPr>
          <w:p>
            <w:pPr>
              <w:ind w:left="20"/>
              <w:spacing w:after="0" w:line="225" w:lineRule="exact"/>
              <w:rPr>
                <w:sz w:val="20"/>
                <w:szCs w:val="20"/>
                <w:color w:val="auto"/>
              </w:rPr>
            </w:pPr>
            <w:r>
              <w:rPr>
                <w:rFonts w:ascii="Arial" w:cs="Arial" w:eastAsia="Arial" w:hAnsi="Arial"/>
                <w:sz w:val="18"/>
                <w:szCs w:val="18"/>
                <w:color w:val="auto"/>
              </w:rPr>
              <w:t>Eric Schadt</w:t>
            </w:r>
            <w:r>
              <w:rPr>
                <w:rFonts w:ascii="Arial" w:cs="Arial" w:eastAsia="Arial" w:hAnsi="Arial"/>
                <w:sz w:val="22"/>
                <w:szCs w:val="22"/>
                <w:color w:val="auto"/>
                <w:vertAlign w:val="superscript"/>
              </w:rPr>
              <w:t>(4)</w:t>
            </w:r>
          </w:p>
        </w:tc>
        <w:tc>
          <w:tcPr>
            <w:tcW w:w="3280" w:type="dxa"/>
            <w:vAlign w:val="bottom"/>
          </w:tcPr>
          <w:p>
            <w:pPr>
              <w:jc w:val="center"/>
              <w:ind w:left="1634"/>
              <w:spacing w:after="0"/>
              <w:rPr>
                <w:sz w:val="20"/>
                <w:szCs w:val="20"/>
                <w:color w:val="auto"/>
              </w:rPr>
            </w:pPr>
            <w:r>
              <w:rPr>
                <w:rFonts w:ascii="Arial" w:cs="Arial" w:eastAsia="Arial" w:hAnsi="Arial"/>
                <w:sz w:val="18"/>
                <w:szCs w:val="18"/>
                <w:color w:val="auto"/>
                <w:w w:val="89"/>
              </w:rPr>
              <w:t>6,751,479</w:t>
            </w: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2.8%</w:t>
            </w:r>
          </w:p>
        </w:tc>
        <w:tc>
          <w:tcPr>
            <w:tcW w:w="0" w:type="dxa"/>
            <w:vAlign w:val="bottom"/>
          </w:tcPr>
          <w:p>
            <w:pPr>
              <w:spacing w:after="0"/>
              <w:rPr>
                <w:sz w:val="1"/>
                <w:szCs w:val="1"/>
                <w:color w:val="auto"/>
              </w:rPr>
            </w:pPr>
          </w:p>
        </w:tc>
      </w:tr>
      <w:tr>
        <w:trPr>
          <w:trHeight w:val="225"/>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Isaac Ro</w:t>
            </w:r>
          </w:p>
        </w:tc>
        <w:tc>
          <w:tcPr>
            <w:tcW w:w="3280" w:type="dxa"/>
            <w:vAlign w:val="bottom"/>
            <w:shd w:val="clear" w:color="auto" w:fill="CCEEFF"/>
          </w:tcPr>
          <w:p>
            <w:pPr>
              <w:jc w:val="center"/>
              <w:ind w:left="1614"/>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25"/>
        </w:trPr>
        <w:tc>
          <w:tcPr>
            <w:tcW w:w="6400" w:type="dxa"/>
            <w:vAlign w:val="bottom"/>
          </w:tcPr>
          <w:p>
            <w:pPr>
              <w:ind w:left="20"/>
              <w:spacing w:after="0" w:line="225" w:lineRule="exact"/>
              <w:rPr>
                <w:sz w:val="20"/>
                <w:szCs w:val="20"/>
                <w:color w:val="auto"/>
              </w:rPr>
            </w:pPr>
            <w:r>
              <w:rPr>
                <w:rFonts w:ascii="Arial" w:cs="Arial" w:eastAsia="Arial" w:hAnsi="Arial"/>
                <w:sz w:val="18"/>
                <w:szCs w:val="18"/>
                <w:color w:val="auto"/>
              </w:rPr>
              <w:t>Daniel Clark</w:t>
            </w:r>
            <w:r>
              <w:rPr>
                <w:rFonts w:ascii="Arial" w:cs="Arial" w:eastAsia="Arial" w:hAnsi="Arial"/>
                <w:sz w:val="22"/>
                <w:szCs w:val="22"/>
                <w:color w:val="auto"/>
                <w:vertAlign w:val="superscript"/>
              </w:rPr>
              <w:t>(5)</w:t>
            </w:r>
          </w:p>
        </w:tc>
        <w:tc>
          <w:tcPr>
            <w:tcW w:w="3280" w:type="dxa"/>
            <w:vAlign w:val="bottom"/>
          </w:tcPr>
          <w:p>
            <w:pPr>
              <w:jc w:val="center"/>
              <w:ind w:left="1634"/>
              <w:spacing w:after="0"/>
              <w:rPr>
                <w:sz w:val="20"/>
                <w:szCs w:val="20"/>
                <w:color w:val="auto"/>
              </w:rPr>
            </w:pPr>
            <w:r>
              <w:rPr>
                <w:rFonts w:ascii="Arial" w:cs="Arial" w:eastAsia="Arial" w:hAnsi="Arial"/>
                <w:sz w:val="18"/>
                <w:szCs w:val="18"/>
                <w:color w:val="auto"/>
                <w:w w:val="89"/>
              </w:rPr>
              <w:t>1,322,267</w:t>
            </w:r>
          </w:p>
        </w:tc>
        <w:tc>
          <w:tcPr>
            <w:tcW w:w="15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40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James Coffin</w:t>
            </w:r>
            <w:r>
              <w:rPr>
                <w:rFonts w:ascii="Arial" w:cs="Arial" w:eastAsia="Arial" w:hAnsi="Arial"/>
                <w:sz w:val="22"/>
                <w:szCs w:val="22"/>
                <w:color w:val="auto"/>
                <w:vertAlign w:val="superscript"/>
              </w:rPr>
              <w:t>(6)</w:t>
            </w:r>
          </w:p>
        </w:tc>
        <w:tc>
          <w:tcPr>
            <w:tcW w:w="3280" w:type="dxa"/>
            <w:vAlign w:val="bottom"/>
            <w:shd w:val="clear" w:color="auto" w:fill="CCEEFF"/>
          </w:tcPr>
          <w:p>
            <w:pPr>
              <w:jc w:val="center"/>
              <w:ind w:left="1634"/>
              <w:spacing w:after="0"/>
              <w:rPr>
                <w:sz w:val="20"/>
                <w:szCs w:val="20"/>
                <w:color w:val="auto"/>
              </w:rPr>
            </w:pPr>
            <w:r>
              <w:rPr>
                <w:rFonts w:ascii="Arial" w:cs="Arial" w:eastAsia="Arial" w:hAnsi="Arial"/>
                <w:sz w:val="18"/>
                <w:szCs w:val="18"/>
                <w:color w:val="auto"/>
                <w:w w:val="89"/>
              </w:rPr>
              <w:t>2,573,902</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1.1%</w:t>
            </w:r>
          </w:p>
        </w:tc>
        <w:tc>
          <w:tcPr>
            <w:tcW w:w="0" w:type="dxa"/>
            <w:vAlign w:val="bottom"/>
          </w:tcPr>
          <w:p>
            <w:pPr>
              <w:spacing w:after="0"/>
              <w:rPr>
                <w:sz w:val="1"/>
                <w:szCs w:val="1"/>
                <w:color w:val="auto"/>
              </w:rPr>
            </w:pPr>
          </w:p>
        </w:tc>
      </w:tr>
      <w:tr>
        <w:trPr>
          <w:trHeight w:val="225"/>
        </w:trPr>
        <w:tc>
          <w:tcPr>
            <w:tcW w:w="6400" w:type="dxa"/>
            <w:vAlign w:val="bottom"/>
          </w:tcPr>
          <w:p>
            <w:pPr>
              <w:ind w:left="20"/>
              <w:spacing w:after="0" w:line="225" w:lineRule="exact"/>
              <w:rPr>
                <w:sz w:val="20"/>
                <w:szCs w:val="20"/>
                <w:color w:val="auto"/>
              </w:rPr>
            </w:pPr>
            <w:r>
              <w:rPr>
                <w:rFonts w:ascii="Arial" w:cs="Arial" w:eastAsia="Arial" w:hAnsi="Arial"/>
                <w:sz w:val="18"/>
                <w:szCs w:val="18"/>
                <w:color w:val="auto"/>
              </w:rPr>
              <w:t>Anthony Prentice</w:t>
            </w:r>
            <w:r>
              <w:rPr>
                <w:rFonts w:ascii="Arial" w:cs="Arial" w:eastAsia="Arial" w:hAnsi="Arial"/>
                <w:sz w:val="22"/>
                <w:szCs w:val="22"/>
                <w:color w:val="auto"/>
                <w:vertAlign w:val="superscript"/>
              </w:rPr>
              <w:t>(7)</w:t>
            </w:r>
          </w:p>
        </w:tc>
        <w:tc>
          <w:tcPr>
            <w:tcW w:w="3280" w:type="dxa"/>
            <w:vAlign w:val="bottom"/>
          </w:tcPr>
          <w:p>
            <w:pPr>
              <w:jc w:val="center"/>
              <w:ind w:left="1634"/>
              <w:spacing w:after="0"/>
              <w:rPr>
                <w:sz w:val="20"/>
                <w:szCs w:val="20"/>
                <w:color w:val="auto"/>
              </w:rPr>
            </w:pPr>
            <w:r>
              <w:rPr>
                <w:rFonts w:ascii="Arial" w:cs="Arial" w:eastAsia="Arial" w:hAnsi="Arial"/>
                <w:sz w:val="18"/>
                <w:szCs w:val="18"/>
                <w:color w:val="auto"/>
                <w:w w:val="89"/>
              </w:rPr>
              <w:t>2,056,939</w:t>
            </w:r>
          </w:p>
        </w:tc>
        <w:tc>
          <w:tcPr>
            <w:tcW w:w="15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Kareem Saad</w:t>
            </w:r>
          </w:p>
        </w:tc>
        <w:tc>
          <w:tcPr>
            <w:tcW w:w="3280" w:type="dxa"/>
            <w:vAlign w:val="bottom"/>
            <w:shd w:val="clear" w:color="auto" w:fill="CCEEFF"/>
          </w:tcPr>
          <w:p>
            <w:pPr>
              <w:jc w:val="center"/>
              <w:ind w:left="1614"/>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25"/>
        </w:trPr>
        <w:tc>
          <w:tcPr>
            <w:tcW w:w="6400" w:type="dxa"/>
            <w:vAlign w:val="bottom"/>
          </w:tcPr>
          <w:p>
            <w:pPr>
              <w:ind w:left="20"/>
              <w:spacing w:after="0" w:line="225" w:lineRule="exact"/>
              <w:rPr>
                <w:sz w:val="20"/>
                <w:szCs w:val="20"/>
                <w:color w:val="auto"/>
              </w:rPr>
            </w:pPr>
            <w:r>
              <w:rPr>
                <w:rFonts w:ascii="Arial" w:cs="Arial" w:eastAsia="Arial" w:hAnsi="Arial"/>
                <w:sz w:val="18"/>
                <w:szCs w:val="18"/>
                <w:color w:val="auto"/>
              </w:rPr>
              <w:t>Karen White</w:t>
            </w:r>
            <w:r>
              <w:rPr>
                <w:rFonts w:ascii="Arial" w:cs="Arial" w:eastAsia="Arial" w:hAnsi="Arial"/>
                <w:sz w:val="22"/>
                <w:szCs w:val="22"/>
                <w:color w:val="auto"/>
                <w:vertAlign w:val="superscript"/>
              </w:rPr>
              <w:t>(8)</w:t>
            </w:r>
          </w:p>
        </w:tc>
        <w:tc>
          <w:tcPr>
            <w:tcW w:w="3280" w:type="dxa"/>
            <w:vAlign w:val="bottom"/>
          </w:tcPr>
          <w:p>
            <w:pPr>
              <w:jc w:val="center"/>
              <w:ind w:left="1634"/>
              <w:spacing w:after="0"/>
              <w:rPr>
                <w:sz w:val="20"/>
                <w:szCs w:val="20"/>
                <w:color w:val="auto"/>
              </w:rPr>
            </w:pPr>
            <w:r>
              <w:rPr>
                <w:rFonts w:ascii="Arial" w:cs="Arial" w:eastAsia="Arial" w:hAnsi="Arial"/>
                <w:sz w:val="18"/>
                <w:szCs w:val="18"/>
                <w:color w:val="auto"/>
                <w:w w:val="87"/>
              </w:rPr>
              <w:t>38,646</w:t>
            </w:r>
          </w:p>
        </w:tc>
        <w:tc>
          <w:tcPr>
            <w:tcW w:w="15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Dennis Charney</w:t>
            </w:r>
          </w:p>
        </w:tc>
        <w:tc>
          <w:tcPr>
            <w:tcW w:w="3280" w:type="dxa"/>
            <w:vAlign w:val="bottom"/>
            <w:shd w:val="clear" w:color="auto" w:fill="CCEEFF"/>
          </w:tcPr>
          <w:p>
            <w:pPr>
              <w:jc w:val="center"/>
              <w:ind w:left="1614"/>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25"/>
        </w:trPr>
        <w:tc>
          <w:tcPr>
            <w:tcW w:w="6400" w:type="dxa"/>
            <w:vAlign w:val="bottom"/>
          </w:tcPr>
          <w:p>
            <w:pPr>
              <w:ind w:left="20"/>
              <w:spacing w:after="0" w:line="225" w:lineRule="exact"/>
              <w:rPr>
                <w:sz w:val="20"/>
                <w:szCs w:val="20"/>
                <w:color w:val="auto"/>
              </w:rPr>
            </w:pPr>
            <w:r>
              <w:rPr>
                <w:rFonts w:ascii="Arial" w:cs="Arial" w:eastAsia="Arial" w:hAnsi="Arial"/>
                <w:sz w:val="18"/>
                <w:szCs w:val="18"/>
                <w:color w:val="auto"/>
              </w:rPr>
              <w:t>Eli D. Casdin</w:t>
            </w:r>
            <w:r>
              <w:rPr>
                <w:rFonts w:ascii="Arial" w:cs="Arial" w:eastAsia="Arial" w:hAnsi="Arial"/>
                <w:sz w:val="22"/>
                <w:szCs w:val="22"/>
                <w:color w:val="auto"/>
                <w:vertAlign w:val="superscript"/>
              </w:rPr>
              <w:t>(9)</w:t>
            </w:r>
          </w:p>
        </w:tc>
        <w:tc>
          <w:tcPr>
            <w:tcW w:w="3280" w:type="dxa"/>
            <w:vAlign w:val="bottom"/>
          </w:tcPr>
          <w:p>
            <w:pPr>
              <w:jc w:val="center"/>
              <w:ind w:left="1634"/>
              <w:spacing w:after="0"/>
              <w:rPr>
                <w:sz w:val="20"/>
                <w:szCs w:val="20"/>
                <w:color w:val="auto"/>
              </w:rPr>
            </w:pPr>
            <w:r>
              <w:rPr>
                <w:rFonts w:ascii="Arial" w:cs="Arial" w:eastAsia="Arial" w:hAnsi="Arial"/>
                <w:sz w:val="18"/>
                <w:szCs w:val="18"/>
                <w:color w:val="auto"/>
                <w:w w:val="88"/>
              </w:rPr>
              <w:t>22,730,419</w:t>
            </w: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9.5%</w:t>
            </w:r>
          </w:p>
        </w:tc>
        <w:tc>
          <w:tcPr>
            <w:tcW w:w="0" w:type="dxa"/>
            <w:vAlign w:val="bottom"/>
          </w:tcPr>
          <w:p>
            <w:pPr>
              <w:spacing w:after="0"/>
              <w:rPr>
                <w:sz w:val="1"/>
                <w:szCs w:val="1"/>
                <w:color w:val="auto"/>
              </w:rPr>
            </w:pPr>
          </w:p>
        </w:tc>
      </w:tr>
      <w:tr>
        <w:trPr>
          <w:trHeight w:val="225"/>
        </w:trPr>
        <w:tc>
          <w:tcPr>
            <w:tcW w:w="640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Emily Leproust</w:t>
            </w:r>
            <w:r>
              <w:rPr>
                <w:rFonts w:ascii="Arial" w:cs="Arial" w:eastAsia="Arial" w:hAnsi="Arial"/>
                <w:sz w:val="22"/>
                <w:szCs w:val="22"/>
                <w:color w:val="auto"/>
                <w:vertAlign w:val="superscript"/>
              </w:rPr>
              <w:t>(10)</w:t>
            </w:r>
          </w:p>
        </w:tc>
        <w:tc>
          <w:tcPr>
            <w:tcW w:w="3280" w:type="dxa"/>
            <w:vAlign w:val="bottom"/>
            <w:shd w:val="clear" w:color="auto" w:fill="CCEEFF"/>
          </w:tcPr>
          <w:p>
            <w:pPr>
              <w:jc w:val="center"/>
              <w:ind w:left="1614"/>
              <w:spacing w:after="0"/>
              <w:rPr>
                <w:sz w:val="20"/>
                <w:szCs w:val="20"/>
                <w:color w:val="auto"/>
              </w:rPr>
            </w:pPr>
            <w:r>
              <w:rPr>
                <w:rFonts w:ascii="Arial" w:cs="Arial" w:eastAsia="Arial" w:hAnsi="Arial"/>
                <w:sz w:val="18"/>
                <w:szCs w:val="18"/>
                <w:color w:val="auto"/>
                <w:w w:val="89"/>
              </w:rPr>
              <w:t>191,666</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400" w:type="dxa"/>
            <w:vAlign w:val="bottom"/>
          </w:tcPr>
          <w:p>
            <w:pPr>
              <w:ind w:left="20"/>
              <w:spacing w:after="0"/>
              <w:rPr>
                <w:sz w:val="20"/>
                <w:szCs w:val="20"/>
                <w:color w:val="auto"/>
              </w:rPr>
            </w:pPr>
            <w:r>
              <w:rPr>
                <w:rFonts w:ascii="Arial" w:cs="Arial" w:eastAsia="Arial" w:hAnsi="Arial"/>
                <w:sz w:val="18"/>
                <w:szCs w:val="18"/>
                <w:color w:val="auto"/>
              </w:rPr>
              <w:t>Michael Pellini</w:t>
            </w:r>
          </w:p>
        </w:tc>
        <w:tc>
          <w:tcPr>
            <w:tcW w:w="3280" w:type="dxa"/>
            <w:vAlign w:val="bottom"/>
          </w:tcPr>
          <w:p>
            <w:pPr>
              <w:jc w:val="center"/>
              <w:ind w:left="1614"/>
              <w:spacing w:after="0"/>
              <w:rPr>
                <w:sz w:val="20"/>
                <w:szCs w:val="20"/>
                <w:color w:val="auto"/>
              </w:rPr>
            </w:pPr>
            <w:r>
              <w:rPr>
                <w:rFonts w:ascii="Arial" w:cs="Arial" w:eastAsia="Arial" w:hAnsi="Arial"/>
                <w:sz w:val="18"/>
                <w:szCs w:val="18"/>
                <w:color w:val="auto"/>
                <w:w w:val="99"/>
              </w:rPr>
              <w:t>—</w:t>
            </w:r>
          </w:p>
        </w:tc>
        <w:tc>
          <w:tcPr>
            <w:tcW w:w="1560" w:type="dxa"/>
            <w:vAlign w:val="bottom"/>
          </w:tcPr>
          <w:p>
            <w:pPr>
              <w:jc w:val="center"/>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26"/>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Jason Ryan</w:t>
            </w:r>
          </w:p>
        </w:tc>
        <w:tc>
          <w:tcPr>
            <w:tcW w:w="3280" w:type="dxa"/>
            <w:vAlign w:val="bottom"/>
            <w:shd w:val="clear" w:color="auto" w:fill="CCEEFF"/>
          </w:tcPr>
          <w:p>
            <w:pPr>
              <w:jc w:val="center"/>
              <w:ind w:left="1614"/>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25"/>
        </w:trPr>
        <w:tc>
          <w:tcPr>
            <w:tcW w:w="6400" w:type="dxa"/>
            <w:vAlign w:val="bottom"/>
          </w:tcPr>
          <w:p>
            <w:pPr>
              <w:ind w:left="20"/>
              <w:spacing w:after="0"/>
              <w:rPr>
                <w:sz w:val="20"/>
                <w:szCs w:val="20"/>
                <w:color w:val="auto"/>
              </w:rPr>
            </w:pPr>
            <w:r>
              <w:rPr>
                <w:rFonts w:ascii="Arial" w:cs="Arial" w:eastAsia="Arial" w:hAnsi="Arial"/>
                <w:sz w:val="18"/>
                <w:szCs w:val="18"/>
                <w:color w:val="auto"/>
              </w:rPr>
              <w:t>Joshua Ruch</w:t>
            </w:r>
          </w:p>
        </w:tc>
        <w:tc>
          <w:tcPr>
            <w:tcW w:w="3280" w:type="dxa"/>
            <w:vAlign w:val="bottom"/>
          </w:tcPr>
          <w:p>
            <w:pPr>
              <w:jc w:val="center"/>
              <w:ind w:left="1614"/>
              <w:spacing w:after="0"/>
              <w:rPr>
                <w:sz w:val="20"/>
                <w:szCs w:val="20"/>
                <w:color w:val="auto"/>
              </w:rPr>
            </w:pPr>
            <w:r>
              <w:rPr>
                <w:rFonts w:ascii="Arial" w:cs="Arial" w:eastAsia="Arial" w:hAnsi="Arial"/>
                <w:sz w:val="18"/>
                <w:szCs w:val="18"/>
                <w:color w:val="auto"/>
                <w:w w:val="99"/>
              </w:rPr>
              <w:t>—</w:t>
            </w:r>
          </w:p>
        </w:tc>
        <w:tc>
          <w:tcPr>
            <w:tcW w:w="1560" w:type="dxa"/>
            <w:vAlign w:val="bottom"/>
          </w:tcPr>
          <w:p>
            <w:pPr>
              <w:jc w:val="center"/>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26"/>
        </w:trPr>
        <w:tc>
          <w:tcPr>
            <w:tcW w:w="640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Rachel Sherman</w:t>
            </w:r>
            <w:r>
              <w:rPr>
                <w:rFonts w:ascii="Arial" w:cs="Arial" w:eastAsia="Arial" w:hAnsi="Arial"/>
                <w:sz w:val="22"/>
                <w:szCs w:val="22"/>
                <w:color w:val="auto"/>
                <w:vertAlign w:val="superscript"/>
              </w:rPr>
              <w:t>(11)</w:t>
            </w:r>
          </w:p>
        </w:tc>
        <w:tc>
          <w:tcPr>
            <w:tcW w:w="3280" w:type="dxa"/>
            <w:vAlign w:val="bottom"/>
            <w:shd w:val="clear" w:color="auto" w:fill="CCEEFF"/>
          </w:tcPr>
          <w:p>
            <w:pPr>
              <w:jc w:val="center"/>
              <w:ind w:left="1614"/>
              <w:spacing w:after="0"/>
              <w:rPr>
                <w:sz w:val="20"/>
                <w:szCs w:val="20"/>
                <w:color w:val="auto"/>
              </w:rPr>
            </w:pPr>
            <w:r>
              <w:rPr>
                <w:rFonts w:ascii="Arial" w:cs="Arial" w:eastAsia="Arial" w:hAnsi="Arial"/>
                <w:sz w:val="18"/>
                <w:szCs w:val="18"/>
                <w:color w:val="auto"/>
                <w:w w:val="89"/>
              </w:rPr>
              <w:t>136,207</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400" w:type="dxa"/>
            <w:vAlign w:val="bottom"/>
          </w:tcPr>
          <w:p>
            <w:pPr>
              <w:ind w:left="20"/>
              <w:spacing w:after="0" w:line="225" w:lineRule="exact"/>
              <w:rPr>
                <w:sz w:val="20"/>
                <w:szCs w:val="20"/>
                <w:color w:val="auto"/>
              </w:rPr>
            </w:pPr>
            <w:r>
              <w:rPr>
                <w:rFonts w:ascii="Arial" w:cs="Arial" w:eastAsia="Arial" w:hAnsi="Arial"/>
                <w:sz w:val="18"/>
                <w:szCs w:val="18"/>
                <w:color w:val="auto"/>
              </w:rPr>
              <w:t>Nat Turner</w:t>
            </w:r>
            <w:r>
              <w:rPr>
                <w:rFonts w:ascii="Arial" w:cs="Arial" w:eastAsia="Arial" w:hAnsi="Arial"/>
                <w:sz w:val="22"/>
                <w:szCs w:val="22"/>
                <w:color w:val="auto"/>
                <w:vertAlign w:val="superscript"/>
              </w:rPr>
              <w:t>(12)</w:t>
            </w:r>
          </w:p>
        </w:tc>
        <w:tc>
          <w:tcPr>
            <w:tcW w:w="3280" w:type="dxa"/>
            <w:vAlign w:val="bottom"/>
          </w:tcPr>
          <w:p>
            <w:pPr>
              <w:jc w:val="center"/>
              <w:ind w:left="1614"/>
              <w:spacing w:after="0"/>
              <w:rPr>
                <w:sz w:val="20"/>
                <w:szCs w:val="20"/>
                <w:color w:val="auto"/>
              </w:rPr>
            </w:pPr>
            <w:r>
              <w:rPr>
                <w:rFonts w:ascii="Arial" w:cs="Arial" w:eastAsia="Arial" w:hAnsi="Arial"/>
                <w:sz w:val="18"/>
                <w:szCs w:val="18"/>
                <w:color w:val="auto"/>
                <w:w w:val="89"/>
              </w:rPr>
              <w:t>191,666</w:t>
            </w:r>
          </w:p>
        </w:tc>
        <w:tc>
          <w:tcPr>
            <w:tcW w:w="15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40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b w:val="1"/>
                <w:bCs w:val="1"/>
                <w:color w:val="auto"/>
              </w:rPr>
              <w:t>Directors and executive officers as a group (15 individuals)</w:t>
            </w:r>
            <w:r>
              <w:rPr>
                <w:rFonts w:ascii="Arial" w:cs="Arial" w:eastAsia="Arial" w:hAnsi="Arial"/>
                <w:sz w:val="22"/>
                <w:szCs w:val="22"/>
                <w:b w:val="1"/>
                <w:bCs w:val="1"/>
                <w:color w:val="auto"/>
                <w:vertAlign w:val="superscript"/>
              </w:rPr>
              <w:t>(13)</w:t>
            </w:r>
          </w:p>
        </w:tc>
        <w:tc>
          <w:tcPr>
            <w:tcW w:w="3280" w:type="dxa"/>
            <w:vAlign w:val="bottom"/>
            <w:shd w:val="clear" w:color="auto" w:fill="CCEEFF"/>
          </w:tcPr>
          <w:p>
            <w:pPr>
              <w:jc w:val="center"/>
              <w:ind w:left="1634"/>
              <w:spacing w:after="0"/>
              <w:rPr>
                <w:sz w:val="20"/>
                <w:szCs w:val="20"/>
                <w:color w:val="auto"/>
              </w:rPr>
            </w:pPr>
            <w:r>
              <w:rPr>
                <w:rFonts w:ascii="Arial" w:cs="Arial" w:eastAsia="Arial" w:hAnsi="Arial"/>
                <w:sz w:val="18"/>
                <w:szCs w:val="18"/>
                <w:color w:val="auto"/>
                <w:w w:val="87"/>
              </w:rPr>
              <w:t>163,254,145</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68.0%</w:t>
            </w: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 Less than one percent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11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0" w:lineRule="exact"/>
        <w:rPr>
          <w:sz w:val="20"/>
          <w:szCs w:val="20"/>
          <w:color w:val="auto"/>
        </w:rPr>
      </w:pPr>
    </w:p>
    <w:p>
      <w:pPr>
        <w:ind w:left="320" w:hanging="314"/>
        <w:spacing w:after="0" w:line="255" w:lineRule="auto"/>
        <w:tabs>
          <w:tab w:leader="none" w:pos="312" w:val="left"/>
        </w:tabs>
        <w:numPr>
          <w:ilvl w:val="0"/>
          <w:numId w:val="76"/>
        </w:numPr>
        <w:rPr>
          <w:rFonts w:ascii="Arial" w:cs="Arial" w:eastAsia="Arial" w:hAnsi="Arial"/>
          <w:sz w:val="13"/>
          <w:szCs w:val="13"/>
          <w:color w:val="auto"/>
        </w:rPr>
      </w:pPr>
      <w:r>
        <w:rPr>
          <w:rFonts w:ascii="Arial" w:cs="Arial" w:eastAsia="Arial" w:hAnsi="Arial"/>
          <w:sz w:val="13"/>
          <w:szCs w:val="13"/>
          <w:color w:val="auto"/>
        </w:rPr>
        <w:t>Consists of 24,404,324 shares of common stock held by BTO Sema4 Holdings L.P., 505,095 shares of common stock held by Blackstone Tactical Opportunities Fund - FD L.P. and 147,574 shares of common stock held by Blackstone Family Tactical Opportunities Investment Partnership III ESC L.P. BTO Holdings Manager L.L.C. is the general partner of BTO Sema4 Holdings L.P. Blackstone Tactical Opportunities Associates L.L.C. is the managing member of BTO Holdings Manager L.L.C. BTOA L.L.C. is the sole member of Blackstone Tactical Opportunities Associates L.L.C. Blackstone Holdings III L.P. is the managing member of BTOA L.L.C. Blackstone Tactical Opportunities Associates III - NQ L.P. is the general partner of Blackstone Tactical Opportunities Fund - FD L.P. BTO DE GP - NQ L.L.C. is the general partner of Blackstone Tactical Opportunities Associates III - NQ L.P. Blackstone Holdings II L.P. is the managing member of BTO DE GP - NQ L.L.C. Blackstone Holdings I/II GP L.L.C. is the general partner of Blackstone Holdings II L.P. BTO Side-by-Side GP L.L.C. is the general partner of Blackstone Family Tactical Opportunities Investment Partnership III ESC L.P. Blackstone Holdings III L.P. is the sole member of BTO Side-by-Side GP L.L.C. Blackstone Holdings III GP L.P. is the general partner of Blackstone Holdings III L.P. Blackstone Holdings III GP Management L.L.C. is the general partner of Blackstone Holdings III GP L.P. The Blackstone Group Inc. is the sole member of each of Blackstone Holdings I/II GP L.L.C. and Blackstone Holdings III GP Management L.L.C. The sole holder of the Class C common stock of The Blackstone Group Inc. is Blackstone Group Management L.L.C. Blackstone Group Management L.L.C. is wholly-owned by Blackstone's senior managing directors and controlled by its founder, Stephen A. Schwarzman. Each of the Blackstone entities described in this footnote and Stephen A. Schwarzman may be deemed to beneficially own the shares directly or indirectly controlled by such Blackstone entities or him, but each disclaims beneficial ownership of such shares. The address of Mr. Schwarzman and each of the other entities listed in this footnote is c/o The Blackstone Group Inc., 345 Park Avenue, New York, New York 10154</w:t>
      </w:r>
    </w:p>
    <w:p>
      <w:pPr>
        <w:spacing w:after="0" w:line="2" w:lineRule="exact"/>
        <w:rPr>
          <w:rFonts w:ascii="Arial" w:cs="Arial" w:eastAsia="Arial" w:hAnsi="Arial"/>
          <w:sz w:val="13"/>
          <w:szCs w:val="13"/>
          <w:color w:val="auto"/>
        </w:rPr>
      </w:pPr>
    </w:p>
    <w:p>
      <w:pPr>
        <w:ind w:left="320" w:right="120" w:hanging="314"/>
        <w:spacing w:after="0" w:line="255" w:lineRule="auto"/>
        <w:tabs>
          <w:tab w:leader="none" w:pos="312" w:val="left"/>
        </w:tabs>
        <w:numPr>
          <w:ilvl w:val="0"/>
          <w:numId w:val="76"/>
        </w:numPr>
        <w:rPr>
          <w:rFonts w:ascii="Arial" w:cs="Arial" w:eastAsia="Arial" w:hAnsi="Arial"/>
          <w:sz w:val="13"/>
          <w:szCs w:val="13"/>
          <w:color w:val="auto"/>
        </w:rPr>
      </w:pPr>
      <w:r>
        <w:rPr>
          <w:rFonts w:ascii="Arial" w:cs="Arial" w:eastAsia="Arial" w:hAnsi="Arial"/>
          <w:sz w:val="13"/>
          <w:szCs w:val="13"/>
          <w:color w:val="auto"/>
        </w:rPr>
        <w:t>Consists of 6,924,244 shares of common stock held by Deerfield Partners and 6,924,244 shares of common stock held by DPDF. Deerfield Management Company, L.P. (“Deerfield Management”) is the investment manager of Deerfield Partners, L.P. (“Deerfield Partners”) and Deerfield Private Design Fund V, L.P. (“DPDF”). Deerfield Mgmt, L.P. (“Deerfield Mgmt”) is the general partner of Deerfield Partners. Deerfield Mgmt V, L.P. (“Deerfield Mgmt V”) is the general partner of DPDF. James E. Flynn is the sole member of the general partner of each of Deerfield Management, Deerfield Mgmt and Deerfield Mgmt V. Deerfield Management, Deerfield Mgmt and Mr. Flynn may be deemed to beneficially own the securities held by Deerfield Partners. Deerfield Management, Deerfield Mgmt V and Mr. Flynn may be deemed to beneficially own the securities held by DPDF. The address for each of Deerfield Partners, DPDF, Deerfield Management, Deerfield Mgmt, Deerfield Mgmt V and Mr. Flynn is 345 Park Avenue South, New York, New York 10010.</w:t>
      </w:r>
    </w:p>
    <w:p>
      <w:pPr>
        <w:ind w:left="320" w:right="60" w:hanging="314"/>
        <w:spacing w:after="0" w:line="237" w:lineRule="auto"/>
        <w:tabs>
          <w:tab w:leader="none" w:pos="312" w:val="left"/>
        </w:tabs>
        <w:numPr>
          <w:ilvl w:val="0"/>
          <w:numId w:val="76"/>
        </w:numPr>
        <w:rPr>
          <w:rFonts w:ascii="Arial" w:cs="Arial" w:eastAsia="Arial" w:hAnsi="Arial"/>
          <w:sz w:val="14"/>
          <w:szCs w:val="14"/>
          <w:color w:val="auto"/>
        </w:rPr>
      </w:pPr>
      <w:r>
        <w:rPr>
          <w:rFonts w:ascii="Arial" w:cs="Arial" w:eastAsia="Arial" w:hAnsi="Arial"/>
          <w:sz w:val="14"/>
          <w:szCs w:val="14"/>
          <w:color w:val="auto"/>
        </w:rPr>
        <w:t>Consists of 88,355,473 shares of common stock held by Icahn School of Medicine at Mount Sinai (“ISMMS”). The shares are held by ISMMS, a New York Education Corporation. The responsibility and authority for the voting and investment decisions with respect to the shares held by ISMMS is vested in those persons who from time to time are the executive officers of ISMMS under the oversight and direction of its board of directors and its sole member, Mount Sinai Health System, Inc., a New York Not-for-Profit Corporation. The address for Icahn School of Medicine at Mount Sinai is One Gustave L. Levy Place, New York, New York 10029.</w:t>
      </w:r>
    </w:p>
    <w:p>
      <w:pPr>
        <w:ind w:left="320" w:hanging="314"/>
        <w:spacing w:after="0" w:line="237" w:lineRule="auto"/>
        <w:tabs>
          <w:tab w:leader="none" w:pos="320" w:val="left"/>
        </w:tabs>
        <w:numPr>
          <w:ilvl w:val="0"/>
          <w:numId w:val="76"/>
        </w:numPr>
        <w:rPr>
          <w:rFonts w:ascii="Arial" w:cs="Arial" w:eastAsia="Arial" w:hAnsi="Arial"/>
          <w:sz w:val="14"/>
          <w:szCs w:val="14"/>
          <w:color w:val="auto"/>
        </w:rPr>
      </w:pPr>
      <w:r>
        <w:rPr>
          <w:rFonts w:ascii="Arial" w:cs="Arial" w:eastAsia="Arial" w:hAnsi="Arial"/>
          <w:sz w:val="14"/>
          <w:szCs w:val="14"/>
          <w:color w:val="auto"/>
        </w:rPr>
        <w:t>Consists of 6,751,479 shares of common stock subject to options that are exercisable within 60 days of Closing.</w:t>
      </w:r>
    </w:p>
    <w:p>
      <w:pPr>
        <w:ind w:left="320" w:hanging="314"/>
        <w:spacing w:after="0" w:line="237" w:lineRule="auto"/>
        <w:tabs>
          <w:tab w:leader="none" w:pos="320" w:val="left"/>
        </w:tabs>
        <w:numPr>
          <w:ilvl w:val="0"/>
          <w:numId w:val="76"/>
        </w:numPr>
        <w:rPr>
          <w:rFonts w:ascii="Arial" w:cs="Arial" w:eastAsia="Arial" w:hAnsi="Arial"/>
          <w:sz w:val="14"/>
          <w:szCs w:val="14"/>
          <w:color w:val="auto"/>
        </w:rPr>
      </w:pPr>
      <w:r>
        <w:rPr>
          <w:rFonts w:ascii="Arial" w:cs="Arial" w:eastAsia="Arial" w:hAnsi="Arial"/>
          <w:sz w:val="14"/>
          <w:szCs w:val="14"/>
          <w:color w:val="auto"/>
        </w:rPr>
        <w:t>Consists of 1,322,267 shares of common stock subject to options that are exercisable within 60 days of Closing.</w:t>
      </w:r>
    </w:p>
    <w:p>
      <w:pPr>
        <w:ind w:left="320" w:hanging="314"/>
        <w:spacing w:after="0" w:line="237" w:lineRule="auto"/>
        <w:tabs>
          <w:tab w:leader="none" w:pos="320" w:val="left"/>
        </w:tabs>
        <w:numPr>
          <w:ilvl w:val="0"/>
          <w:numId w:val="76"/>
        </w:numPr>
        <w:rPr>
          <w:rFonts w:ascii="Arial" w:cs="Arial" w:eastAsia="Arial" w:hAnsi="Arial"/>
          <w:sz w:val="14"/>
          <w:szCs w:val="14"/>
          <w:color w:val="auto"/>
        </w:rPr>
      </w:pPr>
      <w:r>
        <w:rPr>
          <w:rFonts w:ascii="Arial" w:cs="Arial" w:eastAsia="Arial" w:hAnsi="Arial"/>
          <w:sz w:val="14"/>
          <w:szCs w:val="14"/>
          <w:color w:val="auto"/>
        </w:rPr>
        <w:t>Consists of 2,573,902 shares of common stock subject to options that are exercisable within 60 days of Closing.</w:t>
      </w:r>
    </w:p>
    <w:p>
      <w:pPr>
        <w:ind w:left="320" w:hanging="314"/>
        <w:spacing w:after="0" w:line="237" w:lineRule="auto"/>
        <w:tabs>
          <w:tab w:leader="none" w:pos="320" w:val="left"/>
        </w:tabs>
        <w:numPr>
          <w:ilvl w:val="0"/>
          <w:numId w:val="76"/>
        </w:numPr>
        <w:rPr>
          <w:rFonts w:ascii="Arial" w:cs="Arial" w:eastAsia="Arial" w:hAnsi="Arial"/>
          <w:sz w:val="14"/>
          <w:szCs w:val="14"/>
          <w:color w:val="auto"/>
        </w:rPr>
      </w:pPr>
      <w:r>
        <w:rPr>
          <w:rFonts w:ascii="Arial" w:cs="Arial" w:eastAsia="Arial" w:hAnsi="Arial"/>
          <w:sz w:val="14"/>
          <w:szCs w:val="14"/>
          <w:color w:val="auto"/>
        </w:rPr>
        <w:t>Consists of 2,056,939 shares of common stock subject to options that are exercisable within 60 days of Closing.</w:t>
      </w:r>
    </w:p>
    <w:p>
      <w:pPr>
        <w:ind w:left="320" w:hanging="314"/>
        <w:spacing w:after="0" w:line="237" w:lineRule="auto"/>
        <w:tabs>
          <w:tab w:leader="none" w:pos="320" w:val="left"/>
        </w:tabs>
        <w:numPr>
          <w:ilvl w:val="0"/>
          <w:numId w:val="76"/>
        </w:numPr>
        <w:rPr>
          <w:rFonts w:ascii="Arial" w:cs="Arial" w:eastAsia="Arial" w:hAnsi="Arial"/>
          <w:sz w:val="14"/>
          <w:szCs w:val="14"/>
          <w:color w:val="auto"/>
        </w:rPr>
      </w:pPr>
      <w:r>
        <w:rPr>
          <w:rFonts w:ascii="Arial" w:cs="Arial" w:eastAsia="Arial" w:hAnsi="Arial"/>
          <w:sz w:val="14"/>
          <w:szCs w:val="14"/>
          <w:color w:val="auto"/>
        </w:rPr>
        <w:t>Consists of 38,646 shares of common stock subject to options that are exercisable within 60 days of Closing.</w:t>
      </w:r>
    </w:p>
    <w:p>
      <w:pPr>
        <w:ind w:left="320" w:right="20" w:hanging="314"/>
        <w:spacing w:after="0" w:line="237" w:lineRule="auto"/>
        <w:tabs>
          <w:tab w:leader="none" w:pos="312" w:val="left"/>
        </w:tabs>
        <w:numPr>
          <w:ilvl w:val="0"/>
          <w:numId w:val="76"/>
        </w:numPr>
        <w:rPr>
          <w:rFonts w:ascii="Arial" w:cs="Arial" w:eastAsia="Arial" w:hAnsi="Arial"/>
          <w:sz w:val="14"/>
          <w:szCs w:val="14"/>
          <w:color w:val="auto"/>
        </w:rPr>
      </w:pPr>
      <w:r>
        <w:rPr>
          <w:rFonts w:ascii="Arial" w:cs="Arial" w:eastAsia="Arial" w:hAnsi="Arial"/>
          <w:sz w:val="14"/>
          <w:szCs w:val="14"/>
          <w:color w:val="auto"/>
        </w:rPr>
        <w:t>Includes 5,000,000 shares of common stock held indirectly by Casdin Partners Master Fund L.P., and 10,993,750 shares of common stock and 6,736,669 shares of common stock underlying private placement warrants that are exercisable within 60 days of Closing held indirectly by the Sponsor. The Board of Managers of the Sponsor, or CMLS Holdings LLC, is comprised of Mr. Eli Casdin and Mr. Keith Meister who share voting and investment discretion with respect to the common stock held of record by CMLS Holdings LLC. Mr. Casdin is a member of Sema4 Holdings’ board of directors. C-LSH LLC and M-LSH LLC are the members of CMLS Holdings LLC, and Mr. Casdin and Mr. Meister are the managing members of C-LSH LLC and M-LSH LLC, respectively. As such, each of the foregoing may be deemed to have or share beneficial ownership of the common stock held directly by CMLS Holdings LLC. The business address of the Sponsor is c/o Corvex Management LP, 667 Madison Avenue, New York, NY 10065.</w:t>
      </w:r>
    </w:p>
    <w:p>
      <w:pPr>
        <w:ind w:left="320" w:hanging="314"/>
        <w:spacing w:after="0" w:line="237" w:lineRule="auto"/>
        <w:tabs>
          <w:tab w:leader="none" w:pos="320" w:val="left"/>
        </w:tabs>
        <w:numPr>
          <w:ilvl w:val="0"/>
          <w:numId w:val="76"/>
        </w:numPr>
        <w:rPr>
          <w:rFonts w:ascii="Arial" w:cs="Arial" w:eastAsia="Arial" w:hAnsi="Arial"/>
          <w:sz w:val="14"/>
          <w:szCs w:val="14"/>
          <w:color w:val="auto"/>
        </w:rPr>
      </w:pPr>
      <w:r>
        <w:rPr>
          <w:rFonts w:ascii="Arial" w:cs="Arial" w:eastAsia="Arial" w:hAnsi="Arial"/>
          <w:sz w:val="14"/>
          <w:szCs w:val="14"/>
          <w:color w:val="auto"/>
        </w:rPr>
        <w:t>Consists of 25,000 shares of common stock and 166,666 shares of common stock underlying private placement warrants that are exercisable within 60 days of Closing.</w:t>
      </w:r>
    </w:p>
    <w:p>
      <w:pPr>
        <w:ind w:left="320" w:hanging="314"/>
        <w:spacing w:after="0" w:line="237" w:lineRule="auto"/>
        <w:tabs>
          <w:tab w:leader="none" w:pos="320" w:val="left"/>
        </w:tabs>
        <w:numPr>
          <w:ilvl w:val="0"/>
          <w:numId w:val="76"/>
        </w:numPr>
        <w:rPr>
          <w:rFonts w:ascii="Arial" w:cs="Arial" w:eastAsia="Arial" w:hAnsi="Arial"/>
          <w:sz w:val="14"/>
          <w:szCs w:val="14"/>
          <w:color w:val="auto"/>
        </w:rPr>
      </w:pPr>
      <w:r>
        <w:rPr>
          <w:rFonts w:ascii="Arial" w:cs="Arial" w:eastAsia="Arial" w:hAnsi="Arial"/>
          <w:sz w:val="14"/>
          <w:szCs w:val="14"/>
          <w:color w:val="auto"/>
        </w:rPr>
        <w:t>Consists of 136,207 shares of common stock subject to options that are exercisable within 60 days of Closing.</w:t>
      </w:r>
    </w:p>
    <w:p>
      <w:pPr>
        <w:ind w:left="320" w:right="100" w:hanging="314"/>
        <w:spacing w:after="0" w:line="255" w:lineRule="auto"/>
        <w:tabs>
          <w:tab w:leader="none" w:pos="317" w:val="left"/>
        </w:tabs>
        <w:numPr>
          <w:ilvl w:val="0"/>
          <w:numId w:val="76"/>
        </w:numPr>
        <w:rPr>
          <w:rFonts w:ascii="Arial" w:cs="Arial" w:eastAsia="Arial" w:hAnsi="Arial"/>
          <w:sz w:val="13"/>
          <w:szCs w:val="13"/>
          <w:color w:val="auto"/>
        </w:rPr>
      </w:pPr>
      <w:r>
        <w:rPr>
          <w:rFonts w:ascii="Arial" w:cs="Arial" w:eastAsia="Arial" w:hAnsi="Arial"/>
          <w:sz w:val="13"/>
          <w:szCs w:val="13"/>
          <w:color w:val="auto"/>
        </w:rPr>
        <w:t>Consists of 25,000 shares of common stock held by Nat Turner and 166,666 shares of common stock underlying private placement warrants held by NTWJ Holdings, LLC ("NTWJ"), that are exercisable within 60 days of Closing. Mr. Turner is a managing member of NTWJ. The address for NTWJ is 139 Reade Street, New York, New York 10013.</w:t>
      </w:r>
    </w:p>
    <w:p>
      <w:pPr>
        <w:ind w:left="320" w:right="60" w:hanging="314"/>
        <w:spacing w:after="0" w:line="247" w:lineRule="auto"/>
        <w:tabs>
          <w:tab w:leader="none" w:pos="317" w:val="left"/>
        </w:tabs>
        <w:numPr>
          <w:ilvl w:val="0"/>
          <w:numId w:val="76"/>
        </w:numPr>
        <w:rPr>
          <w:rFonts w:ascii="Arial" w:cs="Arial" w:eastAsia="Arial" w:hAnsi="Arial"/>
          <w:sz w:val="14"/>
          <w:szCs w:val="14"/>
          <w:color w:val="auto"/>
        </w:rPr>
      </w:pPr>
      <w:r>
        <w:rPr>
          <w:rFonts w:ascii="Arial" w:cs="Arial" w:eastAsia="Arial" w:hAnsi="Arial"/>
          <w:sz w:val="14"/>
          <w:szCs w:val="14"/>
          <w:color w:val="auto"/>
        </w:rPr>
        <w:t>Consists of (i) 163,254,145 shares of common stock held by all directors and executive officers of the Company as a group, and (ii) 12,879,440 shares of common stock subject to options held by all directors and executive officers of the Company as a group and that are exercisable within 60 days of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00"/>
          </w:cols>
          <w:pgMar w:left="320" w:top="1440" w:right="379" w:bottom="1440" w:gutter="0" w:footer="0" w:header="0"/>
        </w:sectPr>
      </w:pPr>
    </w:p>
    <w:bookmarkStart w:id="148" w:name="page149"/>
    <w:bookmarkEnd w:id="148"/>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17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following summary of the material terms of our securities is not intended to be a complete summary of the rights and preferences of such securities. The full text of the proposed Amended and Restated Certificate of Incorporation is attached as an exhibit to the registration statement of which this prospectus is a part. We urge you to read our Amended and Restated Certificate of Incorporation in its entirety for a complete description of the rights and preferences of our securities.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and Outstanding Stock</w:t>
      </w:r>
    </w:p>
    <w:p>
      <w:pPr>
        <w:spacing w:after="0" w:line="170"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Our Amended and Restated Certificate of Incorporation authorizes the issuance of 400,000,000 shares of Class A common stock, $0.0001 par value per share. The outstanding shares of our common stock are, and the shares of common stock issuable in connection with the Business Combination pursuant to the Merger Agreement and the PIPE Investment will be, duly authorized, validly issued, fully paid and non-assessable. As of the Closing Date, there were 240,190,402 shares of our Class A common stock outstanding, no shares of preferred stock outstanding and 21,995,000 warrants outstanding.</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64"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Our Amended and Restated Certificate of Incorporation provides that the common stock will have identical rights, powers, preferences and privileges to current common stock.</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Power</w:t>
      </w:r>
    </w:p>
    <w:p>
      <w:pPr>
        <w:spacing w:after="0" w:line="16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Except as otherwise required by law or as otherwise provided in any certificate of designation for any series of preferred stock, under the current certificate of incorporation and the Amended and Restated Certificate of Incorporation, the holders of common stock possess or will possess, as applicable, all voting power for the election of our directors and all other matters requiring stockholder action and are entitled or will be entitled, as applicable, to one vote per share on matters to be voted on by stockholders. The holders of common stock shall at all times vote together as one class on all matters submitted to a vote of the holders of common stock under both the current certificate of incorporation and the Amended and Restated Certificate of Incorporation.</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Subject to the rights, if any of the holders of any outstanding shares of preferred stock, under both the current certificate of incorporation and the Amended and Restated Certificate of Incorporation, holders of common stock will be entitled to receive such dividends and other distributions, if any, as may be declared from time to time by our Board in its discretion out of funds legally available therefor and shall share equally on a per share basis in such dividends and distributions.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Dissolution and Winding Up</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the event of the voluntary or involuntary liquidation, dissolution or winding-up of the Company under both the current certificate of incorporation and the Amended and Restated Certificate of Incorporation, the holders of common stock will be entitled to receive all the remaining assets of the Company available for distribution to stockholders, ratably in proportion to the number of shares of common stock held by them, after the rights of the holders of the preferred stock have been satisfied.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Preemptive or Other Rights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Under our Amended and Restated Certificate of Incorporation, our stockholders have no preemptive or other subscription rights and there are no sinking fund or redemption provisions applicable to our common stock.</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of Directors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Under the terms of our Amended and Restated Certificate of Incorporation, upon the effectiveness thereof, the term of the Class I Directors in place at such time will expire at our first annual meeting of the stockholders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11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following the effectiveness of our Amended and Restated Certificate of Incorporation; the term of the Class II Directors in place at such time will expire at our second annual meeting of the stockholders following the effectiveness of our Amended and Restated Certificate of Incorporation; and the term of the Class III Directors in place at such time will expire at our third annual meeting of the stockholders following the effectiveness of our Amended and Restated Certificate of Incorporation.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64"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Our Amended and Restated Certificate of Incorporation provides that shares of preferred stock may be issued from time to time in one or more series. Our Board is authorized to fix the voting rights, if any, designations, powers, preferences and relative, participating, optional, special and other rights, if any, and any qualifications, limitations and restrictions thereof, applicable to the shares of each series. Our Board is able, without stockholder approval, to issue preferred stock with voting and other rights that could adversely affect the voting power and other rights of the holders of the common stock and could have anti-takeover effects. The ability of our Board to issue preferred stock without stockholder approval could have the effect of delaying, deferring or preventing a change of control of us or the removal of existing management. We have no preferred stock outstanding at the date hereof. Although we do not currently intend to issue any shares of preferred stock, we cannot assure you that we will not do so in the future.</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Warrants</w:t>
      </w:r>
    </w:p>
    <w:p>
      <w:pPr>
        <w:spacing w:after="0" w:line="16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Each whole public warrant entitles the registered holder to purchase one share of our Class A common stock at a price of $11.50 per whole share, subject to adjustment as discussed below, at any time commencing on the later of 12 months from the closing of the IPO or 30 days after the completion of the Business Combination. Pursuant to the warrant agreement, a warrant holder may exercise its public warrants only for a whole number of shares of common stock. This means that only a whole public warrant may be exercised at any given time by a warrant holder. No fractional public warrants will be issued upon separation of the units and only whole public warrants will trade. The public warrants will expire five years after the completion of our initial business combination, at 5:00 p.m., New York City time, or earlier upon redemption or liquidation.</w:t>
      </w:r>
    </w:p>
    <w:p>
      <w:pPr>
        <w:spacing w:after="0" w:line="12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are not obligated to deliver any shares of common stock pursuant to the exercise of a public warrant and will have no obligation to settle such public warrant exercise unless a registration statement under the Securities Act with respect to the shares of common stock underlying the public warrants is then effective and a prospectus relating thereto is current, subject to our satisfying our obligations described below with respect to registration. No public warrant will be exercisable for cash or on a cashless basis, and we will not be obligated to issue any shares to holders seeking to exercise their public warrants, unless the issuance of the shares upon such exercise is registered or qualified under the securities laws of the state of the exercising holder, or an exemption is available.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the event that a registration statement is not effective for the exercised public warrants, the purchaser of a unit containing such public warrant will have paid the full purchase price for the unit solely for the share of common stock underlying such unit.</w:t>
      </w:r>
    </w:p>
    <w:p>
      <w:pPr>
        <w:spacing w:after="0" w:line="132"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have agreed that as soon as practicable, but in no event later than 15 business days, after the closing of the Business Combination, we will use our best efforts to file with the SEC a registration statement for the registration, under the Securities Act, of the shares of common stock issuable upon exercise of the public warrants. We will use our best efforts to cause the same to become effective and to maintain the effectiveness of such registration statement, and a current prospectus relating thereto, until the expiration of the public warrants in accordance with the provisions of the warrant agreement. Notwithstanding the above, if our common stock is at the time of any exercise of a public warrant not listed on a national securities exchange such that it satisfies the definition of a “covered security” under Section 18(b)(1) of the Securities Act, we may, at our option, require holders of public warrants who exercise their public warrants to do so a “cashless basis” in accordance with Section 3(a)(9) of the Securities Act (or any successor rule) and, in the event we so elect, we will not be required to file or maintain in effect a registration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statement, but will use our best efforts to register the shares under applicable blue sky laws to the extent an exemption is not available.</w:t>
      </w:r>
    </w:p>
    <w:p>
      <w:pPr>
        <w:spacing w:after="0" w:line="16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i w:val="1"/>
          <w:iCs w:val="1"/>
          <w:color w:val="auto"/>
        </w:rPr>
        <w:t xml:space="preserve">Redemption of Warrants When the Price per Share of Class A Common Stock Equals or Exceeds $18.00 — </w:t>
      </w:r>
      <w:r>
        <w:rPr>
          <w:rFonts w:ascii="Arial" w:cs="Arial" w:eastAsia="Arial" w:hAnsi="Arial"/>
          <w:sz w:val="18"/>
          <w:szCs w:val="18"/>
          <w:color w:val="auto"/>
        </w:rPr>
        <w:t>Once the warrants become exercisable, we</w:t>
      </w:r>
      <w:r>
        <w:rPr>
          <w:rFonts w:ascii="Arial" w:cs="Arial" w:eastAsia="Arial" w:hAnsi="Arial"/>
          <w:sz w:val="18"/>
          <w:szCs w:val="18"/>
          <w:i w:val="1"/>
          <w:iCs w:val="1"/>
          <w:color w:val="auto"/>
        </w:rPr>
        <w:t xml:space="preserve"> </w:t>
      </w:r>
      <w:r>
        <w:rPr>
          <w:rFonts w:ascii="Arial" w:cs="Arial" w:eastAsia="Arial" w:hAnsi="Arial"/>
          <w:sz w:val="18"/>
          <w:szCs w:val="18"/>
          <w:color w:val="auto"/>
        </w:rPr>
        <w:t>may redeem the outstanding Public Warrants:</w:t>
      </w:r>
    </w:p>
    <w:p>
      <w:pPr>
        <w:spacing w:after="0" w:line="128" w:lineRule="exact"/>
        <w:rPr>
          <w:sz w:val="20"/>
          <w:szCs w:val="20"/>
          <w:color w:val="auto"/>
        </w:rPr>
      </w:pPr>
    </w:p>
    <w:p>
      <w:pPr>
        <w:ind w:left="640" w:hanging="316"/>
        <w:spacing w:after="0"/>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at a price of $0.01 per public warrant;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 and</w:t>
      </w:r>
    </w:p>
    <w:p>
      <w:pPr>
        <w:spacing w:after="0" w:line="164" w:lineRule="exact"/>
        <w:rPr>
          <w:rFonts w:ascii="Arial" w:cs="Arial" w:eastAsia="Arial" w:hAnsi="Arial"/>
          <w:sz w:val="18"/>
          <w:szCs w:val="18"/>
          <w:color w:val="auto"/>
        </w:rPr>
      </w:pPr>
    </w:p>
    <w:p>
      <w:pPr>
        <w:ind w:left="640" w:hanging="316"/>
        <w:spacing w:after="0" w:line="294" w:lineRule="auto"/>
        <w:tabs>
          <w:tab w:leader="none" w:pos="635" w:val="left"/>
        </w:tabs>
        <w:numPr>
          <w:ilvl w:val="0"/>
          <w:numId w:val="77"/>
        </w:numPr>
        <w:rPr>
          <w:rFonts w:ascii="Arial" w:cs="Arial" w:eastAsia="Arial" w:hAnsi="Arial"/>
          <w:sz w:val="17"/>
          <w:szCs w:val="17"/>
          <w:color w:val="auto"/>
        </w:rPr>
      </w:pPr>
      <w:r>
        <w:rPr>
          <w:rFonts w:ascii="Arial" w:cs="Arial" w:eastAsia="Arial" w:hAnsi="Arial"/>
          <w:sz w:val="17"/>
          <w:szCs w:val="17"/>
          <w:color w:val="auto"/>
        </w:rPr>
        <w:t>if, and only if, the closing price of the Class A common stock equals or exceeds $18.00 per share (as adjusted) for any 20 trading days within a 30-trading day period ending three trading days before sending the notice of redemption to warrant holders (the “Reference Value”)</w:t>
      </w:r>
    </w:p>
    <w:p>
      <w:pPr>
        <w:spacing w:after="0" w:line="10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If and when the warrants become redeemable by us, we may exercise its redemption right even if it is unable to register or qualify the underlying securities for sale under all applicable state securities laws.</w:t>
      </w:r>
    </w:p>
    <w:p>
      <w:pPr>
        <w:spacing w:after="0" w:line="128"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Redemption of Warrants When the Price per Share of Class A Common Stock Equals or Exceeds $10.00 — Once the warrants become exercisable, we may redeem the outstanding warrants:</w:t>
      </w:r>
    </w:p>
    <w:p>
      <w:pPr>
        <w:spacing w:after="0" w:line="128" w:lineRule="exact"/>
        <w:rPr>
          <w:sz w:val="20"/>
          <w:szCs w:val="20"/>
          <w:color w:val="auto"/>
        </w:rPr>
      </w:pPr>
    </w:p>
    <w:p>
      <w:pPr>
        <w:ind w:left="640" w:hanging="316"/>
        <w:spacing w:after="0"/>
        <w:tabs>
          <w:tab w:leader="none" w:pos="6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64"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78"/>
        </w:numPr>
        <w:rPr>
          <w:rFonts w:ascii="Arial" w:cs="Arial" w:eastAsia="Arial" w:hAnsi="Arial"/>
          <w:sz w:val="18"/>
          <w:szCs w:val="18"/>
          <w:color w:val="auto"/>
        </w:rPr>
      </w:pPr>
      <w:r>
        <w:rPr>
          <w:rFonts w:ascii="Arial" w:cs="Arial" w:eastAsia="Arial" w:hAnsi="Arial"/>
          <w:sz w:val="18"/>
          <w:szCs w:val="18"/>
          <w:color w:val="auto"/>
        </w:rPr>
        <w:t>at $0.10 per warrant upon a minimum of 30 days’ prior written notice of redemption provided that holders will be able to exercise their warrants on a cashless basis prior to redemption and receive that number of shares based on the redemption date and the fair market value of the Class A common stock;</w:t>
      </w:r>
    </w:p>
    <w:p>
      <w:pPr>
        <w:spacing w:after="0" w:line="135"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and only if, the closing price of the Class A common stock equals or exceeds $10.00 per share (as adjusted) for any 20 trading days within the 30-trading day period ending three trading days before we send the notice of redemption to the warrant holders; and</w:t>
      </w:r>
    </w:p>
    <w:p>
      <w:pPr>
        <w:spacing w:after="0" w:line="127" w:lineRule="exact"/>
        <w:rPr>
          <w:rFonts w:ascii="Arial" w:cs="Arial" w:eastAsia="Arial" w:hAnsi="Arial"/>
          <w:sz w:val="18"/>
          <w:szCs w:val="18"/>
          <w:color w:val="auto"/>
        </w:rPr>
      </w:pPr>
    </w:p>
    <w:p>
      <w:pPr>
        <w:jc w:val="both"/>
        <w:ind w:left="640" w:hanging="316"/>
        <w:spacing w:after="0" w:line="277" w:lineRule="auto"/>
        <w:tabs>
          <w:tab w:leader="none" w:pos="635" w:val="left"/>
        </w:tabs>
        <w:numPr>
          <w:ilvl w:val="0"/>
          <w:numId w:val="78"/>
        </w:numPr>
        <w:rPr>
          <w:rFonts w:ascii="Arial" w:cs="Arial" w:eastAsia="Arial" w:hAnsi="Arial"/>
          <w:sz w:val="17"/>
          <w:szCs w:val="17"/>
          <w:color w:val="auto"/>
        </w:rPr>
      </w:pPr>
      <w:r>
        <w:rPr>
          <w:rFonts w:ascii="Arial" w:cs="Arial" w:eastAsia="Arial" w:hAnsi="Arial"/>
          <w:sz w:val="17"/>
          <w:szCs w:val="17"/>
          <w:color w:val="auto"/>
        </w:rPr>
        <w:t>if the closing price of the Class A common stock for any 20 trading days within a 30-trading day period ending three trading days before we sends notice of redemption to the warrant holders is less than $18.00 per share (as adjusted), the Private Placement Warrants must also be concurrently called for redemption on the same terms as the outstanding Public Warrants, as described above.</w:t>
      </w:r>
    </w:p>
    <w:p>
      <w:pPr>
        <w:spacing w:after="0" w:line="118"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public warrants, each warrant holder will be entitled to exercise his, her or its public warrant prior to the scheduled redemption date. However, the price of the common stock may fall below the $18.00 redemption trigger price as well as the $11.50 warrant exercise price after the redemption notice is issued.</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Redemption procedures and cashless exercise.</w:t>
      </w:r>
    </w:p>
    <w:p>
      <w:pPr>
        <w:spacing w:after="0" w:line="16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If we call the public warrants for redemption as described above, our management will have the option to require any holder that wishes to exercise his, her or its public warrant to do so on a “cashless basis.” In determining whether to require all holders to exercise their public warrants on a “cashless basis,” our management will consider, among other factors, our cash position, the number of public warrants that are outstanding and the dilutive effect on our stockholders of issuing the maximum number of shares of common stock issuable upon the exercise of our public warrants. If our management takes advantage of this option, all holders of public warrants would pay the exercise price by surrendering their public warrants for that number of shares of common stock equal to the quotient obtained by dividing (i) the product of the number of shares of common stock underlying the public warrants, multiplied by the difference between the exercise price of the public warrants and the “fair market value” (defined below) by (ii) the fair market value. The “fair market value” shall mean the average reported last sale price of the common stock for the 10 trading days ending on the third trading day prior to the date on which the notice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119"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redemption is sent to the holders of public warrants. If our management takes advantage of this option, the notice of redemption will contain the information necessary to calculate the number of shares of common stock to be received upon exercise of the public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public warrants after our initial business combination. If we call our public warrants for redemption and our management does not take advantage of this option, the Sponsor and its permitted transferees would still be entitled to exercise their private placement warrants for cash or on a cashless basis using the same formula described above that other warrant holders would have been required to use had all warrant holders been required to exercise their public warrants on a cashless basis, as described in more detail below.</w:t>
      </w:r>
    </w:p>
    <w:p>
      <w:pPr>
        <w:spacing w:after="0" w:line="10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 holder of a public warrant may notify us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9.8% (or such other amount as a holder may specify) of the shares of common stock outstanding immediately after giving effect to such exercise.</w:t>
      </w:r>
    </w:p>
    <w:p>
      <w:pPr>
        <w:spacing w:after="0" w:line="138"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i w:val="1"/>
          <w:iCs w:val="1"/>
          <w:color w:val="auto"/>
        </w:rPr>
        <w:t xml:space="preserve">Anti-dilution Adjustments. </w:t>
      </w:r>
      <w:r>
        <w:rPr>
          <w:rFonts w:ascii="Arial" w:cs="Arial" w:eastAsia="Arial" w:hAnsi="Arial"/>
          <w:sz w:val="15"/>
          <w:szCs w:val="15"/>
          <w:color w:val="auto"/>
        </w:rPr>
        <w:t>If the number of outstanding shares of common stock is increased by a stock dividend payable in shares of common stock, or</w:t>
      </w:r>
      <w:r>
        <w:rPr>
          <w:rFonts w:ascii="Arial" w:cs="Arial" w:eastAsia="Arial" w:hAnsi="Arial"/>
          <w:sz w:val="15"/>
          <w:szCs w:val="15"/>
          <w:i w:val="1"/>
          <w:iCs w:val="1"/>
          <w:color w:val="auto"/>
        </w:rPr>
        <w:t xml:space="preserve"> </w:t>
      </w:r>
      <w:r>
        <w:rPr>
          <w:rFonts w:ascii="Arial" w:cs="Arial" w:eastAsia="Arial" w:hAnsi="Arial"/>
          <w:sz w:val="15"/>
          <w:szCs w:val="15"/>
          <w:color w:val="auto"/>
        </w:rPr>
        <w:t>by a split-up of shares of common stock or other similar event, then, on the effective date of such stock dividend, split-up or similar event, the number of shares of common stock issuable on exercise of each public warrant will be increased in proportion to such increase in the outstanding shares of common stock. A rights offering to holders of common stock entitling holders to purchase shares of common stock at a price less than the fair market value will be deemed a stock dividend of a number of shares of common stock equal to the product of (i) the number of shares of common stock actually sold in such rights offering (or issuable under any other equity securities sold in such rights offering that are convertible into or exercisable for common stock) multiplied by (ii) one minus the quotient of (a) the price per share of common stock paid in such rights offering divided by (b) the fair market value. For these purposes (1) if the rights offering is for securities convertible into or exercisable for common stock, in determining the price payable for common stock, there will be taken into account any consideration received for such rights, as well as any additional amount payable upon exercise or conversion and (2) fair market value means the volume weighted average price of common stock as reported during the 10 trading day period ending on the trading day prior to the first date on which the shares of common stock trade on the applicable exchange or in the applicable market, regular way, without the right to receive such rights.</w:t>
      </w:r>
    </w:p>
    <w:p>
      <w:pPr>
        <w:spacing w:after="0" w:line="104"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In addition, if we, at any time while the public warrants are outstanding and unexpired, pay a dividend or make a distribution in cash, securities or other assets to the holders of common stock on account of such shares of common stock (or other shares of our capital stock into which the public warrants are convertible), other than (i) as described above; (ii) certain ordinary cash dividends; (iii) to satisfy the redemption rights of the holders of common stock in connection with a proposed initial business combination; (iv) to satisfy the redemption rights of the holders of common stock in connection with a stockholder vote to amend our current certificate of incorporation to modify the substance or timing of our obligation to redeem 100% of our public shares if we do not complete a business combination within 24 months from the closing of the CMLS IPO, or (v) in connection with the redemption of our public shares upon our failure to complete our initial business combination, then the warrant exercise price will be decreased, effective immediately after the effective date of such event, by the amount of cash and/or the fair market value of any securities or other assets paid on each share of common stock in respect of such event.</w:t>
      </w:r>
    </w:p>
    <w:p>
      <w:pPr>
        <w:spacing w:after="0" w:line="10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If the number of outstanding shares of our common stock is decreased by a consolidation, combination, reverse stock split or reclassification of shares of common stock or other similar event, then, on the effective date of such consolidation, combination, reverse stock split, reclassification or similar event, the number of shares of common stock issuable on exercise of each public warrant will be decreased in proportion to such decrease in outstanding shares of common stock.</w:t>
      </w:r>
    </w:p>
    <w:p>
      <w:pPr>
        <w:spacing w:after="0" w:line="13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Whenever the number of shares of common stock purchasable upon the exercise of the public warrants is adjusted, as described above, the warrant exercise price will be adjusted by multiplying the warrant exercise price immediately prior to such adjustment by a fraction (x) the numerator of which will be the number of shares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common stock purchasable upon the exercise of the public warrants immediately prior to such adjustment, and (y) the denominator of which will be the number of shares of common stock so purchasable immediately thereafter.</w:t>
      </w:r>
    </w:p>
    <w:p>
      <w:pPr>
        <w:spacing w:after="0" w:line="128"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In case of any reclassification or reorganization of the outstanding shares of common stock (other than those described above or that solely affects the par value of such shares of common stock), or in the case of any merger or consolidation of us with or into another corporation (other than a consolidation or merger in which we are the continuing corporation and that does not result in any reclassification or reorganization of our outstanding shares of common stock), or in the case of any sale or conveyance to another corporation or entity of the assets or other property of us as an entirety or substantially as an entirety in connection with which we are dissolved, the holders of the public warrants will thereafter have the right to purchase and receive, upon the basis and upon the terms and conditions specified in the public warrants and in lieu of the shares of our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 Additionally, if less than 70% of the consideration receivable by the holders of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public warrant properly exercises the public warrant within 30 days following public disclosure of such transaction, the warrant exercise price will be reduced as specified in the warrant agreement based on the per share consideration minus Black-Scholes Warrant Value (as defined in the warrant agreement) of the public warrant.</w:t>
      </w:r>
    </w:p>
    <w:p>
      <w:pPr>
        <w:spacing w:after="0" w:line="32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public warrants have been issued in registered form under a warrant agreement between Continental Stock Transfer &amp; Trust Company, as warrant agent, and us. You should review a copy of the warrant agreement, which is filed as an exhibit to the registration statement pertaining to the CMLS IPO, for a complete description of the terms and conditions applicable to the public warrants. The warrant agreement provides that the terms of the public warrants may be amended without the consent of any holder to cure any ambiguity or correct any defective provision, but requires the approval by the holders of at least 50% of the then outstanding public warrants to make any change that adversely affects the interests of the registered holders of public warrants.</w:t>
      </w:r>
    </w:p>
    <w:p>
      <w:pPr>
        <w:spacing w:after="0" w:line="98"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public warrants being exercised. The warrant holders do not have the rights or privileges of holders of common stock and any voting rights until they exercise their public warrants and receive shares of common stock. After the issuance of shares of common stock upon exercise of the public warrants, each holder will be entitled to one vote for each share held of record on all matters to be voted on by stockholders.</w:t>
      </w:r>
    </w:p>
    <w:p>
      <w:pPr>
        <w:spacing w:after="0" w:line="143"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Warrants may be exercised only for a whole number of shares of common stock. No fractional shares will be issued upon exercise of the public warrants. If, upon exercise of the public warrants, a holder would be entitled to receive a fractional interest in a share, we will, upon exercise, round down to the nearest whole number the number of shares of common stock to be issued to the warrant holder. As a result, warrant holders not purchasing public warrants in multiples of three warrants will not obtain value from the fractional interest that will not be issued.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Sponsor and Mr. Islam and Dr. Leproust purchased an aggregate of 7,236,667 private placement warrants at a price of $1.50 per warrant for an aggregate purchase price of $10,855,000 in a private placement. The private placement warrants (including the common stock issuable upon exercise of the private placement warrants) will not be transferable, assignable or salable until 30 days after the completion of our initial business combination. Otherwise, the private placement warrants have terms and provisions that are identical to those of the warrants sold as part of the units in our IPO, including as to exercisability and exercise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119"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The Private Placement Warrants are identical to the Public Warrants underlying the Units sold in the CMLS Initial Public Offering, except that (1) the Private Placement Warrants and the Class A common stock issuable upon the exercise of the Private Placement Warrants will not be transferable, assignable or saleable until 30 days after the completion of a Business Combination, subject to certain limited exceptions, (2) the Private Placement Warrants will be exercisable on a cashless basis, (3) the Private Placement Warrants will be non-redeemable (except as described above in “Redemption of Warrants When the Price per Share of Class A common stock Equals or Exceeds $10.00”) so long as they are held by the initial purchasers or their permitted transferees, and (4) the holders of the Private Placement Warrants and the Class A common stock issuable upon the exercise of the Private Placement Warrants will have certain registration rights. If the Private Placement Warrants are held by someone other than the initial purchasers or their permitted transferees, the Private Placement Warrants will be redeemable by us and exercisable by such holders on the same basis as the Public Warrants.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70"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have not paid any cash dividends on our common stock to date and do not intend to pay cash dividends prior to the completion of a business combination. The payment of cash dividends in the future will be dependent upon our revenues and earnings, if any, capital requirements and general financial condition subsequent to completion of a business combination. The payment of any cash dividends subsequent to a business combination will be within the discretion of our Board at such time. In addition, our Board is not currently contemplating and does not anticipate declaring any stock dividends in the foreseeable future. Further, if we incur any indebtedness, our ability to declare dividends may be limited by restrictive covenants we may agree to in connection therewith.</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Warrant Agent</w:t>
      </w:r>
    </w:p>
    <w:p>
      <w:pPr>
        <w:spacing w:after="0" w:line="170"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Transfer Agent for our common stock and warrant agent for our warrants is Continental Stock Transfer &amp; Trust Company. We have agreed to indemnify Continental Stock Transfer &amp; Trust Company in its roles as transfer agent and warrant agent, its agents and each of its stockholders, directors, officers and employees against all liabilities, including judgments, costs and reasonable counsel fees that may arise out of acts performed or omitted for its activities in that capacity, except for any liability due to any gross negligence, willful misconduct or bad faith of the indemnified person or entity.</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Provisions of Delaware Law and Our Amended and Restated Certificate of Incorporation and Bylaws</w:t>
      </w:r>
    </w:p>
    <w:p>
      <w:pPr>
        <w:spacing w:after="0" w:line="170"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Provisions of the DGCL and our Amended and Restated Certificate of Incorporation could make it more difficult to acquire us by means of a tender offer, a proxy contest or otherwise, or to remove incumbent officers and directors. These provisions, summarized below, are intended to discourage coercive takeover practices and inadequate takeover bids and to encourage persons seeking to acquire control of us to first negotiate with the board of directors. We believe that the benefits of these provisions outweigh the disadvantages of discouraging certain takeover or acquisition proposals because, among other things, negotiation of these proposals could result in an improvement of their terms and enhance the ability of our Board to maximize stockholder value. However, these provisions may delay, deter or prevent a merger or acquisition of us that a stockholder might consider is in its best interest, including those attempts that might result in a premium over the prevailing market price of the common stock.</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 addition, our Amended and Restated Certificate of Incorporation provide for certain other provisions that may have an anti-takeover effect:</w:t>
      </w:r>
    </w:p>
    <w:p>
      <w:pPr>
        <w:spacing w:after="0" w:line="176" w:lineRule="exact"/>
        <w:rPr>
          <w:sz w:val="20"/>
          <w:szCs w:val="20"/>
          <w:color w:val="auto"/>
        </w:rPr>
      </w:pPr>
    </w:p>
    <w:p>
      <w:pPr>
        <w:ind w:left="640" w:hanging="316"/>
        <w:spacing w:after="0"/>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There is no cumulative voting with respect to the election of directors.</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79"/>
        </w:numPr>
        <w:rPr>
          <w:rFonts w:ascii="Arial" w:cs="Arial" w:eastAsia="Arial" w:hAnsi="Arial"/>
          <w:sz w:val="18"/>
          <w:szCs w:val="18"/>
          <w:color w:val="auto"/>
        </w:rPr>
      </w:pPr>
      <w:r>
        <w:rPr>
          <w:rFonts w:ascii="Arial" w:cs="Arial" w:eastAsia="Arial" w:hAnsi="Arial"/>
          <w:sz w:val="18"/>
          <w:szCs w:val="18"/>
          <w:color w:val="auto"/>
        </w:rPr>
        <w:t>Our Board is empowered to elect a director to fill a vacancy created by the expansion of the Board or the resignation, death, or removal of a director in certain circumstances.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Directors may only be removed from the Board for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119" w:lineRule="exact"/>
        <w:rPr>
          <w:sz w:val="20"/>
          <w:szCs w:val="20"/>
          <w:color w:val="auto"/>
        </w:rPr>
      </w:pPr>
    </w:p>
    <w:p>
      <w:pPr>
        <w:ind w:left="640" w:hanging="316"/>
        <w:spacing w:after="0" w:line="264" w:lineRule="auto"/>
        <w:tabs>
          <w:tab w:leader="none" w:pos="635" w:val="left"/>
        </w:tabs>
        <w:numPr>
          <w:ilvl w:val="0"/>
          <w:numId w:val="80"/>
        </w:numPr>
        <w:rPr>
          <w:rFonts w:ascii="Arial" w:cs="Arial" w:eastAsia="Arial" w:hAnsi="Arial"/>
          <w:sz w:val="18"/>
          <w:szCs w:val="18"/>
          <w:color w:val="auto"/>
        </w:rPr>
      </w:pPr>
      <w:r>
        <w:rPr>
          <w:rFonts w:ascii="Arial" w:cs="Arial" w:eastAsia="Arial" w:hAnsi="Arial"/>
          <w:sz w:val="18"/>
          <w:szCs w:val="18"/>
          <w:color w:val="auto"/>
        </w:rPr>
        <w:t>Our Board will be classified into three classes of directors. As a result, in most circumstances, a person can gain control of our Board by successfully engaging in a proxy contest at two or more annual meetings.</w:t>
      </w:r>
    </w:p>
    <w:p>
      <w:pPr>
        <w:spacing w:after="0" w:line="12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27" w:lineRule="exact"/>
        <w:rPr>
          <w:rFonts w:ascii="Arial" w:cs="Arial" w:eastAsia="Arial" w:hAnsi="Arial"/>
          <w:sz w:val="18"/>
          <w:szCs w:val="18"/>
          <w:color w:val="auto"/>
        </w:rPr>
      </w:pPr>
    </w:p>
    <w:p>
      <w:pPr>
        <w:ind w:left="640" w:hanging="316"/>
        <w:spacing w:after="0" w:line="365" w:lineRule="auto"/>
        <w:tabs>
          <w:tab w:leader="none" w:pos="635" w:val="left"/>
        </w:tabs>
        <w:numPr>
          <w:ilvl w:val="0"/>
          <w:numId w:val="80"/>
        </w:numPr>
        <w:rPr>
          <w:rFonts w:ascii="Arial" w:cs="Arial" w:eastAsia="Arial" w:hAnsi="Arial"/>
          <w:sz w:val="15"/>
          <w:szCs w:val="15"/>
          <w:color w:val="auto"/>
        </w:rPr>
      </w:pPr>
      <w:r>
        <w:rPr>
          <w:rFonts w:ascii="Arial" w:cs="Arial" w:eastAsia="Arial" w:hAnsi="Arial"/>
          <w:sz w:val="15"/>
          <w:szCs w:val="15"/>
          <w:color w:val="auto"/>
        </w:rPr>
        <w:t>A prohibition on stockholders calling a special meeting and the requirement that a meeting of stockholders may only be called by members of our Board, which may delay the ability of our stockholders to force consideration of a proposal or to take action, including the removal of directors.</w:t>
      </w:r>
    </w:p>
    <w:p>
      <w:pPr>
        <w:spacing w:after="0" w:line="58" w:lineRule="exact"/>
        <w:rPr>
          <w:rFonts w:ascii="Arial" w:cs="Arial" w:eastAsia="Arial" w:hAnsi="Arial"/>
          <w:sz w:val="15"/>
          <w:szCs w:val="15"/>
          <w:color w:val="auto"/>
        </w:rPr>
      </w:pPr>
    </w:p>
    <w:p>
      <w:pPr>
        <w:jc w:val="both"/>
        <w:ind w:left="640" w:hanging="316"/>
        <w:spacing w:after="0" w:line="312" w:lineRule="auto"/>
        <w:tabs>
          <w:tab w:leader="none" w:pos="635" w:val="left"/>
        </w:tabs>
        <w:numPr>
          <w:ilvl w:val="0"/>
          <w:numId w:val="80"/>
        </w:numPr>
        <w:rPr>
          <w:rFonts w:ascii="Arial" w:cs="Arial" w:eastAsia="Arial" w:hAnsi="Arial"/>
          <w:sz w:val="15"/>
          <w:szCs w:val="15"/>
          <w:color w:val="auto"/>
        </w:rPr>
      </w:pPr>
      <w:r>
        <w:rPr>
          <w:rFonts w:ascii="Arial" w:cs="Arial" w:eastAsia="Arial" w:hAnsi="Arial"/>
          <w:sz w:val="15"/>
          <w:szCs w:val="15"/>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Our Board is entitled, without further stockholder approval, to designate one or more series of preferred stock and the associated voting rights, preferences and privileges of such series of preferred stock. The existence of authorized but unissued and unreserved common stock and preferred stock could render more difficult or discourage an attempt to obtain control of us by means of a proxy contest, tender offer, merger or otherwise.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Forum Selection Clause</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Amended and Restated Certificate of Incorporation includes a forum selection clause. The Amended and Restated Certificate of Incorporation provides that, subject to limited exceptions, the Court of Chancery of the State of Delaware and federal court within the State of Delaware will be exclusive forums for any</w:t>
      </w:r>
    </w:p>
    <w:p>
      <w:pPr>
        <w:spacing w:after="0" w:line="135" w:lineRule="exact"/>
        <w:rPr>
          <w:sz w:val="20"/>
          <w:szCs w:val="20"/>
          <w:color w:val="auto"/>
        </w:rPr>
      </w:pPr>
    </w:p>
    <w:p>
      <w:pPr>
        <w:ind w:left="640" w:hanging="316"/>
        <w:spacing w:after="0"/>
        <w:tabs>
          <w:tab w:leader="none" w:pos="6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derivative action or proceeding brought on our behalf;</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81"/>
        </w:numPr>
        <w:rPr>
          <w:rFonts w:ascii="Arial" w:cs="Arial" w:eastAsia="Arial" w:hAnsi="Arial"/>
          <w:sz w:val="18"/>
          <w:szCs w:val="18"/>
          <w:color w:val="auto"/>
        </w:rPr>
      </w:pPr>
      <w:r>
        <w:rPr>
          <w:rFonts w:ascii="Arial" w:cs="Arial" w:eastAsia="Arial" w:hAnsi="Arial"/>
          <w:sz w:val="18"/>
          <w:szCs w:val="18"/>
          <w:color w:val="auto"/>
        </w:rPr>
        <w:t>action asserting a claim of breach of a fiduciary duty owed by, or other wrongdoing by, any of our directors, officers, stockholders, employees or agents to us or our stockholders;</w:t>
      </w:r>
    </w:p>
    <w:p>
      <w:pPr>
        <w:spacing w:after="0" w:line="127"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81"/>
        </w:numPr>
        <w:rPr>
          <w:rFonts w:ascii="Arial" w:cs="Arial" w:eastAsia="Arial" w:hAnsi="Arial"/>
          <w:sz w:val="18"/>
          <w:szCs w:val="18"/>
          <w:color w:val="auto"/>
        </w:rPr>
      </w:pPr>
      <w:r>
        <w:rPr>
          <w:rFonts w:ascii="Arial" w:cs="Arial" w:eastAsia="Arial" w:hAnsi="Arial"/>
          <w:sz w:val="18"/>
          <w:szCs w:val="18"/>
          <w:color w:val="auto"/>
        </w:rPr>
        <w:t>action asserting a claim against us or any of our directors, officers, stockholders, employees or agents arising pursuant to any provision of the DGCL, our Amended and Restated Certificate of Incorporation or Bylaws or as to which the DGCL confers jurisdiction on the Court of Chancery of the State of Delaware:</w:t>
      </w:r>
    </w:p>
    <w:p>
      <w:pPr>
        <w:spacing w:after="0" w:line="135" w:lineRule="exact"/>
        <w:rPr>
          <w:rFonts w:ascii="Arial" w:cs="Arial" w:eastAsia="Arial" w:hAnsi="Arial"/>
          <w:sz w:val="18"/>
          <w:szCs w:val="18"/>
          <w:color w:val="auto"/>
        </w:rPr>
      </w:pPr>
    </w:p>
    <w:p>
      <w:pPr>
        <w:ind w:left="640" w:hanging="316"/>
        <w:spacing w:after="0"/>
        <w:tabs>
          <w:tab w:leader="none" w:pos="6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action to interpret, apply, enforce or determine the validity of our Amended and Restated Certificate of Incorporation or the Bylaws; or</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81"/>
        </w:numPr>
        <w:rPr>
          <w:rFonts w:ascii="Arial" w:cs="Arial" w:eastAsia="Arial" w:hAnsi="Arial"/>
          <w:sz w:val="18"/>
          <w:szCs w:val="18"/>
          <w:color w:val="auto"/>
        </w:rPr>
      </w:pPr>
      <w:r>
        <w:rPr>
          <w:rFonts w:ascii="Arial" w:cs="Arial" w:eastAsia="Arial" w:hAnsi="Arial"/>
          <w:sz w:val="18"/>
          <w:szCs w:val="18"/>
          <w:color w:val="auto"/>
        </w:rPr>
        <w:t>other action asserting a claim against us or any of our directors, officers, stockholders, employees or agents that is governed by the internal affairs doctrine.</w:t>
      </w:r>
    </w:p>
    <w:p>
      <w:pPr>
        <w:spacing w:after="0" w:line="128" w:lineRule="exact"/>
        <w:rPr>
          <w:sz w:val="20"/>
          <w:szCs w:val="20"/>
          <w:color w:val="auto"/>
        </w:rPr>
      </w:pPr>
    </w:p>
    <w:p>
      <w:pPr>
        <w:jc w:val="both"/>
        <w:ind w:firstLine="318"/>
        <w:spacing w:after="0" w:line="264" w:lineRule="auto"/>
        <w:rPr>
          <w:rFonts w:ascii="Arial" w:cs="Arial" w:eastAsia="Arial" w:hAnsi="Arial"/>
          <w:sz w:val="17"/>
          <w:szCs w:val="17"/>
          <w:color w:val="auto"/>
        </w:rPr>
      </w:pPr>
      <w:r>
        <w:rPr>
          <w:rFonts w:ascii="Arial" w:cs="Arial" w:eastAsia="Arial" w:hAnsi="Arial"/>
          <w:sz w:val="17"/>
          <w:szCs w:val="17"/>
          <w:color w:val="auto"/>
        </w:rPr>
        <w:t>This choice of forum provision does not apply to actions brought to enforce a duty or liability created by the Exchange Act or any other claim for which federal courts have exclusive jurisdiction. Furthermore, in accordance with our Bylaws, unless we consent in writing to the selection of an alternative forum, the federal district courts of the United States will be, to the fullest extent permitted by law, the exclusive forum for the resolution of any complaint asserting a cause of action arising under the Securities Act. We intend for this provision to apply to any complaints asserting a cause of action under the Securities Act despite the fact that Section 22 of the Securities Act creates concurrent jurisdiction for the federal and state courts over all actions brought to enforce any duty or liability created by the Securities Act or the rules and regulations promulgated thereunder. Please see “</w:t>
      </w:r>
      <w:hyperlink w:anchor="page17">
        <w:r>
          <w:rPr>
            <w:rFonts w:ascii="Arial" w:cs="Arial" w:eastAsia="Arial" w:hAnsi="Arial"/>
            <w:sz w:val="17"/>
            <w:szCs w:val="17"/>
            <w:i w:val="1"/>
            <w:iCs w:val="1"/>
            <w:u w:val="single" w:color="auto"/>
            <w:color w:val="0000FF"/>
          </w:rPr>
          <w:t>Risk Factors</w:t>
        </w:r>
        <w:r>
          <w:rPr>
            <w:rFonts w:ascii="Arial" w:cs="Arial" w:eastAsia="Arial" w:hAnsi="Arial"/>
            <w:sz w:val="17"/>
            <w:szCs w:val="17"/>
            <w:u w:val="single" w:color="auto"/>
            <w:color w:val="auto"/>
          </w:rPr>
          <w:t xml:space="preserve"> </w:t>
        </w:r>
      </w:hyperlink>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The Amended and Restated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Certificate of Incorporation designates the Court of Chancery of the State of Delaware and federal court within the State of Delaware as the exclusive forum for certain types of actions and proceedings that our stockholders may initiate, which could limit a stockholder’s ability to obtain a favorable judicial forum for disputes with us or our directors, officers or employees.” </w:t>
      </w:r>
      <w:r>
        <w:rPr>
          <w:rFonts w:ascii="Arial" w:cs="Arial" w:eastAsia="Arial" w:hAnsi="Arial"/>
          <w:sz w:val="17"/>
          <w:szCs w:val="17"/>
          <w:color w:val="auto"/>
        </w:rPr>
        <w:t>for additional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 and Restrictions on the Use of Rule 144 by Shell Companies or Former Shell Companies</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general, Rule 144 of the Securities Act, which we refer to as “Rule 144”, permits the resale of restricted securities without registration under the Securities Act if certain conditions are met. Rule 144 is not available for the resale of restricted securities initially issued by shell companies (other than business combination related shell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11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companies) or issuers that have been at any time previously a shell company, including us. However, Rule 144 also includes an important exception to this prohibition if the following conditions are met at the time of such resale:</w:t>
      </w:r>
    </w:p>
    <w:p>
      <w:pPr>
        <w:spacing w:after="0" w:line="128" w:lineRule="exact"/>
        <w:rPr>
          <w:sz w:val="20"/>
          <w:szCs w:val="20"/>
          <w:color w:val="auto"/>
        </w:rPr>
      </w:pPr>
    </w:p>
    <w:p>
      <w:pPr>
        <w:ind w:left="640" w:hanging="316"/>
        <w:spacing w:after="0"/>
        <w:tabs>
          <w:tab w:leader="none" w:pos="6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issuer of the securities that was formerly a shell company has ceased to be a shell company;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12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82"/>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12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anticipate that following the consummation of the Business Combination, we will no longer be a shell company, and as long as the conditions set forth in the exceptions listed above are satisfied, Rule 144 will become available for the resale of our restricted securities.</w:t>
      </w:r>
    </w:p>
    <w:p>
      <w:pPr>
        <w:spacing w:after="0" w:line="12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 xml:space="preserve">If the above conditions have been met and Rule 144 is available, a person who has beneficially owned restricted shares of our common stock or warrants for at least one year would be entitled to sell their securities pursuant to Rule 144,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person is not deemed to have been one of our affiliates at the time of, or at any time during the three months preceding, a sale. If such persons are our affiliates at the time of, or at any time during the three months preceding, a sale, such persons would be subject to additional restrictions, by which such person would be entitled to sell within any three-month period only a number of securities that does not exceed the greater of:</w:t>
      </w:r>
    </w:p>
    <w:p>
      <w:pPr>
        <w:spacing w:after="0" w:line="141" w:lineRule="exact"/>
        <w:rPr>
          <w:sz w:val="20"/>
          <w:szCs w:val="20"/>
          <w:color w:val="auto"/>
        </w:rPr>
      </w:pPr>
    </w:p>
    <w:p>
      <w:pPr>
        <w:ind w:left="640" w:hanging="316"/>
        <w:spacing w:after="0"/>
        <w:tabs>
          <w:tab w:leader="none" w:pos="6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1% of the total number of shares of common stock or warrants, as applicable, then outstanding; or</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average weekly reported trading volume of the common stock or warrants, as applicable, during the four calendar weeks preceding the filing of a notice on Form 144 with respect to the sale.</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Sales by affiliates under Rule 144, when available, will also limited by manner of sale provisions and notice requirements.</w:t>
      </w:r>
    </w:p>
    <w:p>
      <w:pPr>
        <w:spacing w:after="0" w:line="164"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As of July 22, 2021, we had 240,190,402 shares of common stock outstanding, of which 44,264,812 shares are freely tradable without restriction or further registration under the Securities Act, except for any shares purchased by one of our affiliates. All of the 11,068,750 Founder Shares owned by our Initial Stockholders are restricted securities under Rule 144, in that they were issued in private transactions not involving a public offering. In connection with the Business Combination, the PIPE Investors purchased an aggregate of 35,000,000 shares of common stock at $10.00 per share, for an aggregate purchase price of $350,000,000. The issuance of the common stock in this PIPE Financing was not registered under the Securities Act, and instead was issued in reliance upon the exemption provided in Section 4(a)(2) of the Securities Act. We granted the PIPE Investors certain customary registration rights.</w:t>
      </w:r>
    </w:p>
    <w:p>
      <w:pPr>
        <w:spacing w:after="0" w:line="99"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As of the Closing, there were 21,995,000 of our warrants outstanding, consisting of 14,758,333 public warrants originally sold as part of the units issued in the CMLS IPO and 7,236,667 private placement warrants that were sold by us to the Sponsor and certain of the other Initial Stockholders in a private sale concurrently with the CMLS IPO. Each warrant is exercisable for three-quarters of one share of our common stock, in accordance with the terms of the warrant agreement governing the warrants. The public warrants and are freely tradable, except for any warrants purchased by one of our affiliates within the meaning of Rule 144 under the Securities Act.</w:t>
      </w:r>
    </w:p>
    <w:p>
      <w:pPr>
        <w:spacing w:after="0" w:line="14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expect Rule 144 to be available for the resale of the above noted restricted securities as long as the conditions set forth in the exceptions listed above are satisfied following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CMLS Registration Rights</w:t>
      </w:r>
    </w:p>
    <w:p>
      <w:pPr>
        <w:spacing w:after="0" w:line="16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holders of the Founder Shares, private placement warrants (and any shares of common stock issuable upon the exercise of the private placement warrants), and securities that may be issued upon conversion of working capital loans are entitled to registration rights pursuant to a registration rights agreement signed February 9, 2021, requiring us to register such securities for resale. The holders of the majority of these securities are entitled to make up to three demands, excluding short form demands, that we register such securities. In addition, the holders have certain “piggy-back” registration rights with respect to registration statements filed subsequent to the completion of a business combination and rights to require us to register for resale such securities pursuant to Rule 415 under the Securities Act. However, the registration rights agreement provides that we will not permit any registration statement filed under the Securities Act to become effective until termination of the applicable lock-up period. We will bear the expenses incurred in connection with the filing of any such registration statements.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6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Following the expiration of the Founder Shares Lock-Up Period, the Private Placement Lock-Up Period or any other applicable lock-up period, holders of at least a majority in interest of the then-outstanding number of registrable securities held by the holders or any holder expecting to sell registrable securities yielding aggregate gross proceeds in excess of $50,000,000 may make a written demand for registration of all or part of their registrable securities. We will within five days of our receipt of the demand, notify, in writing all other Holders of registrable securities of such demand. Each holder who will want to participate in the registration will notify us, in writing, within five days after the receipt by the holder of the notice from us. Upon receipt by us of any such written notification from a holder(s) to us such holder(s) will be entitled to have their registrable securities included in a registration more than 60 days immediately after our receipt of the demand.</w:t>
      </w:r>
    </w:p>
    <w:p>
      <w:pPr>
        <w:spacing w:after="0" w:line="14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Under no circumstances will we be obligated to effect more than an aggregate of three registrations pursuant to a demand by the existing holders and an aggregate of five registrations pursuant to a demand by the new holders with respect to any or all registrable securities.</w:t>
      </w:r>
    </w:p>
    <w:p>
      <w:pPr>
        <w:spacing w:after="0" w:line="128"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Notwithstanding the foregoing, (i) we shall not be required to give effect to a demand from a holder if we have registered registrable securities pursuant to a demand (which has become effective) from such holder in the preceding 120 days, and (ii) our obligations with respect to any demand will be deemed satisfied so long as the registration statement filed includes all of such holder’s registrable securities and is effective.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64"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 xml:space="preserve">If we propose to file a registration statement under the Securities Act with respect to an offering of equity securities, or securities or other obligations exercisable or exchangeable for, or convertible into equity securities, for its own account or for the account of our stockholders, other than a registration statement </w:t>
      </w:r>
      <w:r>
        <w:rPr>
          <w:rFonts w:ascii="Arial" w:cs="Arial" w:eastAsia="Arial" w:hAnsi="Arial"/>
          <w:sz w:val="15"/>
          <w:szCs w:val="15"/>
          <w:i w:val="1"/>
          <w:iCs w:val="1"/>
          <w:color w:val="auto"/>
        </w:rPr>
        <w:t>(a)</w:t>
      </w:r>
      <w:r>
        <w:rPr>
          <w:rFonts w:ascii="Arial" w:cs="Arial" w:eastAsia="Arial" w:hAnsi="Arial"/>
          <w:sz w:val="15"/>
          <w:szCs w:val="15"/>
          <w:color w:val="auto"/>
        </w:rPr>
        <w:t xml:space="preserve"> filed in connection with any employee stock option or other benefit plan, </w:t>
      </w:r>
      <w:r>
        <w:rPr>
          <w:rFonts w:ascii="Arial" w:cs="Arial" w:eastAsia="Arial" w:hAnsi="Arial"/>
          <w:sz w:val="15"/>
          <w:szCs w:val="15"/>
          <w:i w:val="1"/>
          <w:iCs w:val="1"/>
          <w:color w:val="auto"/>
        </w:rPr>
        <w:t>(b)</w:t>
      </w:r>
      <w:r>
        <w:rPr>
          <w:rFonts w:ascii="Arial" w:cs="Arial" w:eastAsia="Arial" w:hAnsi="Arial"/>
          <w:sz w:val="15"/>
          <w:szCs w:val="15"/>
          <w:color w:val="auto"/>
        </w:rPr>
        <w:t xml:space="preserve"> for an exchange offer or offering of securities solely to our existing stockholders, </w:t>
      </w:r>
      <w:r>
        <w:rPr>
          <w:rFonts w:ascii="Arial" w:cs="Arial" w:eastAsia="Arial" w:hAnsi="Arial"/>
          <w:sz w:val="15"/>
          <w:szCs w:val="15"/>
          <w:i w:val="1"/>
          <w:iCs w:val="1"/>
          <w:color w:val="auto"/>
        </w:rPr>
        <w:t>(c)</w:t>
      </w:r>
      <w:r>
        <w:rPr>
          <w:rFonts w:ascii="Arial" w:cs="Arial" w:eastAsia="Arial" w:hAnsi="Arial"/>
          <w:sz w:val="15"/>
          <w:szCs w:val="15"/>
          <w:color w:val="auto"/>
        </w:rPr>
        <w:t xml:space="preserve"> for an offering solely of debt that is convertible into our equity securities, </w:t>
      </w:r>
      <w:r>
        <w:rPr>
          <w:rFonts w:ascii="Arial" w:cs="Arial" w:eastAsia="Arial" w:hAnsi="Arial"/>
          <w:sz w:val="15"/>
          <w:szCs w:val="15"/>
          <w:i w:val="1"/>
          <w:iCs w:val="1"/>
          <w:color w:val="auto"/>
        </w:rPr>
        <w:t>(d)</w:t>
      </w:r>
      <w:r>
        <w:rPr>
          <w:rFonts w:ascii="Arial" w:cs="Arial" w:eastAsia="Arial" w:hAnsi="Arial"/>
          <w:sz w:val="15"/>
          <w:szCs w:val="15"/>
          <w:color w:val="auto"/>
        </w:rPr>
        <w:t xml:space="preserve"> for a dividend reinvestment plan, </w:t>
      </w:r>
      <w:r>
        <w:rPr>
          <w:rFonts w:ascii="Arial" w:cs="Arial" w:eastAsia="Arial" w:hAnsi="Arial"/>
          <w:sz w:val="15"/>
          <w:szCs w:val="15"/>
          <w:i w:val="1"/>
          <w:iCs w:val="1"/>
          <w:color w:val="auto"/>
        </w:rPr>
        <w:t>(e)</w:t>
      </w:r>
      <w:r>
        <w:rPr>
          <w:rFonts w:ascii="Arial" w:cs="Arial" w:eastAsia="Arial" w:hAnsi="Arial"/>
          <w:sz w:val="15"/>
          <w:szCs w:val="15"/>
          <w:color w:val="auto"/>
        </w:rPr>
        <w:t xml:space="preserve"> for any issuances of securities in connection with a transaction involving a merger, consolidation, sale, exchange, issuance, transfer, reorganization or other extraordinary transaction between us or any of our affiliates and any third party, or </w:t>
      </w:r>
      <w:r>
        <w:rPr>
          <w:rFonts w:ascii="Arial" w:cs="Arial" w:eastAsia="Arial" w:hAnsi="Arial"/>
          <w:sz w:val="15"/>
          <w:szCs w:val="15"/>
          <w:i w:val="1"/>
          <w:iCs w:val="1"/>
          <w:color w:val="auto"/>
        </w:rPr>
        <w:t>(f)</w:t>
      </w:r>
      <w:r>
        <w:rPr>
          <w:rFonts w:ascii="Arial" w:cs="Arial" w:eastAsia="Arial" w:hAnsi="Arial"/>
          <w:sz w:val="15"/>
          <w:szCs w:val="15"/>
          <w:color w:val="auto"/>
        </w:rPr>
        <w:t xml:space="preserve"> filed pursuant to subsection 2.1.1 of the registration rights agreement, then, we shall give written notice of such proposed filing to all of the holders of registrable securities (excluding the Sponsor with respect to any Registrable Securities (as defined in the Merger Agreement) distributed by the Sponsor to its members following the expiration of the Founder Shares Lock-up Period or the Private Placement Lock-up Period, as applicable) as soon as practicable but not less than 20 days before the anticipated filing date of such Registration Statement. This notice will offer to all of the Holders of Registrable Securities the opportunity to register the sale of such number of Registrable Securities as such Holders may request in writing within five days after receipt of such written notice.</w:t>
      </w:r>
    </w:p>
    <w:p>
      <w:pPr>
        <w:spacing w:after="0" w:line="32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shall, in good faith, cause such Registrable Securities identified in a Holder’s response to be included in such Piggyback Registration and shall use its commercially reasonable efforts to cause the managing underwriter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11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underwriters of a proposed Underwritten Offering, if any, to permit the Registrable Securities requested by the Holders to be included in a Piggyback Registration on the same terms and conditions as any of our similar securities or our stockholder(s) for whose account the Registration Statement is to be filed included in such Registration and to permit the sale or other disposition of such Registrable Securities in accordance with the intended method(s) of distribution thereof. All such Holders proposing to distribute their Registrable Securities through an Underwritten Offering will enter into an underwriting agreement in customary form with the underwriter(s) selected for such Underwritten Offering by us.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Securities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common stock and warrants are listed on Nasdaq under the symbols “SMFR” and “SMFRW,”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SECURITYHOLDERS</w:t>
      </w:r>
    </w:p>
    <w:p>
      <w:pPr>
        <w:spacing w:after="0" w:line="170"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The Selling Securityholders may offer and sell, from time to time, any or all of the shares of common stock or warrants being offered for resale by this prospectus, which consists of:</w:t>
      </w:r>
    </w:p>
    <w:p>
      <w:pPr>
        <w:spacing w:after="0" w:line="128" w:lineRule="exact"/>
        <w:rPr>
          <w:sz w:val="20"/>
          <w:szCs w:val="20"/>
          <w:color w:val="auto"/>
        </w:rPr>
      </w:pPr>
    </w:p>
    <w:p>
      <w:pPr>
        <w:ind w:left="640" w:hanging="316"/>
        <w:spacing w:after="0"/>
        <w:tabs>
          <w:tab w:leader="none" w:pos="6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up to 35,000,000 PIPE Shares;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up to 11,068,750 Founder Shares;</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84"/>
        </w:numPr>
        <w:rPr>
          <w:rFonts w:ascii="Arial" w:cs="Arial" w:eastAsia="Arial" w:hAnsi="Arial"/>
          <w:sz w:val="18"/>
          <w:szCs w:val="18"/>
          <w:color w:val="auto"/>
        </w:rPr>
      </w:pPr>
      <w:r>
        <w:rPr>
          <w:rFonts w:ascii="Arial" w:cs="Arial" w:eastAsia="Arial" w:hAnsi="Arial"/>
          <w:sz w:val="18"/>
          <w:szCs w:val="18"/>
          <w:color w:val="auto"/>
        </w:rPr>
        <w:t>up to 182,917,984 shares of Class A common stock issued or issuable to the Sema4 equity holders in connection with or as a result of the consummation of the Business Combination, consisting of:</w:t>
      </w:r>
    </w:p>
    <w:p>
      <w:pPr>
        <w:spacing w:after="0" w:line="127" w:lineRule="exact"/>
        <w:rPr>
          <w:rFonts w:ascii="Arial" w:cs="Arial" w:eastAsia="Arial" w:hAnsi="Arial"/>
          <w:sz w:val="18"/>
          <w:szCs w:val="18"/>
          <w:color w:val="auto"/>
        </w:rPr>
      </w:pPr>
    </w:p>
    <w:p>
      <w:pPr>
        <w:ind w:left="1280" w:hanging="320"/>
        <w:spacing w:after="0"/>
        <w:tabs>
          <w:tab w:leader="none" w:pos="12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up to 149,856,840 shares of our Class A common stock (“Sema4 Holder Shares”);</w:t>
      </w:r>
    </w:p>
    <w:p>
      <w:pPr>
        <w:spacing w:after="0" w:line="164" w:lineRule="exact"/>
        <w:rPr>
          <w:rFonts w:ascii="Arial" w:cs="Arial" w:eastAsia="Arial" w:hAnsi="Arial"/>
          <w:sz w:val="18"/>
          <w:szCs w:val="18"/>
          <w:color w:val="auto"/>
        </w:rPr>
      </w:pPr>
    </w:p>
    <w:p>
      <w:pPr>
        <w:ind w:left="1280" w:hanging="320"/>
        <w:spacing w:after="0" w:line="264" w:lineRule="auto"/>
        <w:tabs>
          <w:tab w:leader="none" w:pos="1290" w:val="left"/>
        </w:tabs>
        <w:numPr>
          <w:ilvl w:val="1"/>
          <w:numId w:val="84"/>
        </w:numPr>
        <w:rPr>
          <w:rFonts w:ascii="Arial" w:cs="Arial" w:eastAsia="Arial" w:hAnsi="Arial"/>
          <w:sz w:val="18"/>
          <w:szCs w:val="18"/>
          <w:color w:val="auto"/>
        </w:rPr>
      </w:pPr>
      <w:r>
        <w:rPr>
          <w:rFonts w:ascii="Arial" w:cs="Arial" w:eastAsia="Arial" w:hAnsi="Arial"/>
          <w:sz w:val="18"/>
          <w:szCs w:val="18"/>
          <w:color w:val="auto"/>
        </w:rPr>
        <w:t>up to 14,039,568 shares of Class A common stock issuable upon the exercise or vesting of certain equity awards (“Sema4 Holder Equity Award Shares”); and</w:t>
      </w:r>
    </w:p>
    <w:p>
      <w:pPr>
        <w:spacing w:after="0" w:line="127" w:lineRule="exact"/>
        <w:rPr>
          <w:rFonts w:ascii="Arial" w:cs="Arial" w:eastAsia="Arial" w:hAnsi="Arial"/>
          <w:sz w:val="18"/>
          <w:szCs w:val="18"/>
          <w:color w:val="auto"/>
        </w:rPr>
      </w:pPr>
    </w:p>
    <w:p>
      <w:pPr>
        <w:ind w:left="1280" w:hanging="320"/>
        <w:spacing w:after="0"/>
        <w:tabs>
          <w:tab w:leader="none" w:pos="12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up to 19,021,576 Earn-Out Shares.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up to 7,236,667 shares of common stock issuable upon the exercise of private placement warrants;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up to 7,236,667 private placement warrants.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term “Selling Securityholders” includes the securityholders listed in the tables below and their permitted transferees.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following tables provide, as of the date of this prospectus, information regarding the beneficial ownership of our common stock and warrants of each Selling Securityholder, the number of shares of common stock and number of warrants that may be sold by each Selling Securityholder under this prospectus and that each Selling Securityholder will beneficially own after this offering.</w:t>
      </w:r>
    </w:p>
    <w:p>
      <w:pPr>
        <w:spacing w:after="0" w:line="135"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Pursuant to the earn-out provisions of the Merger Agreement, we may issue an aggregate of up to 19,021,576 shares of common stock upon the occurrence of certain triggering events provided for in the Merger Agreement, which shares are comprised of initial Earn-Out Shares issuable to pre-closing Sema4 equity holders and shares of Class A common stock (“Earn-Out RSU Shares”) issuable upon the vesting of certain RSU awards (“Earn-Out RSUs”) that are expected to be granted to certain pre-closing Sema4 equity holders. As of the Closing, the initial allocation of such shares comprises up to 16,331,812 Earn-Out Shares and up to 2,689,764 Earn-Out RSU Shares. We expect to issue the Earn-Out RSUs on or after September 27, 2021. In the event any Earn-Out RSUs are forfeited following the Closing (for example, as a result of a Sema4 equity holder no longer being an employee of our company), the Merger Agreement provides for a forfeiture pool in respect of the Earn-Out RSU Shares that were originally allocated to such forfeited Earn-Out RSUs, with such Earn-Out RSU Shares becoming available for issuance to the other recipients of Earn-Out Shares and Earn-Out RSUs. In the case of a Selling Securityholder that is entitled to receive Earn-Out Shares pursuant to the Merger Agreement, the table below includes such Selling Securityholder’s pro rata portion of the initial allocation of Earn-Out Shares (such Selling Securityholder’s “Allocated Earn-Out Shares”), as well as such Selling Securityholder’s pro rata portion of the reallocated Earn-Out RSU Shares (such Selling Securityholder’s “Reallocated Earn-Out Shares”), assuming that 100% of the Earn-Out RSUs are forfeited after the Closing.</w:t>
      </w:r>
    </w:p>
    <w:p>
      <w:pPr>
        <w:spacing w:after="0" w:line="133"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Because each Selling Securityholder may dispose of all, none or some portion of their securities, no estimate can be given as to the number of securities that will be beneficially owned by a Selling Securityholder upon termination of this offering. For purposes of the tables below, however, we have assumed that after termination of this offering none of the securities covered by this prospectus will be beneficially owned by the Selling Securityholders and further assumed that the Selling Securityholders will not acquire beneficial ownership of any additional securities during the offering. In addition, the Selling Securityholders may have sold, transferred or otherwise disposed of, or may sell, transfer or otherwise dispose of, at any time and from time to time, our securities in transactions exempt from the registration requirements of the Securities Act after the date on which the information in the tables is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119"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We may amend or supplement this prospectus from time to time in the future to update or change this Selling Securityholders list and the securities that may be resold.</w:t>
      </w:r>
    </w:p>
    <w:p>
      <w:pPr>
        <w:spacing w:after="0" w:line="128" w:lineRule="exact"/>
        <w:rPr>
          <w:sz w:val="20"/>
          <w:szCs w:val="20"/>
          <w:color w:val="auto"/>
        </w:rPr>
      </w:pPr>
    </w:p>
    <w:p>
      <w:pPr>
        <w:ind w:firstLine="318"/>
        <w:spacing w:after="0" w:line="264" w:lineRule="auto"/>
        <w:rPr>
          <w:rFonts w:ascii="Arial" w:cs="Arial" w:eastAsia="Arial" w:hAnsi="Arial"/>
          <w:sz w:val="18"/>
          <w:szCs w:val="18"/>
          <w:color w:val="auto"/>
        </w:rPr>
      </w:pPr>
      <w:r>
        <w:rPr>
          <w:rFonts w:ascii="Arial" w:cs="Arial" w:eastAsia="Arial" w:hAnsi="Arial"/>
          <w:sz w:val="18"/>
          <w:szCs w:val="18"/>
          <w:color w:val="auto"/>
        </w:rPr>
        <w:t>Please see the section titled “</w:t>
      </w:r>
      <w:hyperlink w:anchor="page167">
        <w:r>
          <w:rPr>
            <w:rFonts w:ascii="Arial" w:cs="Arial" w:eastAsia="Arial" w:hAnsi="Arial"/>
            <w:sz w:val="18"/>
            <w:szCs w:val="18"/>
            <w:u w:val="single" w:color="auto"/>
            <w:color w:val="0000FF"/>
          </w:rPr>
          <w:t>Plan of Distribution</w:t>
        </w:r>
      </w:hyperlink>
      <w:r>
        <w:rPr>
          <w:rFonts w:ascii="Arial" w:cs="Arial" w:eastAsia="Arial" w:hAnsi="Arial"/>
          <w:sz w:val="18"/>
          <w:szCs w:val="18"/>
          <w:color w:val="auto"/>
        </w:rPr>
        <w:t>” for further information regarding the Selling Securityholders’ method of distributing these shares and warrants.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3"/>
          </w:tcPr>
          <w:p>
            <w:pPr>
              <w:jc w:val="right"/>
              <w:ind w:right="213"/>
              <w:spacing w:after="0"/>
              <w:rPr>
                <w:sz w:val="20"/>
                <w:szCs w:val="20"/>
                <w:color w:val="auto"/>
              </w:rPr>
            </w:pPr>
            <w:r>
              <w:rPr>
                <w:rFonts w:ascii="Arial" w:cs="Arial" w:eastAsia="Arial" w:hAnsi="Arial"/>
                <w:sz w:val="14"/>
                <w:szCs w:val="14"/>
                <w:b w:val="1"/>
                <w:bCs w:val="1"/>
                <w:color w:val="auto"/>
              </w:rPr>
              <w:t>Shares of Class A Common Stock</w:t>
            </w:r>
          </w:p>
        </w:tc>
        <w:tc>
          <w:tcPr>
            <w:tcW w:w="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gridSpan w:val="2"/>
          </w:tcPr>
          <w:p>
            <w:pPr>
              <w:jc w:val="center"/>
              <w:ind w:right="100"/>
              <w:spacing w:after="0" w:line="131" w:lineRule="exact"/>
              <w:rPr>
                <w:sz w:val="20"/>
                <w:szCs w:val="20"/>
                <w:color w:val="auto"/>
              </w:rPr>
            </w:pPr>
            <w:r>
              <w:rPr>
                <w:rFonts w:ascii="Arial" w:cs="Arial" w:eastAsia="Arial" w:hAnsi="Arial"/>
                <w:sz w:val="14"/>
                <w:szCs w:val="14"/>
                <w:b w:val="1"/>
                <w:bCs w:val="1"/>
                <w:color w:val="auto"/>
                <w:w w:val="92"/>
              </w:rPr>
              <w:t>Number Beneficially</w:t>
            </w:r>
          </w:p>
        </w:tc>
        <w:tc>
          <w:tcPr>
            <w:tcW w:w="14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Number Registered</w:t>
            </w:r>
          </w:p>
        </w:tc>
        <w:tc>
          <w:tcPr>
            <w:tcW w:w="138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3"/>
              </w:rPr>
              <w:t>Number Beneficially</w:t>
            </w:r>
          </w:p>
        </w:tc>
        <w:tc>
          <w:tcPr>
            <w:tcW w:w="80" w:type="dxa"/>
            <w:vAlign w:val="bottom"/>
          </w:tcPr>
          <w:p>
            <w:pPr>
              <w:spacing w:after="0"/>
              <w:rPr>
                <w:sz w:val="11"/>
                <w:szCs w:val="11"/>
                <w:color w:val="auto"/>
              </w:rPr>
            </w:pPr>
          </w:p>
        </w:tc>
        <w:tc>
          <w:tcPr>
            <w:tcW w:w="15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Percent Owned After</w:t>
            </w:r>
          </w:p>
        </w:tc>
        <w:tc>
          <w:tcPr>
            <w:tcW w:w="0" w:type="dxa"/>
            <w:vAlign w:val="bottom"/>
          </w:tcPr>
          <w:p>
            <w:pPr>
              <w:spacing w:after="0"/>
              <w:rPr>
                <w:sz w:val="1"/>
                <w:szCs w:val="1"/>
                <w:color w:val="auto"/>
              </w:rPr>
            </w:pPr>
          </w:p>
        </w:tc>
      </w:tr>
      <w:tr>
        <w:trPr>
          <w:trHeight w:val="133"/>
        </w:trPr>
        <w:tc>
          <w:tcPr>
            <w:tcW w:w="5300" w:type="dxa"/>
            <w:vAlign w:val="bottom"/>
            <w:gridSpan w:val="2"/>
            <w:vMerge w:val="restart"/>
          </w:tcPr>
          <w:p>
            <w:pPr>
              <w:ind w:left="2420"/>
              <w:spacing w:after="0"/>
              <w:rPr>
                <w:sz w:val="20"/>
                <w:szCs w:val="20"/>
                <w:color w:val="auto"/>
              </w:rPr>
            </w:pPr>
            <w:r>
              <w:rPr>
                <w:rFonts w:ascii="Arial" w:cs="Arial" w:eastAsia="Arial" w:hAnsi="Arial"/>
                <w:sz w:val="14"/>
                <w:szCs w:val="14"/>
                <w:b w:val="1"/>
                <w:bCs w:val="1"/>
                <w:color w:val="auto"/>
              </w:rPr>
              <w:t>Name</w:t>
            </w:r>
          </w:p>
        </w:tc>
        <w:tc>
          <w:tcPr>
            <w:tcW w:w="146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93"/>
              </w:rPr>
              <w:t>Owned Prior to</w:t>
            </w:r>
          </w:p>
        </w:tc>
        <w:tc>
          <w:tcPr>
            <w:tcW w:w="1440" w:type="dxa"/>
            <w:vAlign w:val="bottom"/>
            <w:gridSpan w:val="2"/>
            <w:vMerge w:val="continue"/>
          </w:tcPr>
          <w:p>
            <w:pPr>
              <w:spacing w:after="0"/>
              <w:rPr>
                <w:sz w:val="11"/>
                <w:szCs w:val="11"/>
                <w:color w:val="auto"/>
              </w:rPr>
            </w:pPr>
          </w:p>
        </w:tc>
        <w:tc>
          <w:tcPr>
            <w:tcW w:w="13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Owned After</w:t>
            </w:r>
          </w:p>
        </w:tc>
        <w:tc>
          <w:tcPr>
            <w:tcW w:w="80" w:type="dxa"/>
            <w:vAlign w:val="bottom"/>
          </w:tcPr>
          <w:p>
            <w:pPr>
              <w:spacing w:after="0"/>
              <w:rPr>
                <w:sz w:val="11"/>
                <w:szCs w:val="11"/>
                <w:color w:val="auto"/>
              </w:rPr>
            </w:pPr>
          </w:p>
        </w:tc>
        <w:tc>
          <w:tcPr>
            <w:tcW w:w="1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5300" w:type="dxa"/>
            <w:vAlign w:val="bottom"/>
            <w:gridSpan w:val="2"/>
            <w:vMerge w:val="continue"/>
          </w:tcPr>
          <w:p>
            <w:pPr>
              <w:spacing w:after="0"/>
              <w:rPr>
                <w:sz w:val="16"/>
                <w:szCs w:val="16"/>
                <w:color w:val="auto"/>
              </w:rPr>
            </w:pPr>
          </w:p>
        </w:tc>
        <w:tc>
          <w:tcPr>
            <w:tcW w:w="1460" w:type="dxa"/>
            <w:vAlign w:val="bottom"/>
            <w:gridSpan w:val="2"/>
          </w:tcPr>
          <w:p>
            <w:pPr>
              <w:jc w:val="center"/>
              <w:ind w:right="120"/>
              <w:spacing w:after="0" w:line="186" w:lineRule="exact"/>
              <w:rPr>
                <w:sz w:val="20"/>
                <w:szCs w:val="20"/>
                <w:color w:val="auto"/>
              </w:rPr>
            </w:pPr>
            <w:r>
              <w:rPr>
                <w:rFonts w:ascii="Arial" w:cs="Arial" w:eastAsia="Arial" w:hAnsi="Arial"/>
                <w:sz w:val="14"/>
                <w:szCs w:val="14"/>
                <w:b w:val="1"/>
                <w:bCs w:val="1"/>
                <w:color w:val="auto"/>
                <w:w w:val="90"/>
              </w:rPr>
              <w:t xml:space="preserve">Offering </w:t>
            </w:r>
            <w:r>
              <w:rPr>
                <w:rFonts w:ascii="Arial" w:cs="Arial" w:eastAsia="Arial" w:hAnsi="Arial"/>
                <w:sz w:val="18"/>
                <w:szCs w:val="18"/>
                <w:b w:val="1"/>
                <w:bCs w:val="1"/>
                <w:color w:val="auto"/>
                <w:w w:val="90"/>
                <w:vertAlign w:val="superscript"/>
              </w:rPr>
              <w:t>(1)</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for Sale Hereby</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1"/>
              </w:rPr>
              <w:t>Offering</w:t>
            </w:r>
          </w:p>
        </w:tc>
        <w:tc>
          <w:tcPr>
            <w:tcW w:w="80" w:type="dxa"/>
            <w:vAlign w:val="bottom"/>
          </w:tcPr>
          <w:p>
            <w:pPr>
              <w:spacing w:after="0"/>
              <w:rPr>
                <w:sz w:val="16"/>
                <w:szCs w:val="16"/>
                <w:color w:val="auto"/>
              </w:rPr>
            </w:pPr>
          </w:p>
        </w:tc>
        <w:tc>
          <w:tcPr>
            <w:tcW w:w="1580" w:type="dxa"/>
            <w:vAlign w:val="bottom"/>
          </w:tcPr>
          <w:p>
            <w:pPr>
              <w:ind w:left="460"/>
              <w:spacing w:after="0" w:line="186" w:lineRule="exact"/>
              <w:rPr>
                <w:sz w:val="20"/>
                <w:szCs w:val="20"/>
                <w:color w:val="auto"/>
              </w:rPr>
            </w:pPr>
            <w:r>
              <w:rPr>
                <w:rFonts w:ascii="Arial" w:cs="Arial" w:eastAsia="Arial" w:hAnsi="Arial"/>
                <w:sz w:val="14"/>
                <w:szCs w:val="14"/>
                <w:b w:val="1"/>
                <w:bCs w:val="1"/>
                <w:color w:val="auto"/>
              </w:rPr>
              <w:t xml:space="preserve">Offering </w:t>
            </w:r>
            <w:r>
              <w:rPr>
                <w:rFonts w:ascii="Arial" w:cs="Arial" w:eastAsia="Arial" w:hAnsi="Arial"/>
                <w:sz w:val="18"/>
                <w:szCs w:val="18"/>
                <w:b w:val="1"/>
                <w:bCs w:val="1"/>
                <w:color w:val="auto"/>
                <w:vertAlign w:val="superscript"/>
              </w:rPr>
              <w:t>(2)</w:t>
            </w:r>
          </w:p>
        </w:tc>
        <w:tc>
          <w:tcPr>
            <w:tcW w:w="0" w:type="dxa"/>
            <w:vAlign w:val="bottom"/>
          </w:tcPr>
          <w:p>
            <w:pPr>
              <w:spacing w:after="0"/>
              <w:rPr>
                <w:sz w:val="1"/>
                <w:szCs w:val="1"/>
                <w:color w:val="auto"/>
              </w:rPr>
            </w:pPr>
          </w:p>
        </w:tc>
      </w:tr>
      <w:tr>
        <w:trPr>
          <w:trHeight w:val="218"/>
        </w:trPr>
        <w:tc>
          <w:tcPr>
            <w:tcW w:w="5200" w:type="dxa"/>
            <w:vAlign w:val="bottom"/>
            <w:tcBorders>
              <w:top w:val="single" w:sz="8" w:color="auto"/>
            </w:tcBorders>
            <w:shd w:val="clear" w:color="auto" w:fill="CCEEFF"/>
          </w:tcPr>
          <w:p>
            <w:pPr>
              <w:ind w:left="20"/>
              <w:spacing w:after="0" w:line="219" w:lineRule="exact"/>
              <w:rPr>
                <w:sz w:val="20"/>
                <w:szCs w:val="20"/>
                <w:color w:val="auto"/>
              </w:rPr>
            </w:pPr>
            <w:r>
              <w:rPr>
                <w:rFonts w:ascii="Arial" w:cs="Arial" w:eastAsia="Arial" w:hAnsi="Arial"/>
                <w:sz w:val="18"/>
                <w:szCs w:val="18"/>
                <w:color w:val="auto"/>
              </w:rPr>
              <w:t xml:space="preserve">Entities affiliated with Avidity </w:t>
            </w:r>
            <w:r>
              <w:rPr>
                <w:rFonts w:ascii="Arial" w:cs="Arial" w:eastAsia="Arial" w:hAnsi="Arial"/>
                <w:sz w:val="22"/>
                <w:szCs w:val="22"/>
                <w:color w:val="auto"/>
                <w:vertAlign w:val="superscript"/>
              </w:rPr>
              <w:t>(3)</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950,000</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950,000</w:t>
            </w:r>
          </w:p>
        </w:tc>
        <w:tc>
          <w:tcPr>
            <w:tcW w:w="8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580" w:type="dxa"/>
            <w:vAlign w:val="bottom"/>
            <w:tcBorders>
              <w:top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30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 xml:space="preserve">Entities affiliated with BlackRock, Inc. </w:t>
            </w:r>
            <w:r>
              <w:rPr>
                <w:rFonts w:ascii="Arial" w:cs="Arial" w:eastAsia="Arial" w:hAnsi="Arial"/>
                <w:sz w:val="22"/>
                <w:szCs w:val="22"/>
                <w:color w:val="auto"/>
                <w:vertAlign w:val="superscript"/>
              </w:rPr>
              <w:t>(4)</w:t>
            </w:r>
          </w:p>
        </w:tc>
        <w:tc>
          <w:tcPr>
            <w:tcW w:w="1360" w:type="dxa"/>
            <w:vAlign w:val="bottom"/>
          </w:tcPr>
          <w:p>
            <w:pPr>
              <w:jc w:val="right"/>
              <w:spacing w:after="0"/>
              <w:rPr>
                <w:sz w:val="20"/>
                <w:szCs w:val="20"/>
                <w:color w:val="auto"/>
              </w:rPr>
            </w:pPr>
            <w:r>
              <w:rPr>
                <w:rFonts w:ascii="Arial" w:cs="Arial" w:eastAsia="Arial" w:hAnsi="Arial"/>
                <w:sz w:val="18"/>
                <w:szCs w:val="18"/>
                <w:color w:val="auto"/>
              </w:rPr>
              <w:t>9,469,514</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9,469,514</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580" w:type="dxa"/>
            <w:vAlign w:val="bottom"/>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30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Entities advised by Corvex Management </w:t>
            </w:r>
            <w:r>
              <w:rPr>
                <w:rFonts w:ascii="Arial" w:cs="Arial" w:eastAsia="Arial" w:hAnsi="Arial"/>
                <w:sz w:val="22"/>
                <w:szCs w:val="22"/>
                <w:color w:val="auto"/>
                <w:vertAlign w:val="superscript"/>
              </w:rPr>
              <w:t>(5)</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5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30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 xml:space="preserve">JS Capital LLC </w:t>
            </w:r>
            <w:r>
              <w:rPr>
                <w:rFonts w:ascii="Arial" w:cs="Arial" w:eastAsia="Arial" w:hAnsi="Arial"/>
                <w:sz w:val="22"/>
                <w:szCs w:val="22"/>
                <w:color w:val="auto"/>
                <w:vertAlign w:val="superscript"/>
              </w:rPr>
              <w:t>(6)</w:t>
            </w:r>
          </w:p>
        </w:tc>
        <w:tc>
          <w:tcPr>
            <w:tcW w:w="1360" w:type="dxa"/>
            <w:vAlign w:val="bottom"/>
          </w:tcPr>
          <w:p>
            <w:pPr>
              <w:jc w:val="right"/>
              <w:spacing w:after="0"/>
              <w:rPr>
                <w:sz w:val="20"/>
                <w:szCs w:val="20"/>
                <w:color w:val="auto"/>
              </w:rPr>
            </w:pPr>
            <w:r>
              <w:rPr>
                <w:rFonts w:ascii="Arial" w:cs="Arial" w:eastAsia="Arial" w:hAnsi="Arial"/>
                <w:sz w:val="18"/>
                <w:szCs w:val="18"/>
                <w:color w:val="auto"/>
              </w:rPr>
              <w:t>1,500,000</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1,500,000</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580" w:type="dxa"/>
            <w:vAlign w:val="bottom"/>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30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Entities affiliated with D.E. Shaw Group </w:t>
            </w:r>
            <w:r>
              <w:rPr>
                <w:rFonts w:ascii="Arial" w:cs="Arial" w:eastAsia="Arial" w:hAnsi="Arial"/>
                <w:sz w:val="22"/>
                <w:szCs w:val="22"/>
                <w:color w:val="auto"/>
                <w:vertAlign w:val="superscript"/>
              </w:rPr>
              <w:t>(7)</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5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30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 xml:space="preserve">Entities affiliated with Deerfield </w:t>
            </w:r>
            <w:r>
              <w:rPr>
                <w:rFonts w:ascii="Arial" w:cs="Arial" w:eastAsia="Arial" w:hAnsi="Arial"/>
                <w:sz w:val="22"/>
                <w:szCs w:val="22"/>
                <w:color w:val="auto"/>
                <w:vertAlign w:val="superscript"/>
              </w:rPr>
              <w:t>(8)</w:t>
            </w:r>
          </w:p>
        </w:tc>
        <w:tc>
          <w:tcPr>
            <w:tcW w:w="1360" w:type="dxa"/>
            <w:vAlign w:val="bottom"/>
          </w:tcPr>
          <w:p>
            <w:pPr>
              <w:jc w:val="right"/>
              <w:spacing w:after="0"/>
              <w:rPr>
                <w:sz w:val="20"/>
                <w:szCs w:val="20"/>
                <w:color w:val="auto"/>
              </w:rPr>
            </w:pPr>
            <w:r>
              <w:rPr>
                <w:rFonts w:ascii="Arial" w:cs="Arial" w:eastAsia="Arial" w:hAnsi="Arial"/>
                <w:sz w:val="18"/>
                <w:szCs w:val="18"/>
                <w:color w:val="auto"/>
              </w:rPr>
              <w:t>15,069,320</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15,069,320</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580" w:type="dxa"/>
            <w:vAlign w:val="bottom"/>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30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Entities managed by Driehaus Capital Management LLC </w:t>
            </w:r>
            <w:r>
              <w:rPr>
                <w:rFonts w:ascii="Arial" w:cs="Arial" w:eastAsia="Arial" w:hAnsi="Arial"/>
                <w:sz w:val="22"/>
                <w:szCs w:val="22"/>
                <w:color w:val="auto"/>
                <w:vertAlign w:val="superscript"/>
              </w:rPr>
              <w:t>(9)</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5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30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 xml:space="preserve">Entities affiliated with Fidelity </w:t>
            </w:r>
            <w:r>
              <w:rPr>
                <w:rFonts w:ascii="Arial" w:cs="Arial" w:eastAsia="Arial" w:hAnsi="Arial"/>
                <w:sz w:val="22"/>
                <w:szCs w:val="22"/>
                <w:color w:val="auto"/>
                <w:vertAlign w:val="superscript"/>
              </w:rPr>
              <w:t>(10)</w:t>
            </w:r>
          </w:p>
        </w:tc>
        <w:tc>
          <w:tcPr>
            <w:tcW w:w="1360" w:type="dxa"/>
            <w:vAlign w:val="bottom"/>
          </w:tcPr>
          <w:p>
            <w:pPr>
              <w:jc w:val="right"/>
              <w:spacing w:after="0"/>
              <w:rPr>
                <w:sz w:val="20"/>
                <w:szCs w:val="20"/>
                <w:color w:val="auto"/>
              </w:rPr>
            </w:pPr>
            <w:r>
              <w:rPr>
                <w:rFonts w:ascii="Arial" w:cs="Arial" w:eastAsia="Arial" w:hAnsi="Arial"/>
                <w:sz w:val="18"/>
                <w:szCs w:val="18"/>
                <w:color w:val="auto"/>
              </w:rPr>
              <w:t>2,500,000</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2,500,000</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580" w:type="dxa"/>
            <w:vAlign w:val="bottom"/>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30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Entities affiliated with Morgan Stanley </w:t>
            </w:r>
            <w:r>
              <w:rPr>
                <w:rFonts w:ascii="Arial" w:cs="Arial" w:eastAsia="Arial" w:hAnsi="Arial"/>
                <w:sz w:val="22"/>
                <w:szCs w:val="22"/>
                <w:color w:val="auto"/>
                <w:vertAlign w:val="superscript"/>
              </w:rPr>
              <w:t>(11)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5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30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 xml:space="preserve">Entities affiliated with Moore </w:t>
            </w:r>
            <w:r>
              <w:rPr>
                <w:rFonts w:ascii="Arial" w:cs="Arial" w:eastAsia="Arial" w:hAnsi="Arial"/>
                <w:sz w:val="22"/>
                <w:szCs w:val="22"/>
                <w:color w:val="auto"/>
                <w:vertAlign w:val="superscript"/>
              </w:rPr>
              <w:t>(12)</w:t>
            </w:r>
          </w:p>
        </w:tc>
        <w:tc>
          <w:tcPr>
            <w:tcW w:w="1360" w:type="dxa"/>
            <w:vAlign w:val="bottom"/>
          </w:tcPr>
          <w:p>
            <w:pPr>
              <w:jc w:val="right"/>
              <w:spacing w:after="0"/>
              <w:rPr>
                <w:sz w:val="20"/>
                <w:szCs w:val="20"/>
                <w:color w:val="auto"/>
              </w:rPr>
            </w:pPr>
            <w:r>
              <w:rPr>
                <w:rFonts w:ascii="Arial" w:cs="Arial" w:eastAsia="Arial" w:hAnsi="Arial"/>
                <w:sz w:val="18"/>
                <w:szCs w:val="18"/>
                <w:color w:val="auto"/>
              </w:rPr>
              <w:t>1,619,851</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1,619,851</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580" w:type="dxa"/>
            <w:vAlign w:val="bottom"/>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30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M. Munib Z. Islam </w:t>
            </w:r>
            <w:r>
              <w:rPr>
                <w:rFonts w:ascii="Arial" w:cs="Arial" w:eastAsia="Arial" w:hAnsi="Arial"/>
                <w:sz w:val="22"/>
                <w:szCs w:val="22"/>
                <w:color w:val="auto"/>
                <w:vertAlign w:val="superscript"/>
              </w:rPr>
              <w:t>(13)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291,666</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291,666</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5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30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 xml:space="preserve">Perceptive Life Sciences Master Fund </w:t>
            </w:r>
            <w:r>
              <w:rPr>
                <w:rFonts w:ascii="Arial" w:cs="Arial" w:eastAsia="Arial" w:hAnsi="Arial"/>
                <w:sz w:val="22"/>
                <w:szCs w:val="22"/>
                <w:color w:val="auto"/>
                <w:vertAlign w:val="superscript"/>
              </w:rPr>
              <w:t>(14)</w:t>
            </w:r>
          </w:p>
        </w:tc>
        <w:tc>
          <w:tcPr>
            <w:tcW w:w="1360" w:type="dxa"/>
            <w:vAlign w:val="bottom"/>
          </w:tcPr>
          <w:p>
            <w:pPr>
              <w:jc w:val="right"/>
              <w:spacing w:after="0"/>
              <w:rPr>
                <w:sz w:val="20"/>
                <w:szCs w:val="20"/>
                <w:color w:val="auto"/>
              </w:rPr>
            </w:pPr>
            <w:r>
              <w:rPr>
                <w:rFonts w:ascii="Arial" w:cs="Arial" w:eastAsia="Arial" w:hAnsi="Arial"/>
                <w:sz w:val="18"/>
                <w:szCs w:val="18"/>
                <w:color w:val="auto"/>
              </w:rPr>
              <w:t>2,500,000</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2,500,000</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580" w:type="dxa"/>
            <w:vAlign w:val="bottom"/>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30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Entities affiliated with RTW </w:t>
            </w:r>
            <w:r>
              <w:rPr>
                <w:rFonts w:ascii="Arial" w:cs="Arial" w:eastAsia="Arial" w:hAnsi="Arial"/>
                <w:sz w:val="22"/>
                <w:szCs w:val="22"/>
                <w:color w:val="auto"/>
                <w:vertAlign w:val="superscript"/>
              </w:rPr>
              <w:t>(15)</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5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30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 xml:space="preserve">Entities affiliated with Sachem Head </w:t>
            </w:r>
            <w:r>
              <w:rPr>
                <w:rFonts w:ascii="Arial" w:cs="Arial" w:eastAsia="Arial" w:hAnsi="Arial"/>
                <w:sz w:val="22"/>
                <w:szCs w:val="22"/>
                <w:color w:val="auto"/>
                <w:vertAlign w:val="superscript"/>
              </w:rPr>
              <w:t>(16)</w:t>
            </w:r>
          </w:p>
        </w:tc>
        <w:tc>
          <w:tcPr>
            <w:tcW w:w="1360" w:type="dxa"/>
            <w:vAlign w:val="bottom"/>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500,000</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580" w:type="dxa"/>
            <w:vAlign w:val="bottom"/>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30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SB Northstar LP </w:t>
            </w:r>
            <w:r>
              <w:rPr>
                <w:rFonts w:ascii="Arial" w:cs="Arial" w:eastAsia="Arial" w:hAnsi="Arial"/>
                <w:sz w:val="22"/>
                <w:szCs w:val="22"/>
                <w:color w:val="auto"/>
                <w:vertAlign w:val="superscript"/>
              </w:rPr>
              <w:t>(17)</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5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30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 xml:space="preserve">Entities affiliated with T. Rowe Price Associates, Inc. </w:t>
            </w:r>
            <w:r>
              <w:rPr>
                <w:rFonts w:ascii="Arial" w:cs="Arial" w:eastAsia="Arial" w:hAnsi="Arial"/>
                <w:sz w:val="22"/>
                <w:szCs w:val="22"/>
                <w:color w:val="auto"/>
                <w:vertAlign w:val="superscript"/>
              </w:rPr>
              <w:t>(18)</w:t>
            </w:r>
          </w:p>
        </w:tc>
        <w:tc>
          <w:tcPr>
            <w:tcW w:w="1360" w:type="dxa"/>
            <w:vAlign w:val="bottom"/>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750,000</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580" w:type="dxa"/>
            <w:vAlign w:val="bottom"/>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8"/>
        </w:trPr>
        <w:tc>
          <w:tcPr>
            <w:tcW w:w="5300" w:type="dxa"/>
            <w:vAlign w:val="bottom"/>
            <w:gridSpan w:val="2"/>
            <w:shd w:val="clear" w:color="auto" w:fill="CCEEFF"/>
          </w:tcPr>
          <w:p>
            <w:pPr>
              <w:ind w:left="20"/>
              <w:spacing w:after="0" w:line="239" w:lineRule="exact"/>
              <w:rPr>
                <w:sz w:val="20"/>
                <w:szCs w:val="20"/>
                <w:color w:val="auto"/>
              </w:rPr>
            </w:pPr>
            <w:r>
              <w:rPr>
                <w:rFonts w:ascii="Arial" w:cs="Arial" w:eastAsia="Arial" w:hAnsi="Arial"/>
                <w:sz w:val="18"/>
                <w:szCs w:val="18"/>
                <w:color w:val="auto"/>
              </w:rPr>
              <w:t xml:space="preserve">Entities affiliated with Third Point Loan LLC </w:t>
            </w:r>
            <w:r>
              <w:rPr>
                <w:rFonts w:ascii="Arial" w:cs="Arial" w:eastAsia="Arial" w:hAnsi="Arial"/>
                <w:sz w:val="22"/>
                <w:szCs w:val="22"/>
                <w:color w:val="auto"/>
                <w:vertAlign w:val="superscript"/>
              </w:rPr>
              <w:t>(19)</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8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5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30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 xml:space="preserve">TBC 222 LLC </w:t>
            </w:r>
            <w:r>
              <w:rPr>
                <w:rFonts w:ascii="Arial" w:cs="Arial" w:eastAsia="Arial" w:hAnsi="Arial"/>
                <w:sz w:val="22"/>
                <w:szCs w:val="22"/>
                <w:color w:val="auto"/>
                <w:vertAlign w:val="superscript"/>
              </w:rPr>
              <w:t>(20)</w:t>
            </w:r>
          </w:p>
        </w:tc>
        <w:tc>
          <w:tcPr>
            <w:tcW w:w="1360" w:type="dxa"/>
            <w:vAlign w:val="bottom"/>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300,000</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580" w:type="dxa"/>
            <w:vAlign w:val="bottom"/>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30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GCT Investment Holdings LLC </w:t>
            </w:r>
            <w:r>
              <w:rPr>
                <w:rFonts w:ascii="Arial" w:cs="Arial" w:eastAsia="Arial" w:hAnsi="Arial"/>
                <w:sz w:val="22"/>
                <w:szCs w:val="22"/>
                <w:color w:val="auto"/>
                <w:vertAlign w:val="superscript"/>
              </w:rPr>
              <w:t>(21)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5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30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 xml:space="preserve">Entities affiliated with Viking Global </w:t>
            </w:r>
            <w:r>
              <w:rPr>
                <w:rFonts w:ascii="Arial" w:cs="Arial" w:eastAsia="Arial" w:hAnsi="Arial"/>
                <w:sz w:val="22"/>
                <w:szCs w:val="22"/>
                <w:color w:val="auto"/>
                <w:vertAlign w:val="superscript"/>
              </w:rPr>
              <w:t>(22)</w:t>
            </w:r>
          </w:p>
        </w:tc>
        <w:tc>
          <w:tcPr>
            <w:tcW w:w="1360" w:type="dxa"/>
            <w:vAlign w:val="bottom"/>
          </w:tcPr>
          <w:p>
            <w:pPr>
              <w:jc w:val="right"/>
              <w:spacing w:after="0"/>
              <w:rPr>
                <w:sz w:val="20"/>
                <w:szCs w:val="20"/>
                <w:color w:val="auto"/>
              </w:rPr>
            </w:pPr>
            <w:r>
              <w:rPr>
                <w:rFonts w:ascii="Arial" w:cs="Arial" w:eastAsia="Arial" w:hAnsi="Arial"/>
                <w:sz w:val="18"/>
                <w:szCs w:val="18"/>
                <w:color w:val="auto"/>
              </w:rPr>
              <w:t>3,000,000</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3,000,000</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580" w:type="dxa"/>
            <w:vAlign w:val="bottom"/>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30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Icahn School of Medicine at Mount Sinai </w:t>
            </w:r>
            <w:r>
              <w:rPr>
                <w:rFonts w:ascii="Arial" w:cs="Arial" w:eastAsia="Arial" w:hAnsi="Arial"/>
                <w:sz w:val="22"/>
                <w:szCs w:val="22"/>
                <w:color w:val="auto"/>
                <w:vertAlign w:val="superscript"/>
              </w:rPr>
              <w:t>(23)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99,952,671</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99,952,671</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5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30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 xml:space="preserve">Entities affiliated with Blackstone </w:t>
            </w:r>
            <w:r>
              <w:rPr>
                <w:rFonts w:ascii="Arial" w:cs="Arial" w:eastAsia="Arial" w:hAnsi="Arial"/>
                <w:sz w:val="22"/>
                <w:szCs w:val="22"/>
                <w:color w:val="auto"/>
                <w:vertAlign w:val="superscript"/>
              </w:rPr>
              <w:t>(24)</w:t>
            </w:r>
          </w:p>
        </w:tc>
        <w:tc>
          <w:tcPr>
            <w:tcW w:w="1360" w:type="dxa"/>
            <w:vAlign w:val="bottom"/>
          </w:tcPr>
          <w:p>
            <w:pPr>
              <w:jc w:val="right"/>
              <w:spacing w:after="0"/>
              <w:rPr>
                <w:sz w:val="20"/>
                <w:szCs w:val="20"/>
                <w:color w:val="auto"/>
              </w:rPr>
            </w:pPr>
            <w:r>
              <w:rPr>
                <w:rFonts w:ascii="Arial" w:cs="Arial" w:eastAsia="Arial" w:hAnsi="Arial"/>
                <w:sz w:val="18"/>
                <w:szCs w:val="18"/>
                <w:color w:val="auto"/>
              </w:rPr>
              <w:t>28,345,879</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28,345,879</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580" w:type="dxa"/>
            <w:vAlign w:val="bottom"/>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30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Section 32 Fund 2, L.P. </w:t>
            </w:r>
            <w:r>
              <w:rPr>
                <w:rFonts w:ascii="Arial" w:cs="Arial" w:eastAsia="Arial" w:hAnsi="Arial"/>
                <w:sz w:val="22"/>
                <w:szCs w:val="22"/>
                <w:color w:val="auto"/>
                <w:vertAlign w:val="superscript"/>
              </w:rPr>
              <w:t>(25)</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8,268,643</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8,268,643</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5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30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 xml:space="preserve">Oak HC/FT Partners II, L.P. </w:t>
            </w:r>
            <w:r>
              <w:rPr>
                <w:rFonts w:ascii="Arial" w:cs="Arial" w:eastAsia="Arial" w:hAnsi="Arial"/>
                <w:sz w:val="22"/>
                <w:szCs w:val="22"/>
                <w:color w:val="auto"/>
                <w:vertAlign w:val="superscript"/>
              </w:rPr>
              <w:t>(26)</w:t>
            </w:r>
          </w:p>
        </w:tc>
        <w:tc>
          <w:tcPr>
            <w:tcW w:w="1360" w:type="dxa"/>
            <w:vAlign w:val="bottom"/>
          </w:tcPr>
          <w:p>
            <w:pPr>
              <w:jc w:val="right"/>
              <w:spacing w:after="0"/>
              <w:rPr>
                <w:sz w:val="20"/>
                <w:szCs w:val="20"/>
                <w:color w:val="auto"/>
              </w:rPr>
            </w:pPr>
            <w:r>
              <w:rPr>
                <w:rFonts w:ascii="Arial" w:cs="Arial" w:eastAsia="Arial" w:hAnsi="Arial"/>
                <w:sz w:val="18"/>
                <w:szCs w:val="18"/>
                <w:color w:val="auto"/>
              </w:rPr>
              <w:t>6,302,462</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6,302,462</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580" w:type="dxa"/>
            <w:vAlign w:val="bottom"/>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30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Decheng Capital China Life Sciences USD Fund III, L.P. </w:t>
            </w:r>
            <w:r>
              <w:rPr>
                <w:rFonts w:ascii="Arial" w:cs="Arial" w:eastAsia="Arial" w:hAnsi="Arial"/>
                <w:sz w:val="22"/>
                <w:szCs w:val="22"/>
                <w:color w:val="auto"/>
                <w:vertAlign w:val="superscript"/>
              </w:rPr>
              <w:t>(27)</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3,795,012</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3,795,012</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5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30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 xml:space="preserve">Connecticut Innovations, Incorporated </w:t>
            </w:r>
            <w:r>
              <w:rPr>
                <w:rFonts w:ascii="Arial" w:cs="Arial" w:eastAsia="Arial" w:hAnsi="Arial"/>
                <w:sz w:val="22"/>
                <w:szCs w:val="22"/>
                <w:color w:val="auto"/>
                <w:vertAlign w:val="superscript"/>
              </w:rPr>
              <w:t>(28)</w:t>
            </w:r>
          </w:p>
        </w:tc>
        <w:tc>
          <w:tcPr>
            <w:tcW w:w="1360" w:type="dxa"/>
            <w:vAlign w:val="bottom"/>
          </w:tcPr>
          <w:p>
            <w:pPr>
              <w:jc w:val="right"/>
              <w:spacing w:after="0"/>
              <w:rPr>
                <w:sz w:val="20"/>
                <w:szCs w:val="20"/>
                <w:color w:val="auto"/>
              </w:rPr>
            </w:pPr>
            <w:r>
              <w:rPr>
                <w:rFonts w:ascii="Arial" w:cs="Arial" w:eastAsia="Arial" w:hAnsi="Arial"/>
                <w:sz w:val="18"/>
                <w:szCs w:val="18"/>
                <w:color w:val="auto"/>
              </w:rPr>
              <w:t>588,722</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588,722</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580" w:type="dxa"/>
            <w:vAlign w:val="bottom"/>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30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Joel Sendek </w:t>
            </w:r>
            <w:r>
              <w:rPr>
                <w:rFonts w:ascii="Arial" w:cs="Arial" w:eastAsia="Arial" w:hAnsi="Arial"/>
                <w:sz w:val="22"/>
                <w:szCs w:val="22"/>
                <w:color w:val="auto"/>
                <w:vertAlign w:val="superscript"/>
              </w:rPr>
              <w:t>(29)</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755,957</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755,957</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5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30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 xml:space="preserve">Mary Joy Chavez Pineda </w:t>
            </w:r>
            <w:r>
              <w:rPr>
                <w:rFonts w:ascii="Arial" w:cs="Arial" w:eastAsia="Arial" w:hAnsi="Arial"/>
                <w:sz w:val="22"/>
                <w:szCs w:val="22"/>
                <w:color w:val="auto"/>
                <w:vertAlign w:val="superscript"/>
              </w:rPr>
              <w:t>(30)</w:t>
            </w:r>
          </w:p>
        </w:tc>
        <w:tc>
          <w:tcPr>
            <w:tcW w:w="1360" w:type="dxa"/>
            <w:vAlign w:val="bottom"/>
          </w:tcPr>
          <w:p>
            <w:pPr>
              <w:jc w:val="right"/>
              <w:spacing w:after="0"/>
              <w:rPr>
                <w:sz w:val="20"/>
                <w:szCs w:val="20"/>
                <w:color w:val="auto"/>
              </w:rPr>
            </w:pPr>
            <w:r>
              <w:rPr>
                <w:rFonts w:ascii="Arial" w:cs="Arial" w:eastAsia="Arial" w:hAnsi="Arial"/>
                <w:sz w:val="18"/>
                <w:szCs w:val="18"/>
                <w:color w:val="auto"/>
              </w:rPr>
              <w:t>57,667</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57,667</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580" w:type="dxa"/>
            <w:vAlign w:val="bottom"/>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30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Jyoti Roy </w:t>
            </w:r>
            <w:r>
              <w:rPr>
                <w:rFonts w:ascii="Arial" w:cs="Arial" w:eastAsia="Arial" w:hAnsi="Arial"/>
                <w:sz w:val="22"/>
                <w:szCs w:val="22"/>
                <w:color w:val="auto"/>
                <w:vertAlign w:val="superscript"/>
              </w:rPr>
              <w:t>(31)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6,186</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6,186</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5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30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 xml:space="preserve">Wang Zichen </w:t>
            </w:r>
            <w:r>
              <w:rPr>
                <w:rFonts w:ascii="Arial" w:cs="Arial" w:eastAsia="Arial" w:hAnsi="Arial"/>
                <w:sz w:val="22"/>
                <w:szCs w:val="22"/>
                <w:color w:val="auto"/>
                <w:vertAlign w:val="superscript"/>
              </w:rPr>
              <w:t>(32)</w:t>
            </w:r>
          </w:p>
        </w:tc>
        <w:tc>
          <w:tcPr>
            <w:tcW w:w="1360" w:type="dxa"/>
            <w:vAlign w:val="bottom"/>
          </w:tcPr>
          <w:p>
            <w:pPr>
              <w:jc w:val="right"/>
              <w:spacing w:after="0"/>
              <w:rPr>
                <w:sz w:val="20"/>
                <w:szCs w:val="20"/>
                <w:color w:val="auto"/>
              </w:rPr>
            </w:pPr>
            <w:r>
              <w:rPr>
                <w:rFonts w:ascii="Arial" w:cs="Arial" w:eastAsia="Arial" w:hAnsi="Arial"/>
                <w:sz w:val="18"/>
                <w:szCs w:val="18"/>
                <w:color w:val="auto"/>
              </w:rPr>
              <w:t>4,295</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4,295</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580" w:type="dxa"/>
            <w:vAlign w:val="bottom"/>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30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William Laughlin </w:t>
            </w:r>
            <w:r>
              <w:rPr>
                <w:rFonts w:ascii="Arial" w:cs="Arial" w:eastAsia="Arial" w:hAnsi="Arial"/>
                <w:sz w:val="22"/>
                <w:szCs w:val="22"/>
                <w:color w:val="auto"/>
                <w:vertAlign w:val="superscript"/>
              </w:rPr>
              <w:t>(33)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10,513</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10,513</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5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30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 xml:space="preserve">Lauren Peters </w:t>
            </w:r>
            <w:r>
              <w:rPr>
                <w:rFonts w:ascii="Arial" w:cs="Arial" w:eastAsia="Arial" w:hAnsi="Arial"/>
                <w:sz w:val="22"/>
                <w:szCs w:val="22"/>
                <w:color w:val="auto"/>
                <w:vertAlign w:val="superscript"/>
              </w:rPr>
              <w:t>(34)</w:t>
            </w:r>
          </w:p>
        </w:tc>
        <w:tc>
          <w:tcPr>
            <w:tcW w:w="1360" w:type="dxa"/>
            <w:vAlign w:val="bottom"/>
          </w:tcPr>
          <w:p>
            <w:pPr>
              <w:jc w:val="right"/>
              <w:spacing w:after="0"/>
              <w:rPr>
                <w:sz w:val="20"/>
                <w:szCs w:val="20"/>
                <w:color w:val="auto"/>
              </w:rPr>
            </w:pPr>
            <w:r>
              <w:rPr>
                <w:rFonts w:ascii="Arial" w:cs="Arial" w:eastAsia="Arial" w:hAnsi="Arial"/>
                <w:sz w:val="18"/>
                <w:szCs w:val="18"/>
                <w:color w:val="auto"/>
              </w:rPr>
              <w:t>38,811</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38,811</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580" w:type="dxa"/>
            <w:vAlign w:val="bottom"/>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30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Todd Arnold </w:t>
            </w:r>
            <w:r>
              <w:rPr>
                <w:rFonts w:ascii="Arial" w:cs="Arial" w:eastAsia="Arial" w:hAnsi="Arial"/>
                <w:sz w:val="22"/>
                <w:szCs w:val="22"/>
                <w:color w:val="auto"/>
                <w:vertAlign w:val="superscript"/>
              </w:rPr>
              <w:t>(35)</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165,743</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165,743</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5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0"/>
        </w:trPr>
        <w:tc>
          <w:tcPr>
            <w:tcW w:w="5300" w:type="dxa"/>
            <w:vAlign w:val="bottom"/>
            <w:gridSpan w:val="2"/>
          </w:tcPr>
          <w:p>
            <w:pPr>
              <w:ind w:left="20"/>
              <w:spacing w:after="0"/>
              <w:rPr>
                <w:sz w:val="20"/>
                <w:szCs w:val="20"/>
                <w:color w:val="auto"/>
              </w:rPr>
            </w:pPr>
            <w:r>
              <w:rPr>
                <w:rFonts w:ascii="Arial" w:cs="Arial" w:eastAsia="Arial" w:hAnsi="Arial"/>
                <w:sz w:val="18"/>
                <w:szCs w:val="18"/>
                <w:color w:val="auto"/>
              </w:rPr>
              <w:t xml:space="preserve">Gregory T. Zalecki </w:t>
            </w:r>
            <w:r>
              <w:rPr>
                <w:rFonts w:ascii="Arial" w:cs="Arial" w:eastAsia="Arial" w:hAnsi="Arial"/>
                <w:sz w:val="22"/>
                <w:szCs w:val="22"/>
                <w:color w:val="auto"/>
                <w:vertAlign w:val="superscript"/>
              </w:rPr>
              <w:t>(36)</w:t>
            </w:r>
          </w:p>
        </w:tc>
        <w:tc>
          <w:tcPr>
            <w:tcW w:w="1360" w:type="dxa"/>
            <w:vAlign w:val="bottom"/>
          </w:tcPr>
          <w:p>
            <w:pPr>
              <w:jc w:val="right"/>
              <w:spacing w:after="0"/>
              <w:rPr>
                <w:sz w:val="20"/>
                <w:szCs w:val="20"/>
                <w:color w:val="auto"/>
              </w:rPr>
            </w:pPr>
            <w:r>
              <w:rPr>
                <w:rFonts w:ascii="Arial" w:cs="Arial" w:eastAsia="Arial" w:hAnsi="Arial"/>
                <w:sz w:val="18"/>
                <w:szCs w:val="18"/>
                <w:color w:val="auto"/>
              </w:rPr>
              <w:t>14,330</w:t>
            </w:r>
          </w:p>
        </w:tc>
        <w:tc>
          <w:tcPr>
            <w:tcW w:w="1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13,401</w:t>
            </w:r>
          </w:p>
        </w:tc>
        <w:tc>
          <w:tcPr>
            <w:tcW w:w="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929</w:t>
            </w:r>
          </w:p>
        </w:tc>
        <w:tc>
          <w:tcPr>
            <w:tcW w:w="80" w:type="dxa"/>
            <w:vAlign w:val="bottom"/>
          </w:tcPr>
          <w:p>
            <w:pPr>
              <w:spacing w:after="0"/>
              <w:rPr>
                <w:sz w:val="24"/>
                <w:szCs w:val="24"/>
                <w:color w:val="auto"/>
              </w:rPr>
            </w:pPr>
          </w:p>
        </w:tc>
        <w:tc>
          <w:tcPr>
            <w:tcW w:w="1580" w:type="dxa"/>
            <w:vAlign w:val="bottom"/>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3"/>
          </w:tcPr>
          <w:p>
            <w:pPr>
              <w:jc w:val="right"/>
              <w:ind w:right="213"/>
              <w:spacing w:after="0"/>
              <w:rPr>
                <w:sz w:val="20"/>
                <w:szCs w:val="20"/>
                <w:color w:val="auto"/>
              </w:rPr>
            </w:pPr>
            <w:r>
              <w:rPr>
                <w:rFonts w:ascii="Arial" w:cs="Arial" w:eastAsia="Arial" w:hAnsi="Arial"/>
                <w:sz w:val="14"/>
                <w:szCs w:val="14"/>
                <w:b w:val="1"/>
                <w:bCs w:val="1"/>
                <w:color w:val="auto"/>
              </w:rPr>
              <w:t>Shares of Class A Common Stock</w:t>
            </w:r>
          </w:p>
        </w:tc>
        <w:tc>
          <w:tcPr>
            <w:tcW w:w="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gridSpan w:val="2"/>
          </w:tcPr>
          <w:p>
            <w:pPr>
              <w:jc w:val="center"/>
              <w:ind w:right="100"/>
              <w:spacing w:after="0" w:line="131" w:lineRule="exact"/>
              <w:rPr>
                <w:sz w:val="20"/>
                <w:szCs w:val="20"/>
                <w:color w:val="auto"/>
              </w:rPr>
            </w:pPr>
            <w:r>
              <w:rPr>
                <w:rFonts w:ascii="Arial" w:cs="Arial" w:eastAsia="Arial" w:hAnsi="Arial"/>
                <w:sz w:val="14"/>
                <w:szCs w:val="14"/>
                <w:b w:val="1"/>
                <w:bCs w:val="1"/>
                <w:color w:val="auto"/>
                <w:w w:val="92"/>
              </w:rPr>
              <w:t>Number Beneficially</w:t>
            </w:r>
          </w:p>
        </w:tc>
        <w:tc>
          <w:tcPr>
            <w:tcW w:w="14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Number Registered</w:t>
            </w:r>
          </w:p>
        </w:tc>
        <w:tc>
          <w:tcPr>
            <w:tcW w:w="138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3"/>
              </w:rPr>
              <w:t>Number Beneficially</w:t>
            </w:r>
          </w:p>
        </w:tc>
        <w:tc>
          <w:tcPr>
            <w:tcW w:w="80" w:type="dxa"/>
            <w:vAlign w:val="bottom"/>
          </w:tcPr>
          <w:p>
            <w:pPr>
              <w:spacing w:after="0"/>
              <w:rPr>
                <w:sz w:val="11"/>
                <w:szCs w:val="11"/>
                <w:color w:val="auto"/>
              </w:rPr>
            </w:pPr>
          </w:p>
        </w:tc>
        <w:tc>
          <w:tcPr>
            <w:tcW w:w="15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Percent Owned After</w:t>
            </w:r>
          </w:p>
        </w:tc>
        <w:tc>
          <w:tcPr>
            <w:tcW w:w="0" w:type="dxa"/>
            <w:vAlign w:val="bottom"/>
          </w:tcPr>
          <w:p>
            <w:pPr>
              <w:spacing w:after="0"/>
              <w:rPr>
                <w:sz w:val="1"/>
                <w:szCs w:val="1"/>
                <w:color w:val="auto"/>
              </w:rPr>
            </w:pPr>
          </w:p>
        </w:tc>
      </w:tr>
      <w:tr>
        <w:trPr>
          <w:trHeight w:val="133"/>
        </w:trPr>
        <w:tc>
          <w:tcPr>
            <w:tcW w:w="5300" w:type="dxa"/>
            <w:vAlign w:val="bottom"/>
            <w:gridSpan w:val="2"/>
            <w:vMerge w:val="restart"/>
          </w:tcPr>
          <w:p>
            <w:pPr>
              <w:ind w:left="2420"/>
              <w:spacing w:after="0"/>
              <w:rPr>
                <w:sz w:val="20"/>
                <w:szCs w:val="20"/>
                <w:color w:val="auto"/>
              </w:rPr>
            </w:pPr>
            <w:r>
              <w:rPr>
                <w:rFonts w:ascii="Arial" w:cs="Arial" w:eastAsia="Arial" w:hAnsi="Arial"/>
                <w:sz w:val="14"/>
                <w:szCs w:val="14"/>
                <w:b w:val="1"/>
                <w:bCs w:val="1"/>
                <w:color w:val="auto"/>
              </w:rPr>
              <w:t>Name</w:t>
            </w:r>
          </w:p>
        </w:tc>
        <w:tc>
          <w:tcPr>
            <w:tcW w:w="146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93"/>
              </w:rPr>
              <w:t>Owned Prior to</w:t>
            </w:r>
          </w:p>
        </w:tc>
        <w:tc>
          <w:tcPr>
            <w:tcW w:w="1440" w:type="dxa"/>
            <w:vAlign w:val="bottom"/>
            <w:gridSpan w:val="2"/>
            <w:vMerge w:val="continue"/>
          </w:tcPr>
          <w:p>
            <w:pPr>
              <w:spacing w:after="0"/>
              <w:rPr>
                <w:sz w:val="11"/>
                <w:szCs w:val="11"/>
                <w:color w:val="auto"/>
              </w:rPr>
            </w:pPr>
          </w:p>
        </w:tc>
        <w:tc>
          <w:tcPr>
            <w:tcW w:w="13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Owned After</w:t>
            </w:r>
          </w:p>
        </w:tc>
        <w:tc>
          <w:tcPr>
            <w:tcW w:w="80" w:type="dxa"/>
            <w:vAlign w:val="bottom"/>
          </w:tcPr>
          <w:p>
            <w:pPr>
              <w:spacing w:after="0"/>
              <w:rPr>
                <w:sz w:val="11"/>
                <w:szCs w:val="11"/>
                <w:color w:val="auto"/>
              </w:rPr>
            </w:pPr>
          </w:p>
        </w:tc>
        <w:tc>
          <w:tcPr>
            <w:tcW w:w="1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5300" w:type="dxa"/>
            <w:vAlign w:val="bottom"/>
            <w:gridSpan w:val="2"/>
            <w:vMerge w:val="continue"/>
          </w:tcPr>
          <w:p>
            <w:pPr>
              <w:spacing w:after="0"/>
              <w:rPr>
                <w:sz w:val="16"/>
                <w:szCs w:val="16"/>
                <w:color w:val="auto"/>
              </w:rPr>
            </w:pPr>
          </w:p>
        </w:tc>
        <w:tc>
          <w:tcPr>
            <w:tcW w:w="1460" w:type="dxa"/>
            <w:vAlign w:val="bottom"/>
            <w:gridSpan w:val="2"/>
          </w:tcPr>
          <w:p>
            <w:pPr>
              <w:jc w:val="center"/>
              <w:ind w:right="120"/>
              <w:spacing w:after="0" w:line="186" w:lineRule="exact"/>
              <w:rPr>
                <w:sz w:val="20"/>
                <w:szCs w:val="20"/>
                <w:color w:val="auto"/>
              </w:rPr>
            </w:pPr>
            <w:r>
              <w:rPr>
                <w:rFonts w:ascii="Arial" w:cs="Arial" w:eastAsia="Arial" w:hAnsi="Arial"/>
                <w:sz w:val="14"/>
                <w:szCs w:val="14"/>
                <w:b w:val="1"/>
                <w:bCs w:val="1"/>
                <w:color w:val="auto"/>
                <w:w w:val="90"/>
              </w:rPr>
              <w:t xml:space="preserve">Offering </w:t>
            </w:r>
            <w:r>
              <w:rPr>
                <w:rFonts w:ascii="Arial" w:cs="Arial" w:eastAsia="Arial" w:hAnsi="Arial"/>
                <w:sz w:val="18"/>
                <w:szCs w:val="18"/>
                <w:b w:val="1"/>
                <w:bCs w:val="1"/>
                <w:color w:val="auto"/>
                <w:w w:val="90"/>
                <w:vertAlign w:val="superscript"/>
              </w:rPr>
              <w:t>(1)</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for Sale Hereby</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1"/>
              </w:rPr>
              <w:t>Offering</w:t>
            </w:r>
          </w:p>
        </w:tc>
        <w:tc>
          <w:tcPr>
            <w:tcW w:w="80" w:type="dxa"/>
            <w:vAlign w:val="bottom"/>
          </w:tcPr>
          <w:p>
            <w:pPr>
              <w:spacing w:after="0"/>
              <w:rPr>
                <w:sz w:val="16"/>
                <w:szCs w:val="16"/>
                <w:color w:val="auto"/>
              </w:rPr>
            </w:pPr>
          </w:p>
        </w:tc>
        <w:tc>
          <w:tcPr>
            <w:tcW w:w="1580" w:type="dxa"/>
            <w:vAlign w:val="bottom"/>
          </w:tcPr>
          <w:p>
            <w:pPr>
              <w:ind w:left="460"/>
              <w:spacing w:after="0" w:line="186" w:lineRule="exact"/>
              <w:rPr>
                <w:sz w:val="20"/>
                <w:szCs w:val="20"/>
                <w:color w:val="auto"/>
              </w:rPr>
            </w:pPr>
            <w:r>
              <w:rPr>
                <w:rFonts w:ascii="Arial" w:cs="Arial" w:eastAsia="Arial" w:hAnsi="Arial"/>
                <w:sz w:val="14"/>
                <w:szCs w:val="14"/>
                <w:b w:val="1"/>
                <w:bCs w:val="1"/>
                <w:color w:val="auto"/>
              </w:rPr>
              <w:t xml:space="preserve">Offering </w:t>
            </w:r>
            <w:r>
              <w:rPr>
                <w:rFonts w:ascii="Arial" w:cs="Arial" w:eastAsia="Arial" w:hAnsi="Arial"/>
                <w:sz w:val="18"/>
                <w:szCs w:val="18"/>
                <w:b w:val="1"/>
                <w:bCs w:val="1"/>
                <w:color w:val="auto"/>
                <w:vertAlign w:val="superscript"/>
              </w:rPr>
              <w:t>(2)</w:t>
            </w:r>
          </w:p>
        </w:tc>
        <w:tc>
          <w:tcPr>
            <w:tcW w:w="0" w:type="dxa"/>
            <w:vAlign w:val="bottom"/>
          </w:tcPr>
          <w:p>
            <w:pPr>
              <w:spacing w:after="0"/>
              <w:rPr>
                <w:sz w:val="1"/>
                <w:szCs w:val="1"/>
                <w:color w:val="auto"/>
              </w:rPr>
            </w:pPr>
          </w:p>
        </w:tc>
      </w:tr>
      <w:tr>
        <w:trPr>
          <w:trHeight w:val="218"/>
        </w:trPr>
        <w:tc>
          <w:tcPr>
            <w:tcW w:w="5200" w:type="dxa"/>
            <w:vAlign w:val="bottom"/>
            <w:tcBorders>
              <w:top w:val="single" w:sz="8" w:color="auto"/>
            </w:tcBorders>
            <w:shd w:val="clear" w:color="auto" w:fill="CCEEFF"/>
          </w:tcPr>
          <w:p>
            <w:pPr>
              <w:ind w:left="20"/>
              <w:spacing w:after="0" w:line="219" w:lineRule="exact"/>
              <w:rPr>
                <w:sz w:val="20"/>
                <w:szCs w:val="20"/>
                <w:color w:val="auto"/>
              </w:rPr>
            </w:pPr>
            <w:r>
              <w:rPr>
                <w:rFonts w:ascii="Arial" w:cs="Arial" w:eastAsia="Arial" w:hAnsi="Arial"/>
                <w:sz w:val="18"/>
                <w:szCs w:val="18"/>
                <w:color w:val="auto"/>
              </w:rPr>
              <w:t xml:space="preserve">Eunjee Lee </w:t>
            </w:r>
            <w:r>
              <w:rPr>
                <w:rFonts w:ascii="Arial" w:cs="Arial" w:eastAsia="Arial" w:hAnsi="Arial"/>
                <w:sz w:val="22"/>
                <w:szCs w:val="22"/>
                <w:color w:val="auto"/>
                <w:vertAlign w:val="superscript"/>
              </w:rPr>
              <w:t>(37)</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9,553</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8,934</w:t>
            </w:r>
          </w:p>
        </w:tc>
        <w:tc>
          <w:tcPr>
            <w:tcW w:w="8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80" w:type="dxa"/>
            <w:vAlign w:val="bottom"/>
          </w:tcPr>
          <w:p>
            <w:pPr>
              <w:spacing w:after="0"/>
              <w:rPr>
                <w:sz w:val="19"/>
                <w:szCs w:val="19"/>
                <w:color w:val="auto"/>
              </w:rPr>
            </w:pPr>
          </w:p>
        </w:tc>
        <w:tc>
          <w:tcPr>
            <w:tcW w:w="1580" w:type="dxa"/>
            <w:vAlign w:val="bottom"/>
            <w:tcBorders>
              <w:top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30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 xml:space="preserve">Amanda B. Zheutlin </w:t>
            </w:r>
            <w:r>
              <w:rPr>
                <w:rFonts w:ascii="Arial" w:cs="Arial" w:eastAsia="Arial" w:hAnsi="Arial"/>
                <w:sz w:val="22"/>
                <w:szCs w:val="22"/>
                <w:color w:val="auto"/>
                <w:vertAlign w:val="superscript"/>
              </w:rPr>
              <w:t>(38)</w:t>
            </w:r>
          </w:p>
        </w:tc>
        <w:tc>
          <w:tcPr>
            <w:tcW w:w="1360" w:type="dxa"/>
            <w:vAlign w:val="bottom"/>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643</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580" w:type="dxa"/>
            <w:vAlign w:val="bottom"/>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30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Shinichiro J. Takiguchi </w:t>
            </w:r>
            <w:r>
              <w:rPr>
                <w:rFonts w:ascii="Arial" w:cs="Arial" w:eastAsia="Arial" w:hAnsi="Arial"/>
                <w:sz w:val="22"/>
                <w:szCs w:val="22"/>
                <w:color w:val="auto"/>
                <w:vertAlign w:val="superscript"/>
              </w:rPr>
              <w:t>(39)</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4,624</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3,486</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80" w:type="dxa"/>
            <w:vAlign w:val="bottom"/>
          </w:tcPr>
          <w:p>
            <w:pPr>
              <w:spacing w:after="0"/>
              <w:rPr>
                <w:sz w:val="19"/>
                <w:szCs w:val="19"/>
                <w:color w:val="auto"/>
              </w:rPr>
            </w:pPr>
          </w:p>
        </w:tc>
        <w:tc>
          <w:tcPr>
            <w:tcW w:w="15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30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 xml:space="preserve">R. Martin Chavez </w:t>
            </w:r>
            <w:r>
              <w:rPr>
                <w:rFonts w:ascii="Arial" w:cs="Arial" w:eastAsia="Arial" w:hAnsi="Arial"/>
                <w:sz w:val="22"/>
                <w:szCs w:val="22"/>
                <w:color w:val="auto"/>
                <w:vertAlign w:val="superscript"/>
              </w:rPr>
              <w:t>(40)</w:t>
            </w:r>
          </w:p>
        </w:tc>
        <w:tc>
          <w:tcPr>
            <w:tcW w:w="1360" w:type="dxa"/>
            <w:vAlign w:val="bottom"/>
          </w:tcPr>
          <w:p>
            <w:pPr>
              <w:jc w:val="right"/>
              <w:spacing w:after="0"/>
              <w:rPr>
                <w:sz w:val="20"/>
                <w:szCs w:val="20"/>
                <w:color w:val="auto"/>
              </w:rPr>
            </w:pPr>
            <w:r>
              <w:rPr>
                <w:rFonts w:ascii="Arial" w:cs="Arial" w:eastAsia="Arial" w:hAnsi="Arial"/>
                <w:sz w:val="18"/>
                <w:szCs w:val="18"/>
                <w:color w:val="auto"/>
              </w:rPr>
              <w:t>183,187</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183,187</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580" w:type="dxa"/>
            <w:vAlign w:val="bottom"/>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30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Ling Feng Pu </w:t>
            </w:r>
            <w:r>
              <w:rPr>
                <w:rFonts w:ascii="Arial" w:cs="Arial" w:eastAsia="Arial" w:hAnsi="Arial"/>
                <w:sz w:val="22"/>
                <w:szCs w:val="22"/>
                <w:color w:val="auto"/>
                <w:vertAlign w:val="superscript"/>
              </w:rPr>
              <w:t>(41)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6,701</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6,701</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5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30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 xml:space="preserve">Mitchell Dillon </w:t>
            </w:r>
            <w:r>
              <w:rPr>
                <w:rFonts w:ascii="Arial" w:cs="Arial" w:eastAsia="Arial" w:hAnsi="Arial"/>
                <w:sz w:val="22"/>
                <w:szCs w:val="22"/>
                <w:color w:val="auto"/>
                <w:vertAlign w:val="superscript"/>
              </w:rPr>
              <w:t>(42)</w:t>
            </w:r>
          </w:p>
        </w:tc>
        <w:tc>
          <w:tcPr>
            <w:tcW w:w="1360" w:type="dxa"/>
            <w:vAlign w:val="bottom"/>
          </w:tcPr>
          <w:p>
            <w:pPr>
              <w:jc w:val="right"/>
              <w:spacing w:after="0"/>
              <w:rPr>
                <w:sz w:val="20"/>
                <w:szCs w:val="20"/>
                <w:color w:val="auto"/>
              </w:rPr>
            </w:pPr>
            <w:r>
              <w:rPr>
                <w:rFonts w:ascii="Arial" w:cs="Arial" w:eastAsia="Arial" w:hAnsi="Arial"/>
                <w:sz w:val="18"/>
                <w:szCs w:val="18"/>
                <w:color w:val="auto"/>
              </w:rPr>
              <w:t>1,630</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857</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773</w:t>
            </w:r>
          </w:p>
        </w:tc>
        <w:tc>
          <w:tcPr>
            <w:tcW w:w="80" w:type="dxa"/>
            <w:vAlign w:val="bottom"/>
          </w:tcPr>
          <w:p>
            <w:pPr>
              <w:spacing w:after="0"/>
              <w:rPr>
                <w:sz w:val="19"/>
                <w:szCs w:val="19"/>
                <w:color w:val="auto"/>
              </w:rPr>
            </w:pPr>
          </w:p>
        </w:tc>
        <w:tc>
          <w:tcPr>
            <w:tcW w:w="1580" w:type="dxa"/>
            <w:vAlign w:val="bottom"/>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30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Ming Xue </w:t>
            </w:r>
            <w:r>
              <w:rPr>
                <w:rFonts w:ascii="Arial" w:cs="Arial" w:eastAsia="Arial" w:hAnsi="Arial"/>
                <w:sz w:val="22"/>
                <w:szCs w:val="22"/>
                <w:color w:val="auto"/>
                <w:vertAlign w:val="superscript"/>
              </w:rPr>
              <w:t>(43)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9,553</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8,934</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80" w:type="dxa"/>
            <w:vAlign w:val="bottom"/>
          </w:tcPr>
          <w:p>
            <w:pPr>
              <w:spacing w:after="0"/>
              <w:rPr>
                <w:sz w:val="19"/>
                <w:szCs w:val="19"/>
                <w:color w:val="auto"/>
              </w:rPr>
            </w:pPr>
          </w:p>
        </w:tc>
        <w:tc>
          <w:tcPr>
            <w:tcW w:w="15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30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 xml:space="preserve">Rong Chen </w:t>
            </w:r>
            <w:r>
              <w:rPr>
                <w:rFonts w:ascii="Arial" w:cs="Arial" w:eastAsia="Arial" w:hAnsi="Arial"/>
                <w:sz w:val="22"/>
                <w:szCs w:val="22"/>
                <w:color w:val="auto"/>
                <w:vertAlign w:val="superscript"/>
              </w:rPr>
              <w:t>(44)</w:t>
            </w:r>
          </w:p>
        </w:tc>
        <w:tc>
          <w:tcPr>
            <w:tcW w:w="1360" w:type="dxa"/>
            <w:vAlign w:val="bottom"/>
          </w:tcPr>
          <w:p>
            <w:pPr>
              <w:jc w:val="right"/>
              <w:spacing w:after="0"/>
              <w:rPr>
                <w:sz w:val="20"/>
                <w:szCs w:val="20"/>
                <w:color w:val="auto"/>
              </w:rPr>
            </w:pPr>
            <w:r>
              <w:rPr>
                <w:rFonts w:ascii="Arial" w:cs="Arial" w:eastAsia="Arial" w:hAnsi="Arial"/>
                <w:sz w:val="18"/>
                <w:szCs w:val="18"/>
                <w:color w:val="auto"/>
              </w:rPr>
              <w:t>735,198</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4,811</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730,387</w:t>
            </w:r>
          </w:p>
        </w:tc>
        <w:tc>
          <w:tcPr>
            <w:tcW w:w="80" w:type="dxa"/>
            <w:vAlign w:val="bottom"/>
          </w:tcPr>
          <w:p>
            <w:pPr>
              <w:spacing w:after="0"/>
              <w:rPr>
                <w:sz w:val="19"/>
                <w:szCs w:val="19"/>
                <w:color w:val="auto"/>
              </w:rPr>
            </w:pPr>
          </w:p>
        </w:tc>
        <w:tc>
          <w:tcPr>
            <w:tcW w:w="1580" w:type="dxa"/>
            <w:vAlign w:val="bottom"/>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30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Meng Ma </w:t>
            </w:r>
            <w:r>
              <w:rPr>
                <w:rFonts w:ascii="Arial" w:cs="Arial" w:eastAsia="Arial" w:hAnsi="Arial"/>
                <w:sz w:val="22"/>
                <w:szCs w:val="22"/>
                <w:color w:val="auto"/>
                <w:vertAlign w:val="superscript"/>
              </w:rPr>
              <w:t>(45)</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13,744</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13,744</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5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30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 xml:space="preserve">Richie Casimir </w:t>
            </w:r>
            <w:r>
              <w:rPr>
                <w:rFonts w:ascii="Arial" w:cs="Arial" w:eastAsia="Arial" w:hAnsi="Arial"/>
                <w:sz w:val="22"/>
                <w:szCs w:val="22"/>
                <w:color w:val="auto"/>
                <w:vertAlign w:val="superscript"/>
              </w:rPr>
              <w:t>(46)</w:t>
            </w:r>
          </w:p>
        </w:tc>
        <w:tc>
          <w:tcPr>
            <w:tcW w:w="1360" w:type="dxa"/>
            <w:vAlign w:val="bottom"/>
          </w:tcPr>
          <w:p>
            <w:pPr>
              <w:jc w:val="right"/>
              <w:spacing w:after="0"/>
              <w:rPr>
                <w:sz w:val="20"/>
                <w:szCs w:val="20"/>
                <w:color w:val="auto"/>
              </w:rPr>
            </w:pPr>
            <w:r>
              <w:rPr>
                <w:rFonts w:ascii="Arial" w:cs="Arial" w:eastAsia="Arial" w:hAnsi="Arial"/>
                <w:sz w:val="18"/>
                <w:szCs w:val="18"/>
                <w:color w:val="auto"/>
              </w:rPr>
              <w:t>1,910</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1,786</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9"/>
                <w:szCs w:val="19"/>
                <w:color w:val="auto"/>
              </w:rPr>
            </w:pPr>
          </w:p>
        </w:tc>
        <w:tc>
          <w:tcPr>
            <w:tcW w:w="1580" w:type="dxa"/>
            <w:vAlign w:val="bottom"/>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30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Dalia Herrera </w:t>
            </w:r>
            <w:r>
              <w:rPr>
                <w:rFonts w:ascii="Arial" w:cs="Arial" w:eastAsia="Arial" w:hAnsi="Arial"/>
                <w:sz w:val="22"/>
                <w:szCs w:val="22"/>
                <w:color w:val="auto"/>
                <w:vertAlign w:val="superscript"/>
              </w:rPr>
              <w:t>(47)</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9"/>
                <w:szCs w:val="19"/>
                <w:color w:val="auto"/>
              </w:rPr>
            </w:pPr>
          </w:p>
        </w:tc>
        <w:tc>
          <w:tcPr>
            <w:tcW w:w="15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30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 xml:space="preserve">Kathleen Moscarda-Cruz </w:t>
            </w:r>
            <w:r>
              <w:rPr>
                <w:rFonts w:ascii="Arial" w:cs="Arial" w:eastAsia="Arial" w:hAnsi="Arial"/>
                <w:sz w:val="22"/>
                <w:szCs w:val="22"/>
                <w:color w:val="auto"/>
                <w:vertAlign w:val="superscript"/>
              </w:rPr>
              <w:t>(48)</w:t>
            </w:r>
          </w:p>
        </w:tc>
        <w:tc>
          <w:tcPr>
            <w:tcW w:w="1360" w:type="dxa"/>
            <w:vAlign w:val="bottom"/>
          </w:tcPr>
          <w:p>
            <w:pPr>
              <w:jc w:val="right"/>
              <w:spacing w:after="0"/>
              <w:rPr>
                <w:sz w:val="20"/>
                <w:szCs w:val="20"/>
                <w:color w:val="auto"/>
              </w:rPr>
            </w:pPr>
            <w:r>
              <w:rPr>
                <w:rFonts w:ascii="Arial" w:cs="Arial" w:eastAsia="Arial" w:hAnsi="Arial"/>
                <w:sz w:val="18"/>
                <w:szCs w:val="18"/>
                <w:color w:val="auto"/>
              </w:rPr>
              <w:t>1,910</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1,786</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9"/>
                <w:szCs w:val="19"/>
                <w:color w:val="auto"/>
              </w:rPr>
            </w:pPr>
          </w:p>
        </w:tc>
        <w:tc>
          <w:tcPr>
            <w:tcW w:w="1580" w:type="dxa"/>
            <w:vAlign w:val="bottom"/>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30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Xin Sui </w:t>
            </w:r>
            <w:r>
              <w:rPr>
                <w:rFonts w:ascii="Arial" w:cs="Arial" w:eastAsia="Arial" w:hAnsi="Arial"/>
                <w:sz w:val="22"/>
                <w:szCs w:val="22"/>
                <w:color w:val="auto"/>
                <w:vertAlign w:val="superscript"/>
              </w:rPr>
              <w:t>(49)</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6,701</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80" w:type="dxa"/>
            <w:vAlign w:val="bottom"/>
          </w:tcPr>
          <w:p>
            <w:pPr>
              <w:spacing w:after="0"/>
              <w:rPr>
                <w:sz w:val="19"/>
                <w:szCs w:val="19"/>
                <w:color w:val="auto"/>
              </w:rPr>
            </w:pPr>
          </w:p>
        </w:tc>
        <w:tc>
          <w:tcPr>
            <w:tcW w:w="15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30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 xml:space="preserve">Huan Wang </w:t>
            </w:r>
            <w:r>
              <w:rPr>
                <w:rFonts w:ascii="Arial" w:cs="Arial" w:eastAsia="Arial" w:hAnsi="Arial"/>
                <w:sz w:val="22"/>
                <w:szCs w:val="22"/>
                <w:color w:val="auto"/>
                <w:vertAlign w:val="superscript"/>
              </w:rPr>
              <w:t>(50)</w:t>
            </w:r>
          </w:p>
        </w:tc>
        <w:tc>
          <w:tcPr>
            <w:tcW w:w="1360" w:type="dxa"/>
            <w:vAlign w:val="bottom"/>
          </w:tcPr>
          <w:p>
            <w:pPr>
              <w:jc w:val="right"/>
              <w:spacing w:after="0"/>
              <w:rPr>
                <w:sz w:val="20"/>
                <w:szCs w:val="20"/>
                <w:color w:val="auto"/>
              </w:rPr>
            </w:pPr>
            <w:r>
              <w:rPr>
                <w:rFonts w:ascii="Arial" w:cs="Arial" w:eastAsia="Arial" w:hAnsi="Arial"/>
                <w:sz w:val="18"/>
                <w:szCs w:val="18"/>
                <w:color w:val="auto"/>
              </w:rPr>
              <w:t>14,611</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6,872</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7,739</w:t>
            </w:r>
          </w:p>
        </w:tc>
        <w:tc>
          <w:tcPr>
            <w:tcW w:w="80" w:type="dxa"/>
            <w:vAlign w:val="bottom"/>
          </w:tcPr>
          <w:p>
            <w:pPr>
              <w:spacing w:after="0"/>
              <w:rPr>
                <w:sz w:val="19"/>
                <w:szCs w:val="19"/>
                <w:color w:val="auto"/>
              </w:rPr>
            </w:pPr>
          </w:p>
        </w:tc>
        <w:tc>
          <w:tcPr>
            <w:tcW w:w="1580" w:type="dxa"/>
            <w:vAlign w:val="bottom"/>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30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Kejian Zhang </w:t>
            </w:r>
            <w:r>
              <w:rPr>
                <w:rFonts w:ascii="Arial" w:cs="Arial" w:eastAsia="Arial" w:hAnsi="Arial"/>
                <w:sz w:val="22"/>
                <w:szCs w:val="22"/>
                <w:color w:val="auto"/>
                <w:vertAlign w:val="superscript"/>
              </w:rPr>
              <w:t>(51)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44,322</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38,518</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5,804</w:t>
            </w:r>
          </w:p>
        </w:tc>
        <w:tc>
          <w:tcPr>
            <w:tcW w:w="80" w:type="dxa"/>
            <w:vAlign w:val="bottom"/>
          </w:tcPr>
          <w:p>
            <w:pPr>
              <w:spacing w:after="0"/>
              <w:rPr>
                <w:sz w:val="19"/>
                <w:szCs w:val="19"/>
                <w:color w:val="auto"/>
              </w:rPr>
            </w:pPr>
          </w:p>
        </w:tc>
        <w:tc>
          <w:tcPr>
            <w:tcW w:w="15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30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 xml:space="preserve">Avram Billig </w:t>
            </w:r>
            <w:r>
              <w:rPr>
                <w:rFonts w:ascii="Arial" w:cs="Arial" w:eastAsia="Arial" w:hAnsi="Arial"/>
                <w:sz w:val="22"/>
                <w:szCs w:val="22"/>
                <w:color w:val="auto"/>
                <w:vertAlign w:val="superscript"/>
              </w:rPr>
              <w:t>(52)</w:t>
            </w:r>
          </w:p>
        </w:tc>
        <w:tc>
          <w:tcPr>
            <w:tcW w:w="1360" w:type="dxa"/>
            <w:vAlign w:val="bottom"/>
          </w:tcPr>
          <w:p>
            <w:pPr>
              <w:jc w:val="right"/>
              <w:spacing w:after="0"/>
              <w:rPr>
                <w:sz w:val="20"/>
                <w:szCs w:val="20"/>
                <w:color w:val="auto"/>
              </w:rPr>
            </w:pPr>
            <w:r>
              <w:rPr>
                <w:rFonts w:ascii="Arial" w:cs="Arial" w:eastAsia="Arial" w:hAnsi="Arial"/>
                <w:sz w:val="18"/>
                <w:szCs w:val="18"/>
                <w:color w:val="auto"/>
              </w:rPr>
              <w:t>13,748</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5,498</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8,250</w:t>
            </w:r>
          </w:p>
        </w:tc>
        <w:tc>
          <w:tcPr>
            <w:tcW w:w="80" w:type="dxa"/>
            <w:vAlign w:val="bottom"/>
          </w:tcPr>
          <w:p>
            <w:pPr>
              <w:spacing w:after="0"/>
              <w:rPr>
                <w:sz w:val="19"/>
                <w:szCs w:val="19"/>
                <w:color w:val="auto"/>
              </w:rPr>
            </w:pPr>
          </w:p>
        </w:tc>
        <w:tc>
          <w:tcPr>
            <w:tcW w:w="1580" w:type="dxa"/>
            <w:vAlign w:val="bottom"/>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30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Carol R. Gottesman </w:t>
            </w:r>
            <w:r>
              <w:rPr>
                <w:rFonts w:ascii="Arial" w:cs="Arial" w:eastAsia="Arial" w:hAnsi="Arial"/>
                <w:sz w:val="22"/>
                <w:szCs w:val="22"/>
                <w:color w:val="auto"/>
                <w:vertAlign w:val="superscript"/>
              </w:rPr>
              <w:t>(53)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2,866</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80" w:type="dxa"/>
            <w:vAlign w:val="bottom"/>
          </w:tcPr>
          <w:p>
            <w:pPr>
              <w:spacing w:after="0"/>
              <w:rPr>
                <w:sz w:val="19"/>
                <w:szCs w:val="19"/>
                <w:color w:val="auto"/>
              </w:rPr>
            </w:pPr>
          </w:p>
        </w:tc>
        <w:tc>
          <w:tcPr>
            <w:tcW w:w="15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30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 xml:space="preserve">Emmett Higgins </w:t>
            </w:r>
            <w:r>
              <w:rPr>
                <w:rFonts w:ascii="Arial" w:cs="Arial" w:eastAsia="Arial" w:hAnsi="Arial"/>
                <w:sz w:val="22"/>
                <w:szCs w:val="22"/>
                <w:color w:val="auto"/>
                <w:vertAlign w:val="superscript"/>
              </w:rPr>
              <w:t>(54)</w:t>
            </w:r>
          </w:p>
        </w:tc>
        <w:tc>
          <w:tcPr>
            <w:tcW w:w="1360" w:type="dxa"/>
            <w:vAlign w:val="bottom"/>
          </w:tcPr>
          <w:p>
            <w:pPr>
              <w:jc w:val="right"/>
              <w:spacing w:after="0"/>
              <w:rPr>
                <w:sz w:val="20"/>
                <w:szCs w:val="20"/>
                <w:color w:val="auto"/>
              </w:rPr>
            </w:pPr>
            <w:r>
              <w:rPr>
                <w:rFonts w:ascii="Arial" w:cs="Arial" w:eastAsia="Arial" w:hAnsi="Arial"/>
                <w:sz w:val="18"/>
                <w:szCs w:val="18"/>
                <w:color w:val="auto"/>
              </w:rPr>
              <w:t>12,247</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6,443</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5,804</w:t>
            </w:r>
          </w:p>
        </w:tc>
        <w:tc>
          <w:tcPr>
            <w:tcW w:w="80" w:type="dxa"/>
            <w:vAlign w:val="bottom"/>
          </w:tcPr>
          <w:p>
            <w:pPr>
              <w:spacing w:after="0"/>
              <w:rPr>
                <w:sz w:val="19"/>
                <w:szCs w:val="19"/>
                <w:color w:val="auto"/>
              </w:rPr>
            </w:pPr>
          </w:p>
        </w:tc>
        <w:tc>
          <w:tcPr>
            <w:tcW w:w="1580" w:type="dxa"/>
            <w:vAlign w:val="bottom"/>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30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Shilong Li </w:t>
            </w:r>
            <w:r>
              <w:rPr>
                <w:rFonts w:ascii="Arial" w:cs="Arial" w:eastAsia="Arial" w:hAnsi="Arial"/>
                <w:sz w:val="22"/>
                <w:szCs w:val="22"/>
                <w:color w:val="auto"/>
                <w:vertAlign w:val="superscript"/>
              </w:rPr>
              <w:t>(55)</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80" w:type="dxa"/>
            <w:vAlign w:val="bottom"/>
          </w:tcPr>
          <w:p>
            <w:pPr>
              <w:spacing w:after="0"/>
              <w:rPr>
                <w:sz w:val="19"/>
                <w:szCs w:val="19"/>
                <w:color w:val="auto"/>
              </w:rPr>
            </w:pPr>
          </w:p>
        </w:tc>
        <w:tc>
          <w:tcPr>
            <w:tcW w:w="15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30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 xml:space="preserve">Olga Lukatskaya </w:t>
            </w:r>
            <w:r>
              <w:rPr>
                <w:rFonts w:ascii="Arial" w:cs="Arial" w:eastAsia="Arial" w:hAnsi="Arial"/>
                <w:sz w:val="22"/>
                <w:szCs w:val="22"/>
                <w:color w:val="auto"/>
                <w:vertAlign w:val="superscript"/>
              </w:rPr>
              <w:t>(56)</w:t>
            </w:r>
          </w:p>
        </w:tc>
        <w:tc>
          <w:tcPr>
            <w:tcW w:w="1360" w:type="dxa"/>
            <w:vAlign w:val="bottom"/>
          </w:tcPr>
          <w:p>
            <w:pPr>
              <w:jc w:val="right"/>
              <w:spacing w:after="0"/>
              <w:rPr>
                <w:sz w:val="20"/>
                <w:szCs w:val="20"/>
                <w:color w:val="auto"/>
              </w:rPr>
            </w:pPr>
            <w:r>
              <w:rPr>
                <w:rFonts w:ascii="Arial" w:cs="Arial" w:eastAsia="Arial" w:hAnsi="Arial"/>
                <w:sz w:val="18"/>
                <w:szCs w:val="18"/>
                <w:color w:val="auto"/>
              </w:rPr>
              <w:t>7,165</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6,701</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464</w:t>
            </w:r>
          </w:p>
        </w:tc>
        <w:tc>
          <w:tcPr>
            <w:tcW w:w="80" w:type="dxa"/>
            <w:vAlign w:val="bottom"/>
          </w:tcPr>
          <w:p>
            <w:pPr>
              <w:spacing w:after="0"/>
              <w:rPr>
                <w:sz w:val="19"/>
                <w:szCs w:val="19"/>
                <w:color w:val="auto"/>
              </w:rPr>
            </w:pPr>
          </w:p>
        </w:tc>
        <w:tc>
          <w:tcPr>
            <w:tcW w:w="1580" w:type="dxa"/>
            <w:vAlign w:val="bottom"/>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30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Milind C. Mahajan </w:t>
            </w:r>
            <w:r>
              <w:rPr>
                <w:rFonts w:ascii="Arial" w:cs="Arial" w:eastAsia="Arial" w:hAnsi="Arial"/>
                <w:sz w:val="22"/>
                <w:szCs w:val="22"/>
                <w:color w:val="auto"/>
                <w:vertAlign w:val="superscript"/>
              </w:rPr>
              <w:t>(57)</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63,321</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50,859</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12,462</w:t>
            </w:r>
          </w:p>
        </w:tc>
        <w:tc>
          <w:tcPr>
            <w:tcW w:w="80" w:type="dxa"/>
            <w:vAlign w:val="bottom"/>
          </w:tcPr>
          <w:p>
            <w:pPr>
              <w:spacing w:after="0"/>
              <w:rPr>
                <w:sz w:val="19"/>
                <w:szCs w:val="19"/>
                <w:color w:val="auto"/>
              </w:rPr>
            </w:pPr>
          </w:p>
        </w:tc>
        <w:tc>
          <w:tcPr>
            <w:tcW w:w="15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30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 xml:space="preserve">Frank Makosiej </w:t>
            </w:r>
            <w:r>
              <w:rPr>
                <w:rFonts w:ascii="Arial" w:cs="Arial" w:eastAsia="Arial" w:hAnsi="Arial"/>
                <w:sz w:val="22"/>
                <w:szCs w:val="22"/>
                <w:color w:val="auto"/>
                <w:vertAlign w:val="superscript"/>
              </w:rPr>
              <w:t>(58)</w:t>
            </w:r>
          </w:p>
        </w:tc>
        <w:tc>
          <w:tcPr>
            <w:tcW w:w="1360" w:type="dxa"/>
            <w:vAlign w:val="bottom"/>
          </w:tcPr>
          <w:p>
            <w:pPr>
              <w:jc w:val="right"/>
              <w:spacing w:after="0"/>
              <w:rPr>
                <w:sz w:val="20"/>
                <w:szCs w:val="20"/>
                <w:color w:val="auto"/>
              </w:rPr>
            </w:pPr>
            <w:r>
              <w:rPr>
                <w:rFonts w:ascii="Arial" w:cs="Arial" w:eastAsia="Arial" w:hAnsi="Arial"/>
                <w:sz w:val="18"/>
                <w:szCs w:val="18"/>
                <w:color w:val="auto"/>
              </w:rPr>
              <w:t>6,311</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5,151</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1,160</w:t>
            </w:r>
          </w:p>
        </w:tc>
        <w:tc>
          <w:tcPr>
            <w:tcW w:w="80" w:type="dxa"/>
            <w:vAlign w:val="bottom"/>
          </w:tcPr>
          <w:p>
            <w:pPr>
              <w:spacing w:after="0"/>
              <w:rPr>
                <w:sz w:val="19"/>
                <w:szCs w:val="19"/>
                <w:color w:val="auto"/>
              </w:rPr>
            </w:pPr>
          </w:p>
        </w:tc>
        <w:tc>
          <w:tcPr>
            <w:tcW w:w="1580" w:type="dxa"/>
            <w:vAlign w:val="bottom"/>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30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Sanjaya W. Punyasena </w:t>
            </w:r>
            <w:r>
              <w:rPr>
                <w:rFonts w:ascii="Arial" w:cs="Arial" w:eastAsia="Arial" w:hAnsi="Arial"/>
                <w:sz w:val="22"/>
                <w:szCs w:val="22"/>
                <w:color w:val="auto"/>
                <w:vertAlign w:val="superscript"/>
              </w:rPr>
              <w:t>(59)</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12,873</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11,371</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80" w:type="dxa"/>
            <w:vAlign w:val="bottom"/>
          </w:tcPr>
          <w:p>
            <w:pPr>
              <w:spacing w:after="0"/>
              <w:rPr>
                <w:sz w:val="19"/>
                <w:szCs w:val="19"/>
                <w:color w:val="auto"/>
              </w:rPr>
            </w:pPr>
          </w:p>
        </w:tc>
        <w:tc>
          <w:tcPr>
            <w:tcW w:w="15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30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 xml:space="preserve">Molly Madden </w:t>
            </w:r>
            <w:r>
              <w:rPr>
                <w:rFonts w:ascii="Arial" w:cs="Arial" w:eastAsia="Arial" w:hAnsi="Arial"/>
                <w:sz w:val="22"/>
                <w:szCs w:val="22"/>
                <w:color w:val="auto"/>
                <w:vertAlign w:val="superscript"/>
              </w:rPr>
              <w:t>(60)</w:t>
            </w:r>
          </w:p>
        </w:tc>
        <w:tc>
          <w:tcPr>
            <w:tcW w:w="1360" w:type="dxa"/>
            <w:vAlign w:val="bottom"/>
          </w:tcPr>
          <w:p>
            <w:pPr>
              <w:jc w:val="right"/>
              <w:spacing w:after="0"/>
              <w:rPr>
                <w:sz w:val="20"/>
                <w:szCs w:val="20"/>
                <w:color w:val="auto"/>
              </w:rPr>
            </w:pPr>
            <w:r>
              <w:rPr>
                <w:rFonts w:ascii="Arial" w:cs="Arial" w:eastAsia="Arial" w:hAnsi="Arial"/>
                <w:sz w:val="18"/>
                <w:szCs w:val="18"/>
                <w:color w:val="auto"/>
              </w:rPr>
              <w:t>2,866</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2,680</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186</w:t>
            </w:r>
          </w:p>
        </w:tc>
        <w:tc>
          <w:tcPr>
            <w:tcW w:w="80" w:type="dxa"/>
            <w:vAlign w:val="bottom"/>
          </w:tcPr>
          <w:p>
            <w:pPr>
              <w:spacing w:after="0"/>
              <w:rPr>
                <w:sz w:val="19"/>
                <w:szCs w:val="19"/>
                <w:color w:val="auto"/>
              </w:rPr>
            </w:pPr>
          </w:p>
        </w:tc>
        <w:tc>
          <w:tcPr>
            <w:tcW w:w="1580" w:type="dxa"/>
            <w:vAlign w:val="bottom"/>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30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Bino Mathew </w:t>
            </w:r>
            <w:r>
              <w:rPr>
                <w:rFonts w:ascii="Arial" w:cs="Arial" w:eastAsia="Arial" w:hAnsi="Arial"/>
                <w:sz w:val="22"/>
                <w:szCs w:val="22"/>
                <w:color w:val="auto"/>
                <w:vertAlign w:val="superscript"/>
              </w:rPr>
              <w:t>(61)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9,486</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8,248</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80" w:type="dxa"/>
            <w:vAlign w:val="bottom"/>
          </w:tcPr>
          <w:p>
            <w:pPr>
              <w:spacing w:after="0"/>
              <w:rPr>
                <w:sz w:val="19"/>
                <w:szCs w:val="19"/>
                <w:color w:val="auto"/>
              </w:rPr>
            </w:pPr>
          </w:p>
        </w:tc>
        <w:tc>
          <w:tcPr>
            <w:tcW w:w="15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30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 xml:space="preserve">Daniel Sisco </w:t>
            </w:r>
            <w:r>
              <w:rPr>
                <w:rFonts w:ascii="Arial" w:cs="Arial" w:eastAsia="Arial" w:hAnsi="Arial"/>
                <w:sz w:val="22"/>
                <w:szCs w:val="22"/>
                <w:color w:val="auto"/>
                <w:vertAlign w:val="superscript"/>
              </w:rPr>
              <w:t>(62)</w:t>
            </w:r>
          </w:p>
        </w:tc>
        <w:tc>
          <w:tcPr>
            <w:tcW w:w="1360" w:type="dxa"/>
            <w:vAlign w:val="bottom"/>
          </w:tcPr>
          <w:p>
            <w:pPr>
              <w:jc w:val="right"/>
              <w:spacing w:after="0"/>
              <w:rPr>
                <w:sz w:val="20"/>
                <w:szCs w:val="20"/>
                <w:color w:val="auto"/>
              </w:rPr>
            </w:pPr>
            <w:r>
              <w:rPr>
                <w:rFonts w:ascii="Arial" w:cs="Arial" w:eastAsia="Arial" w:hAnsi="Arial"/>
                <w:sz w:val="18"/>
                <w:szCs w:val="18"/>
                <w:color w:val="auto"/>
              </w:rPr>
              <w:t>20,619</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20,619</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580" w:type="dxa"/>
            <w:vAlign w:val="bottom"/>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30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Patricia Taik </w:t>
            </w:r>
            <w:r>
              <w:rPr>
                <w:rFonts w:ascii="Arial" w:cs="Arial" w:eastAsia="Arial" w:hAnsi="Arial"/>
                <w:sz w:val="22"/>
                <w:szCs w:val="22"/>
                <w:color w:val="auto"/>
                <w:vertAlign w:val="superscript"/>
              </w:rPr>
              <w:t>(63)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4,467</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4,467</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5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30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 xml:space="preserve">Anthony Prentice </w:t>
            </w:r>
            <w:r>
              <w:rPr>
                <w:rFonts w:ascii="Arial" w:cs="Arial" w:eastAsia="Arial" w:hAnsi="Arial"/>
                <w:sz w:val="22"/>
                <w:szCs w:val="22"/>
                <w:color w:val="auto"/>
                <w:vertAlign w:val="superscript"/>
              </w:rPr>
              <w:t>(64)</w:t>
            </w:r>
          </w:p>
        </w:tc>
        <w:tc>
          <w:tcPr>
            <w:tcW w:w="1360" w:type="dxa"/>
            <w:vAlign w:val="bottom"/>
          </w:tcPr>
          <w:p>
            <w:pPr>
              <w:jc w:val="right"/>
              <w:spacing w:after="0"/>
              <w:rPr>
                <w:sz w:val="20"/>
                <w:szCs w:val="20"/>
                <w:color w:val="auto"/>
              </w:rPr>
            </w:pPr>
            <w:r>
              <w:rPr>
                <w:rFonts w:ascii="Arial" w:cs="Arial" w:eastAsia="Arial" w:hAnsi="Arial"/>
                <w:sz w:val="18"/>
                <w:szCs w:val="18"/>
                <w:color w:val="auto"/>
              </w:rPr>
              <w:t>2,178,164</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2,178,164</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580" w:type="dxa"/>
            <w:vAlign w:val="bottom"/>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30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Daniel Clark </w:t>
            </w:r>
            <w:r>
              <w:rPr>
                <w:rFonts w:ascii="Arial" w:cs="Arial" w:eastAsia="Arial" w:hAnsi="Arial"/>
                <w:sz w:val="22"/>
                <w:szCs w:val="22"/>
                <w:color w:val="auto"/>
                <w:vertAlign w:val="superscript"/>
              </w:rPr>
              <w:t>(65)</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1,400,178</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1,400,178</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5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30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 xml:space="preserve">Eric Schadt </w:t>
            </w:r>
            <w:r>
              <w:rPr>
                <w:rFonts w:ascii="Arial" w:cs="Arial" w:eastAsia="Arial" w:hAnsi="Arial"/>
                <w:sz w:val="22"/>
                <w:szCs w:val="22"/>
                <w:color w:val="auto"/>
                <w:vertAlign w:val="superscript"/>
              </w:rPr>
              <w:t>(66)</w:t>
            </w:r>
          </w:p>
        </w:tc>
        <w:tc>
          <w:tcPr>
            <w:tcW w:w="1360" w:type="dxa"/>
            <w:vAlign w:val="bottom"/>
          </w:tcPr>
          <w:p>
            <w:pPr>
              <w:jc w:val="right"/>
              <w:spacing w:after="0"/>
              <w:rPr>
                <w:sz w:val="20"/>
                <w:szCs w:val="20"/>
                <w:color w:val="auto"/>
              </w:rPr>
            </w:pPr>
            <w:r>
              <w:rPr>
                <w:rFonts w:ascii="Arial" w:cs="Arial" w:eastAsia="Arial" w:hAnsi="Arial"/>
                <w:sz w:val="18"/>
                <w:szCs w:val="18"/>
                <w:color w:val="auto"/>
              </w:rPr>
              <w:t>7,440,287</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7,440,287</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580" w:type="dxa"/>
            <w:vAlign w:val="bottom"/>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30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James M. Coffin </w:t>
            </w:r>
            <w:r>
              <w:rPr>
                <w:rFonts w:ascii="Arial" w:cs="Arial" w:eastAsia="Arial" w:hAnsi="Arial"/>
                <w:sz w:val="22"/>
                <w:szCs w:val="22"/>
                <w:color w:val="auto"/>
                <w:vertAlign w:val="superscript"/>
              </w:rPr>
              <w:t>(67)</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2,726,455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2,726,455</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5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30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 xml:space="preserve">Karen White </w:t>
            </w:r>
            <w:r>
              <w:rPr>
                <w:rFonts w:ascii="Arial" w:cs="Arial" w:eastAsia="Arial" w:hAnsi="Arial"/>
                <w:sz w:val="22"/>
                <w:szCs w:val="22"/>
                <w:color w:val="auto"/>
                <w:vertAlign w:val="superscript"/>
              </w:rPr>
              <w:t>(68)</w:t>
            </w:r>
          </w:p>
        </w:tc>
        <w:tc>
          <w:tcPr>
            <w:tcW w:w="1360" w:type="dxa"/>
            <w:vAlign w:val="bottom"/>
          </w:tcPr>
          <w:p>
            <w:pPr>
              <w:jc w:val="right"/>
              <w:spacing w:after="0"/>
              <w:rPr>
                <w:sz w:val="20"/>
                <w:szCs w:val="20"/>
                <w:color w:val="auto"/>
              </w:rPr>
            </w:pPr>
            <w:r>
              <w:rPr>
                <w:rFonts w:ascii="Arial" w:cs="Arial" w:eastAsia="Arial" w:hAnsi="Arial"/>
                <w:sz w:val="18"/>
                <w:szCs w:val="18"/>
                <w:color w:val="auto"/>
              </w:rPr>
              <w:t>90,173</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90,173</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580" w:type="dxa"/>
            <w:vAlign w:val="bottom"/>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30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Rachel Sherman </w:t>
            </w:r>
            <w:r>
              <w:rPr>
                <w:rFonts w:ascii="Arial" w:cs="Arial" w:eastAsia="Arial" w:hAnsi="Arial"/>
                <w:sz w:val="22"/>
                <w:szCs w:val="22"/>
                <w:color w:val="auto"/>
                <w:vertAlign w:val="superscript"/>
              </w:rPr>
              <w:t>(69)</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204,311</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204,311</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5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5300" w:type="dxa"/>
            <w:vAlign w:val="bottom"/>
            <w:gridSpan w:val="2"/>
          </w:tcPr>
          <w:p>
            <w:pPr>
              <w:ind w:left="20"/>
              <w:spacing w:after="0" w:line="239" w:lineRule="exact"/>
              <w:rPr>
                <w:sz w:val="20"/>
                <w:szCs w:val="20"/>
                <w:color w:val="auto"/>
              </w:rPr>
            </w:pPr>
            <w:r>
              <w:rPr>
                <w:rFonts w:ascii="Arial" w:cs="Arial" w:eastAsia="Arial" w:hAnsi="Arial"/>
                <w:sz w:val="18"/>
                <w:szCs w:val="18"/>
                <w:color w:val="auto"/>
              </w:rPr>
              <w:t xml:space="preserve">CMLS Holdings LLC </w:t>
            </w:r>
            <w:r>
              <w:rPr>
                <w:rFonts w:ascii="Arial" w:cs="Arial" w:eastAsia="Arial" w:hAnsi="Arial"/>
                <w:sz w:val="22"/>
                <w:szCs w:val="22"/>
                <w:color w:val="auto"/>
                <w:vertAlign w:val="superscript"/>
              </w:rPr>
              <w:t>(70)</w:t>
            </w:r>
          </w:p>
        </w:tc>
        <w:tc>
          <w:tcPr>
            <w:tcW w:w="1360" w:type="dxa"/>
            <w:vAlign w:val="bottom"/>
          </w:tcPr>
          <w:p>
            <w:pPr>
              <w:jc w:val="right"/>
              <w:spacing w:after="0"/>
              <w:rPr>
                <w:sz w:val="20"/>
                <w:szCs w:val="20"/>
                <w:color w:val="auto"/>
              </w:rPr>
            </w:pPr>
            <w:r>
              <w:rPr>
                <w:rFonts w:ascii="Arial" w:cs="Arial" w:eastAsia="Arial" w:hAnsi="Arial"/>
                <w:sz w:val="18"/>
                <w:szCs w:val="18"/>
                <w:color w:val="auto"/>
              </w:rPr>
              <w:t>17,730,419</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17,730,419</w:t>
            </w:r>
          </w:p>
        </w:tc>
        <w:tc>
          <w:tcPr>
            <w:tcW w:w="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580" w:type="dxa"/>
            <w:vAlign w:val="bottom"/>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30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Nat Turner </w:t>
            </w:r>
            <w:r>
              <w:rPr>
                <w:rFonts w:ascii="Arial" w:cs="Arial" w:eastAsia="Arial" w:hAnsi="Arial"/>
                <w:sz w:val="22"/>
                <w:szCs w:val="22"/>
                <w:color w:val="auto"/>
                <w:vertAlign w:val="superscript"/>
              </w:rPr>
              <w:t>(71)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191,666</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191,666</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5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0"/>
        </w:trPr>
        <w:tc>
          <w:tcPr>
            <w:tcW w:w="5300" w:type="dxa"/>
            <w:vAlign w:val="bottom"/>
            <w:gridSpan w:val="2"/>
          </w:tcPr>
          <w:p>
            <w:pPr>
              <w:ind w:left="20"/>
              <w:spacing w:after="0"/>
              <w:rPr>
                <w:sz w:val="20"/>
                <w:szCs w:val="20"/>
                <w:color w:val="auto"/>
              </w:rPr>
            </w:pPr>
            <w:r>
              <w:rPr>
                <w:rFonts w:ascii="Arial" w:cs="Arial" w:eastAsia="Arial" w:hAnsi="Arial"/>
                <w:sz w:val="18"/>
                <w:szCs w:val="18"/>
                <w:color w:val="auto"/>
              </w:rPr>
              <w:t xml:space="preserve">Emily Leproust </w:t>
            </w:r>
            <w:r>
              <w:rPr>
                <w:rFonts w:ascii="Arial" w:cs="Arial" w:eastAsia="Arial" w:hAnsi="Arial"/>
                <w:sz w:val="22"/>
                <w:szCs w:val="22"/>
                <w:color w:val="auto"/>
                <w:vertAlign w:val="superscript"/>
              </w:rPr>
              <w:t>(72)</w:t>
            </w:r>
          </w:p>
        </w:tc>
        <w:tc>
          <w:tcPr>
            <w:tcW w:w="1360" w:type="dxa"/>
            <w:vAlign w:val="bottom"/>
          </w:tcPr>
          <w:p>
            <w:pPr>
              <w:jc w:val="right"/>
              <w:spacing w:after="0"/>
              <w:rPr>
                <w:sz w:val="20"/>
                <w:szCs w:val="20"/>
                <w:color w:val="auto"/>
              </w:rPr>
            </w:pPr>
            <w:r>
              <w:rPr>
                <w:rFonts w:ascii="Arial" w:cs="Arial" w:eastAsia="Arial" w:hAnsi="Arial"/>
                <w:sz w:val="18"/>
                <w:szCs w:val="18"/>
                <w:color w:val="auto"/>
              </w:rPr>
              <w:t>191,666</w:t>
            </w:r>
          </w:p>
        </w:tc>
        <w:tc>
          <w:tcPr>
            <w:tcW w:w="1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191,666</w:t>
            </w:r>
          </w:p>
        </w:tc>
        <w:tc>
          <w:tcPr>
            <w:tcW w:w="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580" w:type="dxa"/>
            <w:vAlign w:val="bottom"/>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5"/>
          </w:tcPr>
          <w:p>
            <w:pPr>
              <w:jc w:val="right"/>
              <w:ind w:right="218"/>
              <w:spacing w:after="0"/>
              <w:rPr>
                <w:sz w:val="20"/>
                <w:szCs w:val="20"/>
                <w:color w:val="auto"/>
              </w:rPr>
            </w:pPr>
            <w:r>
              <w:rPr>
                <w:rFonts w:ascii="Arial" w:cs="Arial" w:eastAsia="Arial" w:hAnsi="Arial"/>
                <w:sz w:val="14"/>
                <w:szCs w:val="14"/>
                <w:b w:val="1"/>
                <w:bCs w:val="1"/>
                <w:color w:val="auto"/>
              </w:rPr>
              <w:t>Shares of Class A Common Stock</w:t>
            </w: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gridSpan w:val="5"/>
          </w:tcPr>
          <w:p>
            <w:pPr>
              <w:jc w:val="center"/>
              <w:ind w:right="100"/>
              <w:spacing w:after="0" w:line="131" w:lineRule="exact"/>
              <w:rPr>
                <w:sz w:val="20"/>
                <w:szCs w:val="20"/>
                <w:color w:val="auto"/>
              </w:rPr>
            </w:pPr>
            <w:r>
              <w:rPr>
                <w:rFonts w:ascii="Arial" w:cs="Arial" w:eastAsia="Arial" w:hAnsi="Arial"/>
                <w:sz w:val="14"/>
                <w:szCs w:val="14"/>
                <w:b w:val="1"/>
                <w:bCs w:val="1"/>
                <w:color w:val="auto"/>
                <w:w w:val="92"/>
              </w:rPr>
              <w:t>Number Beneficially</w:t>
            </w:r>
          </w:p>
        </w:tc>
        <w:tc>
          <w:tcPr>
            <w:tcW w:w="136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w w:val="95"/>
              </w:rPr>
              <w:t>Number Registered</w:t>
            </w:r>
          </w:p>
        </w:tc>
        <w:tc>
          <w:tcPr>
            <w:tcW w:w="80" w:type="dxa"/>
            <w:vAlign w:val="bottom"/>
          </w:tcPr>
          <w:p>
            <w:pPr>
              <w:spacing w:after="0"/>
              <w:rPr>
                <w:sz w:val="11"/>
                <w:szCs w:val="11"/>
                <w:color w:val="auto"/>
              </w:rPr>
            </w:pPr>
          </w:p>
        </w:tc>
        <w:tc>
          <w:tcPr>
            <w:tcW w:w="1380" w:type="dxa"/>
            <w:vAlign w:val="bottom"/>
          </w:tcPr>
          <w:p>
            <w:pPr>
              <w:jc w:val="right"/>
              <w:spacing w:after="0" w:line="131" w:lineRule="exact"/>
              <w:rPr>
                <w:sz w:val="20"/>
                <w:szCs w:val="20"/>
                <w:color w:val="auto"/>
              </w:rPr>
            </w:pPr>
            <w:r>
              <w:rPr>
                <w:rFonts w:ascii="Arial" w:cs="Arial" w:eastAsia="Arial" w:hAnsi="Arial"/>
                <w:sz w:val="14"/>
                <w:szCs w:val="14"/>
                <w:b w:val="1"/>
                <w:bCs w:val="1"/>
                <w:color w:val="auto"/>
                <w:w w:val="96"/>
              </w:rPr>
              <w:t>Number Beneficially</w:t>
            </w:r>
          </w:p>
        </w:tc>
        <w:tc>
          <w:tcPr>
            <w:tcW w:w="100" w:type="dxa"/>
            <w:vAlign w:val="bottom"/>
          </w:tcPr>
          <w:p>
            <w:pPr>
              <w:spacing w:after="0"/>
              <w:rPr>
                <w:sz w:val="11"/>
                <w:szCs w:val="11"/>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Percent Owned After</w:t>
            </w:r>
          </w:p>
        </w:tc>
        <w:tc>
          <w:tcPr>
            <w:tcW w:w="0" w:type="dxa"/>
            <w:vAlign w:val="bottom"/>
          </w:tcPr>
          <w:p>
            <w:pPr>
              <w:spacing w:after="0"/>
              <w:rPr>
                <w:sz w:val="1"/>
                <w:szCs w:val="1"/>
                <w:color w:val="auto"/>
              </w:rPr>
            </w:pPr>
          </w:p>
        </w:tc>
      </w:tr>
      <w:tr>
        <w:trPr>
          <w:trHeight w:val="133"/>
        </w:trPr>
        <w:tc>
          <w:tcPr>
            <w:tcW w:w="4700" w:type="dxa"/>
            <w:vAlign w:val="bottom"/>
            <w:gridSpan w:val="2"/>
            <w:vMerge w:val="restart"/>
          </w:tcPr>
          <w:p>
            <w:pPr>
              <w:ind w:left="2420"/>
              <w:spacing w:after="0"/>
              <w:rPr>
                <w:sz w:val="20"/>
                <w:szCs w:val="20"/>
                <w:color w:val="auto"/>
              </w:rPr>
            </w:pPr>
            <w:r>
              <w:rPr>
                <w:rFonts w:ascii="Arial" w:cs="Arial" w:eastAsia="Arial" w:hAnsi="Arial"/>
                <w:sz w:val="14"/>
                <w:szCs w:val="14"/>
                <w:b w:val="1"/>
                <w:bCs w:val="1"/>
                <w:color w:val="auto"/>
              </w:rPr>
              <w:t>Name</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3"/>
          </w:tcPr>
          <w:p>
            <w:pPr>
              <w:jc w:val="center"/>
              <w:ind w:left="129"/>
              <w:spacing w:after="0" w:line="133" w:lineRule="exact"/>
              <w:rPr>
                <w:sz w:val="20"/>
                <w:szCs w:val="20"/>
                <w:color w:val="auto"/>
              </w:rPr>
            </w:pPr>
            <w:r>
              <w:rPr>
                <w:rFonts w:ascii="Arial" w:cs="Arial" w:eastAsia="Arial" w:hAnsi="Arial"/>
                <w:sz w:val="14"/>
                <w:szCs w:val="14"/>
                <w:b w:val="1"/>
                <w:bCs w:val="1"/>
                <w:color w:val="auto"/>
                <w:w w:val="93"/>
              </w:rPr>
              <w:t>Owned Prior to</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Pr>
          <w:p>
            <w:pPr>
              <w:jc w:val="right"/>
              <w:ind w:right="218"/>
              <w:spacing w:after="0" w:line="133" w:lineRule="exact"/>
              <w:rPr>
                <w:sz w:val="20"/>
                <w:szCs w:val="20"/>
                <w:color w:val="auto"/>
              </w:rPr>
            </w:pPr>
            <w:r>
              <w:rPr>
                <w:rFonts w:ascii="Arial" w:cs="Arial" w:eastAsia="Arial" w:hAnsi="Arial"/>
                <w:sz w:val="14"/>
                <w:szCs w:val="14"/>
                <w:b w:val="1"/>
                <w:bCs w:val="1"/>
                <w:color w:val="auto"/>
              </w:rPr>
              <w:t>Owned After</w:t>
            </w:r>
          </w:p>
        </w:tc>
        <w:tc>
          <w:tcPr>
            <w:tcW w:w="100" w:type="dxa"/>
            <w:vAlign w:val="bottom"/>
          </w:tcPr>
          <w:p>
            <w:pPr>
              <w:spacing w:after="0"/>
              <w:rPr>
                <w:sz w:val="11"/>
                <w:szCs w:val="11"/>
                <w:color w:val="auto"/>
              </w:rPr>
            </w:pPr>
          </w:p>
        </w:tc>
        <w:tc>
          <w:tcPr>
            <w:tcW w:w="1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700" w:type="dxa"/>
            <w:vAlign w:val="bottom"/>
            <w:tcBorders>
              <w:bottom w:val="single" w:sz="8" w:color="auto"/>
            </w:tcBorders>
            <w:gridSpan w:val="2"/>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gridSpan w:val="3"/>
          </w:tcPr>
          <w:p>
            <w:pPr>
              <w:jc w:val="center"/>
              <w:ind w:left="129"/>
              <w:spacing w:after="0" w:line="186" w:lineRule="exact"/>
              <w:rPr>
                <w:sz w:val="20"/>
                <w:szCs w:val="20"/>
                <w:color w:val="auto"/>
              </w:rPr>
            </w:pPr>
            <w:r>
              <w:rPr>
                <w:rFonts w:ascii="Arial" w:cs="Arial" w:eastAsia="Arial" w:hAnsi="Arial"/>
                <w:sz w:val="14"/>
                <w:szCs w:val="14"/>
                <w:b w:val="1"/>
                <w:bCs w:val="1"/>
                <w:color w:val="auto"/>
                <w:w w:val="90"/>
              </w:rPr>
              <w:t xml:space="preserve">Offering </w:t>
            </w:r>
            <w:r>
              <w:rPr>
                <w:rFonts w:ascii="Arial" w:cs="Arial" w:eastAsia="Arial" w:hAnsi="Arial"/>
                <w:sz w:val="18"/>
                <w:szCs w:val="18"/>
                <w:b w:val="1"/>
                <w:bCs w:val="1"/>
                <w:color w:val="auto"/>
                <w:w w:val="90"/>
                <w:vertAlign w:val="superscript"/>
              </w:rPr>
              <w:t>(1)</w:t>
            </w: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for Sale Hereby</w:t>
            </w:r>
          </w:p>
        </w:tc>
        <w:tc>
          <w:tcPr>
            <w:tcW w:w="8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Offering</w:t>
            </w:r>
          </w:p>
        </w:tc>
        <w:tc>
          <w:tcPr>
            <w:tcW w:w="100" w:type="dxa"/>
            <w:vAlign w:val="bottom"/>
          </w:tcPr>
          <w:p>
            <w:pPr>
              <w:spacing w:after="0"/>
              <w:rPr>
                <w:sz w:val="16"/>
                <w:szCs w:val="16"/>
                <w:color w:val="auto"/>
              </w:rPr>
            </w:pPr>
          </w:p>
        </w:tc>
        <w:tc>
          <w:tcPr>
            <w:tcW w:w="1560" w:type="dxa"/>
            <w:vAlign w:val="bottom"/>
            <w:tcBorders>
              <w:bottom w:val="single" w:sz="8" w:color="auto"/>
            </w:tcBorders>
          </w:tcPr>
          <w:p>
            <w:pPr>
              <w:jc w:val="center"/>
              <w:spacing w:after="0" w:line="186" w:lineRule="exact"/>
              <w:rPr>
                <w:sz w:val="20"/>
                <w:szCs w:val="20"/>
                <w:color w:val="auto"/>
              </w:rPr>
            </w:pPr>
            <w:r>
              <w:rPr>
                <w:rFonts w:ascii="Arial" w:cs="Arial" w:eastAsia="Arial" w:hAnsi="Arial"/>
                <w:sz w:val="14"/>
                <w:szCs w:val="14"/>
                <w:b w:val="1"/>
                <w:bCs w:val="1"/>
                <w:color w:val="auto"/>
                <w:w w:val="90"/>
              </w:rPr>
              <w:t xml:space="preserve">Offering </w:t>
            </w:r>
            <w:r>
              <w:rPr>
                <w:rFonts w:ascii="Arial" w:cs="Arial" w:eastAsia="Arial" w:hAnsi="Arial"/>
                <w:sz w:val="18"/>
                <w:szCs w:val="18"/>
                <w:b w:val="1"/>
                <w:bCs w:val="1"/>
                <w:color w:val="auto"/>
                <w:w w:val="90"/>
                <w:vertAlign w:val="superscript"/>
              </w:rPr>
              <w:t>(2)</w:t>
            </w:r>
          </w:p>
        </w:tc>
        <w:tc>
          <w:tcPr>
            <w:tcW w:w="0" w:type="dxa"/>
            <w:vAlign w:val="bottom"/>
          </w:tcPr>
          <w:p>
            <w:pPr>
              <w:spacing w:after="0"/>
              <w:rPr>
                <w:sz w:val="1"/>
                <w:szCs w:val="1"/>
                <w:color w:val="auto"/>
              </w:rPr>
            </w:pPr>
          </w:p>
        </w:tc>
      </w:tr>
      <w:tr>
        <w:trPr>
          <w:trHeight w:val="232"/>
        </w:trPr>
        <w:tc>
          <w:tcPr>
            <w:tcW w:w="4700" w:type="dxa"/>
            <w:vAlign w:val="bottom"/>
            <w:gridSpan w:val="2"/>
            <w:shd w:val="clear" w:color="auto" w:fill="CCEEFF"/>
          </w:tcPr>
          <w:p>
            <w:pPr>
              <w:ind w:left="20"/>
              <w:spacing w:after="0" w:line="231" w:lineRule="exact"/>
              <w:rPr>
                <w:sz w:val="20"/>
                <w:szCs w:val="20"/>
                <w:color w:val="auto"/>
              </w:rPr>
            </w:pPr>
            <w:r>
              <w:rPr>
                <w:rFonts w:ascii="Arial" w:cs="Arial" w:eastAsia="Arial" w:hAnsi="Arial"/>
                <w:sz w:val="18"/>
                <w:szCs w:val="18"/>
                <w:color w:val="auto"/>
              </w:rPr>
              <w:t xml:space="preserve">Entities advised by Casdin Capital </w:t>
            </w:r>
            <w:r>
              <w:rPr>
                <w:rFonts w:ascii="Arial" w:cs="Arial" w:eastAsia="Arial" w:hAnsi="Arial"/>
                <w:sz w:val="22"/>
                <w:szCs w:val="22"/>
                <w:color w:val="auto"/>
                <w:vertAlign w:val="superscript"/>
              </w:rPr>
              <w:t>(73)</w:t>
            </w:r>
          </w:p>
        </w:tc>
        <w:tc>
          <w:tcPr>
            <w:tcW w:w="1960" w:type="dxa"/>
            <w:vAlign w:val="bottom"/>
            <w:gridSpan w:val="6"/>
            <w:shd w:val="clear" w:color="auto" w:fill="CCEEFF"/>
          </w:tcPr>
          <w:p>
            <w:pPr>
              <w:jc w:val="right"/>
              <w:ind w:right="9"/>
              <w:spacing w:after="0"/>
              <w:rPr>
                <w:sz w:val="20"/>
                <w:szCs w:val="20"/>
                <w:color w:val="auto"/>
              </w:rPr>
            </w:pPr>
            <w:r>
              <w:rPr>
                <w:rFonts w:ascii="Arial" w:cs="Arial" w:eastAsia="Arial" w:hAnsi="Arial"/>
                <w:sz w:val="18"/>
                <w:szCs w:val="18"/>
                <w:color w:val="auto"/>
              </w:rPr>
              <w:t>5,000,000</w:t>
            </w:r>
          </w:p>
        </w:tc>
        <w:tc>
          <w:tcPr>
            <w:tcW w:w="100" w:type="dxa"/>
            <w:vAlign w:val="bottom"/>
            <w:shd w:val="clear" w:color="auto" w:fill="CCEEFF"/>
          </w:tcPr>
          <w:p>
            <w:pPr>
              <w:spacing w:after="0"/>
              <w:rPr>
                <w:sz w:val="20"/>
                <w:szCs w:val="20"/>
                <w:color w:val="auto"/>
              </w:rPr>
            </w:pPr>
          </w:p>
        </w:tc>
        <w:tc>
          <w:tcPr>
            <w:tcW w:w="13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5,000,000</w:t>
            </w:r>
          </w:p>
        </w:tc>
        <w:tc>
          <w:tcPr>
            <w:tcW w:w="8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tcPr>
          <w:p>
            <w:pPr>
              <w:spacing w:after="0"/>
              <w:rPr>
                <w:sz w:val="20"/>
                <w:szCs w:val="20"/>
                <w:color w:val="auto"/>
              </w:rPr>
            </w:pPr>
          </w:p>
        </w:tc>
        <w:tc>
          <w:tcPr>
            <w:tcW w:w="15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0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TOTALS</w:t>
            </w:r>
          </w:p>
        </w:tc>
        <w:tc>
          <w:tcPr>
            <w:tcW w:w="1960" w:type="dxa"/>
            <w:vAlign w:val="bottom"/>
            <w:gridSpan w:val="6"/>
          </w:tcPr>
          <w:p>
            <w:pPr>
              <w:jc w:val="right"/>
              <w:ind w:right="9"/>
              <w:spacing w:after="0"/>
              <w:rPr>
                <w:sz w:val="20"/>
                <w:szCs w:val="20"/>
                <w:color w:val="auto"/>
              </w:rPr>
            </w:pPr>
            <w:r>
              <w:rPr>
                <w:rFonts w:ascii="Arial" w:cs="Arial" w:eastAsia="Arial" w:hAnsi="Arial"/>
                <w:sz w:val="18"/>
                <w:szCs w:val="18"/>
                <w:b w:val="1"/>
                <w:bCs w:val="1"/>
                <w:color w:val="auto"/>
              </w:rPr>
              <w:t>237,004,078</w:t>
            </w:r>
          </w:p>
        </w:tc>
        <w:tc>
          <w:tcPr>
            <w:tcW w:w="100" w:type="dxa"/>
            <w:vAlign w:val="bottom"/>
          </w:tcPr>
          <w:p>
            <w:pPr>
              <w:spacing w:after="0"/>
              <w:rPr>
                <w:sz w:val="19"/>
                <w:szCs w:val="19"/>
                <w:color w:val="auto"/>
              </w:rPr>
            </w:pPr>
          </w:p>
        </w:tc>
        <w:tc>
          <w:tcPr>
            <w:tcW w:w="13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236,223,401</w:t>
            </w:r>
          </w:p>
        </w:tc>
        <w:tc>
          <w:tcPr>
            <w:tcW w:w="1460" w:type="dxa"/>
            <w:vAlign w:val="bottom"/>
            <w:gridSpan w:val="2"/>
          </w:tcPr>
          <w:p>
            <w:pPr>
              <w:jc w:val="right"/>
              <w:spacing w:after="0"/>
              <w:rPr>
                <w:sz w:val="20"/>
                <w:szCs w:val="20"/>
                <w:color w:val="auto"/>
              </w:rPr>
            </w:pPr>
            <w:r>
              <w:rPr>
                <w:rFonts w:ascii="Arial" w:cs="Arial" w:eastAsia="Arial" w:hAnsi="Arial"/>
                <w:sz w:val="18"/>
                <w:szCs w:val="18"/>
                <w:b w:val="1"/>
                <w:bCs w:val="1"/>
                <w:color w:val="auto"/>
              </w:rPr>
              <w:t>780,677</w:t>
            </w:r>
          </w:p>
        </w:tc>
        <w:tc>
          <w:tcPr>
            <w:tcW w:w="100" w:type="dxa"/>
            <w:vAlign w:val="bottom"/>
          </w:tcPr>
          <w:p>
            <w:pPr>
              <w:spacing w:after="0"/>
              <w:rPr>
                <w:sz w:val="19"/>
                <w:szCs w:val="19"/>
                <w:color w:val="auto"/>
              </w:rPr>
            </w:pPr>
          </w:p>
        </w:tc>
        <w:tc>
          <w:tcPr>
            <w:tcW w:w="1560" w:type="dxa"/>
            <w:vAlign w:val="bottom"/>
          </w:tcPr>
          <w:p>
            <w:pPr>
              <w:ind w:left="9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54"/>
        </w:trPr>
        <w:tc>
          <w:tcPr>
            <w:tcW w:w="4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5"/>
          </w:tcPr>
          <w:p>
            <w:pPr>
              <w:jc w:val="right"/>
              <w:ind w:right="378"/>
              <w:spacing w:after="0"/>
              <w:rPr>
                <w:sz w:val="20"/>
                <w:szCs w:val="20"/>
                <w:color w:val="auto"/>
              </w:rPr>
            </w:pPr>
            <w:r>
              <w:rPr>
                <w:rFonts w:ascii="Arial" w:cs="Arial" w:eastAsia="Arial" w:hAnsi="Arial"/>
                <w:sz w:val="14"/>
                <w:szCs w:val="14"/>
                <w:b w:val="1"/>
                <w:bCs w:val="1"/>
                <w:color w:val="auto"/>
                <w:w w:val="93"/>
              </w:rPr>
              <w:t>Warrants to Purchase Common Stock</w:t>
            </w:r>
          </w:p>
        </w:tc>
        <w:tc>
          <w:tcPr>
            <w:tcW w:w="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700" w:type="dxa"/>
            <w:vAlign w:val="bottom"/>
            <w:gridSpan w:val="2"/>
            <w:vMerge w:val="restart"/>
          </w:tcPr>
          <w:p>
            <w:pPr>
              <w:ind w:left="2140"/>
              <w:spacing w:after="0"/>
              <w:rPr>
                <w:sz w:val="20"/>
                <w:szCs w:val="20"/>
                <w:color w:val="auto"/>
              </w:rPr>
            </w:pPr>
            <w:r>
              <w:rPr>
                <w:rFonts w:ascii="Arial" w:cs="Arial" w:eastAsia="Arial" w:hAnsi="Arial"/>
                <w:sz w:val="14"/>
                <w:szCs w:val="14"/>
                <w:b w:val="1"/>
                <w:bCs w:val="1"/>
                <w:color w:val="auto"/>
              </w:rPr>
              <w:t>Name</w:t>
            </w:r>
          </w:p>
        </w:tc>
        <w:tc>
          <w:tcPr>
            <w:tcW w:w="1740" w:type="dxa"/>
            <w:vAlign w:val="bottom"/>
            <w:gridSpan w:val="5"/>
          </w:tcPr>
          <w:p>
            <w:pPr>
              <w:jc w:val="center"/>
              <w:ind w:right="140"/>
              <w:spacing w:after="0" w:line="131" w:lineRule="exact"/>
              <w:rPr>
                <w:sz w:val="20"/>
                <w:szCs w:val="20"/>
                <w:color w:val="auto"/>
              </w:rPr>
            </w:pPr>
            <w:r>
              <w:rPr>
                <w:rFonts w:ascii="Arial" w:cs="Arial" w:eastAsia="Arial" w:hAnsi="Arial"/>
                <w:sz w:val="14"/>
                <w:szCs w:val="14"/>
                <w:b w:val="1"/>
                <w:bCs w:val="1"/>
                <w:color w:val="auto"/>
                <w:w w:val="92"/>
              </w:rPr>
              <w:t>Number Beneficially</w:t>
            </w:r>
          </w:p>
        </w:tc>
        <w:tc>
          <w:tcPr>
            <w:tcW w:w="1680" w:type="dxa"/>
            <w:vAlign w:val="bottom"/>
            <w:gridSpan w:val="5"/>
          </w:tcPr>
          <w:p>
            <w:pPr>
              <w:jc w:val="right"/>
              <w:ind w:right="280"/>
              <w:spacing w:after="0" w:line="131" w:lineRule="exact"/>
              <w:rPr>
                <w:sz w:val="20"/>
                <w:szCs w:val="20"/>
                <w:color w:val="auto"/>
              </w:rPr>
            </w:pPr>
            <w:r>
              <w:rPr>
                <w:rFonts w:ascii="Arial" w:cs="Arial" w:eastAsia="Arial" w:hAnsi="Arial"/>
                <w:sz w:val="14"/>
                <w:szCs w:val="14"/>
                <w:b w:val="1"/>
                <w:bCs w:val="1"/>
                <w:color w:val="auto"/>
                <w:w w:val="90"/>
              </w:rPr>
              <w:t>Number Registered for</w:t>
            </w:r>
          </w:p>
        </w:tc>
        <w:tc>
          <w:tcPr>
            <w:tcW w:w="1460" w:type="dxa"/>
            <w:vAlign w:val="bottom"/>
            <w:gridSpan w:val="2"/>
          </w:tcPr>
          <w:p>
            <w:pPr>
              <w:jc w:val="right"/>
              <w:ind w:right="78"/>
              <w:spacing w:after="0" w:line="131" w:lineRule="exact"/>
              <w:rPr>
                <w:sz w:val="20"/>
                <w:szCs w:val="20"/>
                <w:color w:val="auto"/>
              </w:rPr>
            </w:pPr>
            <w:r>
              <w:rPr>
                <w:rFonts w:ascii="Arial" w:cs="Arial" w:eastAsia="Arial" w:hAnsi="Arial"/>
                <w:sz w:val="14"/>
                <w:szCs w:val="14"/>
                <w:b w:val="1"/>
                <w:bCs w:val="1"/>
                <w:color w:val="auto"/>
                <w:w w:val="95"/>
              </w:rPr>
              <w:t>Number Beneficially</w:t>
            </w:r>
          </w:p>
        </w:tc>
        <w:tc>
          <w:tcPr>
            <w:tcW w:w="100" w:type="dxa"/>
            <w:vAlign w:val="bottom"/>
          </w:tcPr>
          <w:p>
            <w:pPr>
              <w:spacing w:after="0"/>
              <w:rPr>
                <w:sz w:val="11"/>
                <w:szCs w:val="11"/>
                <w:color w:val="auto"/>
              </w:rPr>
            </w:pPr>
          </w:p>
        </w:tc>
        <w:tc>
          <w:tcPr>
            <w:tcW w:w="156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2"/>
              </w:rPr>
              <w:t>Percent Owned After</w:t>
            </w:r>
          </w:p>
        </w:tc>
        <w:tc>
          <w:tcPr>
            <w:tcW w:w="0" w:type="dxa"/>
            <w:vAlign w:val="bottom"/>
          </w:tcPr>
          <w:p>
            <w:pPr>
              <w:spacing w:after="0"/>
              <w:rPr>
                <w:sz w:val="1"/>
                <w:szCs w:val="1"/>
                <w:color w:val="auto"/>
              </w:rPr>
            </w:pPr>
          </w:p>
        </w:tc>
      </w:tr>
      <w:tr>
        <w:trPr>
          <w:trHeight w:val="185"/>
        </w:trPr>
        <w:tc>
          <w:tcPr>
            <w:tcW w:w="4700" w:type="dxa"/>
            <w:vAlign w:val="bottom"/>
            <w:gridSpan w:val="2"/>
            <w:vMerge w:val="continue"/>
          </w:tcPr>
          <w:p>
            <w:pPr>
              <w:spacing w:after="0"/>
              <w:rPr>
                <w:sz w:val="16"/>
                <w:szCs w:val="16"/>
                <w:color w:val="auto"/>
              </w:rPr>
            </w:pPr>
          </w:p>
        </w:tc>
        <w:tc>
          <w:tcPr>
            <w:tcW w:w="17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4"/>
              </w:rPr>
              <w:t>Owned Prior to Offering</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2"/>
              </w:rPr>
              <w:t>Sale Hereby</w:t>
            </w:r>
          </w:p>
        </w:tc>
        <w:tc>
          <w:tcPr>
            <w:tcW w:w="1460" w:type="dxa"/>
            <w:vAlign w:val="bottom"/>
            <w:gridSpan w:val="2"/>
          </w:tcPr>
          <w:p>
            <w:pPr>
              <w:jc w:val="right"/>
              <w:ind w:right="18"/>
              <w:spacing w:after="0"/>
              <w:rPr>
                <w:sz w:val="20"/>
                <w:szCs w:val="20"/>
                <w:color w:val="auto"/>
              </w:rPr>
            </w:pPr>
            <w:r>
              <w:rPr>
                <w:rFonts w:ascii="Arial" w:cs="Arial" w:eastAsia="Arial" w:hAnsi="Arial"/>
                <w:sz w:val="14"/>
                <w:szCs w:val="14"/>
                <w:b w:val="1"/>
                <w:bCs w:val="1"/>
                <w:color w:val="auto"/>
                <w:w w:val="94"/>
              </w:rPr>
              <w:t>Owned After Offering</w:t>
            </w:r>
          </w:p>
        </w:tc>
        <w:tc>
          <w:tcPr>
            <w:tcW w:w="1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5"/>
              </w:rPr>
              <w:t>Offering (2)</w:t>
            </w:r>
          </w:p>
        </w:tc>
        <w:tc>
          <w:tcPr>
            <w:tcW w:w="0" w:type="dxa"/>
            <w:vAlign w:val="bottom"/>
          </w:tcPr>
          <w:p>
            <w:pPr>
              <w:spacing w:after="0"/>
              <w:rPr>
                <w:sz w:val="1"/>
                <w:szCs w:val="1"/>
                <w:color w:val="auto"/>
              </w:rPr>
            </w:pPr>
          </w:p>
        </w:tc>
      </w:tr>
      <w:tr>
        <w:trPr>
          <w:trHeight w:val="219"/>
        </w:trPr>
        <w:tc>
          <w:tcPr>
            <w:tcW w:w="4620" w:type="dxa"/>
            <w:vAlign w:val="bottom"/>
            <w:tcBorders>
              <w:top w:val="single" w:sz="8" w:color="auto"/>
            </w:tcBorders>
            <w:shd w:val="clear" w:color="auto" w:fill="CCEEFF"/>
          </w:tcPr>
          <w:p>
            <w:pPr>
              <w:ind w:left="20"/>
              <w:spacing w:after="0" w:line="220" w:lineRule="exact"/>
              <w:rPr>
                <w:sz w:val="20"/>
                <w:szCs w:val="20"/>
                <w:color w:val="auto"/>
              </w:rPr>
            </w:pPr>
            <w:r>
              <w:rPr>
                <w:rFonts w:ascii="Arial" w:cs="Arial" w:eastAsia="Arial" w:hAnsi="Arial"/>
                <w:sz w:val="18"/>
                <w:szCs w:val="18"/>
                <w:color w:val="auto"/>
              </w:rPr>
              <w:t xml:space="preserve">CMLS Holdings LLC </w:t>
            </w:r>
            <w:r>
              <w:rPr>
                <w:rFonts w:ascii="Arial" w:cs="Arial" w:eastAsia="Arial" w:hAnsi="Arial"/>
                <w:sz w:val="22"/>
                <w:szCs w:val="22"/>
                <w:color w:val="auto"/>
                <w:vertAlign w:val="superscript"/>
              </w:rPr>
              <w:t>(70)</w:t>
            </w:r>
          </w:p>
        </w:tc>
        <w:tc>
          <w:tcPr>
            <w:tcW w:w="8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6,736,669</w:t>
            </w:r>
          </w:p>
        </w:tc>
        <w:tc>
          <w:tcPr>
            <w:tcW w:w="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6,736,669</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right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70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 xml:space="preserve">Nat Turner </w:t>
            </w:r>
            <w:r>
              <w:rPr>
                <w:rFonts w:ascii="Arial" w:cs="Arial" w:eastAsia="Arial" w:hAnsi="Arial"/>
                <w:sz w:val="22"/>
                <w:szCs w:val="22"/>
                <w:color w:val="auto"/>
                <w:vertAlign w:val="superscript"/>
              </w:rPr>
              <w:t>(71)</w:t>
            </w: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166,666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166,666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560" w:type="dxa"/>
            <w:vAlign w:val="bottom"/>
          </w:tcPr>
          <w:p>
            <w:pPr>
              <w:ind w:left="1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70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Emily Leproust </w:t>
            </w:r>
            <w:r>
              <w:rPr>
                <w:rFonts w:ascii="Arial" w:cs="Arial" w:eastAsia="Arial" w:hAnsi="Arial"/>
                <w:sz w:val="22"/>
                <w:szCs w:val="22"/>
                <w:color w:val="auto"/>
                <w:vertAlign w:val="superscript"/>
              </w:rPr>
              <w:t>(72)</w:t>
            </w:r>
          </w:p>
        </w:tc>
        <w:tc>
          <w:tcPr>
            <w:tcW w:w="1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166,666</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166,666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9"/>
                <w:szCs w:val="19"/>
                <w:color w:val="auto"/>
              </w:rPr>
            </w:pPr>
          </w:p>
        </w:tc>
        <w:tc>
          <w:tcPr>
            <w:tcW w:w="156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70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 xml:space="preserve">M. Munib Z. Islam </w:t>
            </w:r>
            <w:r>
              <w:rPr>
                <w:rFonts w:ascii="Arial" w:cs="Arial" w:eastAsia="Arial" w:hAnsi="Arial"/>
                <w:sz w:val="22"/>
                <w:szCs w:val="22"/>
                <w:color w:val="auto"/>
                <w:vertAlign w:val="superscript"/>
              </w:rPr>
              <w:t>(13)</w:t>
            </w: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166,666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166,666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560" w:type="dxa"/>
            <w:vAlign w:val="bottom"/>
          </w:tcPr>
          <w:p>
            <w:pPr>
              <w:ind w:left="1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TOTALS</w:t>
            </w:r>
          </w:p>
        </w:tc>
        <w:tc>
          <w:tcPr>
            <w:tcW w:w="15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7,236,667</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7,236,667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9"/>
                <w:szCs w:val="19"/>
                <w:color w:val="auto"/>
              </w:rPr>
            </w:pPr>
          </w:p>
        </w:tc>
        <w:tc>
          <w:tcPr>
            <w:tcW w:w="156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120" w:hanging="114"/>
        <w:spacing w:after="0"/>
        <w:tabs>
          <w:tab w:leader="none" w:pos="120" w:val="left"/>
        </w:tabs>
        <w:numPr>
          <w:ilvl w:val="0"/>
          <w:numId w:val="85"/>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10" w:lineRule="exact"/>
        <w:rPr>
          <w:rFonts w:ascii="Arial" w:cs="Arial" w:eastAsia="Arial" w:hAnsi="Arial"/>
          <w:sz w:val="14"/>
          <w:szCs w:val="14"/>
          <w:color w:val="auto"/>
        </w:rPr>
      </w:pPr>
    </w:p>
    <w:p>
      <w:pPr>
        <w:spacing w:after="0" w:line="237" w:lineRule="auto"/>
        <w:rPr>
          <w:rFonts w:ascii="Arial" w:cs="Arial" w:eastAsia="Arial" w:hAnsi="Arial"/>
          <w:sz w:val="14"/>
          <w:szCs w:val="14"/>
          <w:color w:val="auto"/>
        </w:rPr>
      </w:pPr>
      <w:r>
        <w:rPr>
          <w:rFonts w:ascii="Arial" w:cs="Arial" w:eastAsia="Arial" w:hAnsi="Arial"/>
          <w:sz w:val="14"/>
          <w:szCs w:val="14"/>
          <w:color w:val="auto"/>
        </w:rPr>
        <w:t>__________________</w:t>
      </w:r>
    </w:p>
    <w:p>
      <w:pPr>
        <w:ind w:left="320" w:hanging="314"/>
        <w:spacing w:after="0" w:line="255" w:lineRule="auto"/>
        <w:tabs>
          <w:tab w:leader="none" w:pos="312" w:val="left"/>
        </w:tabs>
        <w:numPr>
          <w:ilvl w:val="0"/>
          <w:numId w:val="86"/>
        </w:numPr>
        <w:rPr>
          <w:rFonts w:ascii="Arial" w:cs="Arial" w:eastAsia="Arial" w:hAnsi="Arial"/>
          <w:sz w:val="13"/>
          <w:szCs w:val="13"/>
          <w:color w:val="auto"/>
        </w:rPr>
      </w:pPr>
      <w:r>
        <w:rPr>
          <w:rFonts w:ascii="Arial" w:cs="Arial" w:eastAsia="Arial" w:hAnsi="Arial"/>
          <w:sz w:val="13"/>
          <w:szCs w:val="13"/>
          <w:color w:val="auto"/>
        </w:rPr>
        <w:t>The first table includes PIPE Shares, Founder Shares, Sema4 Holder Shares, Sema4 Holder Equity Award Shares (including both shares beneficially owned as determined in accordance with Rule 13d-3 of the Exchange Act and additional shares underlying options to purchase common stock or RSUs which may be exercisable or vest within one year following the Closing), Earn-Out Shares (includes both shares beneficially owned as determined in accordance with Rule 13d-3 of the Exchange Act and shares which the holder has a contingent right to receive), and shares of common stock issuable upon exercise of the private placement warrants, and the second table includes the private placement warrants included in this table (collectively, the “Resale Securities”). We do not know when or in what amounts the Selling Securityholders will offer the Resale Securities for sale, if at all.</w:t>
      </w:r>
    </w:p>
    <w:p>
      <w:pPr>
        <w:ind w:left="320" w:right="80" w:hanging="314"/>
        <w:spacing w:after="0" w:line="255" w:lineRule="auto"/>
        <w:tabs>
          <w:tab w:leader="none" w:pos="312" w:val="left"/>
        </w:tabs>
        <w:numPr>
          <w:ilvl w:val="0"/>
          <w:numId w:val="86"/>
        </w:numPr>
        <w:rPr>
          <w:rFonts w:ascii="Arial" w:cs="Arial" w:eastAsia="Arial" w:hAnsi="Arial"/>
          <w:sz w:val="13"/>
          <w:szCs w:val="13"/>
          <w:color w:val="auto"/>
        </w:rPr>
      </w:pPr>
      <w:r>
        <w:rPr>
          <w:rFonts w:ascii="Arial" w:cs="Arial" w:eastAsia="Arial" w:hAnsi="Arial"/>
          <w:sz w:val="13"/>
          <w:szCs w:val="13"/>
          <w:color w:val="auto"/>
        </w:rPr>
        <w:t>The percentage of shares or warrants to be beneficially owned after completion of the offering is calculated on the basis of 236,223,401 shares of Class A common stock outstanding, assuming the issuance of all Earn-Out Shares, and the exercise of all currently outstanding warrants, and the sale of all Resale Securities by the selling securityholders.</w:t>
      </w:r>
    </w:p>
    <w:p>
      <w:pPr>
        <w:ind w:left="320" w:hanging="314"/>
        <w:spacing w:after="0"/>
        <w:tabs>
          <w:tab w:leader="none" w:pos="320" w:val="left"/>
        </w:tabs>
        <w:numPr>
          <w:ilvl w:val="0"/>
          <w:numId w:val="86"/>
        </w:numPr>
        <w:rPr>
          <w:rFonts w:ascii="Arial" w:cs="Arial" w:eastAsia="Arial" w:hAnsi="Arial"/>
          <w:sz w:val="13"/>
          <w:szCs w:val="13"/>
          <w:color w:val="auto"/>
        </w:rPr>
      </w:pPr>
      <w:r>
        <w:rPr>
          <w:rFonts w:ascii="Arial" w:cs="Arial" w:eastAsia="Arial" w:hAnsi="Arial"/>
          <w:sz w:val="13"/>
          <w:szCs w:val="13"/>
          <w:color w:val="auto"/>
        </w:rPr>
        <w:t>Shares hereby offered consist of 107,000 PIPE Shares held by Avidity Capital Fund II LP (“Avidity Capital”) and 843,000 PIPE Shares held by Avidity Master Fund LP (“Avidity Master”).</w:t>
      </w:r>
    </w:p>
    <w:p>
      <w:pPr>
        <w:spacing w:after="0" w:line="9" w:lineRule="exact"/>
        <w:rPr>
          <w:rFonts w:ascii="Arial" w:cs="Arial" w:eastAsia="Arial" w:hAnsi="Arial"/>
          <w:sz w:val="13"/>
          <w:szCs w:val="13"/>
          <w:color w:val="auto"/>
        </w:rPr>
      </w:pPr>
    </w:p>
    <w:p>
      <w:pPr>
        <w:ind w:left="320" w:hanging="314"/>
        <w:spacing w:after="0" w:line="256" w:lineRule="auto"/>
        <w:tabs>
          <w:tab w:leader="none" w:pos="312" w:val="left"/>
        </w:tabs>
        <w:numPr>
          <w:ilvl w:val="0"/>
          <w:numId w:val="86"/>
        </w:numPr>
        <w:rPr>
          <w:rFonts w:ascii="Arial" w:cs="Arial" w:eastAsia="Arial" w:hAnsi="Arial"/>
          <w:sz w:val="13"/>
          <w:szCs w:val="13"/>
          <w:color w:val="auto"/>
        </w:rPr>
      </w:pPr>
      <w:r>
        <w:rPr>
          <w:rFonts w:ascii="Arial" w:cs="Arial" w:eastAsia="Arial" w:hAnsi="Arial"/>
          <w:sz w:val="13"/>
          <w:szCs w:val="13"/>
          <w:color w:val="auto"/>
        </w:rPr>
        <w:t>Shares hereby offered consist of 169,202 PIPE Shares held by Blackrock Capital Allocation Trust, 221,910 Sema4 Holder Shares, 92,813 PIPE Shares and 24,410 Earn-out Shares (consisting of 20,957 Allocated Earn-Out Shares and 3,453 Reallocated Earn-Out Shares) held by BlackRock Global Allocation Collective Fund, 36,407 Sema4 Holder Shares and 4,005 Earn-out Shares (consisting of 3,438 Allocated Earn-Out Shares and 567 Reallocated Earn-Out Shares) held by BlackRock Global Allocation Fund (Aust), 2,124,370 Sema4 Holder Shares, 929,830 PIPE Shares and 233,680 Earn-out Shares (consisting of 200,637 Allocated Earn-Out Shares and 33,043 Reallocated Earn-Out Shares) held by BlackRock Global Allocation Fund, Inc., 16,717 Sema4 Holder Shares, 7,236 PIPE Shares and 1,840 Earn-out Shares (consisting of 1,579 Allocated Earn-Out Shares and 261 Reallocated Earn-Out Shares) held by BlackRock Global Allocation Portfolio of BlackRock Series Fund, Inc., 743,993 Sema4 Holder Shares, 308,766 PIPE Shares and 81,840 Earn-out Shares (consisting of 70,268 Allocated Earn-Out Shares and 11,572 Reallocated Earn-Out Shares) held by BlackRock Global Allocation V.I. Fund of BlackRock Variable Series Funds, Inc., 1,284,776 Sema4 Holder Shares, 574,384 PIPE Shares and 141,325 Earn-out Shares (consisting of 121,342 Allocated Earn-Out Shares and 19,983 Reallocated Earn-Out Shares) held by BlackRock Global Funds - Global Allocation Fund, 112,069 Sema4 Holder Shares, 22,482 PIPE Shares and 12,328 Earn-out Shares (consisting of 10,584 Allocated Earn-Out Shares and 1,744 Reallocated Earn-Out Shares) held by BlackRock Global Funds - Global Dynamic Equity Fund, 1,513,373 Sema4 Holder Shares, 645,287 PIPE Shares and 166,471 Earn-out Shares (consisting of 142,931 Allocated Earn-Out Shares and 23,540 Reallocated Earn-Out Shares) held by BlackRock Strategic Income Opportunities Portfolio of BlackRock Funds V. The registered holders of the referenced shares to be registered are the following funds and accounts under management by subsidiaries of BlackRock, Inc.: BlackRock Strategic Income Opportunities Portfolio of BlackRock Funds V; BlackRock Global Allocation Collective Fund; BlackRock Global Funds – Global Dynamic Equity Fund; BlackRock Global Allocation Portfolio of BlackRock Series Fund, Inc.; BlackRock Global Allocation Fund, Inc.; BlackRock Global Funds – Global Allocation Fund; BlackRock Global Allocation V.I. Fund of BlackRock Variable Series Funds, Inc.; BlackRock Global Allocation Fund (Aust); and BlackRock Capital Allocation Trust. BlackRock, Inc. is the ultimate parent holding company of such subsidiaries. On behalf of such subsidiaries, the applicable portfolio managers, as managing directors (or in other capacities) of such entities, and/or the applicable investment committee members of such funds and accounts, have voting and investment power over the shares held by the funds and accounts which are the registered holders of the referenced shares. Such portfolio managers and/or investment committee members expressly disclaim beneficial ownership of all shares held by such funds and accounts. The address of such funds and accounts, such subsidiaries and such portfolio managers and/or investment committee members is 55 East 52nd Street, New York, NY 10055. Shares shown include only the securities being registered for resale and may not incorporate all shares deemed to be beneficially held by the registered holders or BlackRock,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113" w:lineRule="exact"/>
        <w:rPr>
          <w:sz w:val="20"/>
          <w:szCs w:val="20"/>
          <w:color w:val="auto"/>
        </w:rPr>
      </w:pPr>
    </w:p>
    <w:p>
      <w:pPr>
        <w:ind w:left="314" w:right="40" w:hanging="314"/>
        <w:spacing w:after="0" w:line="245" w:lineRule="auto"/>
        <w:tabs>
          <w:tab w:leader="none" w:pos="306" w:val="left"/>
        </w:tabs>
        <w:numPr>
          <w:ilvl w:val="0"/>
          <w:numId w:val="87"/>
        </w:numPr>
        <w:rPr>
          <w:rFonts w:ascii="Arial" w:cs="Arial" w:eastAsia="Arial" w:hAnsi="Arial"/>
          <w:sz w:val="14"/>
          <w:szCs w:val="14"/>
          <w:color w:val="auto"/>
        </w:rPr>
      </w:pPr>
      <w:r>
        <w:rPr>
          <w:rFonts w:ascii="Arial" w:cs="Arial" w:eastAsia="Arial" w:hAnsi="Arial"/>
          <w:sz w:val="14"/>
          <w:szCs w:val="14"/>
          <w:color w:val="auto"/>
        </w:rPr>
        <w:t>Shares hereby offered consist of 64,000 PIPE Shares held by Corvex Dynamic Equity Select Master Fund LP (“Corvex Dynamic Fund”), 240,000 PIPE Shares held by Corvex Master Fund LP (“Corvex Master Fund”) and 3,696,000 PIPE Shares held by Corvex Select Equity Master Fund LP (“Corvex Select Fund”).</w:t>
      </w:r>
    </w:p>
    <w:p>
      <w:pPr>
        <w:spacing w:after="0" w:line="1" w:lineRule="exact"/>
        <w:rPr>
          <w:rFonts w:ascii="Arial" w:cs="Arial" w:eastAsia="Arial" w:hAnsi="Arial"/>
          <w:sz w:val="14"/>
          <w:szCs w:val="14"/>
          <w:color w:val="auto"/>
        </w:rPr>
      </w:pPr>
    </w:p>
    <w:p>
      <w:pPr>
        <w:ind w:left="314" w:hanging="314"/>
        <w:spacing w:after="0" w:line="237" w:lineRule="auto"/>
        <w:tabs>
          <w:tab w:leader="none" w:pos="314" w:val="left"/>
        </w:tabs>
        <w:numPr>
          <w:ilvl w:val="0"/>
          <w:numId w:val="87"/>
        </w:numPr>
        <w:rPr>
          <w:rFonts w:ascii="Arial" w:cs="Arial" w:eastAsia="Arial" w:hAnsi="Arial"/>
          <w:sz w:val="14"/>
          <w:szCs w:val="14"/>
          <w:color w:val="auto"/>
        </w:rPr>
      </w:pPr>
      <w:r>
        <w:rPr>
          <w:rFonts w:ascii="Arial" w:cs="Arial" w:eastAsia="Arial" w:hAnsi="Arial"/>
          <w:sz w:val="14"/>
          <w:szCs w:val="14"/>
          <w:color w:val="auto"/>
        </w:rPr>
        <w:t>Shares hereby offered consist of 1,500,000 PIPE Shares held by JS Capital LLC.</w:t>
      </w:r>
    </w:p>
    <w:p>
      <w:pPr>
        <w:ind w:left="314" w:right="40" w:hanging="314"/>
        <w:spacing w:after="0" w:line="276" w:lineRule="auto"/>
        <w:tabs>
          <w:tab w:leader="none" w:pos="306" w:val="left"/>
        </w:tabs>
        <w:numPr>
          <w:ilvl w:val="0"/>
          <w:numId w:val="87"/>
        </w:numPr>
        <w:rPr>
          <w:rFonts w:ascii="Arial" w:cs="Arial" w:eastAsia="Arial" w:hAnsi="Arial"/>
          <w:sz w:val="12"/>
          <w:szCs w:val="12"/>
          <w:color w:val="auto"/>
        </w:rPr>
      </w:pPr>
      <w:r>
        <w:rPr>
          <w:rFonts w:ascii="Arial" w:cs="Arial" w:eastAsia="Arial" w:hAnsi="Arial"/>
          <w:sz w:val="12"/>
          <w:szCs w:val="12"/>
          <w:color w:val="auto"/>
        </w:rPr>
        <w:t>Shares hereby offered consist of 50,000 PIPE Shares held by D. E. Shaw Oculus Portfolios, L.L.C. and 150,000 PIPE Shares held by D. E. Shaw Valence Portfolios, L.L.C. (together with D. E. Shaw Oculus Portfolios, L.L.C., the “D. E. Shaw Entities”). Each of the D. E. Shaw Entities has the power to vote or to direct the vote of (and the power to dispose or direct the disposition of) the shares directly owned by it. D. E. Shaw &amp; Co., L.P. (“DESCO LP”), as the investment adviser of the D. E. Shaw Entities, may be deemed to have the shared power to vote or direct the vote of (and the shared power to dispose or direct the disposition of) the shares owned by the D. E. Shaw Entities. D. E. Shaw &amp; Co., L.L.C. (“DESCO LLC”), as the manager of the D. E. Shaw Entities, may be deemed to have the shared power to vote or direct the vote of (and the shared power to dispose or direct the disposition of) the shares owned by the D. E. Shaw Entities. Julius Gaudio, Maximilian Stone, and Eric Wepsic, or their designees, exercise voting and investment control over the shares owned by the D. E. Shaw Entities on DESCO LP’s and DESCO LLC’s behalf. D. E. Shaw &amp; Co., Inc. (“DESCO Inc.”), as general partner of DESCO LP, may be deemed to have the shared power to vote or direct the vote of (and the shared power to dispose or direct the disposition of) the shares owned by the D. E. Shaw Entities. D. E. Shaw &amp; Co. II, Inc. (“DESCO II Inc.”), as managing member of DESCO LLC, may be deemed to have the shared power to vote or direct the vote of (and the shared power to dispose or direct the disposition of) the shares owned by the D. E. Shaw Entities. None of DESCO LP, DESCO LLC, DESCO Inc., or DESCO II Inc. owns any shares of the Company directly, and each such entity disclaims beneficial ownership of the shares owned by the D. E. Shaw Entities. David E. Shaw does not own any shares of the Company directly. By virtue of David E. Shaw’s position as President and sole shareholder of DESCO Inc., which is the general partner of DESCO LP, and by virtue of David E. Shaw’s position as President and sole shareholder of DESCO II Inc., which is the managing member of DESCO LLC, David E. Shaw may be deemed to have the shared power to vote or direct the vote of (and the shared power to dispose or direct the disposition of) the shares owned by the D. E. Shaw Entities and, therefore, David E. Shaw may be deemed to be the beneficial owner of the shares owned by the D. E. Shaw Entities. David E. Shaw disclaims beneficial ownership of the shares owned by the D. E. Shaw Entities.</w:t>
      </w:r>
    </w:p>
    <w:p>
      <w:pPr>
        <w:spacing w:after="0" w:line="4" w:lineRule="exact"/>
        <w:rPr>
          <w:rFonts w:ascii="Arial" w:cs="Arial" w:eastAsia="Arial" w:hAnsi="Arial"/>
          <w:sz w:val="12"/>
          <w:szCs w:val="12"/>
          <w:color w:val="auto"/>
        </w:rPr>
      </w:pPr>
    </w:p>
    <w:p>
      <w:pPr>
        <w:ind w:left="314" w:right="160" w:hanging="314"/>
        <w:spacing w:after="0" w:line="255" w:lineRule="auto"/>
        <w:tabs>
          <w:tab w:leader="none" w:pos="306" w:val="left"/>
        </w:tabs>
        <w:numPr>
          <w:ilvl w:val="0"/>
          <w:numId w:val="87"/>
        </w:numPr>
        <w:rPr>
          <w:rFonts w:ascii="Arial" w:cs="Arial" w:eastAsia="Arial" w:hAnsi="Arial"/>
          <w:sz w:val="13"/>
          <w:szCs w:val="13"/>
          <w:color w:val="auto"/>
        </w:rPr>
      </w:pPr>
      <w:r>
        <w:rPr>
          <w:rFonts w:ascii="Arial" w:cs="Arial" w:eastAsia="Arial" w:hAnsi="Arial"/>
          <w:sz w:val="13"/>
          <w:szCs w:val="13"/>
          <w:color w:val="auto"/>
        </w:rPr>
        <w:t>Shares hereby offered consist of 1,375,000 PIPE Shares, 5,549,244 Sema4 Holder Shares and 610,416 Earn-out Shares (consisting of 524,100 Allocated Earn-Out Shares and 86,316 Reallocated Earn-Out Shares) held by Deerfield Partners, L.P. (“Deerfield Partners”) and 1,375,000 PIPE Shares, 5,549,244 Sema4 Holder Shares and 610,416 Earn-out Shares (consisting of 524,100 Allocated Earn-Out Shares and 86,316 Reallocated Earn-Out Shares) held by Deerfield Private Design Fund V, L.P. (“Deerfield Private Design”).</w:t>
      </w:r>
    </w:p>
    <w:p>
      <w:pPr>
        <w:ind w:left="314" w:right="20" w:hanging="314"/>
        <w:spacing w:after="0" w:line="237" w:lineRule="auto"/>
        <w:tabs>
          <w:tab w:leader="none" w:pos="306" w:val="left"/>
        </w:tabs>
        <w:numPr>
          <w:ilvl w:val="0"/>
          <w:numId w:val="87"/>
        </w:numPr>
        <w:rPr>
          <w:rFonts w:ascii="Arial" w:cs="Arial" w:eastAsia="Arial" w:hAnsi="Arial"/>
          <w:sz w:val="14"/>
          <w:szCs w:val="14"/>
          <w:color w:val="auto"/>
        </w:rPr>
      </w:pPr>
      <w:r>
        <w:rPr>
          <w:rFonts w:ascii="Arial" w:cs="Arial" w:eastAsia="Arial" w:hAnsi="Arial"/>
          <w:sz w:val="14"/>
          <w:szCs w:val="14"/>
          <w:color w:val="auto"/>
        </w:rPr>
        <w:t>Shares hereby offered consist of 489,000 PIPE Shares held by Destinations Multi Strategy Alternatives Fund, a series of Brinker Capital Destinations Trust (“Destination”), 67,000 PIPE Shares held by Driehaus Event Driven Fund, a series of Driehaus Mutual Funds (“Driehaus Event Driven Fund”) and 444,000 PIPE Shares held by Driehaus Life Sciences Master Fund, L.P. (“Driehaus Life Sciences Fund”).</w:t>
      </w:r>
    </w:p>
    <w:p>
      <w:pPr>
        <w:ind w:left="314" w:hanging="314"/>
        <w:spacing w:after="0"/>
        <w:tabs>
          <w:tab w:leader="none" w:pos="314" w:val="left"/>
        </w:tabs>
        <w:numPr>
          <w:ilvl w:val="0"/>
          <w:numId w:val="87"/>
        </w:numPr>
        <w:rPr>
          <w:rFonts w:ascii="Arial" w:cs="Arial" w:eastAsia="Arial" w:hAnsi="Arial"/>
          <w:sz w:val="12"/>
          <w:szCs w:val="12"/>
          <w:color w:val="auto"/>
        </w:rPr>
      </w:pPr>
      <w:r>
        <w:rPr>
          <w:rFonts w:ascii="Arial" w:cs="Arial" w:eastAsia="Arial" w:hAnsi="Arial"/>
          <w:sz w:val="12"/>
          <w:szCs w:val="12"/>
          <w:color w:val="auto"/>
        </w:rPr>
        <w:t>Shares hereby offered consist of 518,000 PIPE Shares held by Mag &amp; Co fbo Fidelity Securities Fund: Fidelity Blue Chip Growth Fund, 18,500 PIPE Shares held by Fidelity Blue Chip Growth</w:t>
      </w:r>
    </w:p>
    <w:p>
      <w:pPr>
        <w:spacing w:after="0" w:line="21" w:lineRule="exact"/>
        <w:rPr>
          <w:rFonts w:ascii="Arial" w:cs="Arial" w:eastAsia="Arial" w:hAnsi="Arial"/>
          <w:sz w:val="12"/>
          <w:szCs w:val="12"/>
          <w:color w:val="auto"/>
        </w:rPr>
      </w:pPr>
    </w:p>
    <w:p>
      <w:pPr>
        <w:ind w:left="314"/>
        <w:spacing w:after="0"/>
        <w:rPr>
          <w:rFonts w:ascii="Arial" w:cs="Arial" w:eastAsia="Arial" w:hAnsi="Arial"/>
          <w:sz w:val="12"/>
          <w:szCs w:val="12"/>
          <w:color w:val="auto"/>
        </w:rPr>
      </w:pPr>
      <w:r>
        <w:rPr>
          <w:rFonts w:ascii="Arial" w:cs="Arial" w:eastAsia="Arial" w:hAnsi="Arial"/>
          <w:sz w:val="13"/>
          <w:szCs w:val="13"/>
          <w:color w:val="auto"/>
        </w:rPr>
        <w:t>Commingled Pool, 1,200 PIPE Shares held by Booth &amp; Co FBO Fidelity Securities Fund: Fidelity Flex Large Cap Growth Fund, 57,700 PIPE Shares held by Booth &amp; Co FBO Fidelity</w:t>
      </w:r>
    </w:p>
    <w:p>
      <w:pPr>
        <w:spacing w:after="0" w:line="9" w:lineRule="exact"/>
        <w:rPr>
          <w:rFonts w:ascii="Arial" w:cs="Arial" w:eastAsia="Arial" w:hAnsi="Arial"/>
          <w:sz w:val="12"/>
          <w:szCs w:val="12"/>
          <w:color w:val="auto"/>
        </w:rPr>
      </w:pPr>
    </w:p>
    <w:p>
      <w:pPr>
        <w:ind w:left="314"/>
        <w:spacing w:after="0" w:line="237" w:lineRule="auto"/>
        <w:rPr>
          <w:rFonts w:ascii="Arial" w:cs="Arial" w:eastAsia="Arial" w:hAnsi="Arial"/>
          <w:sz w:val="12"/>
          <w:szCs w:val="12"/>
          <w:color w:val="auto"/>
        </w:rPr>
      </w:pPr>
      <w:r>
        <w:rPr>
          <w:rFonts w:ascii="Arial" w:cs="Arial" w:eastAsia="Arial" w:hAnsi="Arial"/>
          <w:sz w:val="14"/>
          <w:szCs w:val="14"/>
          <w:color w:val="auto"/>
        </w:rPr>
        <w:t>Securities Fund: Fidelity Blue Chip Growth K6 Fund, 1,400 PIPE Shares held by THISBE &amp; Co: FBO Fidelity Blue Chip Growth Institutional Trust, 60,213 PIPE Shares held by</w:t>
      </w:r>
    </w:p>
    <w:p>
      <w:pPr>
        <w:ind w:left="314"/>
        <w:spacing w:after="0"/>
        <w:rPr>
          <w:rFonts w:ascii="Arial" w:cs="Arial" w:eastAsia="Arial" w:hAnsi="Arial"/>
          <w:sz w:val="12"/>
          <w:szCs w:val="12"/>
          <w:color w:val="auto"/>
        </w:rPr>
      </w:pPr>
      <w:r>
        <w:rPr>
          <w:rFonts w:ascii="Arial" w:cs="Arial" w:eastAsia="Arial" w:hAnsi="Arial"/>
          <w:sz w:val="13"/>
          <w:szCs w:val="13"/>
          <w:color w:val="auto"/>
        </w:rPr>
        <w:t>WAVECHART + CO fbo Fidelity Securities Fund: Fidelity Series Blue Chip Growth Fund, 41,100 PIPE Shares held by FLAPPER CO fbo FIAM Target Date Blue Chip Growth Commingled</w:t>
      </w:r>
    </w:p>
    <w:p>
      <w:pPr>
        <w:spacing w:after="0" w:line="9" w:lineRule="exact"/>
        <w:rPr>
          <w:rFonts w:ascii="Arial" w:cs="Arial" w:eastAsia="Arial" w:hAnsi="Arial"/>
          <w:sz w:val="12"/>
          <w:szCs w:val="12"/>
          <w:color w:val="auto"/>
        </w:rPr>
      </w:pPr>
    </w:p>
    <w:p>
      <w:pPr>
        <w:ind w:left="314"/>
        <w:spacing w:after="0"/>
        <w:rPr>
          <w:rFonts w:ascii="Arial" w:cs="Arial" w:eastAsia="Arial" w:hAnsi="Arial"/>
          <w:sz w:val="12"/>
          <w:szCs w:val="12"/>
          <w:color w:val="auto"/>
        </w:rPr>
      </w:pPr>
      <w:r>
        <w:rPr>
          <w:rFonts w:ascii="Arial" w:cs="Arial" w:eastAsia="Arial" w:hAnsi="Arial"/>
          <w:sz w:val="12"/>
          <w:szCs w:val="12"/>
          <w:color w:val="auto"/>
        </w:rPr>
        <w:t>Pool, 136,000 PIPE Shares held by Fidelity Mt. Vernon Street Trust: Fidelity Series Growth Company Fund, 641,900 PIPE Shares held by Powhatan &amp; Co., LLC fbo Fidelity Mt. Vernon Street</w:t>
      </w:r>
    </w:p>
    <w:p>
      <w:pPr>
        <w:spacing w:after="0" w:line="21" w:lineRule="exact"/>
        <w:rPr>
          <w:rFonts w:ascii="Arial" w:cs="Arial" w:eastAsia="Arial" w:hAnsi="Arial"/>
          <w:sz w:val="12"/>
          <w:szCs w:val="12"/>
          <w:color w:val="auto"/>
        </w:rPr>
      </w:pPr>
    </w:p>
    <w:p>
      <w:pPr>
        <w:ind w:left="314"/>
        <w:spacing w:after="0"/>
        <w:rPr>
          <w:rFonts w:ascii="Arial" w:cs="Arial" w:eastAsia="Arial" w:hAnsi="Arial"/>
          <w:sz w:val="12"/>
          <w:szCs w:val="12"/>
          <w:color w:val="auto"/>
        </w:rPr>
      </w:pPr>
      <w:r>
        <w:rPr>
          <w:rFonts w:ascii="Arial" w:cs="Arial" w:eastAsia="Arial" w:hAnsi="Arial"/>
          <w:sz w:val="13"/>
          <w:szCs w:val="13"/>
          <w:color w:val="auto"/>
        </w:rPr>
        <w:t>Trust: Fidelity Growth Company Fund, 649,200 PIPE Shares held by Mag &amp; Co fbo Fidelity Growth Company Commingled Pool, 99,400 PIPE Shares held by Powhatan &amp; Co., LLC fbo</w:t>
      </w:r>
    </w:p>
    <w:p>
      <w:pPr>
        <w:spacing w:after="0" w:line="9" w:lineRule="exact"/>
        <w:rPr>
          <w:rFonts w:ascii="Arial" w:cs="Arial" w:eastAsia="Arial" w:hAnsi="Arial"/>
          <w:sz w:val="12"/>
          <w:szCs w:val="12"/>
          <w:color w:val="auto"/>
        </w:rPr>
      </w:pPr>
    </w:p>
    <w:p>
      <w:pPr>
        <w:ind w:left="314"/>
        <w:spacing w:after="0"/>
        <w:rPr>
          <w:rFonts w:ascii="Arial" w:cs="Arial" w:eastAsia="Arial" w:hAnsi="Arial"/>
          <w:sz w:val="12"/>
          <w:szCs w:val="12"/>
          <w:color w:val="auto"/>
        </w:rPr>
      </w:pPr>
      <w:r>
        <w:rPr>
          <w:rFonts w:ascii="Arial" w:cs="Arial" w:eastAsia="Arial" w:hAnsi="Arial"/>
          <w:sz w:val="13"/>
          <w:szCs w:val="13"/>
          <w:color w:val="auto"/>
        </w:rPr>
        <w:t>Fidelity Mt. Vernon Street Trust: Fidelity Growth Company K6 Fund, 30,200 PIPE Shares held by Booth &amp; Co., LLC fbo Variable Insurance Products Fund III: Growth Opportunities Portfolio,</w:t>
      </w:r>
    </w:p>
    <w:p>
      <w:pPr>
        <w:spacing w:after="0" w:line="9" w:lineRule="exact"/>
        <w:rPr>
          <w:rFonts w:ascii="Arial" w:cs="Arial" w:eastAsia="Arial" w:hAnsi="Arial"/>
          <w:sz w:val="12"/>
          <w:szCs w:val="12"/>
          <w:color w:val="auto"/>
        </w:rPr>
      </w:pPr>
    </w:p>
    <w:p>
      <w:pPr>
        <w:ind w:left="314"/>
        <w:spacing w:after="0"/>
        <w:rPr>
          <w:rFonts w:ascii="Arial" w:cs="Arial" w:eastAsia="Arial" w:hAnsi="Arial"/>
          <w:sz w:val="12"/>
          <w:szCs w:val="12"/>
          <w:color w:val="auto"/>
        </w:rPr>
      </w:pPr>
      <w:r>
        <w:rPr>
          <w:rFonts w:ascii="Arial" w:cs="Arial" w:eastAsia="Arial" w:hAnsi="Arial"/>
          <w:sz w:val="13"/>
          <w:szCs w:val="13"/>
          <w:color w:val="auto"/>
        </w:rPr>
        <w:t>217,600 PIPE Shares held by Mag &amp; Co fbo Fidelity Advisor Series I: Fidelity Advisor Growth Opportunities Fund, 7,600 PIPE Shares held by WARMWIND + CO fbo Fidelity Advisor Series</w:t>
      </w:r>
    </w:p>
    <w:p>
      <w:pPr>
        <w:spacing w:after="0" w:line="9" w:lineRule="exact"/>
        <w:rPr>
          <w:rFonts w:ascii="Arial" w:cs="Arial" w:eastAsia="Arial" w:hAnsi="Arial"/>
          <w:sz w:val="12"/>
          <w:szCs w:val="12"/>
          <w:color w:val="auto"/>
        </w:rPr>
      </w:pPr>
    </w:p>
    <w:p>
      <w:pPr>
        <w:ind w:left="314" w:right="220"/>
        <w:spacing w:after="0" w:line="237" w:lineRule="auto"/>
        <w:rPr>
          <w:rFonts w:ascii="Arial" w:cs="Arial" w:eastAsia="Arial" w:hAnsi="Arial"/>
          <w:sz w:val="12"/>
          <w:szCs w:val="12"/>
          <w:color w:val="auto"/>
        </w:rPr>
      </w:pPr>
      <w:r>
        <w:rPr>
          <w:rFonts w:ascii="Arial" w:cs="Arial" w:eastAsia="Arial" w:hAnsi="Arial"/>
          <w:sz w:val="14"/>
          <w:szCs w:val="14"/>
          <w:color w:val="auto"/>
        </w:rPr>
        <w:t>I: Fidelity Advisor Series Growth Opportunities Fund, 2,800 PIPE Shares held by THISBE &amp; CO fbo Fidelity U.S. Growth Opportunities Investment Trust, and 17,187 PIPE Shares held by THISBE &amp; CO fbo Fidelity NorthStar Fund.</w:t>
      </w:r>
    </w:p>
    <w:p>
      <w:pPr>
        <w:ind w:left="314" w:right="100" w:hanging="314"/>
        <w:spacing w:after="0" w:line="237" w:lineRule="auto"/>
        <w:tabs>
          <w:tab w:leader="none" w:pos="305" w:val="left"/>
        </w:tabs>
        <w:numPr>
          <w:ilvl w:val="0"/>
          <w:numId w:val="87"/>
        </w:numPr>
        <w:rPr>
          <w:rFonts w:ascii="Arial" w:cs="Arial" w:eastAsia="Arial" w:hAnsi="Arial"/>
          <w:sz w:val="14"/>
          <w:szCs w:val="14"/>
          <w:color w:val="auto"/>
        </w:rPr>
      </w:pPr>
      <w:r>
        <w:rPr>
          <w:rFonts w:ascii="Arial" w:cs="Arial" w:eastAsia="Arial" w:hAnsi="Arial"/>
          <w:sz w:val="14"/>
          <w:szCs w:val="14"/>
          <w:color w:val="auto"/>
        </w:rPr>
        <w:t>Shares hereby offered consist of 595,228 PIPE Shares held by Inception Trust (“MSIM Inception Trust”), 1,079,306 PIPE Shares held by Morgan Stanley Institutional Fund, Inc. – Inception Portfolio (“MSIM MSIF Inception”), 2,349 PIPE Shares held by Morgan Stanley Institutional Fund, Inc. – Counterpoint Global Portfolio (“MSIM MSIF Counterpoint”), 322,168 PIPE Shares held by EQ Advisors Trust – EQ/Morgan Stanley Small Cap Growth Portfolio (“MSIM EQ Advisors”) and 949 PIPE Shares held by Morgan Stanley Investment Funds – Counterpoint Global Fund (“MSIM MSINVF Counterpoint”).</w:t>
      </w:r>
    </w:p>
    <w:p>
      <w:pPr>
        <w:ind w:left="314" w:right="20" w:hanging="314"/>
        <w:spacing w:after="0" w:line="276" w:lineRule="auto"/>
        <w:tabs>
          <w:tab w:leader="none" w:pos="311" w:val="left"/>
        </w:tabs>
        <w:numPr>
          <w:ilvl w:val="0"/>
          <w:numId w:val="87"/>
        </w:numPr>
        <w:rPr>
          <w:rFonts w:ascii="Arial" w:cs="Arial" w:eastAsia="Arial" w:hAnsi="Arial"/>
          <w:sz w:val="12"/>
          <w:szCs w:val="12"/>
          <w:color w:val="auto"/>
        </w:rPr>
      </w:pPr>
      <w:r>
        <w:rPr>
          <w:rFonts w:ascii="Arial" w:cs="Arial" w:eastAsia="Arial" w:hAnsi="Arial"/>
          <w:sz w:val="12"/>
          <w:szCs w:val="12"/>
          <w:color w:val="auto"/>
        </w:rPr>
        <w:t>Shares hereby offered consist of 500,000 PIPE Shares held by MMF LT LLC (“MMF”), 1,008,874 Sema4 Holder Shares, and 110,977 Earn-out Shares (consisting of 95,283 Allocated Earn-Out Shares and 15,694 Reallocated Earn-Out Shares) held by Moore Strategic Ventures, LLC (“Moore Ventures”). Moore Capital Management, LP (“MCM LP”), the investment manager of MMF, has voting and investment control over the shares held by MMF. Louis M. Bacon controls the general partner of MCM LP and may be deemed the beneficial owner of the shares held by MMF. Mr. Bacon is also the indirect majority owner of MMF. Mr. Bacon is the indirect majority owner of MSV LLC, has voting and investment control over the shares held by MSV LLC, and may be deemed the beneficial owner of the shares held by MSV LLC. The address of MMF, MCM LP, MSV LLC and Mr. Bacon is 11 Times Square, 38th Floor, New York, New York 10036.</w:t>
      </w:r>
    </w:p>
    <w:p>
      <w:pPr>
        <w:spacing w:after="0" w:line="1" w:lineRule="exact"/>
        <w:rPr>
          <w:rFonts w:ascii="Arial" w:cs="Arial" w:eastAsia="Arial" w:hAnsi="Arial"/>
          <w:sz w:val="12"/>
          <w:szCs w:val="12"/>
          <w:color w:val="auto"/>
        </w:rPr>
      </w:pPr>
    </w:p>
    <w:p>
      <w:pPr>
        <w:ind w:left="314" w:right="160" w:hanging="314"/>
        <w:spacing w:after="0" w:line="237" w:lineRule="auto"/>
        <w:tabs>
          <w:tab w:leader="none" w:pos="311" w:val="left"/>
        </w:tabs>
        <w:numPr>
          <w:ilvl w:val="0"/>
          <w:numId w:val="87"/>
        </w:numPr>
        <w:rPr>
          <w:rFonts w:ascii="Arial" w:cs="Arial" w:eastAsia="Arial" w:hAnsi="Arial"/>
          <w:sz w:val="14"/>
          <w:szCs w:val="14"/>
          <w:color w:val="auto"/>
        </w:rPr>
      </w:pPr>
      <w:r>
        <w:rPr>
          <w:rFonts w:ascii="Arial" w:cs="Arial" w:eastAsia="Arial" w:hAnsi="Arial"/>
          <w:sz w:val="14"/>
          <w:szCs w:val="14"/>
          <w:color w:val="auto"/>
        </w:rPr>
        <w:t>For purposes of the first table, shares hereby offered consist of 100,000 PIPE Shares and 166,666 shares of common stock underlying warrants that will become exercisable within 60 days of the Closing held by M. Munib Z. For the purposes of the second table, consists of 166,666 warrants. The first table assumes the exercise in full of the warrants held by M. Munib Z., and the second table assumes no exercise of the warrants held by M. Munib Z.</w:t>
      </w:r>
    </w:p>
    <w:p>
      <w:pPr>
        <w:ind w:left="314" w:hanging="314"/>
        <w:spacing w:after="0" w:line="237" w:lineRule="auto"/>
        <w:tabs>
          <w:tab w:leader="none" w:pos="314" w:val="left"/>
        </w:tabs>
        <w:numPr>
          <w:ilvl w:val="0"/>
          <w:numId w:val="87"/>
        </w:numPr>
        <w:rPr>
          <w:rFonts w:ascii="Arial" w:cs="Arial" w:eastAsia="Arial" w:hAnsi="Arial"/>
          <w:sz w:val="14"/>
          <w:szCs w:val="14"/>
          <w:color w:val="auto"/>
        </w:rPr>
      </w:pPr>
      <w:r>
        <w:rPr>
          <w:rFonts w:ascii="Arial" w:cs="Arial" w:eastAsia="Arial" w:hAnsi="Arial"/>
          <w:sz w:val="14"/>
          <w:szCs w:val="14"/>
          <w:color w:val="auto"/>
        </w:rPr>
        <w:t>Shares hereby offered consist of 2,500,000 PIPE Shares held by Perceptive Life Sciences Master Fund.</w:t>
      </w:r>
    </w:p>
    <w:p>
      <w:pPr>
        <w:ind w:left="314" w:right="120" w:hanging="314"/>
        <w:spacing w:after="0" w:line="237" w:lineRule="auto"/>
        <w:tabs>
          <w:tab w:leader="none" w:pos="311" w:val="left"/>
        </w:tabs>
        <w:numPr>
          <w:ilvl w:val="0"/>
          <w:numId w:val="87"/>
        </w:numPr>
        <w:rPr>
          <w:rFonts w:ascii="Arial" w:cs="Arial" w:eastAsia="Arial" w:hAnsi="Arial"/>
          <w:sz w:val="14"/>
          <w:szCs w:val="14"/>
          <w:color w:val="auto"/>
        </w:rPr>
      </w:pPr>
      <w:r>
        <w:rPr>
          <w:rFonts w:ascii="Arial" w:cs="Arial" w:eastAsia="Arial" w:hAnsi="Arial"/>
          <w:sz w:val="14"/>
          <w:szCs w:val="14"/>
          <w:color w:val="auto"/>
        </w:rPr>
        <w:t>Shares hereby offered consist of 400,000 PIPE Shares held by the entities affiliated with RTW . "RTW" means RTW Innovation Master Fund, Ltd., RTW Master Fund, Ltd. and RTW Venture Fund Limited.</w:t>
      </w:r>
    </w:p>
    <w:p>
      <w:pPr>
        <w:ind w:left="314" w:hanging="314"/>
        <w:spacing w:after="0" w:line="237" w:lineRule="auto"/>
        <w:tabs>
          <w:tab w:leader="none" w:pos="314" w:val="left"/>
        </w:tabs>
        <w:numPr>
          <w:ilvl w:val="0"/>
          <w:numId w:val="87"/>
        </w:numPr>
        <w:rPr>
          <w:rFonts w:ascii="Arial" w:cs="Arial" w:eastAsia="Arial" w:hAnsi="Arial"/>
          <w:sz w:val="14"/>
          <w:szCs w:val="14"/>
          <w:color w:val="auto"/>
        </w:rPr>
      </w:pPr>
      <w:r>
        <w:rPr>
          <w:rFonts w:ascii="Arial" w:cs="Arial" w:eastAsia="Arial" w:hAnsi="Arial"/>
          <w:sz w:val="14"/>
          <w:szCs w:val="14"/>
          <w:color w:val="auto"/>
        </w:rPr>
        <w:t>Shares hereby offered consist of 297,650 PIPE Shares held by Sachem Head LP and 202,350 PIPE Shares held by Sachem Head Master LP.</w:t>
      </w:r>
    </w:p>
    <w:p>
      <w:pPr>
        <w:ind w:left="314" w:right="140" w:hanging="314"/>
        <w:spacing w:after="0" w:line="247" w:lineRule="auto"/>
        <w:tabs>
          <w:tab w:leader="none" w:pos="311" w:val="left"/>
        </w:tabs>
        <w:numPr>
          <w:ilvl w:val="0"/>
          <w:numId w:val="87"/>
        </w:numPr>
        <w:rPr>
          <w:rFonts w:ascii="Arial" w:cs="Arial" w:eastAsia="Arial" w:hAnsi="Arial"/>
          <w:sz w:val="14"/>
          <w:szCs w:val="14"/>
          <w:color w:val="auto"/>
        </w:rPr>
      </w:pPr>
      <w:r>
        <w:rPr>
          <w:rFonts w:ascii="Arial" w:cs="Arial" w:eastAsia="Arial" w:hAnsi="Arial"/>
          <w:sz w:val="14"/>
          <w:szCs w:val="14"/>
          <w:color w:val="auto"/>
        </w:rPr>
        <w:t>Shares hereby offered consist of 2,500,000 PIPE Shares held by SB Northstar LP. SB Management Limited is the investment manager of SB Northstar LP and as such may be deemed to have voting and investment power over the securities held by SB Northstar LP. SB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3"/>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14"/>
          </w:cols>
          <w:pgMar w:left="326" w:top="1440" w:right="359" w:bottom="1440" w:gutter="0" w:footer="0" w:header="0"/>
        </w:sectPr>
      </w:pPr>
    </w:p>
    <w:bookmarkStart w:id="163" w:name="page164"/>
    <w:bookmarkEnd w:id="163"/>
    <w:p>
      <w:pPr>
        <w:spacing w:after="0" w:line="112" w:lineRule="exact"/>
        <w:rPr>
          <w:sz w:val="20"/>
          <w:szCs w:val="20"/>
          <w:color w:val="auto"/>
        </w:rPr>
      </w:pPr>
    </w:p>
    <w:p>
      <w:pPr>
        <w:ind w:left="314"/>
        <w:spacing w:after="0"/>
        <w:rPr>
          <w:sz w:val="20"/>
          <w:szCs w:val="20"/>
          <w:color w:val="auto"/>
        </w:rPr>
      </w:pPr>
      <w:r>
        <w:rPr>
          <w:rFonts w:ascii="Arial" w:cs="Arial" w:eastAsia="Arial" w:hAnsi="Arial"/>
          <w:sz w:val="13"/>
          <w:szCs w:val="13"/>
          <w:color w:val="auto"/>
        </w:rPr>
        <w:t>Management Limited is owned by Softbank Group Corp. The principal business address of SB Northstar LP is 190 Elgin Avenue, George Town, Grand Cayman KY1-9008, Cayman Islands.</w:t>
      </w:r>
    </w:p>
    <w:p>
      <w:pPr>
        <w:spacing w:after="0" w:line="22" w:lineRule="exact"/>
        <w:rPr>
          <w:sz w:val="20"/>
          <w:szCs w:val="20"/>
          <w:color w:val="auto"/>
        </w:rPr>
      </w:pPr>
    </w:p>
    <w:p>
      <w:pPr>
        <w:ind w:left="314" w:right="320" w:hanging="314"/>
        <w:spacing w:after="0" w:line="255" w:lineRule="auto"/>
        <w:tabs>
          <w:tab w:leader="none" w:pos="311" w:val="left"/>
        </w:tabs>
        <w:numPr>
          <w:ilvl w:val="0"/>
          <w:numId w:val="88"/>
        </w:numPr>
        <w:rPr>
          <w:rFonts w:ascii="Arial" w:cs="Arial" w:eastAsia="Arial" w:hAnsi="Arial"/>
          <w:sz w:val="13"/>
          <w:szCs w:val="13"/>
          <w:color w:val="auto"/>
        </w:rPr>
      </w:pPr>
      <w:r>
        <w:rPr>
          <w:rFonts w:ascii="Arial" w:cs="Arial" w:eastAsia="Arial" w:hAnsi="Arial"/>
          <w:sz w:val="13"/>
          <w:szCs w:val="13"/>
          <w:color w:val="auto"/>
        </w:rPr>
        <w:t>Shares hereby offered consist of 666,431 PIPE Shares held by T. Rowe Price Health Sciences Fund (“T. Rowe Health Sciences Fund”), 53,808 PIPE Shares held by TD Mutual Funds - TD Health Sciences Fund (“TD Health Sciences Fund”) and 29,761 PIPE Shares held by T. Rowe Price Health Sciences Portfolio (“T. Rowe Health Sciences Portfolio”).</w:t>
      </w:r>
    </w:p>
    <w:p>
      <w:pPr>
        <w:ind w:left="314" w:hanging="314"/>
        <w:spacing w:after="0" w:line="237" w:lineRule="auto"/>
        <w:tabs>
          <w:tab w:leader="none" w:pos="311" w:val="left"/>
        </w:tabs>
        <w:numPr>
          <w:ilvl w:val="0"/>
          <w:numId w:val="88"/>
        </w:numPr>
        <w:rPr>
          <w:rFonts w:ascii="Arial" w:cs="Arial" w:eastAsia="Arial" w:hAnsi="Arial"/>
          <w:sz w:val="14"/>
          <w:szCs w:val="14"/>
          <w:color w:val="auto"/>
        </w:rPr>
      </w:pPr>
      <w:r>
        <w:rPr>
          <w:rFonts w:ascii="Arial" w:cs="Arial" w:eastAsia="Arial" w:hAnsi="Arial"/>
          <w:sz w:val="14"/>
          <w:szCs w:val="14"/>
          <w:color w:val="auto"/>
        </w:rPr>
        <w:t>Shares hereby offered consist of 1,500,000 PIPE Shares held by Third Point Loan LLC. (“TP Loan”). TP Loan holds the securities listed herein as nominee for funds managed and/or advised by Third Point LLC (Third Point”) and not in its individual capacity. Daniel S. Loeb is the Chief Executive Officer of Third Point. By reason of the provisions of Rule 13d-3 under the Securities Exchange Act of 1934, as amended, Third Point and Mr. Loeb may be deemed to be the beneficial owners of the securities beneficially owned by TP Loan. Third Point and Mr. Loeb hereby disclaim beneficial ownership of all such securities, except to the extent of any indirect pecuniary interest therein. The business address for Mr. Loeb and the entities identified in this footnote is c/o Third Point LLC, 55 Hudson Yards, 51st Floor, New York, NY 10001.</w:t>
      </w:r>
    </w:p>
    <w:p>
      <w:pPr>
        <w:ind w:left="314" w:hanging="314"/>
        <w:spacing w:after="0" w:line="237" w:lineRule="auto"/>
        <w:tabs>
          <w:tab w:leader="none" w:pos="314" w:val="left"/>
        </w:tabs>
        <w:numPr>
          <w:ilvl w:val="0"/>
          <w:numId w:val="88"/>
        </w:numPr>
        <w:rPr>
          <w:rFonts w:ascii="Arial" w:cs="Arial" w:eastAsia="Arial" w:hAnsi="Arial"/>
          <w:sz w:val="14"/>
          <w:szCs w:val="14"/>
          <w:color w:val="auto"/>
        </w:rPr>
      </w:pPr>
      <w:r>
        <w:rPr>
          <w:rFonts w:ascii="Arial" w:cs="Arial" w:eastAsia="Arial" w:hAnsi="Arial"/>
          <w:sz w:val="14"/>
          <w:szCs w:val="14"/>
          <w:color w:val="auto"/>
        </w:rPr>
        <w:t>Shares hereby offered consist of 300,000 PIPE Shares held by TBC 222 LLC.</w:t>
      </w:r>
    </w:p>
    <w:p>
      <w:pPr>
        <w:ind w:left="314" w:hanging="314"/>
        <w:spacing w:after="0" w:line="237" w:lineRule="auto"/>
        <w:tabs>
          <w:tab w:leader="none" w:pos="314" w:val="left"/>
        </w:tabs>
        <w:numPr>
          <w:ilvl w:val="0"/>
          <w:numId w:val="88"/>
        </w:numPr>
        <w:rPr>
          <w:rFonts w:ascii="Arial" w:cs="Arial" w:eastAsia="Arial" w:hAnsi="Arial"/>
          <w:sz w:val="14"/>
          <w:szCs w:val="14"/>
          <w:color w:val="auto"/>
        </w:rPr>
      </w:pPr>
      <w:r>
        <w:rPr>
          <w:rFonts w:ascii="Arial" w:cs="Arial" w:eastAsia="Arial" w:hAnsi="Arial"/>
          <w:sz w:val="14"/>
          <w:szCs w:val="14"/>
          <w:color w:val="auto"/>
        </w:rPr>
        <w:t>Shares hereby offered consist of 300,000 PIPE Shares held by GCT Investment Holdings LLC.</w:t>
      </w:r>
    </w:p>
    <w:p>
      <w:pPr>
        <w:ind w:left="314" w:right="60" w:hanging="314"/>
        <w:spacing w:after="0" w:line="237" w:lineRule="auto"/>
        <w:tabs>
          <w:tab w:leader="none" w:pos="311" w:val="left"/>
        </w:tabs>
        <w:numPr>
          <w:ilvl w:val="0"/>
          <w:numId w:val="88"/>
        </w:numPr>
        <w:rPr>
          <w:rFonts w:ascii="Arial" w:cs="Arial" w:eastAsia="Arial" w:hAnsi="Arial"/>
          <w:sz w:val="14"/>
          <w:szCs w:val="14"/>
          <w:color w:val="auto"/>
        </w:rPr>
      </w:pPr>
      <w:r>
        <w:rPr>
          <w:rFonts w:ascii="Arial" w:cs="Arial" w:eastAsia="Arial" w:hAnsi="Arial"/>
          <w:sz w:val="14"/>
          <w:szCs w:val="14"/>
          <w:color w:val="auto"/>
        </w:rPr>
        <w:t>Shares hereby offered consist of 2,187,500 PIPE Shares held by Viking Global Equities Master Ltd. (“VGEM”), 44,643 PIPE Shares held by Viking Global Equities II LP (“VGE II”) and 767,857 PIPE Shares held by Viking Long Fund Master Ltd. (“VLFM” and together with VGEM and VGE II, the “Viking Funds”). O. Andreas Halvorsen, David C. Ott and Rose S. Shabet are Executive Committee members of certain management entities, including Viking Global Partners LLC, the general partner of Viking Global Investors LP (“VGI”), Viking Global Performance LLC (“VGP”) and Viking Long Fund GP LLC (“VLFGP”). VGI provides managerial services to various investment funds, including each of the Viking Funds. VGP serves as the investment manager of VGEM and is the general partner of VGE II. VLFGP serves as the investment manager of VLFM. Each of the Viking Funds, VGI, VGP, VLFGP, Mr. Halvorsen, Mr. Ott and Ms. Shabet may be deemed to beneficially own the shares reported in this prospectus.</w:t>
      </w:r>
    </w:p>
    <w:p>
      <w:pPr>
        <w:ind w:left="314" w:right="40" w:hanging="314"/>
        <w:spacing w:after="0" w:line="255" w:lineRule="auto"/>
        <w:tabs>
          <w:tab w:leader="none" w:pos="311" w:val="left"/>
        </w:tabs>
        <w:numPr>
          <w:ilvl w:val="0"/>
          <w:numId w:val="88"/>
        </w:numPr>
        <w:rPr>
          <w:rFonts w:ascii="Arial" w:cs="Arial" w:eastAsia="Arial" w:hAnsi="Arial"/>
          <w:sz w:val="13"/>
          <w:szCs w:val="13"/>
          <w:color w:val="auto"/>
        </w:rPr>
      </w:pPr>
      <w:r>
        <w:rPr>
          <w:rFonts w:ascii="Arial" w:cs="Arial" w:eastAsia="Arial" w:hAnsi="Arial"/>
          <w:sz w:val="13"/>
          <w:szCs w:val="13"/>
          <w:color w:val="auto"/>
        </w:rPr>
        <w:t>Shares hereby offered consist of 88,355,473 Sema4 Holder Shares and 11,597,198 Earn-out Shares (consisting of 9,957,284 Allocated Earn-Out Shares and 1,639,914 Reallocated Earn-Out Shares). The shares are held by ISMMS, a New York Education Corporation. The responsibility and authority for the voting and investment decisions with respect to the shares held by ISMMS is vested in those persons who from time to time are the executive officers of ISMMS under the oversight and direction of its board of directors and its sole member, Mount Sinai Health System, Inc., a New York Not-for-Profit Corporation. The address for Icahn School of Medicine at Mount Sinai is One Gustave L. Levy Place, New York, New York 10029.</w:t>
      </w:r>
    </w:p>
    <w:p>
      <w:pPr>
        <w:ind w:left="314" w:right="160" w:hanging="314"/>
        <w:spacing w:after="0" w:line="237" w:lineRule="auto"/>
        <w:tabs>
          <w:tab w:leader="none" w:pos="311" w:val="left"/>
        </w:tabs>
        <w:numPr>
          <w:ilvl w:val="0"/>
          <w:numId w:val="88"/>
        </w:numPr>
        <w:rPr>
          <w:rFonts w:ascii="Arial" w:cs="Arial" w:eastAsia="Arial" w:hAnsi="Arial"/>
          <w:sz w:val="14"/>
          <w:szCs w:val="14"/>
          <w:color w:val="auto"/>
        </w:rPr>
      </w:pPr>
      <w:r>
        <w:rPr>
          <w:rFonts w:ascii="Arial" w:cs="Arial" w:eastAsia="Arial" w:hAnsi="Arial"/>
          <w:sz w:val="14"/>
          <w:szCs w:val="14"/>
          <w:color w:val="auto"/>
        </w:rPr>
        <w:t>Shares hereby offered consist of 24,404,324 Sema4 Holder Shares and 3,203,218 Earn-out Shares (consisting of 2,750,264 Allocated Earn-Out Shares and 452,954 Reallocated Earn-Out Shares) held by BTO Sema4 Holdings L.P. (“BTO Sema4 Holdings”), 505,095 Sema4 Holder Shares and 66,297 Earn-out Shares (consisting of 56,922 Allocated Earn-Out Shares and 9,375 Reallocated Earn-Out Shares) held by Blackstone Tactical Opportunities Fund - FD L.P. (“Blackstone Opportunities Fund”) and 147,574 Sema4 Holder Shares and 19,371 Earn-out Shares (consisting of 16,632 Allocated Earn-Out Shares and 2,739 Reallocated Earn-Out Shares) held by Blackstone Family Tactical Opportunities Investment Partnership III ESC L.P. (“Blackstone Opportunities Partnership”).</w:t>
      </w:r>
    </w:p>
    <w:p>
      <w:pPr>
        <w:ind w:left="314" w:hanging="314"/>
        <w:spacing w:after="0"/>
        <w:tabs>
          <w:tab w:leader="none" w:pos="314" w:val="left"/>
        </w:tabs>
        <w:numPr>
          <w:ilvl w:val="0"/>
          <w:numId w:val="88"/>
        </w:numPr>
        <w:rPr>
          <w:rFonts w:ascii="Arial" w:cs="Arial" w:eastAsia="Arial" w:hAnsi="Arial"/>
          <w:sz w:val="12"/>
          <w:szCs w:val="12"/>
          <w:color w:val="auto"/>
        </w:rPr>
      </w:pPr>
      <w:r>
        <w:rPr>
          <w:rFonts w:ascii="Arial" w:cs="Arial" w:eastAsia="Arial" w:hAnsi="Arial"/>
          <w:sz w:val="12"/>
          <w:szCs w:val="12"/>
          <w:color w:val="auto"/>
        </w:rPr>
        <w:t>Shares hereby offered consist of 7,449,227 Sema4 Holder Shares and 819,416 Earn-out Shares (consisting of 703,545 Allocated Earn-Out Shares and 115,871 Reallocated Earn-Out Shares).</w:t>
      </w:r>
    </w:p>
    <w:p>
      <w:pPr>
        <w:spacing w:after="0" w:line="21" w:lineRule="exact"/>
        <w:rPr>
          <w:rFonts w:ascii="Arial" w:cs="Arial" w:eastAsia="Arial" w:hAnsi="Arial"/>
          <w:sz w:val="12"/>
          <w:szCs w:val="12"/>
          <w:color w:val="auto"/>
        </w:rPr>
      </w:pPr>
    </w:p>
    <w:p>
      <w:pPr>
        <w:ind w:left="314" w:hanging="314"/>
        <w:spacing w:after="0"/>
        <w:tabs>
          <w:tab w:leader="none" w:pos="314" w:val="left"/>
        </w:tabs>
        <w:numPr>
          <w:ilvl w:val="0"/>
          <w:numId w:val="88"/>
        </w:numPr>
        <w:rPr>
          <w:rFonts w:ascii="Arial" w:cs="Arial" w:eastAsia="Arial" w:hAnsi="Arial"/>
          <w:sz w:val="12"/>
          <w:szCs w:val="12"/>
          <w:color w:val="auto"/>
        </w:rPr>
      </w:pPr>
      <w:r>
        <w:rPr>
          <w:rFonts w:ascii="Arial" w:cs="Arial" w:eastAsia="Arial" w:hAnsi="Arial"/>
          <w:sz w:val="12"/>
          <w:szCs w:val="12"/>
          <w:color w:val="auto"/>
        </w:rPr>
        <w:t>Shares hereby offered consist of 5,571,207 Sema4 Holder Shares and 731,255 Earn-Out Shares (consisting of 627,851 Allocated Earn-Out Shares and 103,404 Reallocated Earn-Out Shares).</w:t>
      </w:r>
    </w:p>
    <w:p>
      <w:pPr>
        <w:spacing w:after="0" w:line="21" w:lineRule="exact"/>
        <w:rPr>
          <w:rFonts w:ascii="Arial" w:cs="Arial" w:eastAsia="Arial" w:hAnsi="Arial"/>
          <w:sz w:val="12"/>
          <w:szCs w:val="12"/>
          <w:color w:val="auto"/>
        </w:rPr>
      </w:pPr>
    </w:p>
    <w:p>
      <w:pPr>
        <w:ind w:left="314" w:hanging="314"/>
        <w:spacing w:after="0"/>
        <w:tabs>
          <w:tab w:leader="none" w:pos="314" w:val="left"/>
        </w:tabs>
        <w:numPr>
          <w:ilvl w:val="0"/>
          <w:numId w:val="88"/>
        </w:numPr>
        <w:rPr>
          <w:rFonts w:ascii="Arial" w:cs="Arial" w:eastAsia="Arial" w:hAnsi="Arial"/>
          <w:sz w:val="12"/>
          <w:szCs w:val="12"/>
          <w:color w:val="auto"/>
        </w:rPr>
      </w:pPr>
      <w:r>
        <w:rPr>
          <w:rFonts w:ascii="Arial" w:cs="Arial" w:eastAsia="Arial" w:hAnsi="Arial"/>
          <w:sz w:val="12"/>
          <w:szCs w:val="12"/>
          <w:color w:val="auto"/>
        </w:rPr>
        <w:t>Shares hereby offered consist of 3,418,929 Sema4 Holder Shares and 376,083 Earn-out Shares (consisting of 322,902 Allocated Earn-Out Shares and 53,181 Reallocated Earn-Out Shares).</w:t>
      </w:r>
    </w:p>
    <w:p>
      <w:pPr>
        <w:spacing w:after="0" w:line="21" w:lineRule="exact"/>
        <w:rPr>
          <w:rFonts w:ascii="Arial" w:cs="Arial" w:eastAsia="Arial" w:hAnsi="Arial"/>
          <w:sz w:val="12"/>
          <w:szCs w:val="12"/>
          <w:color w:val="auto"/>
        </w:rPr>
      </w:pPr>
    </w:p>
    <w:p>
      <w:pPr>
        <w:ind w:left="314" w:hanging="314"/>
        <w:spacing w:after="0"/>
        <w:tabs>
          <w:tab w:leader="none" w:pos="314" w:val="left"/>
        </w:tabs>
        <w:numPr>
          <w:ilvl w:val="0"/>
          <w:numId w:val="88"/>
        </w:numPr>
        <w:rPr>
          <w:rFonts w:ascii="Arial" w:cs="Arial" w:eastAsia="Arial" w:hAnsi="Arial"/>
          <w:sz w:val="13"/>
          <w:szCs w:val="13"/>
          <w:color w:val="auto"/>
        </w:rPr>
      </w:pPr>
      <w:r>
        <w:rPr>
          <w:rFonts w:ascii="Arial" w:cs="Arial" w:eastAsia="Arial" w:hAnsi="Arial"/>
          <w:sz w:val="13"/>
          <w:szCs w:val="13"/>
          <w:color w:val="auto"/>
        </w:rPr>
        <w:t>Shares hereby offered consist of 530,380 Sema4 Holder Shares and 58,342 Earn-out Shares (consisting of 50,093 Allocated Earn-Out Shares and 8,249 Reallocated Earn-Out Shares).</w:t>
      </w:r>
    </w:p>
    <w:p>
      <w:pPr>
        <w:spacing w:after="0" w:line="9" w:lineRule="exact"/>
        <w:rPr>
          <w:rFonts w:ascii="Arial" w:cs="Arial" w:eastAsia="Arial" w:hAnsi="Arial"/>
          <w:sz w:val="13"/>
          <w:szCs w:val="13"/>
          <w:color w:val="auto"/>
        </w:rPr>
      </w:pPr>
    </w:p>
    <w:p>
      <w:pPr>
        <w:ind w:left="314" w:hanging="314"/>
        <w:spacing w:after="0"/>
        <w:tabs>
          <w:tab w:leader="none" w:pos="314" w:val="left"/>
        </w:tabs>
        <w:numPr>
          <w:ilvl w:val="0"/>
          <w:numId w:val="88"/>
        </w:numPr>
        <w:rPr>
          <w:rFonts w:ascii="Arial" w:cs="Arial" w:eastAsia="Arial" w:hAnsi="Arial"/>
          <w:sz w:val="13"/>
          <w:szCs w:val="13"/>
          <w:color w:val="auto"/>
        </w:rPr>
      </w:pPr>
      <w:r>
        <w:rPr>
          <w:rFonts w:ascii="Arial" w:cs="Arial" w:eastAsia="Arial" w:hAnsi="Arial"/>
          <w:sz w:val="13"/>
          <w:szCs w:val="13"/>
          <w:color w:val="auto"/>
        </w:rPr>
        <w:t>Shares hereby offered consist of 681,043 Sema4 Holder Shares and 74,914 Earn-out Shares (consisting of 64,321 Allocated Earn-Out Shares and 10,593 Reallocated Earn-Out Shares).</w:t>
      </w:r>
    </w:p>
    <w:p>
      <w:pPr>
        <w:spacing w:after="0" w:line="9" w:lineRule="exact"/>
        <w:rPr>
          <w:rFonts w:ascii="Arial" w:cs="Arial" w:eastAsia="Arial" w:hAnsi="Arial"/>
          <w:sz w:val="13"/>
          <w:szCs w:val="13"/>
          <w:color w:val="auto"/>
        </w:rPr>
      </w:pPr>
    </w:p>
    <w:p>
      <w:pPr>
        <w:ind w:left="314" w:hanging="314"/>
        <w:spacing w:after="0"/>
        <w:tabs>
          <w:tab w:leader="none" w:pos="314" w:val="left"/>
        </w:tabs>
        <w:numPr>
          <w:ilvl w:val="0"/>
          <w:numId w:val="88"/>
        </w:numPr>
        <w:rPr>
          <w:rFonts w:ascii="Arial" w:cs="Arial" w:eastAsia="Arial" w:hAnsi="Arial"/>
          <w:sz w:val="13"/>
          <w:szCs w:val="13"/>
          <w:color w:val="auto"/>
        </w:rPr>
      </w:pPr>
      <w:r>
        <w:rPr>
          <w:rFonts w:ascii="Arial" w:cs="Arial" w:eastAsia="Arial" w:hAnsi="Arial"/>
          <w:sz w:val="13"/>
          <w:szCs w:val="13"/>
          <w:color w:val="auto"/>
        </w:rPr>
        <w:t>Shares hereby offered consist of 51,172 Sema4 Holder Shares and 6,495 Earn-out Shares (consisting of 5,578 Allocated Earn-Out Shares and 917 Reallocated Earn-Out Shares).</w:t>
      </w:r>
    </w:p>
    <w:p>
      <w:pPr>
        <w:spacing w:after="0" w:line="9" w:lineRule="exact"/>
        <w:rPr>
          <w:rFonts w:ascii="Arial" w:cs="Arial" w:eastAsia="Arial" w:hAnsi="Arial"/>
          <w:sz w:val="13"/>
          <w:szCs w:val="13"/>
          <w:color w:val="auto"/>
        </w:rPr>
      </w:pPr>
    </w:p>
    <w:p>
      <w:pPr>
        <w:ind w:left="314" w:hanging="314"/>
        <w:spacing w:after="0" w:line="237" w:lineRule="auto"/>
        <w:tabs>
          <w:tab w:leader="none" w:pos="314" w:val="left"/>
        </w:tabs>
        <w:numPr>
          <w:ilvl w:val="0"/>
          <w:numId w:val="88"/>
        </w:numPr>
        <w:rPr>
          <w:rFonts w:ascii="Arial" w:cs="Arial" w:eastAsia="Arial" w:hAnsi="Arial"/>
          <w:sz w:val="14"/>
          <w:szCs w:val="14"/>
          <w:color w:val="auto"/>
        </w:rPr>
      </w:pPr>
      <w:r>
        <w:rPr>
          <w:rFonts w:ascii="Arial" w:cs="Arial" w:eastAsia="Arial" w:hAnsi="Arial"/>
          <w:sz w:val="14"/>
          <w:szCs w:val="14"/>
          <w:color w:val="auto"/>
        </w:rPr>
        <w:t>Shares hereby offered consist of 5,572 Sema4 Holder Shares and 614 Earn-out Shares (consisting of 527 Allocated Earn-Out Shares and 87 Reallocated Earn-Out Shares).</w:t>
      </w:r>
    </w:p>
    <w:p>
      <w:pPr>
        <w:ind w:left="314" w:hanging="314"/>
        <w:spacing w:after="0"/>
        <w:tabs>
          <w:tab w:leader="none" w:pos="314" w:val="left"/>
        </w:tabs>
        <w:numPr>
          <w:ilvl w:val="0"/>
          <w:numId w:val="88"/>
        </w:numPr>
        <w:rPr>
          <w:rFonts w:ascii="Arial" w:cs="Arial" w:eastAsia="Arial" w:hAnsi="Arial"/>
          <w:sz w:val="12"/>
          <w:szCs w:val="12"/>
          <w:color w:val="auto"/>
        </w:rPr>
      </w:pPr>
      <w:r>
        <w:rPr>
          <w:rFonts w:ascii="Arial" w:cs="Arial" w:eastAsia="Arial" w:hAnsi="Arial"/>
          <w:sz w:val="12"/>
          <w:szCs w:val="12"/>
          <w:color w:val="auto"/>
        </w:rPr>
        <w:t>Shares hereby offered consist of 3,869 Sema4 Holder Shares and 426 Earn-out Shares Earn-Out Shares (consisting of 366 Allocated Earn-Out Shares and 60 Reallocated Earn-Out Shares).</w:t>
      </w:r>
    </w:p>
    <w:p>
      <w:pPr>
        <w:spacing w:after="0" w:line="21" w:lineRule="exact"/>
        <w:rPr>
          <w:rFonts w:ascii="Arial" w:cs="Arial" w:eastAsia="Arial" w:hAnsi="Arial"/>
          <w:sz w:val="12"/>
          <w:szCs w:val="12"/>
          <w:color w:val="auto"/>
        </w:rPr>
      </w:pPr>
    </w:p>
    <w:p>
      <w:pPr>
        <w:ind w:left="314" w:hanging="314"/>
        <w:spacing w:after="0"/>
        <w:tabs>
          <w:tab w:leader="none" w:pos="314" w:val="left"/>
        </w:tabs>
        <w:numPr>
          <w:ilvl w:val="0"/>
          <w:numId w:val="88"/>
        </w:numPr>
        <w:rPr>
          <w:rFonts w:ascii="Arial" w:cs="Arial" w:eastAsia="Arial" w:hAnsi="Arial"/>
          <w:sz w:val="12"/>
          <w:szCs w:val="12"/>
          <w:color w:val="auto"/>
        </w:rPr>
      </w:pPr>
      <w:r>
        <w:rPr>
          <w:rFonts w:ascii="Arial" w:cs="Arial" w:eastAsia="Arial" w:hAnsi="Arial"/>
          <w:sz w:val="12"/>
          <w:szCs w:val="12"/>
          <w:color w:val="auto"/>
        </w:rPr>
        <w:t>Shares hereby offered consist of 9,470 Sema4 Holder Shares and 1,043 Earn-out Shares Earn-Out Shares (consisting of 894 Allocated Earn-Out Shares and 149 Reallocated Earn-Out Shares).</w:t>
      </w:r>
    </w:p>
    <w:p>
      <w:pPr>
        <w:spacing w:after="0" w:line="21" w:lineRule="exact"/>
        <w:rPr>
          <w:rFonts w:ascii="Arial" w:cs="Arial" w:eastAsia="Arial" w:hAnsi="Arial"/>
          <w:sz w:val="12"/>
          <w:szCs w:val="12"/>
          <w:color w:val="auto"/>
        </w:rPr>
      </w:pPr>
    </w:p>
    <w:p>
      <w:pPr>
        <w:ind w:left="314" w:hanging="314"/>
        <w:spacing w:after="0"/>
        <w:tabs>
          <w:tab w:leader="none" w:pos="314" w:val="left"/>
        </w:tabs>
        <w:numPr>
          <w:ilvl w:val="0"/>
          <w:numId w:val="88"/>
        </w:numPr>
        <w:rPr>
          <w:rFonts w:ascii="Arial" w:cs="Arial" w:eastAsia="Arial" w:hAnsi="Arial"/>
          <w:sz w:val="13"/>
          <w:szCs w:val="13"/>
          <w:color w:val="auto"/>
        </w:rPr>
      </w:pPr>
      <w:r>
        <w:rPr>
          <w:rFonts w:ascii="Arial" w:cs="Arial" w:eastAsia="Arial" w:hAnsi="Arial"/>
          <w:sz w:val="13"/>
          <w:szCs w:val="13"/>
          <w:color w:val="auto"/>
        </w:rPr>
        <w:t>Shares hereby offered consist of 34,965 Sema4 Holder Shares and 3,846 Earn-out Shares (consisting of 3,303 Allocated Earn-Out Shares and 543 Reallocated Earn-Out Shares).</w:t>
      </w:r>
    </w:p>
    <w:p>
      <w:pPr>
        <w:spacing w:after="0" w:line="9" w:lineRule="exact"/>
        <w:rPr>
          <w:rFonts w:ascii="Arial" w:cs="Arial" w:eastAsia="Arial" w:hAnsi="Arial"/>
          <w:sz w:val="13"/>
          <w:szCs w:val="13"/>
          <w:color w:val="auto"/>
        </w:rPr>
      </w:pPr>
    </w:p>
    <w:p>
      <w:pPr>
        <w:ind w:left="314" w:right="140" w:hanging="314"/>
        <w:spacing w:after="0" w:line="237" w:lineRule="auto"/>
        <w:tabs>
          <w:tab w:leader="none" w:pos="311" w:val="left"/>
        </w:tabs>
        <w:numPr>
          <w:ilvl w:val="0"/>
          <w:numId w:val="88"/>
        </w:numPr>
        <w:rPr>
          <w:rFonts w:ascii="Arial" w:cs="Arial" w:eastAsia="Arial" w:hAnsi="Arial"/>
          <w:sz w:val="14"/>
          <w:szCs w:val="14"/>
          <w:color w:val="auto"/>
        </w:rPr>
      </w:pPr>
      <w:r>
        <w:rPr>
          <w:rFonts w:ascii="Arial" w:cs="Arial" w:eastAsia="Arial" w:hAnsi="Arial"/>
          <w:sz w:val="14"/>
          <w:szCs w:val="14"/>
          <w:color w:val="auto"/>
        </w:rPr>
        <w:t>Shares hereby offered consist of 146,512 Sema4 Holder Shares and 19,231 Earn-out Shares Earn-Out Shares (consisting of 16,512 Allocated Earn-Out Shares and 2,719 Reallocated Earn-Out Shares).</w:t>
      </w:r>
    </w:p>
    <w:p>
      <w:pPr>
        <w:ind w:left="314" w:hanging="314"/>
        <w:spacing w:after="0"/>
        <w:tabs>
          <w:tab w:leader="none" w:pos="314" w:val="left"/>
        </w:tabs>
        <w:numPr>
          <w:ilvl w:val="0"/>
          <w:numId w:val="88"/>
        </w:numPr>
        <w:rPr>
          <w:rFonts w:ascii="Arial" w:cs="Arial" w:eastAsia="Arial" w:hAnsi="Arial"/>
          <w:sz w:val="13"/>
          <w:szCs w:val="13"/>
          <w:color w:val="auto"/>
        </w:rPr>
      </w:pPr>
      <w:r>
        <w:rPr>
          <w:rFonts w:ascii="Arial" w:cs="Arial" w:eastAsia="Arial" w:hAnsi="Arial"/>
          <w:sz w:val="13"/>
          <w:szCs w:val="13"/>
          <w:color w:val="auto"/>
        </w:rPr>
        <w:t>Shares hereby offered consist of 12,073 Sema4 Holder Shares and 1,328 Earn-out Shares (consisting of 1,139 Allocated Earn-Out Shares and 189 Reallocated Earn-Out Shares).</w:t>
      </w:r>
    </w:p>
    <w:p>
      <w:pPr>
        <w:spacing w:after="0" w:line="9" w:lineRule="exact"/>
        <w:rPr>
          <w:rFonts w:ascii="Arial" w:cs="Arial" w:eastAsia="Arial" w:hAnsi="Arial"/>
          <w:sz w:val="13"/>
          <w:szCs w:val="13"/>
          <w:color w:val="auto"/>
        </w:rPr>
      </w:pPr>
    </w:p>
    <w:p>
      <w:pPr>
        <w:ind w:left="314" w:hanging="314"/>
        <w:spacing w:after="0" w:line="237" w:lineRule="auto"/>
        <w:tabs>
          <w:tab w:leader="none" w:pos="314" w:val="left"/>
        </w:tabs>
        <w:numPr>
          <w:ilvl w:val="0"/>
          <w:numId w:val="88"/>
        </w:numPr>
        <w:rPr>
          <w:rFonts w:ascii="Arial" w:cs="Arial" w:eastAsia="Arial" w:hAnsi="Arial"/>
          <w:sz w:val="14"/>
          <w:szCs w:val="14"/>
          <w:color w:val="auto"/>
        </w:rPr>
      </w:pPr>
      <w:r>
        <w:rPr>
          <w:rFonts w:ascii="Arial" w:cs="Arial" w:eastAsia="Arial" w:hAnsi="Arial"/>
          <w:sz w:val="14"/>
          <w:szCs w:val="14"/>
          <w:color w:val="auto"/>
        </w:rPr>
        <w:t>Shares hereby offered consist of 8,049 Sema4 Holder Shares and 885 Earn-out Shares (consisting of 761 Allocated Earn-Out Shares and 124 Reallocated Earn-Out Shares).</w:t>
      </w:r>
    </w:p>
    <w:p>
      <w:pPr>
        <w:ind w:left="314" w:hanging="314"/>
        <w:spacing w:after="0" w:line="237" w:lineRule="auto"/>
        <w:tabs>
          <w:tab w:leader="none" w:pos="314" w:val="left"/>
        </w:tabs>
        <w:numPr>
          <w:ilvl w:val="0"/>
          <w:numId w:val="88"/>
        </w:numPr>
        <w:rPr>
          <w:rFonts w:ascii="Arial" w:cs="Arial" w:eastAsia="Arial" w:hAnsi="Arial"/>
          <w:sz w:val="14"/>
          <w:szCs w:val="14"/>
          <w:color w:val="auto"/>
        </w:rPr>
      </w:pPr>
      <w:r>
        <w:rPr>
          <w:rFonts w:ascii="Arial" w:cs="Arial" w:eastAsia="Arial" w:hAnsi="Arial"/>
          <w:sz w:val="14"/>
          <w:szCs w:val="14"/>
          <w:color w:val="auto"/>
        </w:rPr>
        <w:t>Shares hereby offered consist of 580 Sema4 Holder Shares and 63 Earn-out Shares (consisting of 54 Allocated Earn-Out Shares and 9 Reallocated Earn-Out Shares).</w:t>
      </w:r>
    </w:p>
    <w:p>
      <w:pPr>
        <w:ind w:left="314" w:hanging="314"/>
        <w:spacing w:after="0"/>
        <w:tabs>
          <w:tab w:leader="none" w:pos="314" w:val="left"/>
        </w:tabs>
        <w:numPr>
          <w:ilvl w:val="0"/>
          <w:numId w:val="88"/>
        </w:numPr>
        <w:rPr>
          <w:rFonts w:ascii="Arial" w:cs="Arial" w:eastAsia="Arial" w:hAnsi="Arial"/>
          <w:sz w:val="12"/>
          <w:szCs w:val="12"/>
          <w:color w:val="auto"/>
        </w:rPr>
      </w:pPr>
      <w:r>
        <w:rPr>
          <w:rFonts w:ascii="Arial" w:cs="Arial" w:eastAsia="Arial" w:hAnsi="Arial"/>
          <w:sz w:val="12"/>
          <w:szCs w:val="12"/>
          <w:color w:val="auto"/>
        </w:rPr>
        <w:t>Shares hereby offered consist of 3,141 Sema4 Holder Shares and 345 Earn-out Shares Earn-Out Shares (consisting of 297 Allocated Earn-Out Shares and 48 Reallocated Earn-Out Shares).</w:t>
      </w:r>
    </w:p>
    <w:p>
      <w:pPr>
        <w:spacing w:after="0" w:line="21" w:lineRule="exact"/>
        <w:rPr>
          <w:rFonts w:ascii="Arial" w:cs="Arial" w:eastAsia="Arial" w:hAnsi="Arial"/>
          <w:sz w:val="12"/>
          <w:szCs w:val="12"/>
          <w:color w:val="auto"/>
        </w:rPr>
      </w:pPr>
    </w:p>
    <w:p>
      <w:pPr>
        <w:ind w:left="314" w:hanging="314"/>
        <w:spacing w:after="0"/>
        <w:tabs>
          <w:tab w:leader="none" w:pos="314" w:val="left"/>
        </w:tabs>
        <w:numPr>
          <w:ilvl w:val="0"/>
          <w:numId w:val="88"/>
        </w:numPr>
        <w:rPr>
          <w:rFonts w:ascii="Arial" w:cs="Arial" w:eastAsia="Arial" w:hAnsi="Arial"/>
          <w:sz w:val="13"/>
          <w:szCs w:val="13"/>
          <w:color w:val="auto"/>
        </w:rPr>
      </w:pPr>
      <w:r>
        <w:rPr>
          <w:rFonts w:ascii="Arial" w:cs="Arial" w:eastAsia="Arial" w:hAnsi="Arial"/>
          <w:sz w:val="13"/>
          <w:szCs w:val="13"/>
          <w:color w:val="auto"/>
        </w:rPr>
        <w:t>Shares hereby offered consist of 161,933 Sema4 Holder Shares and 21,254 Earn-out Shares (consisting of 18,250 Allocated Earn-Out Shares and 3,004 Reallocated Earn-Out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3"/>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34"/>
          </w:cols>
          <w:pgMar w:left="326" w:top="1440" w:right="339" w:bottom="1440" w:gutter="0" w:footer="0" w:header="0"/>
        </w:sectPr>
      </w:pPr>
    </w:p>
    <w:bookmarkStart w:id="164" w:name="page165"/>
    <w:bookmarkEnd w:id="164"/>
    <w:p>
      <w:pPr>
        <w:spacing w:after="0" w:line="113" w:lineRule="exact"/>
        <w:rPr>
          <w:sz w:val="20"/>
          <w:szCs w:val="20"/>
          <w:color w:val="auto"/>
        </w:rPr>
      </w:pPr>
    </w:p>
    <w:p>
      <w:pPr>
        <w:ind w:left="314" w:hanging="314"/>
        <w:spacing w:after="0"/>
        <w:tabs>
          <w:tab w:leader="none" w:pos="314" w:val="left"/>
        </w:tabs>
        <w:numPr>
          <w:ilvl w:val="0"/>
          <w:numId w:val="89"/>
        </w:numPr>
        <w:rPr>
          <w:rFonts w:ascii="Arial" w:cs="Arial" w:eastAsia="Arial" w:hAnsi="Arial"/>
          <w:sz w:val="14"/>
          <w:szCs w:val="14"/>
          <w:color w:val="auto"/>
        </w:rPr>
      </w:pPr>
      <w:r>
        <w:rPr>
          <w:rFonts w:ascii="Arial" w:cs="Arial" w:eastAsia="Arial" w:hAnsi="Arial"/>
          <w:sz w:val="14"/>
          <w:szCs w:val="14"/>
          <w:color w:val="auto"/>
        </w:rPr>
        <w:t>Shares hereby offered consist of 6,036 Sema4 Holder Shares and 665 Earn-out Shares (consisting of 570 Allocated Earn-Out Shares and 95 Reallocated Earn-Out Shares).</w:t>
      </w:r>
    </w:p>
    <w:p>
      <w:pPr>
        <w:spacing w:after="0" w:line="10" w:lineRule="exact"/>
        <w:rPr>
          <w:rFonts w:ascii="Arial" w:cs="Arial" w:eastAsia="Arial" w:hAnsi="Arial"/>
          <w:sz w:val="14"/>
          <w:szCs w:val="14"/>
          <w:color w:val="auto"/>
        </w:rPr>
      </w:pPr>
    </w:p>
    <w:p>
      <w:pPr>
        <w:ind w:left="314" w:hanging="314"/>
        <w:spacing w:after="0" w:line="237" w:lineRule="auto"/>
        <w:tabs>
          <w:tab w:leader="none" w:pos="314" w:val="left"/>
        </w:tabs>
        <w:numPr>
          <w:ilvl w:val="0"/>
          <w:numId w:val="89"/>
        </w:numPr>
        <w:rPr>
          <w:rFonts w:ascii="Arial" w:cs="Arial" w:eastAsia="Arial" w:hAnsi="Arial"/>
          <w:sz w:val="14"/>
          <w:szCs w:val="14"/>
          <w:color w:val="auto"/>
        </w:rPr>
      </w:pPr>
      <w:r>
        <w:rPr>
          <w:rFonts w:ascii="Arial" w:cs="Arial" w:eastAsia="Arial" w:hAnsi="Arial"/>
          <w:sz w:val="14"/>
          <w:szCs w:val="14"/>
          <w:color w:val="auto"/>
        </w:rPr>
        <w:t>Shares hereby offered consist of 773 Sema4 Holder Shares and 84 Earn-out Shares (consisting of 72 Allocated Earn-Out Shares and 12 Reallocated Earn-Out Shares).</w:t>
      </w:r>
    </w:p>
    <w:p>
      <w:pPr>
        <w:ind w:left="314" w:hanging="314"/>
        <w:spacing w:after="0" w:line="237" w:lineRule="auto"/>
        <w:tabs>
          <w:tab w:leader="none" w:pos="314" w:val="left"/>
        </w:tabs>
        <w:numPr>
          <w:ilvl w:val="0"/>
          <w:numId w:val="89"/>
        </w:numPr>
        <w:rPr>
          <w:rFonts w:ascii="Arial" w:cs="Arial" w:eastAsia="Arial" w:hAnsi="Arial"/>
          <w:sz w:val="14"/>
          <w:szCs w:val="14"/>
          <w:color w:val="auto"/>
        </w:rPr>
      </w:pPr>
      <w:r>
        <w:rPr>
          <w:rFonts w:ascii="Arial" w:cs="Arial" w:eastAsia="Arial" w:hAnsi="Arial"/>
          <w:sz w:val="14"/>
          <w:szCs w:val="14"/>
          <w:color w:val="auto"/>
        </w:rPr>
        <w:t>Shares hereby offered consist of 8,049 Sema4 Holder Shares and 885 Earn-out Shares (consisting of 761 Allocated Earn-Out Shares and 124 Reallocated Earn-Out Shares).</w:t>
      </w:r>
    </w:p>
    <w:p>
      <w:pPr>
        <w:ind w:left="314" w:hanging="314"/>
        <w:spacing w:after="0"/>
        <w:tabs>
          <w:tab w:leader="none" w:pos="314" w:val="left"/>
        </w:tabs>
        <w:numPr>
          <w:ilvl w:val="0"/>
          <w:numId w:val="89"/>
        </w:numPr>
        <w:rPr>
          <w:rFonts w:ascii="Arial" w:cs="Arial" w:eastAsia="Arial" w:hAnsi="Arial"/>
          <w:sz w:val="12"/>
          <w:szCs w:val="12"/>
          <w:color w:val="auto"/>
        </w:rPr>
      </w:pPr>
      <w:r>
        <w:rPr>
          <w:rFonts w:ascii="Arial" w:cs="Arial" w:eastAsia="Arial" w:hAnsi="Arial"/>
          <w:sz w:val="12"/>
          <w:szCs w:val="12"/>
          <w:color w:val="auto"/>
        </w:rPr>
        <w:t>Shares hereby offered consist of 4,334 Sema4 Holder Shares and 477 Earn-out Shares Earn-Out Shares (consisting of 410 Allocated Earn-Out Shares and 67 Reallocated Earn-Out Shares).</w:t>
      </w:r>
    </w:p>
    <w:p>
      <w:pPr>
        <w:spacing w:after="0" w:line="21" w:lineRule="exact"/>
        <w:rPr>
          <w:rFonts w:ascii="Arial" w:cs="Arial" w:eastAsia="Arial" w:hAnsi="Arial"/>
          <w:sz w:val="12"/>
          <w:szCs w:val="12"/>
          <w:color w:val="auto"/>
        </w:rPr>
      </w:pPr>
    </w:p>
    <w:p>
      <w:pPr>
        <w:ind w:left="314" w:hanging="314"/>
        <w:spacing w:after="0"/>
        <w:tabs>
          <w:tab w:leader="none" w:pos="314" w:val="left"/>
        </w:tabs>
        <w:numPr>
          <w:ilvl w:val="0"/>
          <w:numId w:val="89"/>
        </w:numPr>
        <w:rPr>
          <w:rFonts w:ascii="Arial" w:cs="Arial" w:eastAsia="Arial" w:hAnsi="Arial"/>
          <w:sz w:val="13"/>
          <w:szCs w:val="13"/>
          <w:color w:val="auto"/>
        </w:rPr>
      </w:pPr>
      <w:r>
        <w:rPr>
          <w:rFonts w:ascii="Arial" w:cs="Arial" w:eastAsia="Arial" w:hAnsi="Arial"/>
          <w:sz w:val="13"/>
          <w:szCs w:val="13"/>
          <w:color w:val="auto"/>
        </w:rPr>
        <w:t>Shares hereby offered consist of 12,383 Sema4 Holder Shares and 1,361 Earn-out Shares (consisting of 1,169 Allocated Earn-Out Shares and 192 Reallocated Earn-Out Shares).</w:t>
      </w:r>
    </w:p>
    <w:p>
      <w:pPr>
        <w:spacing w:after="0" w:line="9" w:lineRule="exact"/>
        <w:rPr>
          <w:rFonts w:ascii="Arial" w:cs="Arial" w:eastAsia="Arial" w:hAnsi="Arial"/>
          <w:sz w:val="13"/>
          <w:szCs w:val="13"/>
          <w:color w:val="auto"/>
        </w:rPr>
      </w:pPr>
    </w:p>
    <w:p>
      <w:pPr>
        <w:ind w:left="314" w:hanging="314"/>
        <w:spacing w:after="0"/>
        <w:tabs>
          <w:tab w:leader="none" w:pos="314" w:val="left"/>
        </w:tabs>
        <w:numPr>
          <w:ilvl w:val="0"/>
          <w:numId w:val="89"/>
        </w:numPr>
        <w:rPr>
          <w:rFonts w:ascii="Arial" w:cs="Arial" w:eastAsia="Arial" w:hAnsi="Arial"/>
          <w:sz w:val="12"/>
          <w:szCs w:val="12"/>
          <w:color w:val="auto"/>
        </w:rPr>
      </w:pPr>
      <w:r>
        <w:rPr>
          <w:rFonts w:ascii="Arial" w:cs="Arial" w:eastAsia="Arial" w:hAnsi="Arial"/>
          <w:sz w:val="12"/>
          <w:szCs w:val="12"/>
          <w:color w:val="auto"/>
        </w:rPr>
        <w:t>Shares hereby offered consist of 1,609 Sema4 Holder Shares and 177 Earn-out Shares Earn-Out Shares (consisting of 153 Allocated Earn-Out Shares and 24 Reallocated Earn-Out Shares).</w:t>
      </w:r>
    </w:p>
    <w:p>
      <w:pPr>
        <w:spacing w:after="0" w:line="21" w:lineRule="exact"/>
        <w:rPr>
          <w:rFonts w:ascii="Arial" w:cs="Arial" w:eastAsia="Arial" w:hAnsi="Arial"/>
          <w:sz w:val="12"/>
          <w:szCs w:val="12"/>
          <w:color w:val="auto"/>
        </w:rPr>
      </w:pPr>
    </w:p>
    <w:p>
      <w:pPr>
        <w:ind w:left="314" w:hanging="314"/>
        <w:spacing w:after="0" w:line="237" w:lineRule="auto"/>
        <w:tabs>
          <w:tab w:leader="none" w:pos="314" w:val="left"/>
        </w:tabs>
        <w:numPr>
          <w:ilvl w:val="0"/>
          <w:numId w:val="89"/>
        </w:numPr>
        <w:rPr>
          <w:rFonts w:ascii="Arial" w:cs="Arial" w:eastAsia="Arial" w:hAnsi="Arial"/>
          <w:sz w:val="14"/>
          <w:szCs w:val="14"/>
          <w:color w:val="auto"/>
        </w:rPr>
      </w:pPr>
      <w:r>
        <w:rPr>
          <w:rFonts w:ascii="Arial" w:cs="Arial" w:eastAsia="Arial" w:hAnsi="Arial"/>
          <w:sz w:val="14"/>
          <w:szCs w:val="14"/>
          <w:color w:val="auto"/>
        </w:rPr>
        <w:t>Shares hereby offered consist of 1,349 Sema4 Holder Shares and 177 Earn-out Shares (consisting of 153 Allocated Earn-Out Shares and 24 Reallocated Earn-Out Shares).</w:t>
      </w:r>
    </w:p>
    <w:p>
      <w:pPr>
        <w:ind w:left="314" w:hanging="314"/>
        <w:spacing w:after="0" w:line="237" w:lineRule="auto"/>
        <w:tabs>
          <w:tab w:leader="none" w:pos="314" w:val="left"/>
        </w:tabs>
        <w:numPr>
          <w:ilvl w:val="0"/>
          <w:numId w:val="89"/>
        </w:numPr>
        <w:rPr>
          <w:rFonts w:ascii="Arial" w:cs="Arial" w:eastAsia="Arial" w:hAnsi="Arial"/>
          <w:sz w:val="14"/>
          <w:szCs w:val="14"/>
          <w:color w:val="auto"/>
        </w:rPr>
      </w:pPr>
      <w:r>
        <w:rPr>
          <w:rFonts w:ascii="Arial" w:cs="Arial" w:eastAsia="Arial" w:hAnsi="Arial"/>
          <w:sz w:val="14"/>
          <w:szCs w:val="14"/>
          <w:color w:val="auto"/>
        </w:rPr>
        <w:t>Shares hereby offered consist of 1,609 Sema4 Holder Shares and 177 Earn-out Shares (consisting of 153 Allocated Earn-Out Shares and 24 Reallocated Earn-Out Shares).</w:t>
      </w:r>
    </w:p>
    <w:p>
      <w:pPr>
        <w:ind w:left="314" w:hanging="314"/>
        <w:spacing w:after="0"/>
        <w:tabs>
          <w:tab w:leader="none" w:pos="314" w:val="left"/>
        </w:tabs>
        <w:numPr>
          <w:ilvl w:val="0"/>
          <w:numId w:val="89"/>
        </w:numPr>
        <w:rPr>
          <w:rFonts w:ascii="Arial" w:cs="Arial" w:eastAsia="Arial" w:hAnsi="Arial"/>
          <w:sz w:val="12"/>
          <w:szCs w:val="12"/>
          <w:color w:val="auto"/>
        </w:rPr>
      </w:pPr>
      <w:r>
        <w:rPr>
          <w:rFonts w:ascii="Arial" w:cs="Arial" w:eastAsia="Arial" w:hAnsi="Arial"/>
          <w:sz w:val="12"/>
          <w:szCs w:val="12"/>
          <w:color w:val="auto"/>
        </w:rPr>
        <w:t>Shares hereby offered consist of 6,036 Sema4 Holder Shares and 665 Earn-out Shares Earn-Out Shares (consisting of 570 Allocated Earn-Out Shares and 95 Reallocated Earn-Out Shares).</w:t>
      </w:r>
    </w:p>
    <w:p>
      <w:pPr>
        <w:spacing w:after="0" w:line="21" w:lineRule="exact"/>
        <w:rPr>
          <w:rFonts w:ascii="Arial" w:cs="Arial" w:eastAsia="Arial" w:hAnsi="Arial"/>
          <w:sz w:val="12"/>
          <w:szCs w:val="12"/>
          <w:color w:val="auto"/>
        </w:rPr>
      </w:pPr>
    </w:p>
    <w:p>
      <w:pPr>
        <w:ind w:left="314" w:hanging="314"/>
        <w:spacing w:after="0" w:line="237" w:lineRule="auto"/>
        <w:tabs>
          <w:tab w:leader="none" w:pos="314" w:val="left"/>
        </w:tabs>
        <w:numPr>
          <w:ilvl w:val="0"/>
          <w:numId w:val="89"/>
        </w:numPr>
        <w:rPr>
          <w:rFonts w:ascii="Arial" w:cs="Arial" w:eastAsia="Arial" w:hAnsi="Arial"/>
          <w:sz w:val="14"/>
          <w:szCs w:val="14"/>
          <w:color w:val="auto"/>
        </w:rPr>
      </w:pPr>
      <w:r>
        <w:rPr>
          <w:rFonts w:ascii="Arial" w:cs="Arial" w:eastAsia="Arial" w:hAnsi="Arial"/>
          <w:sz w:val="14"/>
          <w:szCs w:val="14"/>
          <w:color w:val="auto"/>
        </w:rPr>
        <w:t>Shares hereby offered consist of 6,191 Sema4 Holder Shares and 681 Earn-out Shares (consisting of 585 Allocated Earn-Out Shares and 96 Reallocated Earn-Out Shares).</w:t>
      </w:r>
    </w:p>
    <w:p>
      <w:pPr>
        <w:ind w:left="314" w:hanging="314"/>
        <w:spacing w:after="0"/>
        <w:tabs>
          <w:tab w:leader="none" w:pos="314" w:val="left"/>
        </w:tabs>
        <w:numPr>
          <w:ilvl w:val="0"/>
          <w:numId w:val="89"/>
        </w:numPr>
        <w:rPr>
          <w:rFonts w:ascii="Arial" w:cs="Arial" w:eastAsia="Arial" w:hAnsi="Arial"/>
          <w:sz w:val="13"/>
          <w:szCs w:val="13"/>
          <w:color w:val="auto"/>
        </w:rPr>
      </w:pPr>
      <w:r>
        <w:rPr>
          <w:rFonts w:ascii="Arial" w:cs="Arial" w:eastAsia="Arial" w:hAnsi="Arial"/>
          <w:sz w:val="13"/>
          <w:szCs w:val="13"/>
          <w:color w:val="auto"/>
        </w:rPr>
        <w:t>Shares hereby offered consist of 34,049 Sema4 Holder Shares and 4,469 Earn-out Shares (consisting of 3,837 Allocated Earn-Out Shares and 632 Reallocated Earn-Out Shares).</w:t>
      </w:r>
    </w:p>
    <w:p>
      <w:pPr>
        <w:spacing w:after="0" w:line="9" w:lineRule="exact"/>
        <w:rPr>
          <w:rFonts w:ascii="Arial" w:cs="Arial" w:eastAsia="Arial" w:hAnsi="Arial"/>
          <w:sz w:val="13"/>
          <w:szCs w:val="13"/>
          <w:color w:val="auto"/>
        </w:rPr>
      </w:pPr>
    </w:p>
    <w:p>
      <w:pPr>
        <w:ind w:left="314" w:hanging="314"/>
        <w:spacing w:after="0" w:line="237" w:lineRule="auto"/>
        <w:tabs>
          <w:tab w:leader="none" w:pos="314" w:val="left"/>
        </w:tabs>
        <w:numPr>
          <w:ilvl w:val="0"/>
          <w:numId w:val="89"/>
        </w:numPr>
        <w:rPr>
          <w:rFonts w:ascii="Arial" w:cs="Arial" w:eastAsia="Arial" w:hAnsi="Arial"/>
          <w:sz w:val="14"/>
          <w:szCs w:val="14"/>
          <w:color w:val="auto"/>
        </w:rPr>
      </w:pPr>
      <w:r>
        <w:rPr>
          <w:rFonts w:ascii="Arial" w:cs="Arial" w:eastAsia="Arial" w:hAnsi="Arial"/>
          <w:sz w:val="14"/>
          <w:szCs w:val="14"/>
          <w:color w:val="auto"/>
        </w:rPr>
        <w:t>Shares hereby offered consist of 4,953 Sema4 Holder Shares and 545 Earn-out Shares (consisting of 468 Allocated Earn-Out Shares and 77 Reallocated Earn-Out Shares).</w:t>
      </w:r>
    </w:p>
    <w:p>
      <w:pPr>
        <w:ind w:left="314" w:hanging="314"/>
        <w:spacing w:after="0" w:line="237" w:lineRule="auto"/>
        <w:tabs>
          <w:tab w:leader="none" w:pos="314" w:val="left"/>
        </w:tabs>
        <w:numPr>
          <w:ilvl w:val="0"/>
          <w:numId w:val="89"/>
        </w:numPr>
        <w:rPr>
          <w:rFonts w:ascii="Arial" w:cs="Arial" w:eastAsia="Arial" w:hAnsi="Arial"/>
          <w:sz w:val="14"/>
          <w:szCs w:val="14"/>
          <w:color w:val="auto"/>
        </w:rPr>
      </w:pPr>
      <w:r>
        <w:rPr>
          <w:rFonts w:ascii="Arial" w:cs="Arial" w:eastAsia="Arial" w:hAnsi="Arial"/>
          <w:sz w:val="14"/>
          <w:szCs w:val="14"/>
          <w:color w:val="auto"/>
        </w:rPr>
        <w:t>Shares hereby offered consist of 2,414 Sema4 Holder Shares and 266 Earn-out Shares (consisting of 228 Allocated Earn-Out Shares and 38 Reallocated Earn-Out Shares).</w:t>
      </w:r>
    </w:p>
    <w:p>
      <w:pPr>
        <w:ind w:left="314" w:hanging="314"/>
        <w:spacing w:after="0" w:line="237" w:lineRule="auto"/>
        <w:tabs>
          <w:tab w:leader="none" w:pos="314" w:val="left"/>
        </w:tabs>
        <w:numPr>
          <w:ilvl w:val="0"/>
          <w:numId w:val="89"/>
        </w:numPr>
        <w:rPr>
          <w:rFonts w:ascii="Arial" w:cs="Arial" w:eastAsia="Arial" w:hAnsi="Arial"/>
          <w:sz w:val="14"/>
          <w:szCs w:val="14"/>
          <w:color w:val="auto"/>
        </w:rPr>
      </w:pPr>
      <w:r>
        <w:rPr>
          <w:rFonts w:ascii="Arial" w:cs="Arial" w:eastAsia="Arial" w:hAnsi="Arial"/>
          <w:sz w:val="14"/>
          <w:szCs w:val="14"/>
          <w:color w:val="auto"/>
        </w:rPr>
        <w:t>Shares hereby offered consist of 5,805 Sema4 Holder Shares and 638 Earn-out Shares (consisting of 548 Allocated Earn-Out Shares and 90 Reallocated Earn-Out Shares).</w:t>
      </w:r>
    </w:p>
    <w:p>
      <w:pPr>
        <w:ind w:left="314" w:hanging="314"/>
        <w:spacing w:after="0"/>
        <w:tabs>
          <w:tab w:leader="none" w:pos="314" w:val="left"/>
        </w:tabs>
        <w:numPr>
          <w:ilvl w:val="0"/>
          <w:numId w:val="89"/>
        </w:numPr>
        <w:rPr>
          <w:rFonts w:ascii="Arial" w:cs="Arial" w:eastAsia="Arial" w:hAnsi="Arial"/>
          <w:sz w:val="13"/>
          <w:szCs w:val="13"/>
          <w:color w:val="auto"/>
        </w:rPr>
      </w:pPr>
      <w:r>
        <w:rPr>
          <w:rFonts w:ascii="Arial" w:cs="Arial" w:eastAsia="Arial" w:hAnsi="Arial"/>
          <w:sz w:val="13"/>
          <w:szCs w:val="13"/>
          <w:color w:val="auto"/>
        </w:rPr>
        <w:t>Shares hereby offered consist of 503 Sema4 Holder Shares and 63 Earn-out Shares Earn-Out Shares (consisting of 54 Allocated Earn-Out Shares and 9 Reallocated Earn-Out Shares).</w:t>
      </w:r>
    </w:p>
    <w:p>
      <w:pPr>
        <w:spacing w:after="0" w:line="9" w:lineRule="exact"/>
        <w:rPr>
          <w:rFonts w:ascii="Arial" w:cs="Arial" w:eastAsia="Arial" w:hAnsi="Arial"/>
          <w:sz w:val="13"/>
          <w:szCs w:val="13"/>
          <w:color w:val="auto"/>
        </w:rPr>
      </w:pPr>
    </w:p>
    <w:p>
      <w:pPr>
        <w:ind w:left="314" w:hanging="314"/>
        <w:spacing w:after="0" w:line="237" w:lineRule="auto"/>
        <w:tabs>
          <w:tab w:leader="none" w:pos="314" w:val="left"/>
        </w:tabs>
        <w:numPr>
          <w:ilvl w:val="0"/>
          <w:numId w:val="89"/>
        </w:numPr>
        <w:rPr>
          <w:rFonts w:ascii="Arial" w:cs="Arial" w:eastAsia="Arial" w:hAnsi="Arial"/>
          <w:sz w:val="14"/>
          <w:szCs w:val="14"/>
          <w:color w:val="auto"/>
        </w:rPr>
      </w:pPr>
      <w:r>
        <w:rPr>
          <w:rFonts w:ascii="Arial" w:cs="Arial" w:eastAsia="Arial" w:hAnsi="Arial"/>
          <w:sz w:val="14"/>
          <w:szCs w:val="14"/>
          <w:color w:val="auto"/>
        </w:rPr>
        <w:t>Shares hereby offered consist of 6,036 Sema4 Holder Shares and 665 Earn-out Shares (consisting of 570 Allocated Earn-Out Shares and 95 Reallocated Earn-Out Shares).</w:t>
      </w:r>
    </w:p>
    <w:p>
      <w:pPr>
        <w:ind w:left="314" w:hanging="314"/>
        <w:spacing w:after="0"/>
        <w:tabs>
          <w:tab w:leader="none" w:pos="314" w:val="left"/>
        </w:tabs>
        <w:numPr>
          <w:ilvl w:val="0"/>
          <w:numId w:val="89"/>
        </w:numPr>
        <w:rPr>
          <w:rFonts w:ascii="Arial" w:cs="Arial" w:eastAsia="Arial" w:hAnsi="Arial"/>
          <w:sz w:val="13"/>
          <w:szCs w:val="13"/>
          <w:color w:val="auto"/>
        </w:rPr>
      </w:pPr>
      <w:r>
        <w:rPr>
          <w:rFonts w:ascii="Arial" w:cs="Arial" w:eastAsia="Arial" w:hAnsi="Arial"/>
          <w:sz w:val="13"/>
          <w:szCs w:val="13"/>
          <w:color w:val="auto"/>
        </w:rPr>
        <w:t>Shares hereby offered consist of 45,818 Sema4 Holder Shares and 5,041 Earn-out Shares (consisting of 4,328 Allocated Earn-Out Shares and 713 Reallocated Earn-Out Shares).</w:t>
      </w:r>
    </w:p>
    <w:p>
      <w:pPr>
        <w:spacing w:after="0" w:line="9" w:lineRule="exact"/>
        <w:rPr>
          <w:rFonts w:ascii="Arial" w:cs="Arial" w:eastAsia="Arial" w:hAnsi="Arial"/>
          <w:sz w:val="13"/>
          <w:szCs w:val="13"/>
          <w:color w:val="auto"/>
        </w:rPr>
      </w:pPr>
    </w:p>
    <w:p>
      <w:pPr>
        <w:ind w:left="314" w:hanging="314"/>
        <w:spacing w:after="0" w:line="237" w:lineRule="auto"/>
        <w:tabs>
          <w:tab w:leader="none" w:pos="314" w:val="left"/>
        </w:tabs>
        <w:numPr>
          <w:ilvl w:val="0"/>
          <w:numId w:val="89"/>
        </w:numPr>
        <w:rPr>
          <w:rFonts w:ascii="Arial" w:cs="Arial" w:eastAsia="Arial" w:hAnsi="Arial"/>
          <w:sz w:val="14"/>
          <w:szCs w:val="14"/>
          <w:color w:val="auto"/>
        </w:rPr>
      </w:pPr>
      <w:r>
        <w:rPr>
          <w:rFonts w:ascii="Arial" w:cs="Arial" w:eastAsia="Arial" w:hAnsi="Arial"/>
          <w:sz w:val="14"/>
          <w:szCs w:val="14"/>
          <w:color w:val="auto"/>
        </w:rPr>
        <w:t>Shares hereby offered consist of 4,641 Sema4 Holder Shares and 510 Earn-out Shares (consisting of 438 Allocated Earn-Out Shares and 72 Reallocated Earn-Out Shares).</w:t>
      </w:r>
    </w:p>
    <w:p>
      <w:pPr>
        <w:ind w:left="314" w:hanging="314"/>
        <w:spacing w:after="0"/>
        <w:tabs>
          <w:tab w:leader="none" w:pos="314" w:val="left"/>
        </w:tabs>
        <w:numPr>
          <w:ilvl w:val="0"/>
          <w:numId w:val="89"/>
        </w:numPr>
        <w:rPr>
          <w:rFonts w:ascii="Arial" w:cs="Arial" w:eastAsia="Arial" w:hAnsi="Arial"/>
          <w:sz w:val="12"/>
          <w:szCs w:val="12"/>
          <w:color w:val="auto"/>
        </w:rPr>
      </w:pPr>
      <w:r>
        <w:rPr>
          <w:rFonts w:ascii="Arial" w:cs="Arial" w:eastAsia="Arial" w:hAnsi="Arial"/>
          <w:sz w:val="12"/>
          <w:szCs w:val="12"/>
          <w:color w:val="auto"/>
        </w:rPr>
        <w:t>Shares hereby offered consist of 10,244 Sema4 Holder Shares and 1,127 Earn-out Shares Earn-Out Shares (consisting of 968 Allocated Earn-Out Shares and 159 Reallocated Earn-Out Shares).</w:t>
      </w:r>
    </w:p>
    <w:p>
      <w:pPr>
        <w:spacing w:after="0" w:line="21" w:lineRule="exact"/>
        <w:rPr>
          <w:rFonts w:ascii="Arial" w:cs="Arial" w:eastAsia="Arial" w:hAnsi="Arial"/>
          <w:sz w:val="12"/>
          <w:szCs w:val="12"/>
          <w:color w:val="auto"/>
        </w:rPr>
      </w:pPr>
    </w:p>
    <w:p>
      <w:pPr>
        <w:ind w:left="314" w:hanging="314"/>
        <w:spacing w:after="0" w:line="237" w:lineRule="auto"/>
        <w:tabs>
          <w:tab w:leader="none" w:pos="314" w:val="left"/>
        </w:tabs>
        <w:numPr>
          <w:ilvl w:val="0"/>
          <w:numId w:val="89"/>
        </w:numPr>
        <w:rPr>
          <w:rFonts w:ascii="Arial" w:cs="Arial" w:eastAsia="Arial" w:hAnsi="Arial"/>
          <w:sz w:val="14"/>
          <w:szCs w:val="14"/>
          <w:color w:val="auto"/>
        </w:rPr>
      </w:pPr>
      <w:r>
        <w:rPr>
          <w:rFonts w:ascii="Arial" w:cs="Arial" w:eastAsia="Arial" w:hAnsi="Arial"/>
          <w:sz w:val="14"/>
          <w:szCs w:val="14"/>
          <w:color w:val="auto"/>
        </w:rPr>
        <w:t>Shares hereby offered consist of 2,414 Sema4 Holder Shares and 266 Earn-out Shares (consisting of 228 Allocated Earn-Out Shares and 38 Reallocated Earn-Out Shares).</w:t>
      </w:r>
    </w:p>
    <w:p>
      <w:pPr>
        <w:ind w:left="314" w:hanging="314"/>
        <w:spacing w:after="0" w:line="237" w:lineRule="auto"/>
        <w:tabs>
          <w:tab w:leader="none" w:pos="314" w:val="left"/>
        </w:tabs>
        <w:numPr>
          <w:ilvl w:val="0"/>
          <w:numId w:val="89"/>
        </w:numPr>
        <w:rPr>
          <w:rFonts w:ascii="Arial" w:cs="Arial" w:eastAsia="Arial" w:hAnsi="Arial"/>
          <w:sz w:val="14"/>
          <w:szCs w:val="14"/>
          <w:color w:val="auto"/>
        </w:rPr>
      </w:pPr>
      <w:r>
        <w:rPr>
          <w:rFonts w:ascii="Arial" w:cs="Arial" w:eastAsia="Arial" w:hAnsi="Arial"/>
          <w:sz w:val="14"/>
          <w:szCs w:val="14"/>
          <w:color w:val="auto"/>
        </w:rPr>
        <w:t>Shares hereby offered consist of 7,430 Sema4 Holder Shares and 818 Earn-out Shares (consisting of 701 Allocated Earn-Out Shares and 117 Reallocated Earn-Out Shares).</w:t>
      </w:r>
    </w:p>
    <w:p>
      <w:pPr>
        <w:ind w:left="314" w:hanging="314"/>
        <w:spacing w:after="0"/>
        <w:tabs>
          <w:tab w:leader="none" w:pos="314" w:val="left"/>
        </w:tabs>
        <w:numPr>
          <w:ilvl w:val="0"/>
          <w:numId w:val="89"/>
        </w:numPr>
        <w:rPr>
          <w:rFonts w:ascii="Arial" w:cs="Arial" w:eastAsia="Arial" w:hAnsi="Arial"/>
          <w:sz w:val="13"/>
          <w:szCs w:val="13"/>
          <w:color w:val="auto"/>
        </w:rPr>
      </w:pPr>
      <w:r>
        <w:rPr>
          <w:rFonts w:ascii="Arial" w:cs="Arial" w:eastAsia="Arial" w:hAnsi="Arial"/>
          <w:sz w:val="13"/>
          <w:szCs w:val="13"/>
          <w:color w:val="auto"/>
        </w:rPr>
        <w:t>Shares hereby offered consist of 18,575 Sema4 Holder Shares and 2,044 Earn-out Shares (consisting of 1,754 Allocated Earn-Out Shares and 290 Reallocated Earn-Out Shares).</w:t>
      </w:r>
    </w:p>
    <w:p>
      <w:pPr>
        <w:spacing w:after="0" w:line="9" w:lineRule="exact"/>
        <w:rPr>
          <w:rFonts w:ascii="Arial" w:cs="Arial" w:eastAsia="Arial" w:hAnsi="Arial"/>
          <w:sz w:val="13"/>
          <w:szCs w:val="13"/>
          <w:color w:val="auto"/>
        </w:rPr>
      </w:pPr>
    </w:p>
    <w:p>
      <w:pPr>
        <w:ind w:left="314" w:hanging="314"/>
        <w:spacing w:after="0" w:line="237" w:lineRule="auto"/>
        <w:tabs>
          <w:tab w:leader="none" w:pos="314" w:val="left"/>
        </w:tabs>
        <w:numPr>
          <w:ilvl w:val="0"/>
          <w:numId w:val="89"/>
        </w:numPr>
        <w:rPr>
          <w:rFonts w:ascii="Arial" w:cs="Arial" w:eastAsia="Arial" w:hAnsi="Arial"/>
          <w:sz w:val="14"/>
          <w:szCs w:val="14"/>
          <w:color w:val="auto"/>
        </w:rPr>
      </w:pPr>
      <w:r>
        <w:rPr>
          <w:rFonts w:ascii="Arial" w:cs="Arial" w:eastAsia="Arial" w:hAnsi="Arial"/>
          <w:sz w:val="14"/>
          <w:szCs w:val="14"/>
          <w:color w:val="auto"/>
        </w:rPr>
        <w:t>Shares hereby offered consist of 4,024 Sema4 Holder Shares and 443 Earn-out Shares (consisting of 380 Allocated Earn-Out Shares and 63 Reallocated Earn-Out Shares).</w:t>
      </w:r>
    </w:p>
    <w:p>
      <w:pPr>
        <w:ind w:left="314" w:hanging="314"/>
        <w:spacing w:after="0" w:line="237" w:lineRule="auto"/>
        <w:tabs>
          <w:tab w:leader="none" w:pos="314" w:val="left"/>
        </w:tabs>
        <w:numPr>
          <w:ilvl w:val="0"/>
          <w:numId w:val="89"/>
        </w:numPr>
        <w:rPr>
          <w:rFonts w:ascii="Arial" w:cs="Arial" w:eastAsia="Arial" w:hAnsi="Arial"/>
          <w:sz w:val="14"/>
          <w:szCs w:val="14"/>
          <w:color w:val="auto"/>
        </w:rPr>
      </w:pPr>
      <w:r>
        <w:rPr>
          <w:rFonts w:ascii="Arial" w:cs="Arial" w:eastAsia="Arial" w:hAnsi="Arial"/>
          <w:sz w:val="14"/>
          <w:szCs w:val="14"/>
          <w:color w:val="auto"/>
        </w:rPr>
        <w:t>Shares hereby offered consist of 2,178,164 shares underlying options to purchase common stock that are exercisable within one year of the Closing.</w:t>
      </w:r>
    </w:p>
    <w:p>
      <w:pPr>
        <w:ind w:left="314" w:hanging="314"/>
        <w:spacing w:after="0" w:line="237" w:lineRule="auto"/>
        <w:tabs>
          <w:tab w:leader="none" w:pos="314" w:val="left"/>
        </w:tabs>
        <w:numPr>
          <w:ilvl w:val="0"/>
          <w:numId w:val="89"/>
        </w:numPr>
        <w:rPr>
          <w:rFonts w:ascii="Arial" w:cs="Arial" w:eastAsia="Arial" w:hAnsi="Arial"/>
          <w:sz w:val="14"/>
          <w:szCs w:val="14"/>
          <w:color w:val="auto"/>
        </w:rPr>
      </w:pPr>
      <w:r>
        <w:rPr>
          <w:rFonts w:ascii="Arial" w:cs="Arial" w:eastAsia="Arial" w:hAnsi="Arial"/>
          <w:sz w:val="14"/>
          <w:szCs w:val="14"/>
          <w:color w:val="auto"/>
        </w:rPr>
        <w:t>Shares hereby offered consist of 1,400,178 shares underlying options to purchase common stock that are exercisable within one year of the Closing.</w:t>
      </w:r>
    </w:p>
    <w:p>
      <w:pPr>
        <w:ind w:left="314" w:right="40" w:hanging="314"/>
        <w:spacing w:after="0" w:line="237" w:lineRule="auto"/>
        <w:tabs>
          <w:tab w:leader="none" w:pos="311" w:val="left"/>
        </w:tabs>
        <w:numPr>
          <w:ilvl w:val="0"/>
          <w:numId w:val="89"/>
        </w:numPr>
        <w:rPr>
          <w:rFonts w:ascii="Arial" w:cs="Arial" w:eastAsia="Arial" w:hAnsi="Arial"/>
          <w:sz w:val="14"/>
          <w:szCs w:val="14"/>
          <w:color w:val="auto"/>
        </w:rPr>
      </w:pPr>
      <w:r>
        <w:rPr>
          <w:rFonts w:ascii="Arial" w:cs="Arial" w:eastAsia="Arial" w:hAnsi="Arial"/>
          <w:sz w:val="14"/>
          <w:szCs w:val="14"/>
          <w:color w:val="auto"/>
        </w:rPr>
        <w:t>Shares hereby offered consist of 7,440,287 shares underlying options to purchase common stock that are exercisable within one year of the Closing. Mr. Schadt is member of Sema4 Holdings’ board of directors.</w:t>
      </w:r>
    </w:p>
    <w:p>
      <w:pPr>
        <w:ind w:left="314" w:hanging="314"/>
        <w:spacing w:after="0" w:line="237" w:lineRule="auto"/>
        <w:tabs>
          <w:tab w:leader="none" w:pos="314" w:val="left"/>
        </w:tabs>
        <w:numPr>
          <w:ilvl w:val="0"/>
          <w:numId w:val="89"/>
        </w:numPr>
        <w:rPr>
          <w:rFonts w:ascii="Arial" w:cs="Arial" w:eastAsia="Arial" w:hAnsi="Arial"/>
          <w:sz w:val="14"/>
          <w:szCs w:val="14"/>
          <w:color w:val="auto"/>
        </w:rPr>
      </w:pPr>
      <w:r>
        <w:rPr>
          <w:rFonts w:ascii="Arial" w:cs="Arial" w:eastAsia="Arial" w:hAnsi="Arial"/>
          <w:sz w:val="14"/>
          <w:szCs w:val="14"/>
          <w:color w:val="auto"/>
        </w:rPr>
        <w:t>Shares hereby offered consist of 2,726,455 shares underlying options to purchase common stock that are exercisable within one year of the Closing.</w:t>
      </w:r>
    </w:p>
    <w:p>
      <w:pPr>
        <w:ind w:left="314" w:hanging="314"/>
        <w:spacing w:after="0" w:line="237" w:lineRule="auto"/>
        <w:tabs>
          <w:tab w:leader="none" w:pos="314" w:val="left"/>
        </w:tabs>
        <w:numPr>
          <w:ilvl w:val="0"/>
          <w:numId w:val="89"/>
        </w:numPr>
        <w:rPr>
          <w:rFonts w:ascii="Arial" w:cs="Arial" w:eastAsia="Arial" w:hAnsi="Arial"/>
          <w:sz w:val="14"/>
          <w:szCs w:val="14"/>
          <w:color w:val="auto"/>
        </w:rPr>
      </w:pPr>
      <w:r>
        <w:rPr>
          <w:rFonts w:ascii="Arial" w:cs="Arial" w:eastAsia="Arial" w:hAnsi="Arial"/>
          <w:sz w:val="14"/>
          <w:szCs w:val="14"/>
          <w:color w:val="auto"/>
        </w:rPr>
        <w:t>Shares hereby offered consist of 90,173 shares underlying options to purchase common stock that are exercisable within one year of the Closing.</w:t>
      </w:r>
    </w:p>
    <w:p>
      <w:pPr>
        <w:ind w:left="314" w:right="20" w:hanging="314"/>
        <w:spacing w:after="0" w:line="237" w:lineRule="auto"/>
        <w:tabs>
          <w:tab w:leader="none" w:pos="311" w:val="left"/>
        </w:tabs>
        <w:numPr>
          <w:ilvl w:val="0"/>
          <w:numId w:val="89"/>
        </w:numPr>
        <w:rPr>
          <w:rFonts w:ascii="Arial" w:cs="Arial" w:eastAsia="Arial" w:hAnsi="Arial"/>
          <w:sz w:val="14"/>
          <w:szCs w:val="14"/>
          <w:color w:val="auto"/>
        </w:rPr>
      </w:pPr>
      <w:r>
        <w:rPr>
          <w:rFonts w:ascii="Arial" w:cs="Arial" w:eastAsia="Arial" w:hAnsi="Arial"/>
          <w:sz w:val="14"/>
          <w:szCs w:val="14"/>
          <w:color w:val="auto"/>
        </w:rPr>
        <w:t>Shares hereby offered consist of 204,311 shares underlying options to purchase common stock that are exercisable within one year of the Closing. Ms. Sherman is member of Sema4 Holdings’ board of directors.</w:t>
      </w:r>
    </w:p>
    <w:p>
      <w:pPr>
        <w:ind w:left="314" w:hanging="314"/>
        <w:spacing w:after="0" w:line="260" w:lineRule="auto"/>
        <w:tabs>
          <w:tab w:leader="none" w:pos="311" w:val="left"/>
        </w:tabs>
        <w:numPr>
          <w:ilvl w:val="0"/>
          <w:numId w:val="89"/>
        </w:numPr>
        <w:rPr>
          <w:rFonts w:ascii="Arial" w:cs="Arial" w:eastAsia="Arial" w:hAnsi="Arial"/>
          <w:sz w:val="13"/>
          <w:szCs w:val="13"/>
          <w:color w:val="auto"/>
        </w:rPr>
      </w:pPr>
      <w:r>
        <w:rPr>
          <w:rFonts w:ascii="Arial" w:cs="Arial" w:eastAsia="Arial" w:hAnsi="Arial"/>
          <w:sz w:val="13"/>
          <w:szCs w:val="13"/>
          <w:color w:val="auto"/>
        </w:rPr>
        <w:t>For the purposes of the first table, shares hereby offered consists of 10,993,750 Founder Shares and 6,736,669 shares of common stock underlying warrants that will become exercisable within 60 days of the Closing held by the Sponsor. For the purposes of the second table, consists of 6,736,669 warrants held by the Sponsor. The first table assumes the exercise in full of the warrants held by the Sponsor, and the second table assumes no exercise of the warrants held by the Sponsor. The Board of Managers of the Sponsor, or CMLS Holdings LLC, is comprised of Mr. Eli Casdin and Mr. Keith Meister who share voting and investment discretion with respect to the common stock held of record by CMLS Holdings LLC. Mr. Casdin is a member of Sema4 Holdings’ board of directors. C-LSH LLC and M-LSH LLC are the members of CMLS Holdings LLC, and Mr. Casdin and Mr. Meister are the managing members of C-LSH LLC and M-LSH LLC, respectively. As such, each of the foregoing may be deemed to have or share beneficial ownership of the common stock held directly by CMLS Holdings LLC. The business address of the Sponsor is c/o Corvex Management LP, 667 Madison Avenue, New York, NY 10065.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53"/>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74"/>
          </w:cols>
          <w:pgMar w:left="326" w:top="1440" w:right="399" w:bottom="1440" w:gutter="0" w:footer="0" w:header="0"/>
        </w:sectPr>
      </w:pPr>
    </w:p>
    <w:bookmarkStart w:id="165" w:name="page166"/>
    <w:bookmarkEnd w:id="165"/>
    <w:p>
      <w:pPr>
        <w:spacing w:after="0" w:line="112" w:lineRule="exact"/>
        <w:rPr>
          <w:sz w:val="20"/>
          <w:szCs w:val="20"/>
          <w:color w:val="auto"/>
        </w:rPr>
      </w:pPr>
    </w:p>
    <w:p>
      <w:pPr>
        <w:jc w:val="both"/>
        <w:ind w:left="314" w:right="60" w:hanging="314"/>
        <w:spacing w:after="0" w:line="242" w:lineRule="auto"/>
        <w:tabs>
          <w:tab w:leader="none" w:pos="311" w:val="left"/>
        </w:tabs>
        <w:numPr>
          <w:ilvl w:val="0"/>
          <w:numId w:val="90"/>
        </w:numPr>
        <w:rPr>
          <w:rFonts w:ascii="Arial" w:cs="Arial" w:eastAsia="Arial" w:hAnsi="Arial"/>
          <w:sz w:val="14"/>
          <w:szCs w:val="14"/>
          <w:color w:val="auto"/>
        </w:rPr>
      </w:pPr>
      <w:r>
        <w:rPr>
          <w:rFonts w:ascii="Arial" w:cs="Arial" w:eastAsia="Arial" w:hAnsi="Arial"/>
          <w:sz w:val="14"/>
          <w:szCs w:val="14"/>
          <w:color w:val="auto"/>
        </w:rPr>
        <w:t>For purposes of the first table, shares hereby offered consist of 166,666 shares of common stock underlying warrants that will become exercisable within 60 days of the Closing held by Nat Turner and 25,000 Founder Shares. For the purposes of the second table, consists of 166,666 warrants. The first table assumes the exercise in full of the warrants held by Mr. Turner, and the second table assumes no exercise of the warrants held by Mr. Turner. Mr. Turner is member of Sema4 Holdings’ board of directors.</w:t>
      </w:r>
    </w:p>
    <w:p>
      <w:pPr>
        <w:spacing w:after="0" w:line="1" w:lineRule="exact"/>
        <w:rPr>
          <w:rFonts w:ascii="Arial" w:cs="Arial" w:eastAsia="Arial" w:hAnsi="Arial"/>
          <w:sz w:val="14"/>
          <w:szCs w:val="14"/>
          <w:color w:val="auto"/>
        </w:rPr>
      </w:pPr>
    </w:p>
    <w:p>
      <w:pPr>
        <w:ind w:left="314" w:hanging="314"/>
        <w:spacing w:after="0" w:line="255" w:lineRule="auto"/>
        <w:tabs>
          <w:tab w:leader="none" w:pos="311" w:val="left"/>
        </w:tabs>
        <w:numPr>
          <w:ilvl w:val="0"/>
          <w:numId w:val="90"/>
        </w:numPr>
        <w:rPr>
          <w:rFonts w:ascii="Arial" w:cs="Arial" w:eastAsia="Arial" w:hAnsi="Arial"/>
          <w:sz w:val="13"/>
          <w:szCs w:val="13"/>
          <w:color w:val="auto"/>
        </w:rPr>
      </w:pPr>
      <w:r>
        <w:rPr>
          <w:rFonts w:ascii="Arial" w:cs="Arial" w:eastAsia="Arial" w:hAnsi="Arial"/>
          <w:sz w:val="13"/>
          <w:szCs w:val="13"/>
          <w:color w:val="auto"/>
        </w:rPr>
        <w:t>For purposes of the first table, shares hereby offered consist 166,666 shares of common stock underlying warrants that will become exercisable within 60 days of the Closing held by Emily Leproust and 25,000 Founder Shares. For the purposes of the second table, consists of 166,666 warrants. The first table assumes the exercise in full of the warrants held by Ms. Leproust, and the second table assumes no exercise of the warrants held by Ms. Leproust. Ms. Leproust is member of Sema4 Holdings’ board of directors.</w:t>
      </w:r>
    </w:p>
    <w:p>
      <w:pPr>
        <w:ind w:left="314" w:right="20" w:hanging="314"/>
        <w:spacing w:after="0" w:line="293" w:lineRule="auto"/>
        <w:tabs>
          <w:tab w:leader="none" w:pos="311" w:val="left"/>
        </w:tabs>
        <w:numPr>
          <w:ilvl w:val="0"/>
          <w:numId w:val="90"/>
        </w:numPr>
        <w:rPr>
          <w:rFonts w:ascii="Arial" w:cs="Arial" w:eastAsia="Arial" w:hAnsi="Arial"/>
          <w:sz w:val="12"/>
          <w:szCs w:val="12"/>
          <w:color w:val="auto"/>
        </w:rPr>
      </w:pPr>
      <w:r>
        <w:rPr>
          <w:rFonts w:ascii="Arial" w:cs="Arial" w:eastAsia="Arial" w:hAnsi="Arial"/>
          <w:sz w:val="12"/>
          <w:szCs w:val="12"/>
          <w:color w:val="auto"/>
        </w:rPr>
        <w:t>Shares hereby consists of 5,000,000 PIPE Shares held by Casdin Partners Master Fund L.P. Casdin Capital, LLC is the investment adviser to Casdin Partners Master Fund, LP and Casdin Partners GP, LLC is the general partner of Casdin Partners Master Fund LP. Eli Casdin is the managing member of Casdin Capital, LLC and Casdin Partners GP, LLC. As such, each of the foregoing may be deemed to have or share beneficial ownership of the Common Stock held directly by Casdin Partners Master Fund, LP. Mr. Casdin is member of Sema4 Holdings’ board of directors. The business address of Casdin Partners Master Fund L.P. and Mr. Casdin is c/o Casdin Capital, LLC, 1260 Avenue of the Americas, Suite 2600, New York, NY 10019.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3"/>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054"/>
          </w:cols>
          <w:pgMar w:left="326" w:top="1440" w:right="519" w:bottom="1440" w:gutter="0" w:footer="0" w:header="0"/>
        </w:sectPr>
      </w:pPr>
    </w:p>
    <w:bookmarkStart w:id="166" w:name="page167"/>
    <w:bookmarkEnd w:id="166"/>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ACT RESTRICTIONS ON RESALE OF OUR SECURITIES</w:t>
      </w:r>
    </w:p>
    <w:p>
      <w:pPr>
        <w:spacing w:after="0" w:line="170"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Pursuant to Rule 144 under the Securities Act (“Rule 144”), a person who has beneficially owned shares of our common stock or warrants that were acquired from us in an unregistered, private sale (“restricted securities”) for at least six months would be entitled to sell their securities provided that (i) such person is not deemed to have been an affiliate of ours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12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Persons who have beneficially owned restricted securities for at least six months but who are affiliates of ours at the time of, or at any time during the three months preceding, a sale, or who otherwise beneficially own shares of our common stock or warrants (“control securities”), would be subject to additional restrictions, by which such person would be entitled to sell within any three-month period only a number of securities that does not exceed the greater of:</w:t>
      </w:r>
    </w:p>
    <w:p>
      <w:pPr>
        <w:spacing w:after="0" w:line="138" w:lineRule="exact"/>
        <w:rPr>
          <w:sz w:val="20"/>
          <w:szCs w:val="20"/>
          <w:color w:val="auto"/>
        </w:rPr>
      </w:pPr>
    </w:p>
    <w:p>
      <w:pPr>
        <w:ind w:left="640" w:hanging="316"/>
        <w:spacing w:after="0"/>
        <w:tabs>
          <w:tab w:leader="none" w:pos="6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1% of the total number of shares or other units of the class then outstanding; or</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average weekly reported trading volume of such securities during the four calendar weeks preceding the filing of a notice on Form 144 with respect to the sale.</w:t>
      </w:r>
    </w:p>
    <w:p>
      <w:pPr>
        <w:spacing w:after="0" w:line="12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Sales by our affiliates under Rule 144 are also limited by manner of sale provisions and notice requirements and to the availability of current public information about us.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the Use of Rule 144 by Shell Companies or Former Shell Companies</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135" w:lineRule="exact"/>
        <w:rPr>
          <w:sz w:val="20"/>
          <w:szCs w:val="20"/>
          <w:color w:val="auto"/>
        </w:rPr>
      </w:pPr>
    </w:p>
    <w:p>
      <w:pPr>
        <w:ind w:left="640" w:hanging="316"/>
        <w:spacing w:after="0"/>
        <w:tabs>
          <w:tab w:leader="none" w:pos="6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issuer of the securities that was formerly a shell company has ceased to be a shell company;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164" w:lineRule="exact"/>
        <w:rPr>
          <w:rFonts w:ascii="Arial" w:cs="Arial" w:eastAsia="Arial" w:hAnsi="Arial"/>
          <w:sz w:val="18"/>
          <w:szCs w:val="18"/>
          <w:color w:val="auto"/>
        </w:rPr>
      </w:pPr>
    </w:p>
    <w:p>
      <w:pPr>
        <w:ind w:left="640" w:hanging="316"/>
        <w:spacing w:after="0" w:line="294" w:lineRule="auto"/>
        <w:tabs>
          <w:tab w:leader="none" w:pos="635"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issuer of the securities has filed all Exchange Act reports and material required to be filed, as applicable, during the preceding twelve months (or such shorter period that the issuer was required to file such reports and materials), other than Form 8-K reports; and</w:t>
      </w:r>
    </w:p>
    <w:p>
      <w:pPr>
        <w:spacing w:after="0" w:line="104" w:lineRule="exact"/>
        <w:rPr>
          <w:rFonts w:ascii="Arial" w:cs="Arial" w:eastAsia="Arial" w:hAnsi="Arial"/>
          <w:sz w:val="17"/>
          <w:szCs w:val="17"/>
          <w:color w:val="auto"/>
        </w:rPr>
      </w:pPr>
    </w:p>
    <w:p>
      <w:pPr>
        <w:ind w:left="640" w:hanging="316"/>
        <w:spacing w:after="0" w:line="264" w:lineRule="auto"/>
        <w:tabs>
          <w:tab w:leader="none" w:pos="635" w:val="left"/>
        </w:tabs>
        <w:numPr>
          <w:ilvl w:val="0"/>
          <w:numId w:val="92"/>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12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As a result, our affiliates will be able to sell their shares of common stock and warrants, and any shares of common stock received upon exercise of the warrants, as applicable, pursuant to Rule 144 without registration one year after the filing of our “Super” Form 8-K with Form 10 type information, which was filed on July 28, 2021. Absent registration under the Securities Act, our affiliates will not be permitted to sell their control securities under Rule 144 earlier than one year after the filing of the “Super” Form 8-K.</w:t>
      </w:r>
    </w:p>
    <w:p>
      <w:pPr>
        <w:spacing w:after="0" w:line="13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are no longer a shell company, and as a result, once the conditions set forth in the exceptions listed above are satisfied, Rule 144 will become available for the resale of restricted securities and control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170"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The Selling Securityholders, which as used herein includes donees, pledgees, transferees, distributees or other successors-in-interest selling shares of our common stock or warrants or interests in our common stock or warrants received after the date of this prospectus from the Selling Securityholders as a gift, pledge, partnership distribution or other transfer, may, from time to time, sell, transfer, distribute or otherwise dispose of certain of their shares of common stock or warrants or interests in our common stock or warrants on any stock exchange, market or trading facility on which shares of our common stock or warrants, as applicable,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9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Selling Securityholders may use any one or more of the following methods when disposing of their shares of common stock or warrants or interests therein:</w:t>
      </w:r>
    </w:p>
    <w:p>
      <w:pPr>
        <w:spacing w:after="0" w:line="128" w:lineRule="exact"/>
        <w:rPr>
          <w:sz w:val="20"/>
          <w:szCs w:val="20"/>
          <w:color w:val="auto"/>
        </w:rPr>
      </w:pPr>
    </w:p>
    <w:p>
      <w:pPr>
        <w:ind w:left="640" w:hanging="316"/>
        <w:spacing w:after="0"/>
        <w:tabs>
          <w:tab w:leader="none" w:pos="6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one or more underwritten offerings;</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93"/>
        </w:numPr>
        <w:rPr>
          <w:rFonts w:ascii="Arial" w:cs="Arial" w:eastAsia="Arial" w:hAnsi="Arial"/>
          <w:sz w:val="18"/>
          <w:szCs w:val="18"/>
          <w:color w:val="auto"/>
        </w:rPr>
      </w:pPr>
      <w:r>
        <w:rPr>
          <w:rFonts w:ascii="Arial" w:cs="Arial" w:eastAsia="Arial" w:hAnsi="Arial"/>
          <w:sz w:val="18"/>
          <w:szCs w:val="18"/>
          <w:color w:val="auto"/>
        </w:rPr>
        <w:t>block trades (which may involve crosses) in which the broker-dealer will attempt to sell the shares of common stock or warrants as agent, but may position and resell a portion of the block as principal to facilitate the transaction;</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 exchange distribution and/or secondary distribution in accordance with the rules of the applicable exchange;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distributions to their employees, partners, members or stockholders;</w:t>
      </w:r>
    </w:p>
    <w:p>
      <w:pPr>
        <w:spacing w:after="0" w:line="164" w:lineRule="exact"/>
        <w:rPr>
          <w:rFonts w:ascii="Arial" w:cs="Arial" w:eastAsia="Arial" w:hAnsi="Arial"/>
          <w:sz w:val="18"/>
          <w:szCs w:val="18"/>
          <w:color w:val="auto"/>
        </w:rPr>
      </w:pPr>
    </w:p>
    <w:p>
      <w:pPr>
        <w:ind w:left="640" w:right="20" w:hanging="316"/>
        <w:spacing w:after="0" w:line="264" w:lineRule="auto"/>
        <w:tabs>
          <w:tab w:leader="none" w:pos="635" w:val="left"/>
        </w:tabs>
        <w:numPr>
          <w:ilvl w:val="0"/>
          <w:numId w:val="93"/>
        </w:numPr>
        <w:rPr>
          <w:rFonts w:ascii="Arial" w:cs="Arial" w:eastAsia="Arial" w:hAnsi="Arial"/>
          <w:sz w:val="18"/>
          <w:szCs w:val="18"/>
          <w:color w:val="auto"/>
        </w:rPr>
      </w:pPr>
      <w:r>
        <w:rPr>
          <w:rFonts w:ascii="Arial" w:cs="Arial" w:eastAsia="Arial" w:hAnsi="Arial"/>
          <w:sz w:val="18"/>
          <w:szCs w:val="18"/>
          <w:color w:val="auto"/>
        </w:rPr>
        <w:t>short sales (including short sales “against the box”) effected after the date of the registration statement of which this prospectus is a part is declared effective by the SEC;</w:t>
      </w:r>
    </w:p>
    <w:p>
      <w:pPr>
        <w:spacing w:after="0" w:line="12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through the writing or settlement of standardized or over-the-counter options or other hedging transactions, whether through an options exchange or otherwise;</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 market transactions, including transactions on a national securities exchange or quotations service or over-the-counter market;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by pledge to secure debts and other obligation;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directly to purchasers, including our affiliates and stockholders, in a rights offering or otherwise;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93"/>
        </w:numPr>
        <w:rPr>
          <w:rFonts w:ascii="Arial" w:cs="Arial" w:eastAsia="Arial" w:hAnsi="Arial"/>
          <w:sz w:val="18"/>
          <w:szCs w:val="18"/>
          <w:color w:val="auto"/>
        </w:rPr>
      </w:pPr>
      <w:r>
        <w:rPr>
          <w:rFonts w:ascii="Arial" w:cs="Arial" w:eastAsia="Arial" w:hAnsi="Arial"/>
          <w:sz w:val="18"/>
          <w:szCs w:val="18"/>
          <w:color w:val="auto"/>
        </w:rPr>
        <w:t>broker-dealers may agree with the Selling Securityholders to sell a specified number of such shares of common stock or warrants at a stipulated price per share or warrant; and</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through a combination of any of these methods or any other method permitted by applicable law.</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Selling Securityholders may effect the distribution of our common stock and warrants from time to time in one or more transactions either:</w:t>
      </w:r>
    </w:p>
    <w:p>
      <w:pPr>
        <w:spacing w:after="0" w:line="176" w:lineRule="exact"/>
        <w:rPr>
          <w:sz w:val="20"/>
          <w:szCs w:val="20"/>
          <w:color w:val="auto"/>
        </w:rPr>
      </w:pPr>
    </w:p>
    <w:p>
      <w:pPr>
        <w:ind w:left="640" w:hanging="316"/>
        <w:spacing w:after="0"/>
        <w:tabs>
          <w:tab w:leader="none" w:pos="6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at a fixed price or prices, which may be changed from time to time;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at prices relating to the prevailing market prices;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119" w:lineRule="exact"/>
        <w:rPr>
          <w:sz w:val="20"/>
          <w:szCs w:val="20"/>
          <w:color w:val="auto"/>
        </w:rPr>
      </w:pPr>
    </w:p>
    <w:p>
      <w:pPr>
        <w:ind w:left="640" w:hanging="316"/>
        <w:spacing w:after="0"/>
        <w:tabs>
          <w:tab w:leader="none" w:pos="6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164"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The Selling Securityholders may, from time to time, pledge or grant a security interest in some shares of our common stock or warrants owned by them and, if a Selling Securityholder defaults in the performance of its secured obligations, the pledgees or secured parties may offer and sell such shares of common stock or warrants, as applicable, from time to time, under this prospectus, or under an amendment or supplement to this prospectus under Rule 424(b)</w:t>
      </w:r>
    </w:p>
    <w:p>
      <w:pPr>
        <w:spacing w:after="0" w:line="1" w:lineRule="exact"/>
        <w:rPr>
          <w:sz w:val="20"/>
          <w:szCs w:val="20"/>
          <w:color w:val="auto"/>
        </w:rPr>
      </w:pPr>
    </w:p>
    <w:p>
      <w:pPr>
        <w:jc w:val="both"/>
        <w:ind w:firstLine="6"/>
        <w:spacing w:after="0" w:line="322" w:lineRule="auto"/>
        <w:tabs>
          <w:tab w:leader="none" w:pos="254" w:val="left"/>
        </w:tabs>
        <w:numPr>
          <w:ilvl w:val="0"/>
          <w:numId w:val="96"/>
        </w:numPr>
        <w:rPr>
          <w:rFonts w:ascii="Arial" w:cs="Arial" w:eastAsia="Arial" w:hAnsi="Arial"/>
          <w:sz w:val="15"/>
          <w:szCs w:val="15"/>
          <w:color w:val="auto"/>
        </w:rPr>
      </w:pPr>
      <w:r>
        <w:rPr>
          <w:rFonts w:ascii="Arial" w:cs="Arial" w:eastAsia="Arial" w:hAnsi="Arial"/>
          <w:sz w:val="15"/>
          <w:szCs w:val="15"/>
          <w:color w:val="auto"/>
        </w:rPr>
        <w:t>or other applicable provision of the Securities Act amending the list of the Selling Securityholders to include the pledgee, transferee or other successors in interest as the Selling Securityholders under this prospectus. The Selling Securityholders also may transfer shares of our common stock or warrants in other circumstances, in which case the transferees, pledgees or other successors in interest will be the selling beneficial owners for purposes of this prospectus.</w:t>
      </w:r>
    </w:p>
    <w:p>
      <w:pPr>
        <w:spacing w:after="0" w:line="89"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We and the Selling Securityholders may agree to indemnify an underwriter, broker-dealer or agent against certain liabilities related to the sale of our common stock and warrants, including liabilities under the Securities Act. The Selling Securityholders have advised us that they have not entered into any agreements, understandings or arrangements with any underwriters or broker-dealers regarding the sale of their common stock and warrants. Upon our notification by a Selling Securityholder that any material arrangement has been entered into with an underwriter or broker-dealer for the sale of common stock and warrants through a block trade, special offering, exchange distribution, secondary distribution or a purchase by an underwriter or broker-dealer, we will file a supplement to this prospectus, if required, pursuant to Rule 424(b) under the Securities Act, disclosing certain material information, including:</w:t>
      </w:r>
    </w:p>
    <w:p>
      <w:pPr>
        <w:spacing w:after="0" w:line="99" w:lineRule="exact"/>
        <w:rPr>
          <w:sz w:val="20"/>
          <w:szCs w:val="20"/>
          <w:color w:val="auto"/>
        </w:rPr>
      </w:pPr>
    </w:p>
    <w:p>
      <w:pPr>
        <w:ind w:left="640" w:hanging="316"/>
        <w:spacing w:after="0"/>
        <w:tabs>
          <w:tab w:leader="none" w:pos="6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name of the selling security holder;</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number of common stock and warrants being offered;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terms of the offering;</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names of the participating underwriters, broker-dealers or agents;</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any discounts, commissions or other compensation paid to underwriters or broker-dealers and any discounts, commissions or concessions allowed or reallowed or paid by any underwriters to dealers;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public offering price;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estimated net proceeds to us from the sale of the common stock and warrants;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any delayed delivery arrangements;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other material terms of the offering.</w:t>
      </w:r>
    </w:p>
    <w:p>
      <w:pPr>
        <w:spacing w:after="0" w:line="164"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In addition, upon being notified by a Selling Securityholder that a donee, pledgee, transferee or other successor-in-interest intends to sell common stock and warrants, we will, to the extent required, promptly file a supplement to this prospectus to name specifically such person as a Selling Securityholder.</w:t>
      </w:r>
    </w:p>
    <w:p>
      <w:pPr>
        <w:spacing w:after="0" w:line="5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Agents, broker-dealers and underwriters or their affiliates may engage in transactions with, or perform services for, the Selling Securityholders (or their affiliates) in the ordinary course of business. The Selling Securityholders may also use underwriters or other third parties with whom such selling stockholders have a material relationship. The Selling Securityholders (or their affiliates) will describe the nature of any such relationship in the applicable prospectus supplement.</w:t>
      </w:r>
    </w:p>
    <w:p>
      <w:pPr>
        <w:spacing w:after="0" w:line="13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There can be no assurances that the Selling Securityholders will sell, nor are the Selling Securityholders required to sell, any or all of the common stock and warrants offered under this prospectus.</w:t>
      </w:r>
    </w:p>
    <w:p>
      <w:pPr>
        <w:spacing w:after="0" w:line="12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connection with the sale of shares of our common stock or warrants or interests therein, the Selling Securityholder may enter into hedging transactions with broker-dealers or other financial institutions, which may in turn engage in short sales of our common stock or warrants in the course of hedging the positions they assume.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119"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Selling Securityholders may also sell shares of our common stock or warrants short and deliver these securities to close out their short positions, or loan or pledge shares of our common stock or warrants to broker-dealers that in turn may sell these securities. The Selling Securityholders may also enter into option or other transactions with broker-dealers or other financial institutions or the creation of one or more derivative securities that require the delivery to such broker-dealer or other financial institution of shares of our common stock or warrants offered by this prospectus, which shares or warrants such broker-dealer or other financial institution may resell pursuant to this prospectus (as supplemented or amended to reflect such transaction).</w:t>
      </w:r>
    </w:p>
    <w:p>
      <w:pPr>
        <w:spacing w:after="0" w:line="98"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aggregate proceeds to the Selling Securityholders from the sale of shares of our common stock or warrants offered by them will be the purchase price of such shares of our common stock or warrants less discounts or commissions, if any. The Selling Securityholders reserve the right to accept and, together with their agents from time to time, to reject, in whole or in part, any proposed purchase of share of our common stock or warrants to be made directly or through agents. We will not receive any of the proceeds from any offering by the Selling Securityholders.</w:t>
      </w:r>
    </w:p>
    <w:p>
      <w:pPr>
        <w:spacing w:after="0" w:line="12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Selling Securityholders also may in the future resell a portion of our common stock or warrants in open market transactions in reliance upon Rule 144 under the Securities Act, provided that they meet the criteria and conform to the requirements of that rule, or pursuant to other available exemptions from the registration requirements of the Securities Act.</w:t>
      </w:r>
    </w:p>
    <w:p>
      <w:pPr>
        <w:spacing w:after="0" w:line="135"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The Selling Securityholders and any underwriters, broker-dealers or agents that participate in the sale of shares of our common stock or warrants or interests therein may be “underwriters” within the meaning of Section 2(11) of the Securities Act. Any discounts, commissions, concessions or profit they earn on any resale of shares of our common stock or warrants may be underwriting discounts and commissions under the Securities Act. If any Selling Securityholder is an “underwriter” within the meaning of Section 2(11) of the Securities Act, then the Selling Securityholder will be subject to the prospectus delivery requirements of the Securities Act. Underwriters and their controlling persons, dealers and agents may be entitled, under agreements entered into with us and the Selling Securityholders, to indemnification against and contribution toward specific civil liabilities, including liabilities under the Securities Act.</w:t>
      </w:r>
    </w:p>
    <w:p>
      <w:pPr>
        <w:spacing w:after="0" w:line="99"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To the extent required, our common stock or warrants to be sold, the respective purchase prices and public offering prices, the names of any agent, dealer or underwriter, and any applicable discounts, commissions, concessions or other compensation with respect to a particular offer will be set forth in an accompanying prospectus supplement or, if appropriate, a post-effective amendment to the registration statement that includes this prospectus.</w:t>
      </w:r>
    </w:p>
    <w:p>
      <w:pPr>
        <w:spacing w:after="0" w:line="8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To facilitate the offering of shares of our common stock and warrants offered by the Selling Securityholders, certain persons participating in the offering may engage in transactions that stabilize, maintain or otherwise affect the price of our common stock or warrants. This may include over-allotments or short sales, which involve the sale by persons participating in the offering of more shares of common stock or warrants than were sold to them. In these circumstances, these persons would cover such over-allotments or short positions by making purchases in the open market or by exercising their over-allotment option, if any. In addition, these persons may stabilize or maintain the price of our common stock or warrants by bidding for or purchasing shares of common stock or warrants in the open market or by imposing penalty bids, whereby selling concessions allowed to dealers participating in the offering may be reclaimed if shares of common stock or warrants sold by them are repurchased in connection with stabilization transactions. The effect of these transactions may be to stabilize or maintain the market price of our common stock or warrants at a level above that which might otherwise prevail in the open market. These transactions may be discontinued at any time. These transactions may be effected on any exchange on which the securities are traded, in the over-the-counter market or otherwise.</w:t>
      </w:r>
    </w:p>
    <w:p>
      <w:pPr>
        <w:spacing w:after="0" w:line="129"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Under the Amended and Restated Registration Rights Agreement and the Subscription Agreements, we have agreed to indemnify the applicable Selling Securityholders party thereto against certain liabilities that they may incur in connection with the sale of the securities registered hereunder, including liabilities under the Securities Act, and to contribute to payments that the Selling Securityholders may be required to make with respect thereto. In addition, we and the Selling Securityholders may agree to indemnify any underwriter, broker-dealer or agent against certain liabilities related to the selling of the securities, including liabilities arising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119" w:lineRule="exact"/>
        <w:rPr>
          <w:sz w:val="20"/>
          <w:szCs w:val="20"/>
          <w:color w:val="auto"/>
        </w:rPr>
      </w:pPr>
    </w:p>
    <w:p>
      <w:pPr>
        <w:jc w:val="both"/>
        <w:ind w:firstLine="318"/>
        <w:spacing w:after="0" w:line="296" w:lineRule="auto"/>
        <w:rPr>
          <w:sz w:val="20"/>
          <w:szCs w:val="20"/>
          <w:color w:val="auto"/>
        </w:rPr>
      </w:pPr>
      <w:r>
        <w:rPr>
          <w:rFonts w:ascii="Arial" w:cs="Arial" w:eastAsia="Arial" w:hAnsi="Arial"/>
          <w:sz w:val="15"/>
          <w:szCs w:val="15"/>
          <w:color w:val="auto"/>
        </w:rPr>
        <w:t>Under the Amended and Restated Registration Rights Agreement, we have agreed to use our commercially reasonable efforts to cause the registration statement of which this prospectus forms a part to remain effective with respect to any securities registered hereunder pursuant to such agreement until: (i) such securities have been sold, transferred, disposed of or exchanged in accordance with such registration statement; (ii) such securities have ceased to be outstanding; (iii) such securities have been otherwise transferred, new certificates for such securities not bearing a legend restricting further transfer will have been delivered by us and subsequent public distribution of such securities will not require registration under the Securities Act; (iv) with respect to a Selling Securityholder party to such agreement, all such securities held by such Selling Securityholder could be sold pursuant to Rule 144 without restriction on volume or manner of sale in any three-month period and without the requirement for us to be in compliance with the public information required under Rule 144; or (v) such securities have been sold to, or through, a broker, dealer or underwriter in a public distribution or other public securities transaction. Under each Subscription Agreement, we have agreed to our commercially reasonable efforts to maintain the continuous effectiveness of the registration statement of which this prospectus forms a part with respect to any securities registered hereunder pursuant to such agreement until: (A) with respect to a Selling Securityholder party to such agreement, such Selling Securityholder ceases to hold any such securities; (B) the date all such securities held by such Selling Securityholder may be sold without restriction under Rule 144, including without limitation, any volume and manner of sale restrictions which may be applicable to affiliates under Rule 144, and without the requirement for us to be in compliance with the current public information required under Rule 144; or</w:t>
      </w:r>
    </w:p>
    <w:p>
      <w:pPr>
        <w:spacing w:after="0" w:line="2" w:lineRule="exact"/>
        <w:rPr>
          <w:sz w:val="20"/>
          <w:szCs w:val="20"/>
          <w:color w:val="auto"/>
        </w:rPr>
      </w:pPr>
    </w:p>
    <w:p>
      <w:pPr>
        <w:jc w:val="both"/>
        <w:ind w:firstLine="6"/>
        <w:spacing w:after="0" w:line="305" w:lineRule="auto"/>
        <w:tabs>
          <w:tab w:leader="none" w:pos="290" w:val="left"/>
        </w:tabs>
        <w:numPr>
          <w:ilvl w:val="0"/>
          <w:numId w:val="98"/>
        </w:numPr>
        <w:rPr>
          <w:rFonts w:ascii="Arial" w:cs="Arial" w:eastAsia="Arial" w:hAnsi="Arial"/>
          <w:sz w:val="15"/>
          <w:szCs w:val="15"/>
          <w:color w:val="auto"/>
        </w:rPr>
      </w:pPr>
      <w:r>
        <w:rPr>
          <w:rFonts w:ascii="Arial" w:cs="Arial" w:eastAsia="Arial" w:hAnsi="Arial"/>
          <w:sz w:val="15"/>
          <w:szCs w:val="15"/>
          <w:color w:val="auto"/>
        </w:rPr>
        <w:t>when such securities shall have ceased to be outstanding or three years from the date of effectiveness of such registration statement; or (B) such shorter period upon which such Selling Securityholder has notified us that such securities have actually been sold. Under the Warrant Agreement, we have agreed to maintain the effectiveness of this registration statement in respect of the shares of common stock issuable upon the exercise of the public warrants and the private placement warrants until the expiration or redemption of such warrants. We have agreed to pay all expenses in connection with this offering, other than underwriting fees, discounts, selling commissions, stock transfer taxes and certain legal expenses. The Selling Securityholders will pay, on a pro rata basis, any underwriting fees, discounts, selling commissions, stock transfer taxes and certain legal expenses relating to the offering.</w:t>
      </w:r>
    </w:p>
    <w:p>
      <w:pPr>
        <w:spacing w:after="0" w:line="10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Selling Securityholders may use this prospectus in connection with resales of shares of our common stock and warrants. This prospectus and any accompanying prospectus supplement will identify the Selling Securityholders, the terms of our common stock or warrants and any material relationships between us and the Selling Securityholders. Selling Securityholders may be deemed to be underwriters under the Securities Act in connection with shares of our common stock or warrants they resell and any profits on the sales may be deemed to be underwriting discounts and commissions under the Securities Act. Unless otherwise set forth in a prospectus supplement, the Selling Securityholders will receive all the net proceeds from the resale of shares of our common stock or warrants.</w:t>
      </w:r>
    </w:p>
    <w:p>
      <w:pPr>
        <w:spacing w:after="0" w:line="14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 Selling Securityholder that is an entity may elect to make an in-kind distribution of common stock or warrants to its members, partners or stockholders pursuant to the registration statement of which this prospectus is a part by delivering a prospectus, as amended or supplemented. To the extent that such transferees are not affiliates of ours, such transferees will receive freely tradable shares of common stock or warrants pursuant to the distribution effected through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7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validity of the securities offered hereby will be passed upon for us by Fenwick &amp; West LLP. Any underwriters or agents will be advised about other issues relating to the offering by counsel to be named in the applicable prospectus supplement.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7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financial statements of CM Life Sciences, Inc. as of December 31, 2020, and for the period from July 10, 2020 (inception) through December 31, 2020, appearing in this prospectus have been audited by WithumSmith+Brown, PC, independent registered public accounting firm, as set forth in their report thereon, appearing elsewhere in this prospectus, and are included in reliance on such report given on the authority of such firm as an experts in auditing and accounting.</w:t>
      </w:r>
    </w:p>
    <w:p>
      <w:pPr>
        <w:spacing w:after="0" w:line="138"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financial statements of Mount Sinai Genomics, Inc. at December 31, 2020 and 2019, and for each of the three years in the period ended December 31, 2020, appearing in this prospectus and in the registration statement of which this prospectus forms part have been audited by Ernst &amp; Young LLP, independent registered public accounting firm, as set forth in their report thereon (which contains an explanatory paragraph describing conditions that raise substantial doubt about Sema4's ability to continue as a going concern as described in Note 2 to the financial statements) appearing elsewhere herein, and are included in reliance upon such report given on the authority of such firm as experts in accounting and auditing.</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0"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shares of common stock and warrants offered hereby. This prospectus, which constitutes part of the registration statement, does not contain all of the information set forth in the registration statement and the exhibits and schedules thereto. For further information with respect to our company, our common stock and warrants, reference is made to the registration statement and the exhibits and any schedules filed therewith.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You can read our SEC filings, including the registration statement, over the internet at the SEC’s website at www.sec.gov.</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are subject to the information reporting requirements of the Exchange Act and we are required to file reports, proxy statements and other information with the SEC. These reports, proxy statements, and other information are available for inspection and copying at the SEC’s website referred to above. We also maintain a website at www.sema4.com, at which you may access these materials free of charge as soon as reasonably practicable after they are electronically filed with, or furnished to, the SEC. Information contained on or accessible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0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80" w:type="dxa"/>
            <w:vAlign w:val="bottom"/>
            <w:gridSpan w:val="4"/>
          </w:tcPr>
          <w:p>
            <w:pPr>
              <w:jc w:val="center"/>
              <w:ind w:right="3540"/>
              <w:spacing w:after="0"/>
              <w:rPr>
                <w:sz w:val="20"/>
                <w:szCs w:val="20"/>
                <w:color w:val="auto"/>
              </w:rPr>
            </w:pPr>
            <w:r>
              <w:rPr>
                <w:rFonts w:ascii="Arial" w:cs="Arial" w:eastAsia="Arial" w:hAnsi="Arial"/>
                <w:sz w:val="18"/>
                <w:szCs w:val="18"/>
                <w:b w:val="1"/>
                <w:bCs w:val="1"/>
                <w:color w:val="auto"/>
                <w:w w:val="89"/>
              </w:rPr>
              <w:t>Mount Sinai Genomics, Inc.</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371"/>
        </w:trPr>
        <w:tc>
          <w:tcPr>
            <w:tcW w:w="1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80" w:type="dxa"/>
            <w:vAlign w:val="bottom"/>
            <w:gridSpan w:val="4"/>
          </w:tcPr>
          <w:p>
            <w:pPr>
              <w:jc w:val="center"/>
              <w:ind w:right="3540"/>
              <w:spacing w:after="0"/>
              <w:rPr>
                <w:sz w:val="20"/>
                <w:szCs w:val="20"/>
                <w:color w:val="auto"/>
              </w:rPr>
            </w:pPr>
            <w:r>
              <w:rPr>
                <w:rFonts w:ascii="Arial" w:cs="Arial" w:eastAsia="Arial" w:hAnsi="Arial"/>
                <w:sz w:val="18"/>
                <w:szCs w:val="18"/>
                <w:b w:val="1"/>
                <w:bCs w:val="1"/>
                <w:color w:val="auto"/>
                <w:w w:val="87"/>
              </w:rPr>
              <w:t>Financial Statements</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71"/>
        </w:trPr>
        <w:tc>
          <w:tcPr>
            <w:tcW w:w="1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900" w:type="dxa"/>
            <w:vAlign w:val="bottom"/>
            <w:gridSpan w:val="5"/>
          </w:tcPr>
          <w:p>
            <w:pPr>
              <w:jc w:val="center"/>
              <w:ind w:right="3140"/>
              <w:spacing w:after="0"/>
              <w:rPr>
                <w:sz w:val="20"/>
                <w:szCs w:val="20"/>
                <w:color w:val="auto"/>
              </w:rPr>
            </w:pPr>
            <w:r>
              <w:rPr>
                <w:rFonts w:ascii="Arial" w:cs="Arial" w:eastAsia="Arial" w:hAnsi="Arial"/>
                <w:sz w:val="18"/>
                <w:szCs w:val="18"/>
                <w:b w:val="1"/>
                <w:bCs w:val="1"/>
                <w:color w:val="auto"/>
                <w:w w:val="88"/>
              </w:rPr>
              <w:t>Years Ended December 31, 2020, 2019 and 2018</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11"/>
        </w:trPr>
        <w:tc>
          <w:tcPr>
            <w:tcW w:w="1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6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0"/>
              </w:rPr>
              <w:t>Page</w:t>
            </w:r>
          </w:p>
        </w:tc>
      </w:tr>
      <w:tr>
        <w:trPr>
          <w:trHeight w:val="180"/>
        </w:trPr>
        <w:tc>
          <w:tcPr>
            <w:tcW w:w="10620" w:type="dxa"/>
            <w:vAlign w:val="bottom"/>
            <w:gridSpan w:val="12"/>
          </w:tcPr>
          <w:p>
            <w:pPr>
              <w:spacing w:after="0" w:line="180" w:lineRule="exact"/>
              <w:rPr>
                <w:rFonts w:ascii="Arial" w:cs="Arial" w:eastAsia="Arial" w:hAnsi="Arial"/>
                <w:sz w:val="18"/>
                <w:szCs w:val="18"/>
                <w:color w:val="0000FF"/>
              </w:rPr>
            </w:pPr>
            <w:hyperlink w:anchor="page173">
              <w:r>
                <w:rPr>
                  <w:rFonts w:ascii="Arial" w:cs="Arial" w:eastAsia="Arial" w:hAnsi="Arial"/>
                  <w:sz w:val="18"/>
                  <w:szCs w:val="18"/>
                  <w:color w:val="0000FF"/>
                </w:rPr>
                <w:t>Report of Independent Registered Public Accounting Firm</w:t>
              </w:r>
            </w:hyperlink>
          </w:p>
        </w:tc>
        <w:tc>
          <w:tcPr>
            <w:tcW w:w="180" w:type="dxa"/>
            <w:vAlign w:val="bottom"/>
          </w:tcPr>
          <w:p>
            <w:pPr>
              <w:spacing w:after="0"/>
              <w:rPr>
                <w:sz w:val="15"/>
                <w:szCs w:val="15"/>
                <w:color w:val="auto"/>
              </w:rPr>
            </w:pPr>
          </w:p>
        </w:tc>
        <w:tc>
          <w:tcPr>
            <w:tcW w:w="420" w:type="dxa"/>
            <w:vAlign w:val="bottom"/>
            <w:gridSpan w:val="2"/>
          </w:tcPr>
          <w:p>
            <w:pPr>
              <w:jc w:val="center"/>
              <w:ind w:right="180"/>
              <w:spacing w:after="0" w:line="180" w:lineRule="exact"/>
              <w:rPr>
                <w:rFonts w:ascii="Arial" w:cs="Arial" w:eastAsia="Arial" w:hAnsi="Arial"/>
                <w:sz w:val="18"/>
                <w:szCs w:val="18"/>
                <w:color w:val="0000FF"/>
                <w:w w:val="88"/>
              </w:rPr>
            </w:pPr>
            <w:hyperlink w:anchor="page173">
              <w:r>
                <w:rPr>
                  <w:rFonts w:ascii="Arial" w:cs="Arial" w:eastAsia="Arial" w:hAnsi="Arial"/>
                  <w:sz w:val="18"/>
                  <w:szCs w:val="18"/>
                  <w:color w:val="0000FF"/>
                  <w:w w:val="88"/>
                </w:rPr>
                <w:t>F-2</w:t>
              </w:r>
            </w:hyperlink>
          </w:p>
        </w:tc>
      </w:tr>
      <w:tr>
        <w:trPr>
          <w:trHeight w:val="244"/>
        </w:trPr>
        <w:tc>
          <w:tcPr>
            <w:tcW w:w="414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auto"/>
              </w:rPr>
              <w:t>Financial Statements</w:t>
            </w:r>
          </w:p>
        </w:tc>
        <w:tc>
          <w:tcPr>
            <w:tcW w:w="6480" w:type="dxa"/>
            <w:vAlign w:val="bottom"/>
            <w:gridSpan w:val="4"/>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180" w:type="dxa"/>
            <w:vAlign w:val="bottom"/>
          </w:tcPr>
          <w:p>
            <w:pPr>
              <w:spacing w:after="0"/>
              <w:rPr>
                <w:sz w:val="21"/>
                <w:szCs w:val="21"/>
                <w:color w:val="auto"/>
              </w:rPr>
            </w:pPr>
          </w:p>
        </w:tc>
      </w:tr>
      <w:tr>
        <w:trPr>
          <w:trHeight w:val="187"/>
        </w:trPr>
        <w:tc>
          <w:tcPr>
            <w:tcW w:w="1080" w:type="dxa"/>
            <w:vAlign w:val="bottom"/>
          </w:tcPr>
          <w:p>
            <w:pPr>
              <w:spacing w:after="0" w:line="187" w:lineRule="exact"/>
              <w:rPr>
                <w:rFonts w:ascii="Arial" w:cs="Arial" w:eastAsia="Arial" w:hAnsi="Arial"/>
                <w:sz w:val="18"/>
                <w:szCs w:val="18"/>
                <w:color w:val="0000FF"/>
                <w:w w:val="84"/>
              </w:rPr>
            </w:pPr>
            <w:hyperlink w:anchor="page174">
              <w:r>
                <w:rPr>
                  <w:rFonts w:ascii="Arial" w:cs="Arial" w:eastAsia="Arial" w:hAnsi="Arial"/>
                  <w:sz w:val="18"/>
                  <w:szCs w:val="18"/>
                  <w:color w:val="0000FF"/>
                  <w:w w:val="84"/>
                </w:rPr>
                <w:t>Balance Sheets</w:t>
              </w:r>
            </w:hyperlink>
          </w:p>
        </w:tc>
        <w:tc>
          <w:tcPr>
            <w:tcW w:w="9540" w:type="dxa"/>
            <w:vAlign w:val="bottom"/>
            <w:gridSpan w:val="11"/>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gridSpan w:val="2"/>
          </w:tcPr>
          <w:p>
            <w:pPr>
              <w:jc w:val="center"/>
              <w:ind w:right="180"/>
              <w:spacing w:after="0" w:line="187" w:lineRule="exact"/>
              <w:rPr>
                <w:rFonts w:ascii="Arial" w:cs="Arial" w:eastAsia="Arial" w:hAnsi="Arial"/>
                <w:sz w:val="18"/>
                <w:szCs w:val="18"/>
                <w:color w:val="0000FF"/>
                <w:w w:val="88"/>
              </w:rPr>
            </w:pPr>
            <w:hyperlink w:anchor="page174">
              <w:r>
                <w:rPr>
                  <w:rFonts w:ascii="Arial" w:cs="Arial" w:eastAsia="Arial" w:hAnsi="Arial"/>
                  <w:sz w:val="18"/>
                  <w:szCs w:val="18"/>
                  <w:color w:val="0000FF"/>
                  <w:w w:val="88"/>
                </w:rPr>
                <w:t>F-3</w:t>
              </w:r>
            </w:hyperlink>
          </w:p>
        </w:tc>
      </w:tr>
      <w:tr>
        <w:trPr>
          <w:trHeight w:val="20"/>
        </w:trPr>
        <w:tc>
          <w:tcPr>
            <w:tcW w:w="10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5"/>
        </w:trPr>
        <w:tc>
          <w:tcPr>
            <w:tcW w:w="3620" w:type="dxa"/>
            <w:vAlign w:val="bottom"/>
            <w:gridSpan w:val="6"/>
          </w:tcPr>
          <w:p>
            <w:pPr>
              <w:spacing w:after="0" w:line="205" w:lineRule="exact"/>
              <w:rPr>
                <w:rFonts w:ascii="Arial" w:cs="Arial" w:eastAsia="Arial" w:hAnsi="Arial"/>
                <w:sz w:val="18"/>
                <w:szCs w:val="18"/>
                <w:color w:val="0000FF"/>
                <w:w w:val="87"/>
              </w:rPr>
            </w:pPr>
            <w:hyperlink w:anchor="page175">
              <w:r>
                <w:rPr>
                  <w:rFonts w:ascii="Arial" w:cs="Arial" w:eastAsia="Arial" w:hAnsi="Arial"/>
                  <w:sz w:val="18"/>
                  <w:szCs w:val="18"/>
                  <w:color w:val="0000FF"/>
                  <w:w w:val="87"/>
                </w:rPr>
                <w:t>Statements of Operations and Comprehensive Loss</w:t>
              </w:r>
            </w:hyperlink>
          </w:p>
        </w:tc>
        <w:tc>
          <w:tcPr>
            <w:tcW w:w="7000" w:type="dxa"/>
            <w:vAlign w:val="bottom"/>
            <w:gridSpan w:val="6"/>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gridSpan w:val="2"/>
          </w:tcPr>
          <w:p>
            <w:pPr>
              <w:jc w:val="center"/>
              <w:ind w:right="180"/>
              <w:spacing w:after="0" w:line="205" w:lineRule="exact"/>
              <w:rPr>
                <w:rFonts w:ascii="Arial" w:cs="Arial" w:eastAsia="Arial" w:hAnsi="Arial"/>
                <w:sz w:val="18"/>
                <w:szCs w:val="18"/>
                <w:color w:val="0000FF"/>
                <w:w w:val="88"/>
              </w:rPr>
            </w:pPr>
            <w:hyperlink w:anchor="page175">
              <w:r>
                <w:rPr>
                  <w:rFonts w:ascii="Arial" w:cs="Arial" w:eastAsia="Arial" w:hAnsi="Arial"/>
                  <w:sz w:val="18"/>
                  <w:szCs w:val="18"/>
                  <w:color w:val="0000FF"/>
                  <w:w w:val="88"/>
                </w:rPr>
                <w:t>F-4</w:t>
              </w:r>
            </w:hyperlink>
          </w:p>
        </w:tc>
      </w:tr>
      <w:tr>
        <w:trPr>
          <w:trHeight w:val="20"/>
        </w:trPr>
        <w:tc>
          <w:tcPr>
            <w:tcW w:w="18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5"/>
        </w:trPr>
        <w:tc>
          <w:tcPr>
            <w:tcW w:w="10620" w:type="dxa"/>
            <w:vAlign w:val="bottom"/>
            <w:gridSpan w:val="12"/>
          </w:tcPr>
          <w:p>
            <w:pPr>
              <w:spacing w:after="0" w:line="205" w:lineRule="exact"/>
              <w:rPr>
                <w:rFonts w:ascii="Arial" w:cs="Arial" w:eastAsia="Arial" w:hAnsi="Arial"/>
                <w:sz w:val="18"/>
                <w:szCs w:val="18"/>
                <w:color w:val="0000FF"/>
              </w:rPr>
            </w:pPr>
            <w:hyperlink w:anchor="page176">
              <w:r>
                <w:rPr>
                  <w:rFonts w:ascii="Arial" w:cs="Arial" w:eastAsia="Arial" w:hAnsi="Arial"/>
                  <w:sz w:val="18"/>
                  <w:szCs w:val="18"/>
                  <w:color w:val="0000FF"/>
                </w:rPr>
                <w:t>Statement of Redeemable Convertible Preferred Stock and Stockholders’ Deficit</w:t>
              </w:r>
            </w:hyperlink>
          </w:p>
        </w:tc>
        <w:tc>
          <w:tcPr>
            <w:tcW w:w="180" w:type="dxa"/>
            <w:vAlign w:val="bottom"/>
          </w:tcPr>
          <w:p>
            <w:pPr>
              <w:spacing w:after="0"/>
              <w:rPr>
                <w:sz w:val="17"/>
                <w:szCs w:val="17"/>
                <w:color w:val="auto"/>
              </w:rPr>
            </w:pPr>
          </w:p>
        </w:tc>
        <w:tc>
          <w:tcPr>
            <w:tcW w:w="420" w:type="dxa"/>
            <w:vAlign w:val="bottom"/>
            <w:gridSpan w:val="2"/>
          </w:tcPr>
          <w:p>
            <w:pPr>
              <w:jc w:val="center"/>
              <w:ind w:right="180"/>
              <w:spacing w:after="0" w:line="205" w:lineRule="exact"/>
              <w:rPr>
                <w:rFonts w:ascii="Arial" w:cs="Arial" w:eastAsia="Arial" w:hAnsi="Arial"/>
                <w:sz w:val="18"/>
                <w:szCs w:val="18"/>
                <w:color w:val="0000FF"/>
                <w:w w:val="88"/>
              </w:rPr>
            </w:pPr>
            <w:hyperlink w:anchor="page176">
              <w:r>
                <w:rPr>
                  <w:rFonts w:ascii="Arial" w:cs="Arial" w:eastAsia="Arial" w:hAnsi="Arial"/>
                  <w:sz w:val="18"/>
                  <w:szCs w:val="18"/>
                  <w:color w:val="0000FF"/>
                  <w:w w:val="88"/>
                </w:rPr>
                <w:t>F-5</w:t>
              </w:r>
            </w:hyperlink>
          </w:p>
        </w:tc>
      </w:tr>
      <w:tr>
        <w:trPr>
          <w:trHeight w:val="20"/>
        </w:trPr>
        <w:tc>
          <w:tcPr>
            <w:tcW w:w="18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5"/>
        </w:trPr>
        <w:tc>
          <w:tcPr>
            <w:tcW w:w="5700" w:type="dxa"/>
            <w:vAlign w:val="bottom"/>
            <w:gridSpan w:val="10"/>
          </w:tcPr>
          <w:p>
            <w:pPr>
              <w:spacing w:after="0" w:line="205" w:lineRule="exact"/>
              <w:rPr>
                <w:rFonts w:ascii="Arial" w:cs="Arial" w:eastAsia="Arial" w:hAnsi="Arial"/>
                <w:sz w:val="18"/>
                <w:szCs w:val="18"/>
                <w:color w:val="0000FF"/>
              </w:rPr>
            </w:pPr>
            <w:hyperlink w:anchor="page177">
              <w:r>
                <w:rPr>
                  <w:rFonts w:ascii="Arial" w:cs="Arial" w:eastAsia="Arial" w:hAnsi="Arial"/>
                  <w:sz w:val="18"/>
                  <w:szCs w:val="18"/>
                  <w:color w:val="0000FF"/>
                </w:rPr>
                <w:t>Statements of Cash Flows</w:t>
              </w:r>
            </w:hyperlink>
          </w:p>
        </w:tc>
        <w:tc>
          <w:tcPr>
            <w:tcW w:w="492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gridSpan w:val="2"/>
          </w:tcPr>
          <w:p>
            <w:pPr>
              <w:jc w:val="center"/>
              <w:ind w:right="180"/>
              <w:spacing w:after="0" w:line="205" w:lineRule="exact"/>
              <w:rPr>
                <w:rFonts w:ascii="Arial" w:cs="Arial" w:eastAsia="Arial" w:hAnsi="Arial"/>
                <w:sz w:val="18"/>
                <w:szCs w:val="18"/>
                <w:color w:val="0000FF"/>
                <w:w w:val="88"/>
              </w:rPr>
            </w:pPr>
            <w:hyperlink w:anchor="page177">
              <w:r>
                <w:rPr>
                  <w:rFonts w:ascii="Arial" w:cs="Arial" w:eastAsia="Arial" w:hAnsi="Arial"/>
                  <w:sz w:val="18"/>
                  <w:szCs w:val="18"/>
                  <w:color w:val="0000FF"/>
                  <w:w w:val="88"/>
                </w:rPr>
                <w:t>F-6</w:t>
              </w:r>
            </w:hyperlink>
          </w:p>
        </w:tc>
      </w:tr>
      <w:tr>
        <w:trPr>
          <w:trHeight w:val="20"/>
        </w:trPr>
        <w:tc>
          <w:tcPr>
            <w:tcW w:w="184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5"/>
        </w:trPr>
        <w:tc>
          <w:tcPr>
            <w:tcW w:w="10620" w:type="dxa"/>
            <w:vAlign w:val="bottom"/>
            <w:gridSpan w:val="12"/>
          </w:tcPr>
          <w:p>
            <w:pPr>
              <w:spacing w:after="0" w:line="205" w:lineRule="exact"/>
              <w:rPr>
                <w:rFonts w:ascii="Arial" w:cs="Arial" w:eastAsia="Arial" w:hAnsi="Arial"/>
                <w:sz w:val="18"/>
                <w:szCs w:val="18"/>
                <w:color w:val="0000FF"/>
              </w:rPr>
            </w:pPr>
            <w:hyperlink w:anchor="page178">
              <w:r>
                <w:rPr>
                  <w:rFonts w:ascii="Arial" w:cs="Arial" w:eastAsia="Arial" w:hAnsi="Arial"/>
                  <w:sz w:val="18"/>
                  <w:szCs w:val="18"/>
                  <w:color w:val="0000FF"/>
                </w:rPr>
                <w:t>Notes to Financial Statements</w:t>
              </w:r>
            </w:hyperlink>
          </w:p>
        </w:tc>
        <w:tc>
          <w:tcPr>
            <w:tcW w:w="180" w:type="dxa"/>
            <w:vAlign w:val="bottom"/>
          </w:tcPr>
          <w:p>
            <w:pPr>
              <w:spacing w:after="0"/>
              <w:rPr>
                <w:sz w:val="17"/>
                <w:szCs w:val="17"/>
                <w:color w:val="auto"/>
              </w:rPr>
            </w:pPr>
          </w:p>
        </w:tc>
        <w:tc>
          <w:tcPr>
            <w:tcW w:w="420" w:type="dxa"/>
            <w:vAlign w:val="bottom"/>
            <w:gridSpan w:val="2"/>
          </w:tcPr>
          <w:p>
            <w:pPr>
              <w:jc w:val="center"/>
              <w:ind w:right="180"/>
              <w:spacing w:after="0" w:line="205" w:lineRule="exact"/>
              <w:rPr>
                <w:rFonts w:ascii="Arial" w:cs="Arial" w:eastAsia="Arial" w:hAnsi="Arial"/>
                <w:sz w:val="18"/>
                <w:szCs w:val="18"/>
                <w:color w:val="0000FF"/>
                <w:w w:val="88"/>
              </w:rPr>
            </w:pPr>
            <w:hyperlink w:anchor="page178">
              <w:r>
                <w:rPr>
                  <w:rFonts w:ascii="Arial" w:cs="Arial" w:eastAsia="Arial" w:hAnsi="Arial"/>
                  <w:sz w:val="18"/>
                  <w:szCs w:val="18"/>
                  <w:color w:val="0000FF"/>
                  <w:w w:val="88"/>
                </w:rPr>
                <w:t>F-7</w:t>
              </w:r>
            </w:hyperlink>
          </w:p>
        </w:tc>
      </w:tr>
      <w:tr>
        <w:trPr>
          <w:trHeight w:val="482"/>
        </w:trPr>
        <w:tc>
          <w:tcPr>
            <w:tcW w:w="108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900" w:type="dxa"/>
            <w:vAlign w:val="bottom"/>
            <w:gridSpan w:val="5"/>
          </w:tcPr>
          <w:p>
            <w:pPr>
              <w:jc w:val="center"/>
              <w:ind w:right="3120"/>
              <w:spacing w:after="0"/>
              <w:rPr>
                <w:sz w:val="20"/>
                <w:szCs w:val="20"/>
                <w:color w:val="auto"/>
              </w:rPr>
            </w:pPr>
            <w:r>
              <w:rPr>
                <w:rFonts w:ascii="Arial" w:cs="Arial" w:eastAsia="Arial" w:hAnsi="Arial"/>
                <w:sz w:val="18"/>
                <w:szCs w:val="18"/>
                <w:b w:val="1"/>
                <w:bCs w:val="1"/>
                <w:color w:val="auto"/>
                <w:w w:val="90"/>
              </w:rPr>
              <w:t>Three Months Ended March 31, 2021 and 2020</w:t>
            </w:r>
          </w:p>
        </w:tc>
        <w:tc>
          <w:tcPr>
            <w:tcW w:w="180" w:type="dxa"/>
            <w:vAlign w:val="bottom"/>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r>
      <w:tr>
        <w:trPr>
          <w:trHeight w:val="411"/>
        </w:trPr>
        <w:tc>
          <w:tcPr>
            <w:tcW w:w="10620" w:type="dxa"/>
            <w:vAlign w:val="bottom"/>
            <w:gridSpan w:val="12"/>
          </w:tcPr>
          <w:p>
            <w:pPr>
              <w:spacing w:after="0"/>
              <w:rPr>
                <w:sz w:val="20"/>
                <w:szCs w:val="20"/>
                <w:color w:val="auto"/>
              </w:rPr>
            </w:pPr>
            <w:r>
              <w:rPr>
                <w:rFonts w:ascii="Arial" w:cs="Arial" w:eastAsia="Arial" w:hAnsi="Arial"/>
                <w:sz w:val="18"/>
                <w:szCs w:val="18"/>
                <w:color w:val="auto"/>
              </w:rPr>
              <w:t>Condensed Financial Statements (unaudited)</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87"/>
        </w:trPr>
        <w:tc>
          <w:tcPr>
            <w:tcW w:w="10620" w:type="dxa"/>
            <w:vAlign w:val="bottom"/>
            <w:gridSpan w:val="12"/>
          </w:tcPr>
          <w:p>
            <w:pPr>
              <w:spacing w:after="0" w:line="187" w:lineRule="exact"/>
              <w:rPr>
                <w:rFonts w:ascii="Arial" w:cs="Arial" w:eastAsia="Arial" w:hAnsi="Arial"/>
                <w:sz w:val="18"/>
                <w:szCs w:val="18"/>
                <w:color w:val="0000FF"/>
              </w:rPr>
            </w:pPr>
            <w:hyperlink w:anchor="page211">
              <w:r>
                <w:rPr>
                  <w:rFonts w:ascii="Arial" w:cs="Arial" w:eastAsia="Arial" w:hAnsi="Arial"/>
                  <w:sz w:val="18"/>
                  <w:szCs w:val="18"/>
                  <w:color w:val="0000FF"/>
                </w:rPr>
                <w:t>Condensed Balance Sheets (unaudited)</w:t>
              </w:r>
            </w:hyperlink>
          </w:p>
        </w:tc>
        <w:tc>
          <w:tcPr>
            <w:tcW w:w="600" w:type="dxa"/>
            <w:vAlign w:val="bottom"/>
            <w:gridSpan w:val="3"/>
          </w:tcPr>
          <w:p>
            <w:pPr>
              <w:jc w:val="center"/>
              <w:spacing w:after="0" w:line="187" w:lineRule="exact"/>
              <w:rPr>
                <w:rFonts w:ascii="Arial" w:cs="Arial" w:eastAsia="Arial" w:hAnsi="Arial"/>
                <w:sz w:val="18"/>
                <w:szCs w:val="18"/>
                <w:color w:val="0000FF"/>
                <w:w w:val="91"/>
              </w:rPr>
            </w:pPr>
            <w:hyperlink w:anchor="page211">
              <w:r>
                <w:rPr>
                  <w:rFonts w:ascii="Arial" w:cs="Arial" w:eastAsia="Arial" w:hAnsi="Arial"/>
                  <w:sz w:val="18"/>
                  <w:szCs w:val="18"/>
                  <w:color w:val="0000FF"/>
                  <w:w w:val="91"/>
                </w:rPr>
                <w:t>F-39</w:t>
              </w:r>
            </w:hyperlink>
          </w:p>
        </w:tc>
      </w:tr>
      <w:tr>
        <w:trPr>
          <w:trHeight w:val="20"/>
        </w:trPr>
        <w:tc>
          <w:tcPr>
            <w:tcW w:w="2760" w:type="dxa"/>
            <w:vAlign w:val="bottom"/>
            <w:gridSpan w:val="4"/>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r>
      <w:tr>
        <w:trPr>
          <w:trHeight w:val="205"/>
        </w:trPr>
        <w:tc>
          <w:tcPr>
            <w:tcW w:w="10620" w:type="dxa"/>
            <w:vAlign w:val="bottom"/>
            <w:gridSpan w:val="12"/>
          </w:tcPr>
          <w:p>
            <w:pPr>
              <w:spacing w:after="0" w:line="205" w:lineRule="exact"/>
              <w:rPr>
                <w:rFonts w:ascii="Arial" w:cs="Arial" w:eastAsia="Arial" w:hAnsi="Arial"/>
                <w:sz w:val="18"/>
                <w:szCs w:val="18"/>
                <w:color w:val="0000FF"/>
              </w:rPr>
            </w:pPr>
            <w:hyperlink w:anchor="page212">
              <w:r>
                <w:rPr>
                  <w:rFonts w:ascii="Arial" w:cs="Arial" w:eastAsia="Arial" w:hAnsi="Arial"/>
                  <w:sz w:val="18"/>
                  <w:szCs w:val="18"/>
                  <w:color w:val="0000FF"/>
                </w:rPr>
                <w:t>Condensed Statements of Operations and Comprehensive Loss (unaudited)</w:t>
              </w:r>
            </w:hyperlink>
          </w:p>
        </w:tc>
        <w:tc>
          <w:tcPr>
            <w:tcW w:w="600" w:type="dxa"/>
            <w:vAlign w:val="bottom"/>
            <w:gridSpan w:val="3"/>
          </w:tcPr>
          <w:p>
            <w:pPr>
              <w:jc w:val="center"/>
              <w:spacing w:after="0" w:line="205" w:lineRule="exact"/>
              <w:rPr>
                <w:rFonts w:ascii="Arial" w:cs="Arial" w:eastAsia="Arial" w:hAnsi="Arial"/>
                <w:sz w:val="18"/>
                <w:szCs w:val="18"/>
                <w:color w:val="0000FF"/>
                <w:w w:val="91"/>
              </w:rPr>
            </w:pPr>
            <w:hyperlink w:anchor="page212">
              <w:r>
                <w:rPr>
                  <w:rFonts w:ascii="Arial" w:cs="Arial" w:eastAsia="Arial" w:hAnsi="Arial"/>
                  <w:sz w:val="18"/>
                  <w:szCs w:val="18"/>
                  <w:color w:val="0000FF"/>
                  <w:w w:val="91"/>
                </w:rPr>
                <w:t>F-41</w:t>
              </w:r>
            </w:hyperlink>
          </w:p>
        </w:tc>
      </w:tr>
      <w:tr>
        <w:trPr>
          <w:trHeight w:val="20"/>
        </w:trPr>
        <w:tc>
          <w:tcPr>
            <w:tcW w:w="3540" w:type="dxa"/>
            <w:vAlign w:val="bottom"/>
            <w:gridSpan w:val="5"/>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r>
      <w:tr>
        <w:trPr>
          <w:trHeight w:val="205"/>
        </w:trPr>
        <w:tc>
          <w:tcPr>
            <w:tcW w:w="10620" w:type="dxa"/>
            <w:vAlign w:val="bottom"/>
            <w:gridSpan w:val="12"/>
          </w:tcPr>
          <w:p>
            <w:pPr>
              <w:spacing w:after="0" w:line="205" w:lineRule="exact"/>
              <w:rPr>
                <w:rFonts w:ascii="Arial" w:cs="Arial" w:eastAsia="Arial" w:hAnsi="Arial"/>
                <w:sz w:val="18"/>
                <w:szCs w:val="18"/>
                <w:color w:val="0000FF"/>
              </w:rPr>
            </w:pPr>
            <w:hyperlink w:anchor="page213">
              <w:r>
                <w:rPr>
                  <w:rFonts w:ascii="Arial" w:cs="Arial" w:eastAsia="Arial" w:hAnsi="Arial"/>
                  <w:sz w:val="18"/>
                  <w:szCs w:val="18"/>
                  <w:color w:val="0000FF"/>
                </w:rPr>
                <w:t>Condensed Statement of Redeemable Convertible Preferred Stock and Stockholders’ Deficit (unaudited)</w:t>
              </w:r>
            </w:hyperlink>
          </w:p>
        </w:tc>
        <w:tc>
          <w:tcPr>
            <w:tcW w:w="600" w:type="dxa"/>
            <w:vAlign w:val="bottom"/>
            <w:gridSpan w:val="3"/>
          </w:tcPr>
          <w:p>
            <w:pPr>
              <w:jc w:val="center"/>
              <w:spacing w:after="0" w:line="205" w:lineRule="exact"/>
              <w:rPr>
                <w:rFonts w:ascii="Arial" w:cs="Arial" w:eastAsia="Arial" w:hAnsi="Arial"/>
                <w:sz w:val="18"/>
                <w:szCs w:val="18"/>
                <w:color w:val="0000FF"/>
                <w:w w:val="91"/>
              </w:rPr>
            </w:pPr>
            <w:hyperlink w:anchor="page213">
              <w:r>
                <w:rPr>
                  <w:rFonts w:ascii="Arial" w:cs="Arial" w:eastAsia="Arial" w:hAnsi="Arial"/>
                  <w:sz w:val="18"/>
                  <w:szCs w:val="18"/>
                  <w:color w:val="0000FF"/>
                  <w:w w:val="91"/>
                </w:rPr>
                <w:t>F-42</w:t>
              </w:r>
            </w:hyperlink>
          </w:p>
        </w:tc>
      </w:tr>
      <w:tr>
        <w:trPr>
          <w:trHeight w:val="20"/>
        </w:trPr>
        <w:tc>
          <w:tcPr>
            <w:tcW w:w="3540" w:type="dxa"/>
            <w:vAlign w:val="bottom"/>
            <w:gridSpan w:val="5"/>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660" w:type="dxa"/>
            <w:vAlign w:val="bottom"/>
            <w:gridSpan w:val="4"/>
            <w:shd w:val="clear" w:color="auto" w:fill="0000FF"/>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r>
      <w:tr>
        <w:trPr>
          <w:trHeight w:val="205"/>
        </w:trPr>
        <w:tc>
          <w:tcPr>
            <w:tcW w:w="3540" w:type="dxa"/>
            <w:vAlign w:val="bottom"/>
            <w:gridSpan w:val="5"/>
          </w:tcPr>
          <w:p>
            <w:pPr>
              <w:spacing w:after="0" w:line="205" w:lineRule="exact"/>
              <w:rPr>
                <w:rFonts w:ascii="Arial" w:cs="Arial" w:eastAsia="Arial" w:hAnsi="Arial"/>
                <w:sz w:val="18"/>
                <w:szCs w:val="18"/>
                <w:color w:val="0000FF"/>
                <w:w w:val="87"/>
              </w:rPr>
            </w:pPr>
            <w:hyperlink w:anchor="page214">
              <w:r>
                <w:rPr>
                  <w:rFonts w:ascii="Arial" w:cs="Arial" w:eastAsia="Arial" w:hAnsi="Arial"/>
                  <w:sz w:val="18"/>
                  <w:szCs w:val="18"/>
                  <w:color w:val="0000FF"/>
                  <w:w w:val="87"/>
                </w:rPr>
                <w:t>Condensed Statements of Cash Flows (unaudited)</w:t>
              </w:r>
            </w:hyperlink>
          </w:p>
        </w:tc>
        <w:tc>
          <w:tcPr>
            <w:tcW w:w="3840" w:type="dxa"/>
            <w:vAlign w:val="bottom"/>
            <w:gridSpan w:val="6"/>
          </w:tcPr>
          <w:p>
            <w:pPr>
              <w:spacing w:after="0"/>
              <w:rPr>
                <w:sz w:val="17"/>
                <w:szCs w:val="17"/>
                <w:color w:val="auto"/>
              </w:rPr>
            </w:pPr>
          </w:p>
        </w:tc>
        <w:tc>
          <w:tcPr>
            <w:tcW w:w="3240" w:type="dxa"/>
            <w:vAlign w:val="bottom"/>
          </w:tcPr>
          <w:p>
            <w:pPr>
              <w:spacing w:after="0"/>
              <w:rPr>
                <w:sz w:val="17"/>
                <w:szCs w:val="17"/>
                <w:color w:val="auto"/>
              </w:rPr>
            </w:pPr>
          </w:p>
        </w:tc>
        <w:tc>
          <w:tcPr>
            <w:tcW w:w="600" w:type="dxa"/>
            <w:vAlign w:val="bottom"/>
            <w:gridSpan w:val="3"/>
          </w:tcPr>
          <w:p>
            <w:pPr>
              <w:jc w:val="center"/>
              <w:spacing w:after="0" w:line="205" w:lineRule="exact"/>
              <w:rPr>
                <w:rFonts w:ascii="Arial" w:cs="Arial" w:eastAsia="Arial" w:hAnsi="Arial"/>
                <w:sz w:val="18"/>
                <w:szCs w:val="18"/>
                <w:color w:val="0000FF"/>
                <w:w w:val="91"/>
              </w:rPr>
            </w:pPr>
            <w:hyperlink w:anchor="page214">
              <w:r>
                <w:rPr>
                  <w:rFonts w:ascii="Arial" w:cs="Arial" w:eastAsia="Arial" w:hAnsi="Arial"/>
                  <w:sz w:val="18"/>
                  <w:szCs w:val="18"/>
                  <w:color w:val="0000FF"/>
                  <w:w w:val="91"/>
                </w:rPr>
                <w:t>F-43</w:t>
              </w:r>
            </w:hyperlink>
          </w:p>
        </w:tc>
      </w:tr>
      <w:tr>
        <w:trPr>
          <w:trHeight w:val="20"/>
        </w:trPr>
        <w:tc>
          <w:tcPr>
            <w:tcW w:w="10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r>
      <w:tr>
        <w:trPr>
          <w:trHeight w:val="205"/>
        </w:trPr>
        <w:tc>
          <w:tcPr>
            <w:tcW w:w="10620" w:type="dxa"/>
            <w:vAlign w:val="bottom"/>
            <w:gridSpan w:val="12"/>
          </w:tcPr>
          <w:p>
            <w:pPr>
              <w:spacing w:after="0" w:line="205" w:lineRule="exact"/>
              <w:rPr>
                <w:rFonts w:ascii="Arial" w:cs="Arial" w:eastAsia="Arial" w:hAnsi="Arial"/>
                <w:sz w:val="18"/>
                <w:szCs w:val="18"/>
                <w:color w:val="0000FF"/>
              </w:rPr>
            </w:pPr>
            <w:hyperlink w:anchor="page215">
              <w:r>
                <w:rPr>
                  <w:rFonts w:ascii="Arial" w:cs="Arial" w:eastAsia="Arial" w:hAnsi="Arial"/>
                  <w:sz w:val="18"/>
                  <w:szCs w:val="18"/>
                  <w:color w:val="0000FF"/>
                </w:rPr>
                <w:t>Notes to Unaudited Condensed Financial Statements</w:t>
              </w:r>
            </w:hyperlink>
          </w:p>
        </w:tc>
        <w:tc>
          <w:tcPr>
            <w:tcW w:w="600" w:type="dxa"/>
            <w:vAlign w:val="bottom"/>
            <w:gridSpan w:val="3"/>
          </w:tcPr>
          <w:p>
            <w:pPr>
              <w:jc w:val="center"/>
              <w:spacing w:after="0" w:line="205" w:lineRule="exact"/>
              <w:rPr>
                <w:rFonts w:ascii="Arial" w:cs="Arial" w:eastAsia="Arial" w:hAnsi="Arial"/>
                <w:sz w:val="18"/>
                <w:szCs w:val="18"/>
                <w:color w:val="0000FF"/>
                <w:w w:val="91"/>
              </w:rPr>
            </w:pPr>
            <w:hyperlink w:anchor="page215">
              <w:r>
                <w:rPr>
                  <w:rFonts w:ascii="Arial" w:cs="Arial" w:eastAsia="Arial" w:hAnsi="Arial"/>
                  <w:sz w:val="18"/>
                  <w:szCs w:val="18"/>
                  <w:color w:val="0000FF"/>
                  <w:w w:val="91"/>
                </w:rPr>
                <w:t>F-44</w:t>
              </w:r>
            </w:hyperlink>
          </w:p>
        </w:tc>
      </w:tr>
      <w:tr>
        <w:trPr>
          <w:trHeight w:val="20"/>
        </w:trPr>
        <w:tc>
          <w:tcPr>
            <w:tcW w:w="10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220"/>
          </w:cols>
          <w:pgMar w:left="340" w:top="1440" w:right="339" w:bottom="1440" w:gutter="0" w:footer="0" w:header="0"/>
        </w:sectPr>
      </w:pPr>
    </w:p>
    <w:bookmarkStart w:id="173" w:name="page174"/>
    <w:bookmarkEnd w:id="173"/>
    <w:p>
      <w:pPr>
        <w:spacing w:after="0" w:line="113" w:lineRule="exact"/>
        <w:rPr>
          <w:sz w:val="20"/>
          <w:szCs w:val="20"/>
          <w:color w:val="auto"/>
        </w:rPr>
      </w:pPr>
    </w:p>
    <w:p>
      <w:pPr>
        <w:ind w:right="3400" w:firstLine="3407"/>
        <w:spacing w:after="0" w:line="432"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Shareholders and the Board of Directors of Mount Sinai Genomics, Inc. </w:t>
      </w:r>
      <w:r>
        <w:rPr>
          <w:rFonts w:ascii="Arial" w:cs="Arial" w:eastAsia="Arial" w:hAnsi="Arial"/>
          <w:sz w:val="18"/>
          <w:szCs w:val="18"/>
          <w:b w:val="1"/>
          <w:bCs w:val="1"/>
          <w:color w:val="auto"/>
        </w:rPr>
        <w:t>Opinion on the Financial Statements</w:t>
      </w:r>
    </w:p>
    <w:p>
      <w:pPr>
        <w:spacing w:after="0" w:line="1"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We have audited the accompanying balance sheets of Mount Sinai Genomics, Inc. (the Company) as of December 31, 2020 and 2019, the related statements of operations and comprehensive loss, redeemable convertible preferred stock and stockholders’ deficit and cash flows for each of the three years in the period ended December 31, 2020, and the related notes (collectively referred to as the “financial statements”). In our opinion, the financial statements present fairly, in all material respects, the financial position of the Company at December 31, 2020 and 2019, and the results of its operations and its cash flows for each of the three years in the period ended December 31, 2020, in conformity with U.S. generally accepted accounting principles.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8"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98"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Ability to Continue as a Going Concern</w:t>
      </w:r>
    </w:p>
    <w:p>
      <w:pPr>
        <w:spacing w:after="0" w:line="17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As discussed in Note 2 to the financial statements, the Company has suffered recurring losses, and expects to continue to do so, has an accumulated deficit and has stated that substantial doubt exists about the Company’s ability to continue as a going concern. Management's evaluation of the events and conditions and management’s plans regarding these matters are also described in Note 2. The financial statements do not include any adjustments that might result from the outcome of this uncertainty. Our opinion is not modified with respect to this matter.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May 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40"/>
          </w:cols>
          <w:pgMar w:left="320" w:top="1440" w:right="339" w:bottom="1440" w:gutter="0" w:footer="0" w:header="0"/>
        </w:sectPr>
      </w:pPr>
    </w:p>
    <w:bookmarkStart w:id="174" w:name="page175"/>
    <w:bookmarkEnd w:id="174"/>
    <w:p>
      <w:pPr>
        <w:jc w:val="center"/>
        <w:spacing w:after="0"/>
        <w:rPr>
          <w:sz w:val="20"/>
          <w:szCs w:val="20"/>
          <w:color w:val="auto"/>
        </w:rPr>
      </w:pPr>
      <w:r>
        <w:rPr>
          <w:rFonts w:ascii="Arial" w:cs="Arial" w:eastAsia="Arial" w:hAnsi="Arial"/>
          <w:sz w:val="18"/>
          <w:szCs w:val="18"/>
          <w:b w:val="1"/>
          <w:bCs w:val="1"/>
          <w:color w:val="auto"/>
        </w:rPr>
        <w:t>Mount Sinai Genomics, Inc.</w:t>
      </w:r>
    </w:p>
    <w:p>
      <w:pPr>
        <w:jc w:val="center"/>
        <w:spacing w:after="0" w:line="215" w:lineRule="auto"/>
        <w:rPr>
          <w:sz w:val="20"/>
          <w:szCs w:val="20"/>
          <w:color w:val="auto"/>
        </w:rPr>
      </w:pPr>
      <w:r>
        <w:rPr>
          <w:rFonts w:ascii="Arial" w:cs="Arial" w:eastAsia="Arial" w:hAnsi="Arial"/>
          <w:sz w:val="18"/>
          <w:szCs w:val="18"/>
          <w:b w:val="1"/>
          <w:bCs w:val="1"/>
          <w:color w:val="auto"/>
        </w:rPr>
        <w:t>Balance Sheets</w:t>
      </w: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2"/>
                <w:szCs w:val="12"/>
                <w:b w:val="1"/>
                <w:bCs w:val="1"/>
                <w:color w:val="auto"/>
              </w:rPr>
              <w:t>December 31,</w:t>
            </w:r>
          </w:p>
        </w:tc>
        <w:tc>
          <w:tcPr>
            <w:tcW w:w="10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02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2020</w:t>
            </w: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90"/>
              <w:spacing w:after="0"/>
              <w:rPr>
                <w:sz w:val="20"/>
                <w:szCs w:val="20"/>
                <w:color w:val="auto"/>
              </w:rPr>
            </w:pPr>
            <w:r>
              <w:rPr>
                <w:rFonts w:ascii="Arial" w:cs="Arial" w:eastAsia="Arial" w:hAnsi="Arial"/>
                <w:sz w:val="12"/>
                <w:szCs w:val="12"/>
                <w:b w:val="1"/>
                <w:bCs w:val="1"/>
                <w:color w:val="auto"/>
              </w:rPr>
              <w:t>2019</w:t>
            </w:r>
          </w:p>
        </w:tc>
        <w:tc>
          <w:tcPr>
            <w:tcW w:w="0" w:type="dxa"/>
            <w:vAlign w:val="bottom"/>
          </w:tcPr>
          <w:p>
            <w:pPr>
              <w:spacing w:after="0"/>
              <w:rPr>
                <w:sz w:val="1"/>
                <w:szCs w:val="1"/>
                <w:color w:val="auto"/>
              </w:rPr>
            </w:pPr>
          </w:p>
        </w:tc>
      </w:tr>
      <w:tr>
        <w:trPr>
          <w:trHeight w:val="172"/>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9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02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Cash and cash equivalents</w:t>
            </w:r>
          </w:p>
        </w:tc>
        <w:tc>
          <w:tcPr>
            <w:tcW w:w="940" w:type="dxa"/>
            <w:vAlign w:val="bottom"/>
            <w:shd w:val="clear" w:color="auto" w:fill="CCEEFF"/>
          </w:tcPr>
          <w:p>
            <w:pPr>
              <w:jc w:val="right"/>
              <w:ind w:right="771"/>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108,132</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32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115,006</w:t>
            </w:r>
          </w:p>
        </w:tc>
        <w:tc>
          <w:tcPr>
            <w:tcW w:w="0" w:type="dxa"/>
            <w:vAlign w:val="bottom"/>
          </w:tcPr>
          <w:p>
            <w:pPr>
              <w:spacing w:after="0"/>
              <w:rPr>
                <w:sz w:val="1"/>
                <w:szCs w:val="1"/>
                <w:color w:val="auto"/>
              </w:rPr>
            </w:pPr>
          </w:p>
        </w:tc>
      </w:tr>
      <w:tr>
        <w:trPr>
          <w:trHeight w:val="183"/>
        </w:trPr>
        <w:tc>
          <w:tcPr>
            <w:tcW w:w="8020" w:type="dxa"/>
            <w:vAlign w:val="bottom"/>
          </w:tcPr>
          <w:p>
            <w:pPr>
              <w:ind w:left="240"/>
              <w:spacing w:after="0"/>
              <w:rPr>
                <w:sz w:val="20"/>
                <w:szCs w:val="20"/>
                <w:color w:val="auto"/>
              </w:rPr>
            </w:pPr>
            <w:r>
              <w:rPr>
                <w:rFonts w:ascii="Arial" w:cs="Arial" w:eastAsia="Arial" w:hAnsi="Arial"/>
                <w:sz w:val="14"/>
                <w:szCs w:val="14"/>
                <w:color w:val="auto"/>
              </w:rPr>
              <w:t>Accounts receivable</w:t>
            </w:r>
          </w:p>
        </w:tc>
        <w:tc>
          <w:tcPr>
            <w:tcW w:w="9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32,044</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21,433</w:t>
            </w:r>
          </w:p>
        </w:tc>
        <w:tc>
          <w:tcPr>
            <w:tcW w:w="0" w:type="dxa"/>
            <w:vAlign w:val="bottom"/>
          </w:tcPr>
          <w:p>
            <w:pPr>
              <w:spacing w:after="0"/>
              <w:rPr>
                <w:sz w:val="1"/>
                <w:szCs w:val="1"/>
                <w:color w:val="auto"/>
              </w:rPr>
            </w:pPr>
          </w:p>
        </w:tc>
      </w:tr>
      <w:tr>
        <w:trPr>
          <w:trHeight w:val="188"/>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Due from related parties</w:t>
            </w:r>
          </w:p>
        </w:tc>
        <w:tc>
          <w:tcPr>
            <w:tcW w:w="9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w:t>
            </w:r>
          </w:p>
        </w:tc>
        <w:tc>
          <w:tcPr>
            <w:tcW w:w="0" w:type="dxa"/>
            <w:vAlign w:val="bottom"/>
          </w:tcPr>
          <w:p>
            <w:pPr>
              <w:spacing w:after="0"/>
              <w:rPr>
                <w:sz w:val="1"/>
                <w:szCs w:val="1"/>
                <w:color w:val="auto"/>
              </w:rPr>
            </w:pPr>
          </w:p>
        </w:tc>
      </w:tr>
      <w:tr>
        <w:trPr>
          <w:trHeight w:val="183"/>
        </w:trPr>
        <w:tc>
          <w:tcPr>
            <w:tcW w:w="8020" w:type="dxa"/>
            <w:vAlign w:val="bottom"/>
          </w:tcPr>
          <w:p>
            <w:pPr>
              <w:ind w:left="240"/>
              <w:spacing w:after="0"/>
              <w:rPr>
                <w:sz w:val="20"/>
                <w:szCs w:val="20"/>
                <w:color w:val="auto"/>
              </w:rPr>
            </w:pPr>
            <w:r>
              <w:rPr>
                <w:rFonts w:ascii="Arial" w:cs="Arial" w:eastAsia="Arial" w:hAnsi="Arial"/>
                <w:sz w:val="14"/>
                <w:szCs w:val="14"/>
                <w:color w:val="auto"/>
              </w:rPr>
              <w:t>Inventory</w:t>
            </w:r>
          </w:p>
        </w:tc>
        <w:tc>
          <w:tcPr>
            <w:tcW w:w="9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24,962</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15,983</w:t>
            </w:r>
          </w:p>
        </w:tc>
        <w:tc>
          <w:tcPr>
            <w:tcW w:w="0" w:type="dxa"/>
            <w:vAlign w:val="bottom"/>
          </w:tcPr>
          <w:p>
            <w:pPr>
              <w:spacing w:after="0"/>
              <w:rPr>
                <w:sz w:val="1"/>
                <w:szCs w:val="1"/>
                <w:color w:val="auto"/>
              </w:rPr>
            </w:pPr>
          </w:p>
        </w:tc>
      </w:tr>
      <w:tr>
        <w:trPr>
          <w:trHeight w:val="185"/>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Prepaid expenses and other current assets</w:t>
            </w:r>
          </w:p>
        </w:tc>
        <w:tc>
          <w:tcPr>
            <w:tcW w:w="9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8,681</w:t>
            </w: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11,179</w:t>
            </w:r>
          </w:p>
        </w:tc>
        <w:tc>
          <w:tcPr>
            <w:tcW w:w="0" w:type="dxa"/>
            <w:vAlign w:val="bottom"/>
          </w:tcPr>
          <w:p>
            <w:pPr>
              <w:spacing w:after="0"/>
              <w:rPr>
                <w:sz w:val="1"/>
                <w:szCs w:val="1"/>
                <w:color w:val="auto"/>
              </w:rPr>
            </w:pPr>
          </w:p>
        </w:tc>
      </w:tr>
      <w:tr>
        <w:trPr>
          <w:trHeight w:val="182"/>
        </w:trPr>
        <w:tc>
          <w:tcPr>
            <w:tcW w:w="8020" w:type="dxa"/>
            <w:vAlign w:val="bottom"/>
          </w:tcPr>
          <w:p>
            <w:pPr>
              <w:ind w:left="440"/>
              <w:spacing w:after="0"/>
              <w:rPr>
                <w:sz w:val="20"/>
                <w:szCs w:val="20"/>
                <w:color w:val="auto"/>
              </w:rPr>
            </w:pPr>
            <w:r>
              <w:rPr>
                <w:rFonts w:ascii="Arial" w:cs="Arial" w:eastAsia="Arial" w:hAnsi="Arial"/>
                <w:sz w:val="14"/>
                <w:szCs w:val="14"/>
                <w:color w:val="auto"/>
              </w:rPr>
              <w:t>Total current assets</w:t>
            </w:r>
          </w:p>
        </w:tc>
        <w:tc>
          <w:tcPr>
            <w:tcW w:w="9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174,108</w:t>
            </w:r>
          </w:p>
        </w:tc>
        <w:tc>
          <w:tcPr>
            <w:tcW w:w="1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163,805</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9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63,110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35,263</w:t>
            </w:r>
          </w:p>
        </w:tc>
        <w:tc>
          <w:tcPr>
            <w:tcW w:w="0" w:type="dxa"/>
            <w:vAlign w:val="bottom"/>
          </w:tcPr>
          <w:p>
            <w:pPr>
              <w:spacing w:after="0"/>
              <w:rPr>
                <w:sz w:val="1"/>
                <w:szCs w:val="1"/>
                <w:color w:val="auto"/>
              </w:rPr>
            </w:pPr>
          </w:p>
        </w:tc>
      </w:tr>
      <w:tr>
        <w:trPr>
          <w:trHeight w:val="183"/>
        </w:trPr>
        <w:tc>
          <w:tcPr>
            <w:tcW w:w="8020" w:type="dxa"/>
            <w:vAlign w:val="bottom"/>
          </w:tcPr>
          <w:p>
            <w:pPr>
              <w:ind w:left="20"/>
              <w:spacing w:after="0"/>
              <w:rPr>
                <w:sz w:val="20"/>
                <w:szCs w:val="20"/>
                <w:color w:val="auto"/>
              </w:rPr>
            </w:pPr>
            <w:r>
              <w:rPr>
                <w:rFonts w:ascii="Arial" w:cs="Arial" w:eastAsia="Arial" w:hAnsi="Arial"/>
                <w:sz w:val="14"/>
                <w:szCs w:val="14"/>
                <w:color w:val="auto"/>
              </w:rPr>
              <w:t>Restricted cash</w:t>
            </w:r>
          </w:p>
        </w:tc>
        <w:tc>
          <w:tcPr>
            <w:tcW w:w="9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10,828</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9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3,596</w:t>
            </w: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4,771</w:t>
            </w:r>
          </w:p>
        </w:tc>
        <w:tc>
          <w:tcPr>
            <w:tcW w:w="0" w:type="dxa"/>
            <w:vAlign w:val="bottom"/>
          </w:tcPr>
          <w:p>
            <w:pPr>
              <w:spacing w:after="0"/>
              <w:rPr>
                <w:sz w:val="1"/>
                <w:szCs w:val="1"/>
                <w:color w:val="auto"/>
              </w:rPr>
            </w:pPr>
          </w:p>
        </w:tc>
      </w:tr>
      <w:tr>
        <w:trPr>
          <w:trHeight w:val="182"/>
        </w:trPr>
        <w:tc>
          <w:tcPr>
            <w:tcW w:w="8020" w:type="dxa"/>
            <w:vAlign w:val="bottom"/>
          </w:tcPr>
          <w:p>
            <w:pPr>
              <w:ind w:left="240"/>
              <w:spacing w:after="0"/>
              <w:rPr>
                <w:sz w:val="20"/>
                <w:szCs w:val="20"/>
                <w:color w:val="auto"/>
              </w:rPr>
            </w:pPr>
            <w:r>
              <w:rPr>
                <w:rFonts w:ascii="Arial" w:cs="Arial" w:eastAsia="Arial" w:hAnsi="Arial"/>
                <w:sz w:val="14"/>
                <w:szCs w:val="14"/>
                <w:color w:val="auto"/>
              </w:rPr>
              <w:t>Total assets</w:t>
            </w:r>
          </w:p>
        </w:tc>
        <w:tc>
          <w:tcPr>
            <w:tcW w:w="940" w:type="dxa"/>
            <w:vAlign w:val="bottom"/>
            <w:tcBorders>
              <w:bottom w:val="single" w:sz="8" w:color="auto"/>
            </w:tcBorders>
          </w:tcPr>
          <w:p>
            <w:pPr>
              <w:jc w:val="right"/>
              <w:ind w:right="771"/>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251,642</w:t>
            </w:r>
          </w:p>
        </w:tc>
        <w:tc>
          <w:tcPr>
            <w:tcW w:w="100" w:type="dxa"/>
            <w:vAlign w:val="bottom"/>
          </w:tcPr>
          <w:p>
            <w:pPr>
              <w:spacing w:after="0"/>
              <w:rPr>
                <w:sz w:val="15"/>
                <w:szCs w:val="15"/>
                <w:color w:val="auto"/>
              </w:rPr>
            </w:pPr>
          </w:p>
        </w:tc>
        <w:tc>
          <w:tcPr>
            <w:tcW w:w="48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203,839</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8020" w:type="dxa"/>
            <w:vAlign w:val="bottom"/>
            <w:shd w:val="clear" w:color="auto" w:fill="CCEEFF"/>
          </w:tcPr>
          <w:p>
            <w:pPr>
              <w:ind w:left="20"/>
              <w:spacing w:after="0" w:line="152" w:lineRule="exact"/>
              <w:rPr>
                <w:sz w:val="20"/>
                <w:szCs w:val="20"/>
                <w:color w:val="auto"/>
              </w:rPr>
            </w:pPr>
            <w:r>
              <w:rPr>
                <w:rFonts w:ascii="Arial" w:cs="Arial" w:eastAsia="Arial" w:hAnsi="Arial"/>
                <w:sz w:val="14"/>
                <w:szCs w:val="14"/>
                <w:b w:val="1"/>
                <w:bCs w:val="1"/>
                <w:color w:val="auto"/>
              </w:rPr>
              <w:t>Liabilities, Redeemable Convertible Preferred Stock and Stockholders’ Deficit</w:t>
            </w:r>
          </w:p>
        </w:tc>
        <w:tc>
          <w:tcPr>
            <w:tcW w:w="9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802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Accounts payable</w:t>
            </w:r>
          </w:p>
        </w:tc>
        <w:tc>
          <w:tcPr>
            <w:tcW w:w="940" w:type="dxa"/>
            <w:vAlign w:val="bottom"/>
            <w:shd w:val="clear" w:color="auto" w:fill="CCEEFF"/>
          </w:tcPr>
          <w:p>
            <w:pPr>
              <w:jc w:val="right"/>
              <w:ind w:right="771"/>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26,737</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32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17,475</w:t>
            </w:r>
          </w:p>
        </w:tc>
        <w:tc>
          <w:tcPr>
            <w:tcW w:w="0" w:type="dxa"/>
            <w:vAlign w:val="bottom"/>
          </w:tcPr>
          <w:p>
            <w:pPr>
              <w:spacing w:after="0"/>
              <w:rPr>
                <w:sz w:val="1"/>
                <w:szCs w:val="1"/>
                <w:color w:val="auto"/>
              </w:rPr>
            </w:pPr>
          </w:p>
        </w:tc>
      </w:tr>
      <w:tr>
        <w:trPr>
          <w:trHeight w:val="183"/>
        </w:trPr>
        <w:tc>
          <w:tcPr>
            <w:tcW w:w="8020" w:type="dxa"/>
            <w:vAlign w:val="bottom"/>
          </w:tcPr>
          <w:p>
            <w:pPr>
              <w:ind w:left="240"/>
              <w:spacing w:after="0"/>
              <w:rPr>
                <w:sz w:val="20"/>
                <w:szCs w:val="20"/>
                <w:color w:val="auto"/>
              </w:rPr>
            </w:pPr>
            <w:r>
              <w:rPr>
                <w:rFonts w:ascii="Arial" w:cs="Arial" w:eastAsia="Arial" w:hAnsi="Arial"/>
                <w:sz w:val="14"/>
                <w:szCs w:val="14"/>
                <w:color w:val="auto"/>
              </w:rPr>
              <w:t>Accrued expenses</w:t>
            </w:r>
          </w:p>
        </w:tc>
        <w:tc>
          <w:tcPr>
            <w:tcW w:w="9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11,854</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6,250</w:t>
            </w:r>
          </w:p>
        </w:tc>
        <w:tc>
          <w:tcPr>
            <w:tcW w:w="0" w:type="dxa"/>
            <w:vAlign w:val="bottom"/>
          </w:tcPr>
          <w:p>
            <w:pPr>
              <w:spacing w:after="0"/>
              <w:rPr>
                <w:sz w:val="1"/>
                <w:szCs w:val="1"/>
                <w:color w:val="auto"/>
              </w:rPr>
            </w:pPr>
          </w:p>
        </w:tc>
      </w:tr>
      <w:tr>
        <w:trPr>
          <w:trHeight w:val="188"/>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Due to related parties</w:t>
            </w:r>
          </w:p>
        </w:tc>
        <w:tc>
          <w:tcPr>
            <w:tcW w:w="9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1,425</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1,782</w:t>
            </w:r>
          </w:p>
        </w:tc>
        <w:tc>
          <w:tcPr>
            <w:tcW w:w="0" w:type="dxa"/>
            <w:vAlign w:val="bottom"/>
          </w:tcPr>
          <w:p>
            <w:pPr>
              <w:spacing w:after="0"/>
              <w:rPr>
                <w:sz w:val="1"/>
                <w:szCs w:val="1"/>
                <w:color w:val="auto"/>
              </w:rPr>
            </w:pPr>
          </w:p>
        </w:tc>
      </w:tr>
      <w:tr>
        <w:trPr>
          <w:trHeight w:val="183"/>
        </w:trPr>
        <w:tc>
          <w:tcPr>
            <w:tcW w:w="8020" w:type="dxa"/>
            <w:vAlign w:val="bottom"/>
          </w:tcPr>
          <w:p>
            <w:pPr>
              <w:ind w:left="240"/>
              <w:spacing w:after="0"/>
              <w:rPr>
                <w:sz w:val="20"/>
                <w:szCs w:val="20"/>
                <w:color w:val="auto"/>
              </w:rPr>
            </w:pPr>
            <w:r>
              <w:rPr>
                <w:rFonts w:ascii="Arial" w:cs="Arial" w:eastAsia="Arial" w:hAnsi="Arial"/>
                <w:sz w:val="14"/>
                <w:szCs w:val="14"/>
                <w:color w:val="auto"/>
              </w:rPr>
              <w:t>Current portion of capital lease obligations</w:t>
            </w:r>
          </w:p>
        </w:tc>
        <w:tc>
          <w:tcPr>
            <w:tcW w:w="9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3,506</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2,713</w:t>
            </w:r>
          </w:p>
        </w:tc>
        <w:tc>
          <w:tcPr>
            <w:tcW w:w="0" w:type="dxa"/>
            <w:vAlign w:val="bottom"/>
          </w:tcPr>
          <w:p>
            <w:pPr>
              <w:spacing w:after="0"/>
              <w:rPr>
                <w:sz w:val="1"/>
                <w:szCs w:val="1"/>
                <w:color w:val="auto"/>
              </w:rPr>
            </w:pPr>
          </w:p>
        </w:tc>
      </w:tr>
      <w:tr>
        <w:trPr>
          <w:trHeight w:val="188"/>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Current contract liabilities</w:t>
            </w:r>
          </w:p>
        </w:tc>
        <w:tc>
          <w:tcPr>
            <w:tcW w:w="9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1,783</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1,559</w:t>
            </w:r>
          </w:p>
        </w:tc>
        <w:tc>
          <w:tcPr>
            <w:tcW w:w="0" w:type="dxa"/>
            <w:vAlign w:val="bottom"/>
          </w:tcPr>
          <w:p>
            <w:pPr>
              <w:spacing w:after="0"/>
              <w:rPr>
                <w:sz w:val="1"/>
                <w:szCs w:val="1"/>
                <w:color w:val="auto"/>
              </w:rPr>
            </w:pPr>
          </w:p>
        </w:tc>
      </w:tr>
      <w:tr>
        <w:trPr>
          <w:trHeight w:val="183"/>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Other current liabilities</w:t>
            </w:r>
          </w:p>
        </w:tc>
        <w:tc>
          <w:tcPr>
            <w:tcW w:w="9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28,137</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10,407</w:t>
            </w:r>
          </w:p>
        </w:tc>
        <w:tc>
          <w:tcPr>
            <w:tcW w:w="0" w:type="dxa"/>
            <w:vAlign w:val="bottom"/>
          </w:tcPr>
          <w:p>
            <w:pPr>
              <w:spacing w:after="0"/>
              <w:rPr>
                <w:sz w:val="1"/>
                <w:szCs w:val="1"/>
                <w:color w:val="auto"/>
              </w:rPr>
            </w:pPr>
          </w:p>
        </w:tc>
      </w:tr>
      <w:tr>
        <w:trPr>
          <w:trHeight w:val="207"/>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Total current liabilities</w:t>
            </w:r>
          </w:p>
        </w:tc>
        <w:tc>
          <w:tcPr>
            <w:tcW w:w="9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73,442</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40,186</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Long-term debt, net of current portion</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20" w:type="dxa"/>
            <w:vAlign w:val="bottom"/>
            <w:vMerge w:val="continue"/>
          </w:tcPr>
          <w:p>
            <w:pPr>
              <w:spacing w:after="0"/>
              <w:rPr>
                <w:sz w:val="13"/>
                <w:szCs w:val="13"/>
                <w:color w:val="auto"/>
              </w:rPr>
            </w:pPr>
          </w:p>
        </w:tc>
        <w:tc>
          <w:tcPr>
            <w:tcW w:w="940" w:type="dxa"/>
            <w:vAlign w:val="bottom"/>
          </w:tcPr>
          <w:p>
            <w:pPr>
              <w:spacing w:after="0"/>
              <w:rPr>
                <w:sz w:val="13"/>
                <w:szCs w:val="13"/>
                <w:color w:val="auto"/>
              </w:rPr>
            </w:pPr>
          </w:p>
        </w:tc>
        <w:tc>
          <w:tcPr>
            <w:tcW w:w="620" w:type="dxa"/>
            <w:vAlign w:val="bottom"/>
          </w:tcPr>
          <w:p>
            <w:pPr>
              <w:jc w:val="right"/>
              <w:spacing w:after="0" w:line="156" w:lineRule="exact"/>
              <w:rPr>
                <w:sz w:val="20"/>
                <w:szCs w:val="20"/>
                <w:color w:val="auto"/>
              </w:rPr>
            </w:pPr>
            <w:r>
              <w:rPr>
                <w:rFonts w:ascii="Arial" w:cs="Arial" w:eastAsia="Arial" w:hAnsi="Arial"/>
                <w:sz w:val="14"/>
                <w:szCs w:val="14"/>
                <w:color w:val="auto"/>
              </w:rPr>
              <w:t>18,971</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tcPr>
          <w:p>
            <w:pPr>
              <w:jc w:val="right"/>
              <w:spacing w:after="0" w:line="156" w:lineRule="exact"/>
              <w:rPr>
                <w:sz w:val="20"/>
                <w:szCs w:val="20"/>
                <w:color w:val="auto"/>
              </w:rPr>
            </w:pPr>
            <w:r>
              <w:rPr>
                <w:rFonts w:ascii="Arial" w:cs="Arial" w:eastAsia="Arial" w:hAnsi="Arial"/>
                <w:sz w:val="14"/>
                <w:szCs w:val="14"/>
                <w:color w:val="auto"/>
              </w:rPr>
              <w:t>5,000</w:t>
            </w:r>
          </w:p>
        </w:tc>
        <w:tc>
          <w:tcPr>
            <w:tcW w:w="0" w:type="dxa"/>
            <w:vAlign w:val="bottom"/>
          </w:tcPr>
          <w:p>
            <w:pPr>
              <w:spacing w:after="0"/>
              <w:rPr>
                <w:sz w:val="1"/>
                <w:szCs w:val="1"/>
                <w:color w:val="auto"/>
              </w:rPr>
            </w:pPr>
          </w:p>
        </w:tc>
      </w:tr>
      <w:tr>
        <w:trPr>
          <w:trHeight w:val="188"/>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liabilities</w:t>
            </w:r>
          </w:p>
        </w:tc>
        <w:tc>
          <w:tcPr>
            <w:tcW w:w="9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131,989</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11,758</w:t>
            </w:r>
          </w:p>
        </w:tc>
        <w:tc>
          <w:tcPr>
            <w:tcW w:w="0" w:type="dxa"/>
            <w:vAlign w:val="bottom"/>
          </w:tcPr>
          <w:p>
            <w:pPr>
              <w:spacing w:after="0"/>
              <w:rPr>
                <w:sz w:val="1"/>
                <w:szCs w:val="1"/>
                <w:color w:val="auto"/>
              </w:rPr>
            </w:pPr>
          </w:p>
        </w:tc>
      </w:tr>
      <w:tr>
        <w:trPr>
          <w:trHeight w:val="183"/>
        </w:trPr>
        <w:tc>
          <w:tcPr>
            <w:tcW w:w="8020" w:type="dxa"/>
            <w:vAlign w:val="bottom"/>
          </w:tcPr>
          <w:p>
            <w:pPr>
              <w:ind w:left="20"/>
              <w:spacing w:after="0"/>
              <w:rPr>
                <w:sz w:val="20"/>
                <w:szCs w:val="20"/>
                <w:color w:val="auto"/>
              </w:rPr>
            </w:pPr>
            <w:r>
              <w:rPr>
                <w:rFonts w:ascii="Arial" w:cs="Arial" w:eastAsia="Arial" w:hAnsi="Arial"/>
                <w:sz w:val="14"/>
                <w:szCs w:val="14"/>
                <w:color w:val="auto"/>
              </w:rPr>
              <w:t>Capital lease obligations, net of current portion</w:t>
            </w:r>
          </w:p>
        </w:tc>
        <w:tc>
          <w:tcPr>
            <w:tcW w:w="9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20,778</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17,276</w:t>
            </w:r>
          </w:p>
        </w:tc>
        <w:tc>
          <w:tcPr>
            <w:tcW w:w="0" w:type="dxa"/>
            <w:vAlign w:val="bottom"/>
          </w:tcPr>
          <w:p>
            <w:pPr>
              <w:spacing w:after="0"/>
              <w:rPr>
                <w:sz w:val="1"/>
                <w:szCs w:val="1"/>
                <w:color w:val="auto"/>
              </w:rPr>
            </w:pPr>
          </w:p>
        </w:tc>
      </w:tr>
      <w:tr>
        <w:trPr>
          <w:trHeight w:val="188"/>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Contract liabilities, net of current portion</w:t>
            </w:r>
          </w:p>
        </w:tc>
        <w:tc>
          <w:tcPr>
            <w:tcW w:w="9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783</w:t>
            </w:r>
          </w:p>
        </w:tc>
        <w:tc>
          <w:tcPr>
            <w:tcW w:w="0" w:type="dxa"/>
            <w:vAlign w:val="bottom"/>
          </w:tcPr>
          <w:p>
            <w:pPr>
              <w:spacing w:after="0"/>
              <w:rPr>
                <w:sz w:val="1"/>
                <w:szCs w:val="1"/>
                <w:color w:val="auto"/>
              </w:rPr>
            </w:pPr>
          </w:p>
        </w:tc>
      </w:tr>
      <w:tr>
        <w:trPr>
          <w:trHeight w:val="18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liabilities</w:t>
            </w:r>
          </w:p>
        </w:tc>
        <w:tc>
          <w:tcPr>
            <w:tcW w:w="9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2,074</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432</w:t>
            </w:r>
          </w:p>
        </w:tc>
        <w:tc>
          <w:tcPr>
            <w:tcW w:w="0" w:type="dxa"/>
            <w:vAlign w:val="bottom"/>
          </w:tcPr>
          <w:p>
            <w:pPr>
              <w:spacing w:after="0"/>
              <w:rPr>
                <w:sz w:val="1"/>
                <w:szCs w:val="1"/>
                <w:color w:val="auto"/>
              </w:rPr>
            </w:pPr>
          </w:p>
        </w:tc>
      </w:tr>
      <w:tr>
        <w:trPr>
          <w:trHeight w:val="207"/>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Total liabilities</w:t>
            </w:r>
          </w:p>
        </w:tc>
        <w:tc>
          <w:tcPr>
            <w:tcW w:w="9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247,254</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75,435</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Commitments and contingencies (Note 8)</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020" w:type="dxa"/>
            <w:vAlign w:val="bottom"/>
            <w:vMerge w:val="continue"/>
          </w:tcPr>
          <w:p>
            <w:pPr>
              <w:spacing w:after="0"/>
              <w:rPr>
                <w:sz w:val="11"/>
                <w:szCs w:val="11"/>
                <w:color w:val="auto"/>
              </w:rPr>
            </w:pPr>
          </w:p>
        </w:tc>
        <w:tc>
          <w:tcPr>
            <w:tcW w:w="9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Redeemable convertible preferred stock:</w:t>
            </w:r>
          </w:p>
        </w:tc>
        <w:tc>
          <w:tcPr>
            <w:tcW w:w="9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8020" w:type="dxa"/>
            <w:vAlign w:val="bottom"/>
          </w:tcPr>
          <w:p>
            <w:pPr>
              <w:ind w:left="260"/>
              <w:spacing w:after="0" w:line="133" w:lineRule="exact"/>
              <w:rPr>
                <w:sz w:val="20"/>
                <w:szCs w:val="20"/>
                <w:color w:val="auto"/>
              </w:rPr>
            </w:pPr>
            <w:r>
              <w:rPr>
                <w:rFonts w:ascii="Arial" w:cs="Arial" w:eastAsia="Arial" w:hAnsi="Arial"/>
                <w:sz w:val="14"/>
                <w:szCs w:val="14"/>
                <w:color w:val="auto"/>
                <w:w w:val="99"/>
              </w:rPr>
              <w:t>Series A-1 redeemable convertible preferred stock $0.00001 par value: 447,373 shares authorized, issued and outstanding at</w:t>
            </w:r>
          </w:p>
        </w:tc>
        <w:tc>
          <w:tcPr>
            <w:tcW w:w="94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51,811</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51,811</w:t>
            </w:r>
          </w:p>
        </w:tc>
        <w:tc>
          <w:tcPr>
            <w:tcW w:w="0" w:type="dxa"/>
            <w:vAlign w:val="bottom"/>
          </w:tcPr>
          <w:p>
            <w:pPr>
              <w:spacing w:after="0"/>
              <w:rPr>
                <w:sz w:val="1"/>
                <w:szCs w:val="1"/>
                <w:color w:val="auto"/>
              </w:rPr>
            </w:pPr>
          </w:p>
        </w:tc>
      </w:tr>
      <w:tr>
        <w:trPr>
          <w:trHeight w:val="183"/>
        </w:trPr>
        <w:tc>
          <w:tcPr>
            <w:tcW w:w="8020" w:type="dxa"/>
            <w:vAlign w:val="bottom"/>
          </w:tcPr>
          <w:p>
            <w:pPr>
              <w:ind w:left="420"/>
              <w:spacing w:after="0"/>
              <w:rPr>
                <w:sz w:val="20"/>
                <w:szCs w:val="20"/>
                <w:color w:val="auto"/>
              </w:rPr>
            </w:pPr>
            <w:r>
              <w:rPr>
                <w:rFonts w:ascii="Arial" w:cs="Arial" w:eastAsia="Arial" w:hAnsi="Arial"/>
                <w:sz w:val="14"/>
                <w:szCs w:val="14"/>
                <w:color w:val="auto"/>
                <w:w w:val="95"/>
              </w:rPr>
              <w:t>December 31, 2020 December 31, 2020 and 2019; aggregate liquidation preference of $55,000 at December 31, 2020 and 2019</w:t>
            </w:r>
          </w:p>
        </w:tc>
        <w:tc>
          <w:tcPr>
            <w:tcW w:w="94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8020" w:type="dxa"/>
            <w:vAlign w:val="bottom"/>
            <w:shd w:val="clear" w:color="auto" w:fill="CCEEFF"/>
          </w:tcPr>
          <w:p>
            <w:pPr>
              <w:ind w:left="260"/>
              <w:spacing w:after="0" w:line="135" w:lineRule="exact"/>
              <w:rPr>
                <w:sz w:val="20"/>
                <w:szCs w:val="20"/>
                <w:color w:val="auto"/>
              </w:rPr>
            </w:pPr>
            <w:r>
              <w:rPr>
                <w:rFonts w:ascii="Arial" w:cs="Arial" w:eastAsia="Arial" w:hAnsi="Arial"/>
                <w:sz w:val="14"/>
                <w:szCs w:val="14"/>
                <w:color w:val="auto"/>
                <w:w w:val="91"/>
              </w:rPr>
              <w:t>Series A-2 redeemable convertible preferred stock, $0.00001 par value: 522,627 shares authorized at December 31, 2020 December 31,</w:t>
            </w:r>
          </w:p>
        </w:tc>
        <w:tc>
          <w:tcPr>
            <w:tcW w:w="9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020" w:type="dxa"/>
            <w:vAlign w:val="bottom"/>
            <w:shd w:val="clear" w:color="auto" w:fill="CCEEFF"/>
          </w:tcPr>
          <w:p>
            <w:pPr>
              <w:ind w:left="420"/>
              <w:spacing w:after="0" w:line="133" w:lineRule="exact"/>
              <w:rPr>
                <w:sz w:val="20"/>
                <w:szCs w:val="20"/>
                <w:color w:val="auto"/>
              </w:rPr>
            </w:pPr>
            <w:r>
              <w:rPr>
                <w:rFonts w:ascii="Arial" w:cs="Arial" w:eastAsia="Arial" w:hAnsi="Arial"/>
                <w:sz w:val="14"/>
                <w:szCs w:val="14"/>
                <w:color w:val="auto"/>
                <w:w w:val="91"/>
              </w:rPr>
              <w:t>2020 and 2019; 401,347 shares authorized, issued and outstanding at December 31, 2020 and 2019; aggregate liquidation preference</w:t>
            </w:r>
          </w:p>
        </w:tc>
        <w:tc>
          <w:tcPr>
            <w:tcW w:w="94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46,480</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46,480</w:t>
            </w:r>
          </w:p>
        </w:tc>
        <w:tc>
          <w:tcPr>
            <w:tcW w:w="0" w:type="dxa"/>
            <w:vAlign w:val="bottom"/>
          </w:tcPr>
          <w:p>
            <w:pPr>
              <w:spacing w:after="0"/>
              <w:rPr>
                <w:sz w:val="1"/>
                <w:szCs w:val="1"/>
                <w:color w:val="auto"/>
              </w:rPr>
            </w:pPr>
          </w:p>
        </w:tc>
      </w:tr>
      <w:tr>
        <w:trPr>
          <w:trHeight w:val="186"/>
        </w:trPr>
        <w:tc>
          <w:tcPr>
            <w:tcW w:w="80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of $49,342 at December 31, 2020 and 2019</w:t>
            </w:r>
          </w:p>
        </w:tc>
        <w:tc>
          <w:tcPr>
            <w:tcW w:w="94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8020" w:type="dxa"/>
            <w:vAlign w:val="bottom"/>
          </w:tcPr>
          <w:p>
            <w:pPr>
              <w:ind w:left="260"/>
              <w:spacing w:after="0" w:line="133" w:lineRule="exact"/>
              <w:rPr>
                <w:sz w:val="20"/>
                <w:szCs w:val="20"/>
                <w:color w:val="auto"/>
              </w:rPr>
            </w:pPr>
            <w:r>
              <w:rPr>
                <w:rFonts w:ascii="Arial" w:cs="Arial" w:eastAsia="Arial" w:hAnsi="Arial"/>
                <w:sz w:val="14"/>
                <w:szCs w:val="14"/>
                <w:color w:val="auto"/>
              </w:rPr>
              <w:t>Series B redeemable convertible preferred stock, $0.00001 par value: 338,663 shares authorized, issued and outstanding at</w:t>
            </w:r>
          </w:p>
        </w:tc>
        <w:tc>
          <w:tcPr>
            <w:tcW w:w="94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118,824</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118,824</w:t>
            </w:r>
          </w:p>
        </w:tc>
        <w:tc>
          <w:tcPr>
            <w:tcW w:w="0" w:type="dxa"/>
            <w:vAlign w:val="bottom"/>
          </w:tcPr>
          <w:p>
            <w:pPr>
              <w:spacing w:after="0"/>
              <w:rPr>
                <w:sz w:val="1"/>
                <w:szCs w:val="1"/>
                <w:color w:val="auto"/>
              </w:rPr>
            </w:pPr>
          </w:p>
        </w:tc>
      </w:tr>
      <w:tr>
        <w:trPr>
          <w:trHeight w:val="183"/>
        </w:trPr>
        <w:tc>
          <w:tcPr>
            <w:tcW w:w="8020" w:type="dxa"/>
            <w:vAlign w:val="bottom"/>
          </w:tcPr>
          <w:p>
            <w:pPr>
              <w:ind w:left="420"/>
              <w:spacing w:after="0"/>
              <w:rPr>
                <w:sz w:val="20"/>
                <w:szCs w:val="20"/>
                <w:color w:val="auto"/>
              </w:rPr>
            </w:pPr>
            <w:r>
              <w:rPr>
                <w:rFonts w:ascii="Arial" w:cs="Arial" w:eastAsia="Arial" w:hAnsi="Arial"/>
                <w:sz w:val="14"/>
                <w:szCs w:val="14"/>
                <w:color w:val="auto"/>
              </w:rPr>
              <w:t>December 31, 2020 and 2019; aggregate liquidation preference of $204,302 at December 31, 2020 and 2019</w:t>
            </w:r>
          </w:p>
        </w:tc>
        <w:tc>
          <w:tcPr>
            <w:tcW w:w="94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8020" w:type="dxa"/>
            <w:vAlign w:val="bottom"/>
            <w:shd w:val="clear" w:color="auto" w:fill="CCEEFF"/>
          </w:tcPr>
          <w:p>
            <w:pPr>
              <w:ind w:left="260"/>
              <w:spacing w:after="0" w:line="135" w:lineRule="exact"/>
              <w:rPr>
                <w:sz w:val="20"/>
                <w:szCs w:val="20"/>
                <w:color w:val="auto"/>
              </w:rPr>
            </w:pPr>
            <w:r>
              <w:rPr>
                <w:rFonts w:ascii="Arial" w:cs="Arial" w:eastAsia="Arial" w:hAnsi="Arial"/>
                <w:sz w:val="14"/>
                <w:szCs w:val="14"/>
                <w:color w:val="auto"/>
                <w:w w:val="92"/>
              </w:rPr>
              <w:t>Series C redeemable convertible preferred stock, $0.00001 par value: 197,824 shares authorized at December 31, 2020 and no shares</w:t>
            </w:r>
          </w:p>
        </w:tc>
        <w:tc>
          <w:tcPr>
            <w:tcW w:w="9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020" w:type="dxa"/>
            <w:vAlign w:val="bottom"/>
            <w:shd w:val="clear" w:color="auto" w:fill="CCEEFF"/>
          </w:tcPr>
          <w:p>
            <w:pPr>
              <w:ind w:left="420"/>
              <w:spacing w:after="0" w:line="133" w:lineRule="exact"/>
              <w:rPr>
                <w:sz w:val="20"/>
                <w:szCs w:val="20"/>
                <w:color w:val="auto"/>
              </w:rPr>
            </w:pPr>
            <w:r>
              <w:rPr>
                <w:rFonts w:ascii="Arial" w:cs="Arial" w:eastAsia="Arial" w:hAnsi="Arial"/>
                <w:sz w:val="14"/>
                <w:szCs w:val="14"/>
                <w:color w:val="auto"/>
                <w:w w:val="89"/>
              </w:rPr>
              <w:t>authorized at December 31, 2019; 197,821 shares issued and outstanding at December 31, 2020 and no shares issued and outstanding</w:t>
            </w:r>
          </w:p>
        </w:tc>
        <w:tc>
          <w:tcPr>
            <w:tcW w:w="94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117,324</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80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at December 31, 2019; aggregate liquidation preference of $121,397 at December 31, 2020</w:t>
            </w:r>
          </w:p>
        </w:tc>
        <w:tc>
          <w:tcPr>
            <w:tcW w:w="9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8020" w:type="dxa"/>
            <w:vAlign w:val="bottom"/>
          </w:tcPr>
          <w:p>
            <w:pPr>
              <w:ind w:left="240"/>
              <w:spacing w:after="0"/>
              <w:rPr>
                <w:sz w:val="20"/>
                <w:szCs w:val="20"/>
                <w:color w:val="auto"/>
              </w:rPr>
            </w:pPr>
            <w:r>
              <w:rPr>
                <w:rFonts w:ascii="Arial" w:cs="Arial" w:eastAsia="Arial" w:hAnsi="Arial"/>
                <w:sz w:val="14"/>
                <w:szCs w:val="14"/>
                <w:color w:val="auto"/>
              </w:rPr>
              <w:t>Redeemable convertible preferred stock</w:t>
            </w:r>
          </w:p>
        </w:tc>
        <w:tc>
          <w:tcPr>
            <w:tcW w:w="9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334,439</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217,115</w:t>
            </w:r>
          </w:p>
        </w:tc>
        <w:tc>
          <w:tcPr>
            <w:tcW w:w="0" w:type="dxa"/>
            <w:vAlign w:val="bottom"/>
          </w:tcPr>
          <w:p>
            <w:pPr>
              <w:spacing w:after="0"/>
              <w:rPr>
                <w:sz w:val="1"/>
                <w:szCs w:val="1"/>
                <w:color w:val="auto"/>
              </w:rPr>
            </w:pPr>
          </w:p>
        </w:tc>
      </w:tr>
      <w:tr>
        <w:trPr>
          <w:trHeight w:val="188"/>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 deficit:</w:t>
            </w:r>
          </w:p>
        </w:tc>
        <w:tc>
          <w:tcPr>
            <w:tcW w:w="9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8020" w:type="dxa"/>
            <w:vAlign w:val="bottom"/>
          </w:tcPr>
          <w:p>
            <w:pPr>
              <w:ind w:left="260"/>
              <w:spacing w:after="0" w:line="133" w:lineRule="exact"/>
              <w:rPr>
                <w:sz w:val="20"/>
                <w:szCs w:val="20"/>
                <w:color w:val="auto"/>
              </w:rPr>
            </w:pPr>
            <w:r>
              <w:rPr>
                <w:rFonts w:ascii="Arial" w:cs="Arial" w:eastAsia="Arial" w:hAnsi="Arial"/>
                <w:sz w:val="14"/>
                <w:szCs w:val="14"/>
                <w:color w:val="auto"/>
                <w:w w:val="98"/>
              </w:rPr>
              <w:t>Class A common stock, $0.00001 par value: 2,500,000 shares authorized at December 31, 2020 and 2019; 1 share issued and</w:t>
            </w:r>
          </w:p>
        </w:tc>
        <w:tc>
          <w:tcPr>
            <w:tcW w:w="940" w:type="dxa"/>
            <w:vAlign w:val="bottom"/>
          </w:tcPr>
          <w:p>
            <w:pPr>
              <w:spacing w:after="0"/>
              <w:rPr>
                <w:sz w:val="11"/>
                <w:szCs w:val="11"/>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8020" w:type="dxa"/>
            <w:vAlign w:val="bottom"/>
          </w:tcPr>
          <w:p>
            <w:pPr>
              <w:ind w:left="420"/>
              <w:spacing w:after="0"/>
              <w:rPr>
                <w:sz w:val="20"/>
                <w:szCs w:val="20"/>
                <w:color w:val="auto"/>
              </w:rPr>
            </w:pPr>
            <w:r>
              <w:rPr>
                <w:rFonts w:ascii="Arial" w:cs="Arial" w:eastAsia="Arial" w:hAnsi="Arial"/>
                <w:sz w:val="14"/>
                <w:szCs w:val="14"/>
                <w:color w:val="auto"/>
              </w:rPr>
              <w:t>outstanding at December 31, 2020 and 2019</w:t>
            </w:r>
          </w:p>
        </w:tc>
        <w:tc>
          <w:tcPr>
            <w:tcW w:w="94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8020" w:type="dxa"/>
            <w:vAlign w:val="bottom"/>
            <w:shd w:val="clear" w:color="auto" w:fill="CCEEFF"/>
          </w:tcPr>
          <w:p>
            <w:pPr>
              <w:ind w:left="260"/>
              <w:spacing w:after="0" w:line="135" w:lineRule="exact"/>
              <w:rPr>
                <w:sz w:val="20"/>
                <w:szCs w:val="20"/>
                <w:color w:val="auto"/>
              </w:rPr>
            </w:pPr>
            <w:r>
              <w:rPr>
                <w:rFonts w:ascii="Arial" w:cs="Arial" w:eastAsia="Arial" w:hAnsi="Arial"/>
                <w:sz w:val="14"/>
                <w:szCs w:val="14"/>
                <w:color w:val="auto"/>
                <w:w w:val="91"/>
              </w:rPr>
              <w:t>Class B convertible common stock, $0.00001 par value: 15,000,000 shares authorized at December 31, 2020 and 2019; 105,429 shares</w:t>
            </w:r>
          </w:p>
        </w:tc>
        <w:tc>
          <w:tcPr>
            <w:tcW w:w="94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80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issued and outstanding at December 31, 2020 and no shares issued and outstanding at December 31, 2019</w:t>
            </w:r>
          </w:p>
        </w:tc>
        <w:tc>
          <w:tcPr>
            <w:tcW w:w="94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020" w:type="dxa"/>
            <w:vAlign w:val="bottom"/>
          </w:tcPr>
          <w:p>
            <w:pPr>
              <w:ind w:left="20"/>
              <w:spacing w:after="0"/>
              <w:rPr>
                <w:sz w:val="20"/>
                <w:szCs w:val="20"/>
                <w:color w:val="auto"/>
              </w:rPr>
            </w:pPr>
            <w:r>
              <w:rPr>
                <w:rFonts w:ascii="Arial" w:cs="Arial" w:eastAsia="Arial" w:hAnsi="Arial"/>
                <w:sz w:val="14"/>
                <w:szCs w:val="14"/>
                <w:color w:val="auto"/>
              </w:rPr>
              <w:t>Additional paid-in capital</w:t>
            </w:r>
          </w:p>
        </w:tc>
        <w:tc>
          <w:tcPr>
            <w:tcW w:w="94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deficit</w:t>
            </w:r>
          </w:p>
        </w:tc>
        <w:tc>
          <w:tcPr>
            <w:tcW w:w="9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(330,051)</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(88,711)</w:t>
            </w:r>
          </w:p>
        </w:tc>
        <w:tc>
          <w:tcPr>
            <w:tcW w:w="0" w:type="dxa"/>
            <w:vAlign w:val="bottom"/>
          </w:tcPr>
          <w:p>
            <w:pPr>
              <w:spacing w:after="0"/>
              <w:rPr>
                <w:sz w:val="1"/>
                <w:szCs w:val="1"/>
                <w:color w:val="auto"/>
              </w:rPr>
            </w:pPr>
          </w:p>
        </w:tc>
      </w:tr>
      <w:tr>
        <w:trPr>
          <w:trHeight w:val="183"/>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Total stockholders’ deficit</w:t>
            </w:r>
          </w:p>
        </w:tc>
        <w:tc>
          <w:tcPr>
            <w:tcW w:w="9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(330,051)</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(88,711)</w:t>
            </w:r>
          </w:p>
        </w:tc>
        <w:tc>
          <w:tcPr>
            <w:tcW w:w="0" w:type="dxa"/>
            <w:vAlign w:val="bottom"/>
          </w:tcPr>
          <w:p>
            <w:pPr>
              <w:spacing w:after="0"/>
              <w:rPr>
                <w:sz w:val="1"/>
                <w:szCs w:val="1"/>
                <w:color w:val="auto"/>
              </w:rPr>
            </w:pPr>
          </w:p>
        </w:tc>
      </w:tr>
      <w:tr>
        <w:trPr>
          <w:trHeight w:val="207"/>
        </w:trPr>
        <w:tc>
          <w:tcPr>
            <w:tcW w:w="8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Total liabilities, redeemable convertible preferred stock and stockholders’ deficit</w:t>
            </w:r>
          </w:p>
        </w:tc>
        <w:tc>
          <w:tcPr>
            <w:tcW w:w="940" w:type="dxa"/>
            <w:vAlign w:val="bottom"/>
            <w:tcBorders>
              <w:bottom w:val="single" w:sz="8" w:color="auto"/>
            </w:tcBorders>
            <w:shd w:val="clear" w:color="auto" w:fill="CCEEFF"/>
          </w:tcPr>
          <w:p>
            <w:pPr>
              <w:jc w:val="right"/>
              <w:ind w:right="771"/>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251,642</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32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203,839</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320" w:top="1220" w:right="339" w:bottom="1440" w:gutter="0" w:footer="0" w:header="0"/>
        </w:sectPr>
      </w:pPr>
    </w:p>
    <w:bookmarkStart w:id="175" w:name="page176"/>
    <w:bookmarkEnd w:id="175"/>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5"/>
              </w:rPr>
              <w:t>Year Ended December 31,</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840" w:type="dxa"/>
            <w:vAlign w:val="bottom"/>
            <w:tcBorders>
              <w:bottom w:val="single" w:sz="8" w:color="CCEEFF"/>
            </w:tcBorders>
          </w:tcPr>
          <w:p>
            <w:pPr>
              <w:spacing w:after="0"/>
              <w:rPr>
                <w:sz w:val="15"/>
                <w:szCs w:val="15"/>
                <w:color w:val="auto"/>
              </w:rPr>
            </w:pPr>
          </w:p>
        </w:tc>
        <w:tc>
          <w:tcPr>
            <w:tcW w:w="15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6"/>
        </w:trPr>
        <w:tc>
          <w:tcPr>
            <w:tcW w:w="484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Revenue</w:t>
            </w:r>
          </w:p>
        </w:tc>
        <w:tc>
          <w:tcPr>
            <w:tcW w:w="15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4840" w:type="dxa"/>
            <w:vAlign w:val="bottom"/>
          </w:tcPr>
          <w:p>
            <w:pPr>
              <w:ind w:left="260"/>
              <w:spacing w:after="0" w:line="173" w:lineRule="exact"/>
              <w:rPr>
                <w:sz w:val="20"/>
                <w:szCs w:val="20"/>
                <w:color w:val="auto"/>
              </w:rPr>
            </w:pPr>
            <w:r>
              <w:rPr>
                <w:rFonts w:ascii="Arial" w:cs="Arial" w:eastAsia="Arial" w:hAnsi="Arial"/>
                <w:sz w:val="18"/>
                <w:szCs w:val="18"/>
                <w:color w:val="auto"/>
                <w:w w:val="89"/>
              </w:rPr>
              <w:t>Diagnostic test revenue (including related party revenue of $285</w:t>
            </w:r>
          </w:p>
        </w:tc>
        <w:tc>
          <w:tcPr>
            <w:tcW w:w="1520" w:type="dxa"/>
            <w:vAlign w:val="bottom"/>
          </w:tcPr>
          <w:p>
            <w:pPr>
              <w:ind w:left="20"/>
              <w:spacing w:after="0" w:line="173" w:lineRule="exact"/>
              <w:rPr>
                <w:sz w:val="20"/>
                <w:szCs w:val="20"/>
                <w:color w:val="auto"/>
              </w:rPr>
            </w:pPr>
            <w:r>
              <w:rPr>
                <w:rFonts w:ascii="Arial" w:cs="Arial" w:eastAsia="Arial" w:hAnsi="Arial"/>
                <w:sz w:val="18"/>
                <w:szCs w:val="18"/>
                <w:color w:val="auto"/>
              </w:rPr>
              <w:t>$0 and $0 for the</w:t>
            </w:r>
          </w:p>
        </w:tc>
        <w:tc>
          <w:tcPr>
            <w:tcW w:w="380" w:type="dxa"/>
            <w:vAlign w:val="bottom"/>
            <w:vMerge w:val="restart"/>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175,351</w:t>
            </w:r>
          </w:p>
        </w:tc>
        <w:tc>
          <w:tcPr>
            <w:tcW w:w="480" w:type="dxa"/>
            <w:vAlign w:val="bottom"/>
            <w:gridSpan w:val="2"/>
            <w:vMerge w:val="restart"/>
          </w:tcPr>
          <w:p>
            <w:pPr>
              <w:ind w:left="12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191,667</w:t>
            </w:r>
          </w:p>
        </w:tc>
        <w:tc>
          <w:tcPr>
            <w:tcW w:w="100" w:type="dxa"/>
            <w:vAlign w:val="bottom"/>
          </w:tcPr>
          <w:p>
            <w:pPr>
              <w:spacing w:after="0"/>
              <w:rPr>
                <w:sz w:val="15"/>
                <w:szCs w:val="15"/>
                <w:color w:val="auto"/>
              </w:rPr>
            </w:pPr>
          </w:p>
        </w:tc>
        <w:tc>
          <w:tcPr>
            <w:tcW w:w="380" w:type="dxa"/>
            <w:vAlign w:val="bottom"/>
            <w:vMerge w:val="restart"/>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132,970</w:t>
            </w:r>
          </w:p>
        </w:tc>
        <w:tc>
          <w:tcPr>
            <w:tcW w:w="0" w:type="dxa"/>
            <w:vAlign w:val="bottom"/>
          </w:tcPr>
          <w:p>
            <w:pPr>
              <w:spacing w:after="0"/>
              <w:rPr>
                <w:sz w:val="1"/>
                <w:szCs w:val="1"/>
                <w:color w:val="auto"/>
              </w:rPr>
            </w:pPr>
          </w:p>
        </w:tc>
      </w:tr>
      <w:tr>
        <w:trPr>
          <w:trHeight w:val="224"/>
        </w:trPr>
        <w:tc>
          <w:tcPr>
            <w:tcW w:w="6360" w:type="dxa"/>
            <w:vAlign w:val="bottom"/>
            <w:gridSpan w:val="2"/>
          </w:tcPr>
          <w:p>
            <w:pPr>
              <w:ind w:left="420"/>
              <w:spacing w:after="0"/>
              <w:rPr>
                <w:sz w:val="20"/>
                <w:szCs w:val="20"/>
                <w:color w:val="auto"/>
              </w:rPr>
            </w:pPr>
            <w:r>
              <w:rPr>
                <w:rFonts w:ascii="Arial" w:cs="Arial" w:eastAsia="Arial" w:hAnsi="Arial"/>
                <w:sz w:val="18"/>
                <w:szCs w:val="18"/>
                <w:color w:val="auto"/>
              </w:rPr>
              <w:t>years ended December 31, 2020, 2019, and 2018, respectively)</w:t>
            </w:r>
          </w:p>
        </w:tc>
        <w:tc>
          <w:tcPr>
            <w:tcW w:w="38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6360" w:type="dxa"/>
            <w:vAlign w:val="bottom"/>
            <w:gridSpan w:val="2"/>
            <w:shd w:val="clear" w:color="auto" w:fill="CCEEFF"/>
          </w:tcPr>
          <w:p>
            <w:pPr>
              <w:ind w:left="260"/>
              <w:spacing w:after="0" w:line="174" w:lineRule="exact"/>
              <w:rPr>
                <w:sz w:val="20"/>
                <w:szCs w:val="20"/>
                <w:color w:val="auto"/>
              </w:rPr>
            </w:pPr>
            <w:r>
              <w:rPr>
                <w:rFonts w:ascii="Arial" w:cs="Arial" w:eastAsia="Arial" w:hAnsi="Arial"/>
                <w:sz w:val="18"/>
                <w:szCs w:val="18"/>
                <w:color w:val="auto"/>
                <w:w w:val="91"/>
              </w:rPr>
              <w:t>Other revenue (including related party revenue of $3, $1,180 and $254 for the years</w:t>
            </w:r>
          </w:p>
        </w:tc>
        <w:tc>
          <w:tcPr>
            <w:tcW w:w="3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3,971</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4,507</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24"/>
        </w:trPr>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ended December 31, 2020, 2019, and 2018, respectively)</w:t>
            </w:r>
          </w:p>
        </w:tc>
        <w:tc>
          <w:tcPr>
            <w:tcW w:w="15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4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15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179,322</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196,174</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133,341</w:t>
            </w:r>
          </w:p>
        </w:tc>
        <w:tc>
          <w:tcPr>
            <w:tcW w:w="0" w:type="dxa"/>
            <w:vAlign w:val="bottom"/>
          </w:tcPr>
          <w:p>
            <w:pPr>
              <w:spacing w:after="0"/>
              <w:rPr>
                <w:sz w:val="1"/>
                <w:szCs w:val="1"/>
                <w:color w:val="auto"/>
              </w:rPr>
            </w:pPr>
          </w:p>
        </w:tc>
      </w:tr>
      <w:tr>
        <w:trPr>
          <w:trHeight w:val="20"/>
        </w:trPr>
        <w:tc>
          <w:tcPr>
            <w:tcW w:w="484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360" w:type="dxa"/>
            <w:vAlign w:val="bottom"/>
            <w:gridSpan w:val="2"/>
            <w:shd w:val="clear" w:color="auto" w:fill="CCEEFF"/>
          </w:tcPr>
          <w:p>
            <w:pPr>
              <w:ind w:left="20"/>
              <w:spacing w:after="0" w:line="140" w:lineRule="exact"/>
              <w:rPr>
                <w:sz w:val="20"/>
                <w:szCs w:val="20"/>
                <w:color w:val="auto"/>
              </w:rPr>
            </w:pPr>
            <w:r>
              <w:rPr>
                <w:rFonts w:ascii="Arial" w:cs="Arial" w:eastAsia="Arial" w:hAnsi="Arial"/>
                <w:sz w:val="15"/>
                <w:szCs w:val="15"/>
                <w:color w:val="auto"/>
              </w:rPr>
              <w:t>Cost of services (including related party expenses of $2,189, $1,859 and $4,122 for the</w:t>
            </w:r>
          </w:p>
        </w:tc>
        <w:tc>
          <w:tcPr>
            <w:tcW w:w="38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184,648</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119,623</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92,093</w:t>
            </w:r>
          </w:p>
        </w:tc>
        <w:tc>
          <w:tcPr>
            <w:tcW w:w="0" w:type="dxa"/>
            <w:vAlign w:val="bottom"/>
          </w:tcPr>
          <w:p>
            <w:pPr>
              <w:spacing w:after="0"/>
              <w:rPr>
                <w:sz w:val="1"/>
                <w:szCs w:val="1"/>
                <w:color w:val="auto"/>
              </w:rPr>
            </w:pPr>
          </w:p>
        </w:tc>
      </w:tr>
      <w:tr>
        <w:trPr>
          <w:trHeight w:val="224"/>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years ended December 31, 2020, 2019, and 2018, respectively)</w:t>
            </w:r>
          </w:p>
        </w:tc>
        <w:tc>
          <w:tcPr>
            <w:tcW w:w="15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Gross (loss) profit</w:t>
            </w:r>
          </w:p>
        </w:tc>
        <w:tc>
          <w:tcPr>
            <w:tcW w:w="15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76,551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41,248</w:t>
            </w:r>
          </w:p>
        </w:tc>
        <w:tc>
          <w:tcPr>
            <w:tcW w:w="0" w:type="dxa"/>
            <w:vAlign w:val="bottom"/>
          </w:tcPr>
          <w:p>
            <w:pPr>
              <w:spacing w:after="0"/>
              <w:rPr>
                <w:sz w:val="1"/>
                <w:szCs w:val="1"/>
                <w:color w:val="auto"/>
              </w:rPr>
            </w:pPr>
          </w:p>
        </w:tc>
      </w:tr>
      <w:tr>
        <w:trPr>
          <w:trHeight w:val="21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5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21,383</w:t>
            </w:r>
          </w:p>
        </w:tc>
        <w:tc>
          <w:tcPr>
            <w:tcW w:w="0" w:type="dxa"/>
            <w:vAlign w:val="bottom"/>
          </w:tcPr>
          <w:p>
            <w:pPr>
              <w:spacing w:after="0"/>
              <w:rPr>
                <w:sz w:val="1"/>
                <w:szCs w:val="1"/>
                <w:color w:val="auto"/>
              </w:rPr>
            </w:pPr>
          </w:p>
        </w:tc>
      </w:tr>
      <w:tr>
        <w:trPr>
          <w:trHeight w:val="225"/>
        </w:trPr>
        <w:tc>
          <w:tcPr>
            <w:tcW w:w="484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1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53,831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33,118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19,947</w:t>
            </w:r>
          </w:p>
        </w:tc>
        <w:tc>
          <w:tcPr>
            <w:tcW w:w="0" w:type="dxa"/>
            <w:vAlign w:val="bottom"/>
          </w:tcPr>
          <w:p>
            <w:pPr>
              <w:spacing w:after="0"/>
              <w:rPr>
                <w:sz w:val="1"/>
                <w:szCs w:val="1"/>
                <w:color w:val="auto"/>
              </w:rPr>
            </w:pPr>
          </w:p>
        </w:tc>
      </w:tr>
      <w:tr>
        <w:trPr>
          <w:trHeight w:val="226"/>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5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19,449</w:t>
            </w:r>
          </w:p>
        </w:tc>
        <w:tc>
          <w:tcPr>
            <w:tcW w:w="0" w:type="dxa"/>
            <w:vAlign w:val="bottom"/>
          </w:tcPr>
          <w:p>
            <w:pPr>
              <w:spacing w:after="0"/>
              <w:rPr>
                <w:sz w:val="1"/>
                <w:szCs w:val="1"/>
                <w:color w:val="auto"/>
              </w:rPr>
            </w:pPr>
          </w:p>
        </w:tc>
      </w:tr>
      <w:tr>
        <w:trPr>
          <w:trHeight w:val="225"/>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Related party expenses</w:t>
            </w:r>
          </w:p>
        </w:tc>
        <w:tc>
          <w:tcPr>
            <w:tcW w:w="15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9,132</w:t>
            </w:r>
          </w:p>
        </w:tc>
        <w:tc>
          <w:tcPr>
            <w:tcW w:w="0" w:type="dxa"/>
            <w:vAlign w:val="bottom"/>
          </w:tcPr>
          <w:p>
            <w:pPr>
              <w:spacing w:after="0"/>
              <w:rPr>
                <w:sz w:val="1"/>
                <w:szCs w:val="1"/>
                <w:color w:val="auto"/>
              </w:rPr>
            </w:pPr>
          </w:p>
        </w:tc>
      </w:tr>
      <w:tr>
        <w:trPr>
          <w:trHeight w:val="244"/>
        </w:trPr>
        <w:tc>
          <w:tcPr>
            <w:tcW w:w="48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Loss from operations</w:t>
            </w:r>
          </w:p>
        </w:tc>
        <w:tc>
          <w:tcPr>
            <w:tcW w:w="15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(241,994)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(30,413)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(28,663)</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Other income (expense):</w:t>
            </w:r>
          </w:p>
        </w:tc>
        <w:tc>
          <w:tcPr>
            <w:tcW w:w="15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840" w:type="dxa"/>
            <w:vAlign w:val="bottom"/>
            <w:vMerge w:val="continue"/>
          </w:tcPr>
          <w:p>
            <w:pPr>
              <w:spacing w:after="0"/>
              <w:rPr>
                <w:sz w:val="14"/>
                <w:szCs w:val="14"/>
                <w:color w:val="auto"/>
              </w:rPr>
            </w:pPr>
          </w:p>
        </w:tc>
        <w:tc>
          <w:tcPr>
            <w:tcW w:w="1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4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income</w:t>
            </w:r>
          </w:p>
        </w:tc>
        <w:tc>
          <w:tcPr>
            <w:tcW w:w="15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84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1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(2,474)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26"/>
        </w:trPr>
        <w:tc>
          <w:tcPr>
            <w:tcW w:w="4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Gain on extinguishment of debt</w:t>
            </w:r>
          </w:p>
        </w:tc>
        <w:tc>
          <w:tcPr>
            <w:tcW w:w="15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25"/>
        </w:trPr>
        <w:tc>
          <w:tcPr>
            <w:tcW w:w="48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income, net</w:t>
            </w:r>
          </w:p>
        </w:tc>
        <w:tc>
          <w:tcPr>
            <w:tcW w:w="15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44"/>
        </w:trPr>
        <w:tc>
          <w:tcPr>
            <w:tcW w:w="48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other income, net</w:t>
            </w:r>
          </w:p>
        </w:tc>
        <w:tc>
          <w:tcPr>
            <w:tcW w:w="15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4,791</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Loss before income taxes</w:t>
            </w:r>
          </w:p>
        </w:tc>
        <w:tc>
          <w:tcPr>
            <w:tcW w:w="15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840" w:type="dxa"/>
            <w:vAlign w:val="bottom"/>
            <w:vMerge w:val="continue"/>
          </w:tcPr>
          <w:p>
            <w:pPr>
              <w:spacing w:after="0"/>
              <w:rPr>
                <w:sz w:val="17"/>
                <w:szCs w:val="17"/>
                <w:color w:val="auto"/>
              </w:rPr>
            </w:pPr>
          </w:p>
        </w:tc>
        <w:tc>
          <w:tcPr>
            <w:tcW w:w="1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spacing w:after="0" w:line="198" w:lineRule="exact"/>
              <w:rPr>
                <w:sz w:val="20"/>
                <w:szCs w:val="20"/>
                <w:color w:val="auto"/>
              </w:rPr>
            </w:pPr>
            <w:r>
              <w:rPr>
                <w:rFonts w:ascii="Arial" w:cs="Arial" w:eastAsia="Arial" w:hAnsi="Arial"/>
                <w:sz w:val="18"/>
                <w:szCs w:val="18"/>
                <w:color w:val="auto"/>
              </w:rPr>
              <w:t>(241,340)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spacing w:after="0" w:line="198" w:lineRule="exact"/>
              <w:rPr>
                <w:sz w:val="20"/>
                <w:szCs w:val="20"/>
                <w:color w:val="auto"/>
              </w:rPr>
            </w:pPr>
            <w:r>
              <w:rPr>
                <w:rFonts w:ascii="Arial" w:cs="Arial" w:eastAsia="Arial" w:hAnsi="Arial"/>
                <w:sz w:val="18"/>
                <w:szCs w:val="18"/>
                <w:color w:val="auto"/>
              </w:rPr>
              <w:t>(29,704)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spacing w:after="0" w:line="198" w:lineRule="exact"/>
              <w:rPr>
                <w:sz w:val="20"/>
                <w:szCs w:val="20"/>
                <w:color w:val="auto"/>
              </w:rPr>
            </w:pPr>
            <w:r>
              <w:rPr>
                <w:rFonts w:ascii="Arial" w:cs="Arial" w:eastAsia="Arial" w:hAnsi="Arial"/>
                <w:sz w:val="18"/>
                <w:szCs w:val="18"/>
                <w:color w:val="auto"/>
              </w:rPr>
              <w:t>(23,872)</w:t>
            </w:r>
          </w:p>
        </w:tc>
        <w:tc>
          <w:tcPr>
            <w:tcW w:w="0" w:type="dxa"/>
            <w:vAlign w:val="bottom"/>
          </w:tcPr>
          <w:p>
            <w:pPr>
              <w:spacing w:after="0"/>
              <w:rPr>
                <w:sz w:val="1"/>
                <w:szCs w:val="1"/>
                <w:color w:val="auto"/>
              </w:rPr>
            </w:pPr>
          </w:p>
        </w:tc>
      </w:tr>
      <w:tr>
        <w:trPr>
          <w:trHeight w:val="226"/>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15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4840" w:type="dxa"/>
            <w:vAlign w:val="bottom"/>
          </w:tcPr>
          <w:p>
            <w:pPr>
              <w:ind w:left="20"/>
              <w:spacing w:after="0"/>
              <w:rPr>
                <w:sz w:val="20"/>
                <w:szCs w:val="20"/>
                <w:color w:val="auto"/>
              </w:rPr>
            </w:pPr>
            <w:r>
              <w:rPr>
                <w:rFonts w:ascii="Arial" w:cs="Arial" w:eastAsia="Arial" w:hAnsi="Arial"/>
                <w:sz w:val="18"/>
                <w:szCs w:val="18"/>
                <w:color w:val="auto"/>
              </w:rPr>
              <w:t>Net loss and comprehensive loss</w:t>
            </w:r>
          </w:p>
        </w:tc>
        <w:tc>
          <w:tcPr>
            <w:tcW w:w="1520" w:type="dxa"/>
            <w:vAlign w:val="bottom"/>
          </w:tcPr>
          <w:p>
            <w:pPr>
              <w:spacing w:after="0"/>
              <w:rPr>
                <w:sz w:val="18"/>
                <w:szCs w:val="18"/>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(241,340)</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(29,704)</w:t>
            </w:r>
          </w:p>
        </w:tc>
        <w:tc>
          <w:tcPr>
            <w:tcW w:w="100" w:type="dxa"/>
            <w:vAlign w:val="bottom"/>
          </w:tcPr>
          <w:p>
            <w:pPr>
              <w:spacing w:after="0"/>
              <w:rPr>
                <w:sz w:val="18"/>
                <w:szCs w:val="18"/>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(23,872)</w:t>
            </w:r>
          </w:p>
        </w:tc>
        <w:tc>
          <w:tcPr>
            <w:tcW w:w="0" w:type="dxa"/>
            <w:vAlign w:val="bottom"/>
          </w:tcPr>
          <w:p>
            <w:pPr>
              <w:spacing w:after="0"/>
              <w:rPr>
                <w:sz w:val="1"/>
                <w:szCs w:val="1"/>
                <w:color w:val="auto"/>
              </w:rPr>
            </w:pPr>
          </w:p>
        </w:tc>
      </w:tr>
      <w:tr>
        <w:trPr>
          <w:trHeight w:val="226"/>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 dividends</w:t>
            </w:r>
          </w:p>
        </w:tc>
        <w:tc>
          <w:tcPr>
            <w:tcW w:w="15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2,951</w:t>
            </w:r>
          </w:p>
        </w:tc>
        <w:tc>
          <w:tcPr>
            <w:tcW w:w="0" w:type="dxa"/>
            <w:vAlign w:val="bottom"/>
          </w:tcPr>
          <w:p>
            <w:pPr>
              <w:spacing w:after="0"/>
              <w:rPr>
                <w:sz w:val="1"/>
                <w:szCs w:val="1"/>
                <w:color w:val="auto"/>
              </w:rPr>
            </w:pPr>
          </w:p>
        </w:tc>
      </w:tr>
      <w:tr>
        <w:trPr>
          <w:trHeight w:val="218"/>
        </w:trPr>
        <w:tc>
          <w:tcPr>
            <w:tcW w:w="484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1520" w:type="dxa"/>
            <w:vAlign w:val="bottom"/>
          </w:tcPr>
          <w:p>
            <w:pPr>
              <w:spacing w:after="0"/>
              <w:rPr>
                <w:sz w:val="18"/>
                <w:szCs w:val="18"/>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(241,340)</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(32,743)</w:t>
            </w:r>
          </w:p>
        </w:tc>
        <w:tc>
          <w:tcPr>
            <w:tcW w:w="100" w:type="dxa"/>
            <w:vAlign w:val="bottom"/>
          </w:tcPr>
          <w:p>
            <w:pPr>
              <w:spacing w:after="0"/>
              <w:rPr>
                <w:sz w:val="18"/>
                <w:szCs w:val="18"/>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(26,823)</w:t>
            </w:r>
          </w:p>
        </w:tc>
        <w:tc>
          <w:tcPr>
            <w:tcW w:w="0" w:type="dxa"/>
            <w:vAlign w:val="bottom"/>
          </w:tcPr>
          <w:p>
            <w:pPr>
              <w:spacing w:after="0"/>
              <w:rPr>
                <w:sz w:val="1"/>
                <w:szCs w:val="1"/>
                <w:color w:val="auto"/>
              </w:rPr>
            </w:pPr>
          </w:p>
        </w:tc>
      </w:tr>
      <w:tr>
        <w:trPr>
          <w:trHeight w:val="219"/>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Weighted average shares outstanding of Class A common stock</w:t>
            </w:r>
          </w:p>
        </w:tc>
        <w:tc>
          <w:tcPr>
            <w:tcW w:w="15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8"/>
        </w:trPr>
        <w:tc>
          <w:tcPr>
            <w:tcW w:w="4840" w:type="dxa"/>
            <w:vAlign w:val="bottom"/>
          </w:tcPr>
          <w:p>
            <w:pPr>
              <w:ind w:left="20"/>
              <w:spacing w:after="0"/>
              <w:rPr>
                <w:sz w:val="20"/>
                <w:szCs w:val="20"/>
                <w:color w:val="auto"/>
              </w:rPr>
            </w:pPr>
            <w:r>
              <w:rPr>
                <w:rFonts w:ascii="Arial" w:cs="Arial" w:eastAsia="Arial" w:hAnsi="Arial"/>
                <w:sz w:val="18"/>
                <w:szCs w:val="18"/>
                <w:color w:val="auto"/>
              </w:rPr>
              <w:t>Basic and diluted net loss per share, Class A common stock</w:t>
            </w:r>
          </w:p>
        </w:tc>
        <w:tc>
          <w:tcPr>
            <w:tcW w:w="1520" w:type="dxa"/>
            <w:vAlign w:val="bottom"/>
          </w:tcPr>
          <w:p>
            <w:pPr>
              <w:spacing w:after="0"/>
              <w:rPr>
                <w:sz w:val="18"/>
                <w:szCs w:val="18"/>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(5,824)</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(32,743)</w:t>
            </w:r>
          </w:p>
        </w:tc>
        <w:tc>
          <w:tcPr>
            <w:tcW w:w="100" w:type="dxa"/>
            <w:vAlign w:val="bottom"/>
          </w:tcPr>
          <w:p>
            <w:pPr>
              <w:spacing w:after="0"/>
              <w:rPr>
                <w:sz w:val="18"/>
                <w:szCs w:val="18"/>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(26,823)</w:t>
            </w:r>
          </w:p>
        </w:tc>
        <w:tc>
          <w:tcPr>
            <w:tcW w:w="0" w:type="dxa"/>
            <w:vAlign w:val="bottom"/>
          </w:tcPr>
          <w:p>
            <w:pPr>
              <w:spacing w:after="0"/>
              <w:rPr>
                <w:sz w:val="1"/>
                <w:szCs w:val="1"/>
                <w:color w:val="auto"/>
              </w:rPr>
            </w:pPr>
          </w:p>
        </w:tc>
      </w:tr>
      <w:tr>
        <w:trPr>
          <w:trHeight w:val="226"/>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Weighted average shares outstanding of Class B common stock</w:t>
            </w:r>
          </w:p>
        </w:tc>
        <w:tc>
          <w:tcPr>
            <w:tcW w:w="15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4840" w:type="dxa"/>
            <w:vAlign w:val="bottom"/>
          </w:tcPr>
          <w:p>
            <w:pPr>
              <w:ind w:left="20"/>
              <w:spacing w:after="0"/>
              <w:rPr>
                <w:sz w:val="20"/>
                <w:szCs w:val="20"/>
                <w:color w:val="auto"/>
              </w:rPr>
            </w:pPr>
            <w:r>
              <w:rPr>
                <w:rFonts w:ascii="Arial" w:cs="Arial" w:eastAsia="Arial" w:hAnsi="Arial"/>
                <w:sz w:val="18"/>
                <w:szCs w:val="18"/>
                <w:color w:val="auto"/>
              </w:rPr>
              <w:t>Basic and diluted net loss per share, Class B common stock</w:t>
            </w:r>
          </w:p>
        </w:tc>
        <w:tc>
          <w:tcPr>
            <w:tcW w:w="15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320" w:top="1440" w:right="339" w:bottom="1440" w:gutter="0" w:footer="0" w:header="0"/>
        </w:sectPr>
      </w:pPr>
    </w:p>
    <w:bookmarkStart w:id="176" w:name="page177"/>
    <w:bookmarkEnd w:id="176"/>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Redeemable Convertible Preferred Stock and Stockholders’ Deficit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2240" w:type="dxa"/>
            <w:vAlign w:val="bottom"/>
            <w:tcBorders>
              <w:right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4"/>
              </w:rPr>
              <w:t>Redeemable Convertible Preferred</w:t>
            </w:r>
          </w:p>
        </w:tc>
        <w:tc>
          <w:tcPr>
            <w:tcW w:w="60" w:type="dxa"/>
            <w:vAlign w:val="bottom"/>
          </w:tcPr>
          <w:p>
            <w:pPr>
              <w:spacing w:after="0"/>
              <w:rPr>
                <w:sz w:val="14"/>
                <w:szCs w:val="14"/>
                <w:color w:val="auto"/>
              </w:rPr>
            </w:pPr>
          </w:p>
        </w:tc>
        <w:tc>
          <w:tcPr>
            <w:tcW w:w="2160" w:type="dxa"/>
            <w:vAlign w:val="bottom"/>
            <w:gridSpan w:val="5"/>
            <w:vMerge w:val="restart"/>
          </w:tcPr>
          <w:p>
            <w:pPr>
              <w:ind w:left="340"/>
              <w:spacing w:after="0"/>
              <w:rPr>
                <w:sz w:val="20"/>
                <w:szCs w:val="20"/>
                <w:color w:val="auto"/>
              </w:rPr>
            </w:pPr>
            <w:r>
              <w:rPr>
                <w:rFonts w:ascii="Arial" w:cs="Arial" w:eastAsia="Arial" w:hAnsi="Arial"/>
                <w:sz w:val="14"/>
                <w:szCs w:val="14"/>
                <w:b w:val="1"/>
                <w:bCs w:val="1"/>
                <w:color w:val="auto"/>
              </w:rPr>
              <w:t>Class A Common Stock</w:t>
            </w:r>
          </w:p>
        </w:tc>
        <w:tc>
          <w:tcPr>
            <w:tcW w:w="2200" w:type="dxa"/>
            <w:vAlign w:val="bottom"/>
            <w:gridSpan w:val="5"/>
            <w:vMerge w:val="restart"/>
          </w:tcPr>
          <w:p>
            <w:pPr>
              <w:ind w:left="360"/>
              <w:spacing w:after="0"/>
              <w:rPr>
                <w:sz w:val="20"/>
                <w:szCs w:val="20"/>
                <w:color w:val="auto"/>
              </w:rPr>
            </w:pPr>
            <w:r>
              <w:rPr>
                <w:rFonts w:ascii="Arial" w:cs="Arial" w:eastAsia="Arial" w:hAnsi="Arial"/>
                <w:sz w:val="14"/>
                <w:szCs w:val="14"/>
                <w:b w:val="1"/>
                <w:bCs w:val="1"/>
                <w:color w:val="auto"/>
              </w:rPr>
              <w:t>Class B Common Stock</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400" w:type="dxa"/>
            <w:vAlign w:val="bottom"/>
          </w:tcPr>
          <w:p>
            <w:pPr>
              <w:spacing w:after="0"/>
              <w:rPr>
                <w:sz w:val="15"/>
                <w:szCs w:val="15"/>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Stock</w:t>
            </w:r>
          </w:p>
        </w:tc>
        <w:tc>
          <w:tcPr>
            <w:tcW w:w="8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160" w:type="dxa"/>
            <w:vAlign w:val="bottom"/>
            <w:gridSpan w:val="5"/>
            <w:vMerge w:val="continue"/>
          </w:tcPr>
          <w:p>
            <w:pPr>
              <w:spacing w:after="0"/>
              <w:rPr>
                <w:sz w:val="15"/>
                <w:szCs w:val="15"/>
                <w:color w:val="auto"/>
              </w:rPr>
            </w:pPr>
          </w:p>
        </w:tc>
        <w:tc>
          <w:tcPr>
            <w:tcW w:w="2200" w:type="dxa"/>
            <w:vAlign w:val="bottom"/>
            <w:gridSpan w:val="5"/>
            <w:vMerge w:val="continue"/>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400" w:type="dxa"/>
            <w:vAlign w:val="bottom"/>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9"/>
                <w:szCs w:val="9"/>
                <w:color w:val="auto"/>
              </w:rPr>
            </w:pPr>
          </w:p>
        </w:tc>
        <w:tc>
          <w:tcPr>
            <w:tcW w:w="940" w:type="dxa"/>
            <w:vAlign w:val="bottom"/>
          </w:tcPr>
          <w:p>
            <w:pPr>
              <w:jc w:val="center"/>
              <w:ind w:right="15"/>
              <w:spacing w:after="0" w:line="114"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3"/>
        </w:trPr>
        <w:tc>
          <w:tcPr>
            <w:tcW w:w="2400" w:type="dxa"/>
            <w:vAlign w:val="bottom"/>
          </w:tcPr>
          <w:p>
            <w:pPr>
              <w:spacing w:after="0"/>
              <w:rPr>
                <w:sz w:val="11"/>
                <w:szCs w:val="11"/>
                <w:color w:val="auto"/>
              </w:rPr>
            </w:pPr>
          </w:p>
        </w:tc>
        <w:tc>
          <w:tcPr>
            <w:tcW w:w="102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right w:val="single" w:sz="8" w:color="auto"/>
            </w:tcBorders>
            <w:vMerge w:val="restart"/>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Per Value</w:t>
            </w:r>
          </w:p>
        </w:tc>
        <w:tc>
          <w:tcPr>
            <w:tcW w:w="80" w:type="dxa"/>
            <w:vAlign w:val="bottom"/>
            <w:vMerge w:val="restart"/>
          </w:tcPr>
          <w:p>
            <w:pPr>
              <w:spacing w:after="0"/>
              <w:rPr>
                <w:sz w:val="11"/>
                <w:szCs w:val="11"/>
                <w:color w:val="auto"/>
              </w:rPr>
            </w:pPr>
          </w:p>
        </w:tc>
        <w:tc>
          <w:tcPr>
            <w:tcW w:w="104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Per Value</w:t>
            </w:r>
          </w:p>
        </w:tc>
        <w:tc>
          <w:tcPr>
            <w:tcW w:w="8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ind w:right="15"/>
              <w:spacing w:after="0" w:line="133" w:lineRule="exact"/>
              <w:rPr>
                <w:sz w:val="20"/>
                <w:szCs w:val="20"/>
                <w:color w:val="auto"/>
              </w:rPr>
            </w:pPr>
            <w:r>
              <w:rPr>
                <w:rFonts w:ascii="Arial" w:cs="Arial" w:eastAsia="Arial" w:hAnsi="Arial"/>
                <w:sz w:val="14"/>
                <w:szCs w:val="14"/>
                <w:b w:val="1"/>
                <w:bCs w:val="1"/>
                <w:color w:val="auto"/>
                <w:w w:val="87"/>
              </w:rPr>
              <w:t>stockholders’</w:t>
            </w:r>
          </w:p>
        </w:tc>
        <w:tc>
          <w:tcPr>
            <w:tcW w:w="0" w:type="dxa"/>
            <w:vAlign w:val="bottom"/>
          </w:tcPr>
          <w:p>
            <w:pPr>
              <w:spacing w:after="0"/>
              <w:rPr>
                <w:sz w:val="1"/>
                <w:szCs w:val="1"/>
                <w:color w:val="auto"/>
              </w:rPr>
            </w:pPr>
          </w:p>
        </w:tc>
      </w:tr>
      <w:tr>
        <w:trPr>
          <w:trHeight w:val="185"/>
        </w:trPr>
        <w:tc>
          <w:tcPr>
            <w:tcW w:w="24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right w:val="single" w:sz="8" w:color="auto"/>
            </w:tcBorders>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deficit</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7"/>
              </w:rPr>
              <w:t>deficit</w:t>
            </w:r>
          </w:p>
        </w:tc>
        <w:tc>
          <w:tcPr>
            <w:tcW w:w="0" w:type="dxa"/>
            <w:vAlign w:val="bottom"/>
          </w:tcPr>
          <w:p>
            <w:pPr>
              <w:spacing w:after="0"/>
              <w:rPr>
                <w:sz w:val="1"/>
                <w:szCs w:val="1"/>
                <w:color w:val="auto"/>
              </w:rPr>
            </w:pPr>
          </w:p>
        </w:tc>
      </w:tr>
      <w:tr>
        <w:trPr>
          <w:trHeight w:val="219"/>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1"/>
              </w:rPr>
              <w:t>Balance at December 31, 2017</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36,768</w:t>
            </w: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(29,145)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(29,145)</w:t>
            </w:r>
          </w:p>
        </w:tc>
        <w:tc>
          <w:tcPr>
            <w:tcW w:w="0" w:type="dxa"/>
            <w:vAlign w:val="bottom"/>
          </w:tcPr>
          <w:p>
            <w:pPr>
              <w:spacing w:after="0"/>
              <w:rPr>
                <w:sz w:val="1"/>
                <w:szCs w:val="1"/>
                <w:color w:val="auto"/>
              </w:rPr>
            </w:pPr>
          </w:p>
        </w:tc>
      </w:tr>
      <w:tr>
        <w:trPr>
          <w:trHeight w:val="225"/>
        </w:trPr>
        <w:tc>
          <w:tcPr>
            <w:tcW w:w="2400" w:type="dxa"/>
            <w:vAlign w:val="bottom"/>
          </w:tcPr>
          <w:p>
            <w:pPr>
              <w:ind w:left="240"/>
              <w:spacing w:after="0"/>
              <w:rPr>
                <w:sz w:val="20"/>
                <w:szCs w:val="20"/>
                <w:color w:val="auto"/>
              </w:rPr>
            </w:pPr>
            <w:r>
              <w:rPr>
                <w:rFonts w:ascii="Arial" w:cs="Arial" w:eastAsia="Arial" w:hAnsi="Arial"/>
                <w:sz w:val="18"/>
                <w:szCs w:val="18"/>
                <w:color w:val="auto"/>
              </w:rPr>
              <w:t>Net loss</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(23,872)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(23,872)</w:t>
            </w:r>
          </w:p>
        </w:tc>
        <w:tc>
          <w:tcPr>
            <w:tcW w:w="0" w:type="dxa"/>
            <w:vAlign w:val="bottom"/>
          </w:tcPr>
          <w:p>
            <w:pPr>
              <w:spacing w:after="0"/>
              <w:rPr>
                <w:sz w:val="1"/>
                <w:szCs w:val="1"/>
                <w:color w:val="auto"/>
              </w:rPr>
            </w:pPr>
          </w:p>
        </w:tc>
      </w:tr>
      <w:tr>
        <w:trPr>
          <w:trHeight w:val="226"/>
        </w:trPr>
        <w:tc>
          <w:tcPr>
            <w:tcW w:w="24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7"/>
              </w:rPr>
              <w:t>Preferred Series A dividend</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2,951</w:t>
            </w: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(2,951)</w:t>
            </w:r>
          </w:p>
        </w:tc>
        <w:tc>
          <w:tcPr>
            <w:tcW w:w="0" w:type="dxa"/>
            <w:vAlign w:val="bottom"/>
          </w:tcPr>
          <w:p>
            <w:pPr>
              <w:spacing w:after="0"/>
              <w:rPr>
                <w:sz w:val="1"/>
                <w:szCs w:val="1"/>
                <w:color w:val="auto"/>
              </w:rPr>
            </w:pPr>
          </w:p>
        </w:tc>
      </w:tr>
      <w:tr>
        <w:trPr>
          <w:trHeight w:val="225"/>
        </w:trPr>
        <w:tc>
          <w:tcPr>
            <w:tcW w:w="24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Capital contributions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24,636</w:t>
            </w:r>
          </w:p>
        </w:tc>
        <w:tc>
          <w:tcPr>
            <w:tcW w:w="10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1"/>
              </w:rPr>
              <w:t>Balance at December 31, 2018</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824,000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64,355</w:t>
            </w: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(55,968)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(55,968)</w:t>
            </w:r>
          </w:p>
        </w:tc>
        <w:tc>
          <w:tcPr>
            <w:tcW w:w="0" w:type="dxa"/>
            <w:vAlign w:val="bottom"/>
          </w:tcPr>
          <w:p>
            <w:pPr>
              <w:spacing w:after="0"/>
              <w:rPr>
                <w:sz w:val="1"/>
                <w:szCs w:val="1"/>
                <w:color w:val="auto"/>
              </w:rPr>
            </w:pPr>
          </w:p>
        </w:tc>
      </w:tr>
      <w:tr>
        <w:trPr>
          <w:trHeight w:val="225"/>
        </w:trPr>
        <w:tc>
          <w:tcPr>
            <w:tcW w:w="2400" w:type="dxa"/>
            <w:vAlign w:val="bottom"/>
          </w:tcPr>
          <w:p>
            <w:pPr>
              <w:ind w:left="240"/>
              <w:spacing w:after="0"/>
              <w:rPr>
                <w:sz w:val="20"/>
                <w:szCs w:val="20"/>
                <w:color w:val="auto"/>
              </w:rPr>
            </w:pPr>
            <w:r>
              <w:rPr>
                <w:rFonts w:ascii="Arial" w:cs="Arial" w:eastAsia="Arial" w:hAnsi="Arial"/>
                <w:sz w:val="18"/>
                <w:szCs w:val="18"/>
                <w:color w:val="auto"/>
              </w:rPr>
              <w:t>Net loss</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(29,704)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(29,704)</w:t>
            </w:r>
          </w:p>
        </w:tc>
        <w:tc>
          <w:tcPr>
            <w:tcW w:w="0" w:type="dxa"/>
            <w:vAlign w:val="bottom"/>
          </w:tcPr>
          <w:p>
            <w:pPr>
              <w:spacing w:after="0"/>
              <w:rPr>
                <w:sz w:val="1"/>
                <w:szCs w:val="1"/>
                <w:color w:val="auto"/>
              </w:rPr>
            </w:pPr>
          </w:p>
        </w:tc>
      </w:tr>
      <w:tr>
        <w:trPr>
          <w:trHeight w:val="226"/>
        </w:trPr>
        <w:tc>
          <w:tcPr>
            <w:tcW w:w="24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7"/>
              </w:rPr>
              <w:t>Preferred Series A dividend</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0" w:type="dxa"/>
            <w:vAlign w:val="bottom"/>
          </w:tcPr>
          <w:p>
            <w:pPr>
              <w:spacing w:after="0"/>
              <w:rPr>
                <w:sz w:val="1"/>
                <w:szCs w:val="1"/>
                <w:color w:val="auto"/>
              </w:rPr>
            </w:pPr>
          </w:p>
        </w:tc>
      </w:tr>
      <w:tr>
        <w:trPr>
          <w:trHeight w:val="225"/>
        </w:trPr>
        <w:tc>
          <w:tcPr>
            <w:tcW w:w="2400" w:type="dxa"/>
            <w:vAlign w:val="bottom"/>
          </w:tcPr>
          <w:p>
            <w:pPr>
              <w:ind w:left="240"/>
              <w:spacing w:after="0"/>
              <w:rPr>
                <w:sz w:val="20"/>
                <w:szCs w:val="20"/>
                <w:color w:val="auto"/>
              </w:rPr>
            </w:pPr>
            <w:r>
              <w:rPr>
                <w:rFonts w:ascii="Arial" w:cs="Arial" w:eastAsia="Arial" w:hAnsi="Arial"/>
                <w:sz w:val="18"/>
                <w:szCs w:val="18"/>
                <w:color w:val="auto"/>
              </w:rPr>
              <w:t>Capital contributions</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30,897</w:t>
            </w: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4"/>
        </w:trPr>
        <w:tc>
          <w:tcPr>
            <w:tcW w:w="2400" w:type="dxa"/>
            <w:vAlign w:val="bottom"/>
            <w:shd w:val="clear" w:color="auto" w:fill="CCEEFF"/>
          </w:tcPr>
          <w:p>
            <w:pPr>
              <w:jc w:val="center"/>
              <w:ind w:left="12"/>
              <w:spacing w:after="0" w:line="174" w:lineRule="exact"/>
              <w:rPr>
                <w:sz w:val="20"/>
                <w:szCs w:val="20"/>
                <w:color w:val="auto"/>
              </w:rPr>
            </w:pPr>
            <w:r>
              <w:rPr>
                <w:rFonts w:ascii="Arial" w:cs="Arial" w:eastAsia="Arial" w:hAnsi="Arial"/>
                <w:sz w:val="18"/>
                <w:szCs w:val="18"/>
                <w:color w:val="auto"/>
                <w:w w:val="86"/>
              </w:rPr>
              <w:t>Issuance of Preferred Series</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338,663</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118,824</w:t>
            </w: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40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87"/>
              </w:rPr>
              <w:t>B, net of issuance costs</w:t>
            </w: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400" w:type="dxa"/>
            <w:vAlign w:val="bottom"/>
          </w:tcPr>
          <w:p>
            <w:pPr>
              <w:ind w:left="20"/>
              <w:spacing w:after="0"/>
              <w:rPr>
                <w:sz w:val="20"/>
                <w:szCs w:val="20"/>
                <w:color w:val="auto"/>
              </w:rPr>
            </w:pPr>
            <w:r>
              <w:rPr>
                <w:rFonts w:ascii="Arial" w:cs="Arial" w:eastAsia="Arial" w:hAnsi="Arial"/>
                <w:sz w:val="18"/>
                <w:szCs w:val="18"/>
                <w:b w:val="1"/>
                <w:bCs w:val="1"/>
                <w:color w:val="auto"/>
                <w:w w:val="91"/>
              </w:rPr>
              <w:t>Balance at December 31, 2019</w:t>
            </w:r>
          </w:p>
        </w:tc>
        <w:tc>
          <w:tcPr>
            <w:tcW w:w="1020" w:type="dxa"/>
            <w:vAlign w:val="bottom"/>
          </w:tcPr>
          <w:p>
            <w:pPr>
              <w:jc w:val="right"/>
              <w:spacing w:after="0"/>
              <w:rPr>
                <w:sz w:val="20"/>
                <w:szCs w:val="20"/>
                <w:color w:val="auto"/>
              </w:rPr>
            </w:pPr>
            <w:r>
              <w:rPr>
                <w:rFonts w:ascii="Arial" w:cs="Arial" w:eastAsia="Arial" w:hAnsi="Arial"/>
                <w:sz w:val="18"/>
                <w:szCs w:val="18"/>
                <w:color w:val="auto"/>
              </w:rPr>
              <w:t>1,187,383</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217,115</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(88,711)</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(88,711)</w:t>
            </w:r>
          </w:p>
        </w:tc>
        <w:tc>
          <w:tcPr>
            <w:tcW w:w="0" w:type="dxa"/>
            <w:vAlign w:val="bottom"/>
          </w:tcPr>
          <w:p>
            <w:pPr>
              <w:spacing w:after="0"/>
              <w:rPr>
                <w:sz w:val="1"/>
                <w:szCs w:val="1"/>
                <w:color w:val="auto"/>
              </w:rPr>
            </w:pPr>
          </w:p>
        </w:tc>
      </w:tr>
      <w:tr>
        <w:trPr>
          <w:trHeight w:val="226"/>
        </w:trPr>
        <w:tc>
          <w:tcPr>
            <w:tcW w:w="2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loss</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(241,340)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(241,340)</w:t>
            </w:r>
          </w:p>
        </w:tc>
        <w:tc>
          <w:tcPr>
            <w:tcW w:w="0" w:type="dxa"/>
            <w:vAlign w:val="bottom"/>
          </w:tcPr>
          <w:p>
            <w:pPr>
              <w:spacing w:after="0"/>
              <w:rPr>
                <w:sz w:val="1"/>
                <w:szCs w:val="1"/>
                <w:color w:val="auto"/>
              </w:rPr>
            </w:pPr>
          </w:p>
        </w:tc>
      </w:tr>
      <w:tr>
        <w:trPr>
          <w:trHeight w:val="173"/>
        </w:trPr>
        <w:tc>
          <w:tcPr>
            <w:tcW w:w="2400" w:type="dxa"/>
            <w:vAlign w:val="bottom"/>
          </w:tcPr>
          <w:p>
            <w:pPr>
              <w:ind w:left="240"/>
              <w:spacing w:after="0" w:line="173" w:lineRule="exact"/>
              <w:rPr>
                <w:sz w:val="20"/>
                <w:szCs w:val="20"/>
                <w:color w:val="auto"/>
              </w:rPr>
            </w:pPr>
            <w:r>
              <w:rPr>
                <w:rFonts w:ascii="Arial" w:cs="Arial" w:eastAsia="Arial" w:hAnsi="Arial"/>
                <w:sz w:val="18"/>
                <w:szCs w:val="18"/>
                <w:color w:val="auto"/>
                <w:w w:val="89"/>
              </w:rPr>
              <w:t>Common stock class B issued</w:t>
            </w: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94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920" w:type="dxa"/>
            <w:vAlign w:val="bottom"/>
            <w:gridSpan w:val="2"/>
            <w:vMerge w:val="restart"/>
          </w:tcPr>
          <w:p>
            <w:pPr>
              <w:ind w:left="60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105,429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vMerge w:val="restart"/>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400" w:type="dxa"/>
            <w:vAlign w:val="bottom"/>
          </w:tcPr>
          <w:p>
            <w:pPr>
              <w:ind w:left="240"/>
              <w:spacing w:after="0"/>
              <w:rPr>
                <w:sz w:val="20"/>
                <w:szCs w:val="20"/>
                <w:color w:val="auto"/>
              </w:rPr>
            </w:pPr>
            <w:r>
              <w:rPr>
                <w:rFonts w:ascii="Arial" w:cs="Arial" w:eastAsia="Arial" w:hAnsi="Arial"/>
                <w:sz w:val="18"/>
                <w:szCs w:val="18"/>
                <w:color w:val="auto"/>
              </w:rPr>
              <w:t>pursuant to stock options</w:t>
            </w:r>
          </w:p>
        </w:tc>
        <w:tc>
          <w:tcPr>
            <w:tcW w:w="11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Borders>
              <w:right w:val="single" w:sz="8" w:color="auto"/>
            </w:tcBorders>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400" w:type="dxa"/>
            <w:vAlign w:val="bottom"/>
            <w:shd w:val="clear" w:color="auto" w:fill="CCEEFF"/>
          </w:tcPr>
          <w:p>
            <w:pPr>
              <w:jc w:val="center"/>
              <w:ind w:left="12"/>
              <w:spacing w:after="0" w:line="174" w:lineRule="exact"/>
              <w:rPr>
                <w:sz w:val="20"/>
                <w:szCs w:val="20"/>
                <w:color w:val="auto"/>
              </w:rPr>
            </w:pPr>
            <w:r>
              <w:rPr>
                <w:rFonts w:ascii="Arial" w:cs="Arial" w:eastAsia="Arial" w:hAnsi="Arial"/>
                <w:sz w:val="18"/>
                <w:szCs w:val="18"/>
                <w:color w:val="auto"/>
                <w:w w:val="86"/>
              </w:rPr>
              <w:t>Issuance of Preferred Series</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197,821</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117,324</w:t>
            </w: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40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86"/>
              </w:rPr>
              <w:t>C, net of issuance costs</w:t>
            </w:r>
          </w:p>
        </w:tc>
        <w:tc>
          <w:tcPr>
            <w:tcW w:w="10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2400" w:type="dxa"/>
            <w:vAlign w:val="bottom"/>
          </w:tcPr>
          <w:p>
            <w:pPr>
              <w:ind w:left="20"/>
              <w:spacing w:after="0"/>
              <w:rPr>
                <w:sz w:val="20"/>
                <w:szCs w:val="20"/>
                <w:color w:val="auto"/>
              </w:rPr>
            </w:pPr>
            <w:r>
              <w:rPr>
                <w:rFonts w:ascii="Arial" w:cs="Arial" w:eastAsia="Arial" w:hAnsi="Arial"/>
                <w:sz w:val="18"/>
                <w:szCs w:val="18"/>
                <w:b w:val="1"/>
                <w:bCs w:val="1"/>
                <w:color w:val="auto"/>
                <w:w w:val="91"/>
              </w:rPr>
              <w:t>Balance at December 31, 2020</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1,385,204</w:t>
            </w:r>
          </w:p>
        </w:tc>
        <w:tc>
          <w:tcPr>
            <w:tcW w:w="8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334,439</w:t>
            </w:r>
          </w:p>
        </w:tc>
        <w:tc>
          <w:tcPr>
            <w:tcW w:w="1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105,429</w:t>
            </w:r>
          </w:p>
        </w:tc>
        <w:tc>
          <w:tcPr>
            <w:tcW w:w="8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(330,051)</w:t>
            </w:r>
          </w:p>
        </w:tc>
        <w:tc>
          <w:tcPr>
            <w:tcW w:w="8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(330,051)</w:t>
            </w:r>
          </w:p>
        </w:tc>
        <w:tc>
          <w:tcPr>
            <w:tcW w:w="0" w:type="dxa"/>
            <w:vAlign w:val="bottom"/>
          </w:tcPr>
          <w:p>
            <w:pPr>
              <w:spacing w:after="0"/>
              <w:rPr>
                <w:sz w:val="1"/>
                <w:szCs w:val="1"/>
                <w:color w:val="auto"/>
              </w:rPr>
            </w:pP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5"/>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36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3"/>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360" w:type="dxa"/>
            <w:vAlign w:val="bottom"/>
          </w:tcPr>
          <w:p>
            <w:pPr>
              <w:ind w:left="20"/>
              <w:spacing w:after="0"/>
              <w:rPr>
                <w:sz w:val="20"/>
                <w:szCs w:val="20"/>
                <w:color w:val="auto"/>
              </w:rPr>
            </w:pPr>
            <w:r>
              <w:rPr>
                <w:rFonts w:ascii="Arial" w:cs="Arial" w:eastAsia="Arial" w:hAnsi="Arial"/>
                <w:sz w:val="16"/>
                <w:szCs w:val="16"/>
                <w:color w:val="auto"/>
              </w:rPr>
              <w:t>Net loss</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(241,340)</w:t>
            </w:r>
          </w:p>
        </w:tc>
        <w:tc>
          <w:tcPr>
            <w:tcW w:w="480" w:type="dxa"/>
            <w:vAlign w:val="bottom"/>
            <w:gridSpan w:val="2"/>
          </w:tcPr>
          <w:p>
            <w:pPr>
              <w:jc w:val="right"/>
              <w:ind w:right="201"/>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(29,704)</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(23,872)</w:t>
            </w:r>
          </w:p>
        </w:tc>
        <w:tc>
          <w:tcPr>
            <w:tcW w:w="0" w:type="dxa"/>
            <w:vAlign w:val="bottom"/>
          </w:tcPr>
          <w:p>
            <w:pPr>
              <w:spacing w:after="0"/>
              <w:rPr>
                <w:sz w:val="1"/>
                <w:szCs w:val="1"/>
                <w:color w:val="auto"/>
              </w:rPr>
            </w:pPr>
          </w:p>
        </w:tc>
      </w:tr>
      <w:tr>
        <w:trPr>
          <w:trHeight w:val="214"/>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60" w:type="dxa"/>
            <w:vAlign w:val="bottom"/>
          </w:tcPr>
          <w:p>
            <w:pPr>
              <w:ind w:left="240"/>
              <w:spacing w:after="0"/>
              <w:rPr>
                <w:sz w:val="20"/>
                <w:szCs w:val="20"/>
                <w:color w:val="auto"/>
              </w:rPr>
            </w:pPr>
            <w:r>
              <w:rPr>
                <w:rFonts w:ascii="Arial" w:cs="Arial" w:eastAsia="Arial" w:hAnsi="Arial"/>
                <w:sz w:val="16"/>
                <w:szCs w:val="16"/>
                <w:color w:val="auto"/>
              </w:rPr>
              <w:t>Depreciation and amortization expense</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11,734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6,407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5,433</w:t>
            </w:r>
          </w:p>
        </w:tc>
        <w:tc>
          <w:tcPr>
            <w:tcW w:w="0" w:type="dxa"/>
            <w:vAlign w:val="bottom"/>
          </w:tcPr>
          <w:p>
            <w:pPr>
              <w:spacing w:after="0"/>
              <w:rPr>
                <w:sz w:val="1"/>
                <w:szCs w:val="1"/>
                <w:color w:val="auto"/>
              </w:rPr>
            </w:pPr>
          </w:p>
        </w:tc>
      </w:tr>
      <w:tr>
        <w:trPr>
          <w:trHeight w:val="214"/>
        </w:trPr>
        <w:tc>
          <w:tcPr>
            <w:tcW w:w="6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Stock-based compensation expense</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120,231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5,605</w:t>
            </w:r>
          </w:p>
        </w:tc>
        <w:tc>
          <w:tcPr>
            <w:tcW w:w="0" w:type="dxa"/>
            <w:vAlign w:val="bottom"/>
          </w:tcPr>
          <w:p>
            <w:pPr>
              <w:spacing w:after="0"/>
              <w:rPr>
                <w:sz w:val="1"/>
                <w:szCs w:val="1"/>
                <w:color w:val="auto"/>
              </w:rPr>
            </w:pPr>
          </w:p>
        </w:tc>
      </w:tr>
      <w:tr>
        <w:trPr>
          <w:trHeight w:val="209"/>
        </w:trPr>
        <w:tc>
          <w:tcPr>
            <w:tcW w:w="6360" w:type="dxa"/>
            <w:vAlign w:val="bottom"/>
          </w:tcPr>
          <w:p>
            <w:pPr>
              <w:ind w:left="240"/>
              <w:spacing w:after="0"/>
              <w:rPr>
                <w:sz w:val="20"/>
                <w:szCs w:val="20"/>
                <w:color w:val="auto"/>
              </w:rPr>
            </w:pPr>
            <w:r>
              <w:rPr>
                <w:rFonts w:ascii="Arial" w:cs="Arial" w:eastAsia="Arial" w:hAnsi="Arial"/>
                <w:sz w:val="16"/>
                <w:szCs w:val="16"/>
                <w:color w:val="auto"/>
              </w:rPr>
              <w:t>Non-cash lease expense</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437</w:t>
            </w:r>
          </w:p>
        </w:tc>
        <w:tc>
          <w:tcPr>
            <w:tcW w:w="0" w:type="dxa"/>
            <w:vAlign w:val="bottom"/>
          </w:tcPr>
          <w:p>
            <w:pPr>
              <w:spacing w:after="0"/>
              <w:rPr>
                <w:sz w:val="1"/>
                <w:szCs w:val="1"/>
                <w:color w:val="auto"/>
              </w:rPr>
            </w:pPr>
          </w:p>
        </w:tc>
      </w:tr>
      <w:tr>
        <w:trPr>
          <w:trHeight w:val="215"/>
        </w:trPr>
        <w:tc>
          <w:tcPr>
            <w:tcW w:w="6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Gain on extinguishment of debt</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(4,500)</w:t>
            </w:r>
          </w:p>
        </w:tc>
        <w:tc>
          <w:tcPr>
            <w:tcW w:w="0" w:type="dxa"/>
            <w:vAlign w:val="bottom"/>
          </w:tcPr>
          <w:p>
            <w:pPr>
              <w:spacing w:after="0"/>
              <w:rPr>
                <w:sz w:val="1"/>
                <w:szCs w:val="1"/>
                <w:color w:val="auto"/>
              </w:rPr>
            </w:pPr>
          </w:p>
        </w:tc>
      </w:tr>
      <w:tr>
        <w:trPr>
          <w:trHeight w:val="209"/>
        </w:trPr>
        <w:tc>
          <w:tcPr>
            <w:tcW w:w="6360" w:type="dxa"/>
            <w:vAlign w:val="bottom"/>
          </w:tcPr>
          <w:p>
            <w:pPr>
              <w:ind w:left="240"/>
              <w:spacing w:after="0"/>
              <w:rPr>
                <w:sz w:val="20"/>
                <w:szCs w:val="20"/>
                <w:color w:val="auto"/>
              </w:rPr>
            </w:pPr>
            <w:r>
              <w:rPr>
                <w:rFonts w:ascii="Arial" w:cs="Arial" w:eastAsia="Arial" w:hAnsi="Arial"/>
                <w:sz w:val="16"/>
                <w:szCs w:val="16"/>
                <w:color w:val="auto"/>
              </w:rPr>
              <w:t>Loss from sale of lab equipment</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14"/>
        </w:trPr>
        <w:tc>
          <w:tcPr>
            <w:tcW w:w="6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Change in operating assets and liabilities: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60" w:type="dxa"/>
            <w:vAlign w:val="bottom"/>
          </w:tcPr>
          <w:p>
            <w:pPr>
              <w:ind w:left="440"/>
              <w:spacing w:after="0"/>
              <w:rPr>
                <w:sz w:val="20"/>
                <w:szCs w:val="20"/>
                <w:color w:val="auto"/>
              </w:rPr>
            </w:pPr>
            <w:r>
              <w:rPr>
                <w:rFonts w:ascii="Arial" w:cs="Arial" w:eastAsia="Arial" w:hAnsi="Arial"/>
                <w:sz w:val="16"/>
                <w:szCs w:val="16"/>
                <w:color w:val="auto"/>
              </w:rPr>
              <w:t>Accounts receivable</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(10,611)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(4,567)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(4,743)</w:t>
            </w:r>
          </w:p>
        </w:tc>
        <w:tc>
          <w:tcPr>
            <w:tcW w:w="0" w:type="dxa"/>
            <w:vAlign w:val="bottom"/>
          </w:tcPr>
          <w:p>
            <w:pPr>
              <w:spacing w:after="0"/>
              <w:rPr>
                <w:sz w:val="1"/>
                <w:szCs w:val="1"/>
                <w:color w:val="auto"/>
              </w:rPr>
            </w:pPr>
          </w:p>
        </w:tc>
      </w:tr>
      <w:tr>
        <w:trPr>
          <w:trHeight w:val="214"/>
        </w:trPr>
        <w:tc>
          <w:tcPr>
            <w:tcW w:w="63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Inventory</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(8,979)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(7,970)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(4,929)</w:t>
            </w:r>
          </w:p>
        </w:tc>
        <w:tc>
          <w:tcPr>
            <w:tcW w:w="0" w:type="dxa"/>
            <w:vAlign w:val="bottom"/>
          </w:tcPr>
          <w:p>
            <w:pPr>
              <w:spacing w:after="0"/>
              <w:rPr>
                <w:sz w:val="1"/>
                <w:szCs w:val="1"/>
                <w:color w:val="auto"/>
              </w:rPr>
            </w:pPr>
          </w:p>
        </w:tc>
      </w:tr>
      <w:tr>
        <w:trPr>
          <w:trHeight w:val="210"/>
        </w:trPr>
        <w:tc>
          <w:tcPr>
            <w:tcW w:w="6360" w:type="dxa"/>
            <w:vAlign w:val="bottom"/>
          </w:tcPr>
          <w:p>
            <w:pPr>
              <w:ind w:left="440"/>
              <w:spacing w:after="0"/>
              <w:rPr>
                <w:sz w:val="20"/>
                <w:szCs w:val="20"/>
                <w:color w:val="auto"/>
              </w:rPr>
            </w:pPr>
            <w:r>
              <w:rPr>
                <w:rFonts w:ascii="Arial" w:cs="Arial" w:eastAsia="Arial" w:hAnsi="Arial"/>
                <w:sz w:val="16"/>
                <w:szCs w:val="16"/>
                <w:color w:val="auto"/>
              </w:rPr>
              <w:t>Prepaid expenses and other current assets</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2,498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(2,526)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(1,534)</w:t>
            </w:r>
          </w:p>
        </w:tc>
        <w:tc>
          <w:tcPr>
            <w:tcW w:w="0" w:type="dxa"/>
            <w:vAlign w:val="bottom"/>
          </w:tcPr>
          <w:p>
            <w:pPr>
              <w:spacing w:after="0"/>
              <w:rPr>
                <w:sz w:val="1"/>
                <w:szCs w:val="1"/>
                <w:color w:val="auto"/>
              </w:rPr>
            </w:pPr>
          </w:p>
        </w:tc>
      </w:tr>
      <w:tr>
        <w:trPr>
          <w:trHeight w:val="214"/>
        </w:trPr>
        <w:tc>
          <w:tcPr>
            <w:tcW w:w="63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Due to/from related parties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(2,817)</w:t>
            </w:r>
          </w:p>
        </w:tc>
        <w:tc>
          <w:tcPr>
            <w:tcW w:w="0" w:type="dxa"/>
            <w:vAlign w:val="bottom"/>
          </w:tcPr>
          <w:p>
            <w:pPr>
              <w:spacing w:after="0"/>
              <w:rPr>
                <w:sz w:val="1"/>
                <w:szCs w:val="1"/>
                <w:color w:val="auto"/>
              </w:rPr>
            </w:pPr>
          </w:p>
        </w:tc>
      </w:tr>
      <w:tr>
        <w:trPr>
          <w:trHeight w:val="210"/>
        </w:trPr>
        <w:tc>
          <w:tcPr>
            <w:tcW w:w="6360" w:type="dxa"/>
            <w:vAlign w:val="bottom"/>
          </w:tcPr>
          <w:p>
            <w:pPr>
              <w:ind w:left="440"/>
              <w:spacing w:after="0"/>
              <w:rPr>
                <w:sz w:val="20"/>
                <w:szCs w:val="20"/>
                <w:color w:val="auto"/>
              </w:rPr>
            </w:pPr>
            <w:r>
              <w:rPr>
                <w:rFonts w:ascii="Arial" w:cs="Arial" w:eastAsia="Arial" w:hAnsi="Arial"/>
                <w:sz w:val="16"/>
                <w:szCs w:val="16"/>
                <w:color w:val="auto"/>
              </w:rPr>
              <w:t>Other assets</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1,175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(4,395)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4"/>
        </w:trPr>
        <w:tc>
          <w:tcPr>
            <w:tcW w:w="63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Accounts payable and accrued expenses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14,805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12,847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2,311</w:t>
            </w:r>
          </w:p>
        </w:tc>
        <w:tc>
          <w:tcPr>
            <w:tcW w:w="0" w:type="dxa"/>
            <w:vAlign w:val="bottom"/>
          </w:tcPr>
          <w:p>
            <w:pPr>
              <w:spacing w:after="0"/>
              <w:rPr>
                <w:sz w:val="1"/>
                <w:szCs w:val="1"/>
                <w:color w:val="auto"/>
              </w:rPr>
            </w:pPr>
          </w:p>
        </w:tc>
      </w:tr>
      <w:tr>
        <w:trPr>
          <w:trHeight w:val="209"/>
        </w:trPr>
        <w:tc>
          <w:tcPr>
            <w:tcW w:w="6360" w:type="dxa"/>
            <w:vAlign w:val="bottom"/>
          </w:tcPr>
          <w:p>
            <w:pPr>
              <w:ind w:left="440"/>
              <w:spacing w:after="0"/>
              <w:rPr>
                <w:sz w:val="20"/>
                <w:szCs w:val="20"/>
                <w:color w:val="auto"/>
              </w:rPr>
            </w:pPr>
            <w:r>
              <w:rPr>
                <w:rFonts w:ascii="Arial" w:cs="Arial" w:eastAsia="Arial" w:hAnsi="Arial"/>
                <w:sz w:val="16"/>
                <w:szCs w:val="16"/>
                <w:color w:val="auto"/>
              </w:rPr>
              <w:t>Contract liabilities</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(559)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2,342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63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Other current liabilities</w:t>
            </w: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15,960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4,451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3,873</w:t>
            </w:r>
          </w:p>
        </w:tc>
        <w:tc>
          <w:tcPr>
            <w:tcW w:w="0" w:type="dxa"/>
            <w:vAlign w:val="bottom"/>
          </w:tcPr>
          <w:p>
            <w:pPr>
              <w:spacing w:after="0"/>
              <w:rPr>
                <w:sz w:val="1"/>
                <w:szCs w:val="1"/>
                <w:color w:val="auto"/>
              </w:rPr>
            </w:pPr>
          </w:p>
        </w:tc>
      </w:tr>
      <w:tr>
        <w:trPr>
          <w:trHeight w:val="208"/>
        </w:trPr>
        <w:tc>
          <w:tcPr>
            <w:tcW w:w="6360" w:type="dxa"/>
            <w:vAlign w:val="bottom"/>
          </w:tcPr>
          <w:p>
            <w:pPr>
              <w:ind w:left="440"/>
              <w:spacing w:after="0"/>
              <w:rPr>
                <w:sz w:val="20"/>
                <w:szCs w:val="20"/>
                <w:color w:val="auto"/>
              </w:rPr>
            </w:pPr>
            <w:r>
              <w:rPr>
                <w:rFonts w:ascii="Arial" w:cs="Arial" w:eastAsia="Arial" w:hAnsi="Arial"/>
                <w:sz w:val="16"/>
                <w:szCs w:val="16"/>
                <w:color w:val="auto"/>
              </w:rPr>
              <w:t>Net cash used in operating activities</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(93,128)</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(18,728)</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(24,684)</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636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b w:val="1"/>
                <w:bCs w:val="1"/>
                <w:color w:val="auto"/>
              </w:rPr>
              <w:t>Investing activities</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360" w:type="dxa"/>
            <w:vAlign w:val="bottom"/>
          </w:tcPr>
          <w:p>
            <w:pPr>
              <w:ind w:left="20"/>
              <w:spacing w:after="0"/>
              <w:rPr>
                <w:sz w:val="20"/>
                <w:szCs w:val="20"/>
                <w:color w:val="auto"/>
              </w:rPr>
            </w:pPr>
            <w:r>
              <w:rPr>
                <w:rFonts w:ascii="Arial" w:cs="Arial" w:eastAsia="Arial" w:hAnsi="Arial"/>
                <w:sz w:val="16"/>
                <w:szCs w:val="16"/>
                <w:color w:val="auto"/>
              </w:rPr>
              <w:t>Purchases of property and equipment</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(24,094)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(11,923)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(2,183)</w:t>
            </w:r>
          </w:p>
        </w:tc>
        <w:tc>
          <w:tcPr>
            <w:tcW w:w="0" w:type="dxa"/>
            <w:vAlign w:val="bottom"/>
          </w:tcPr>
          <w:p>
            <w:pPr>
              <w:spacing w:after="0"/>
              <w:rPr>
                <w:sz w:val="1"/>
                <w:szCs w:val="1"/>
                <w:color w:val="auto"/>
              </w:rPr>
            </w:pPr>
          </w:p>
        </w:tc>
      </w:tr>
      <w:tr>
        <w:trPr>
          <w:trHeight w:val="214"/>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sale of equipment</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1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Development of internal-use software assets</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(7,880)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(1,745)</w:t>
            </w:r>
          </w:p>
        </w:tc>
        <w:tc>
          <w:tcPr>
            <w:tcW w:w="0" w:type="dxa"/>
            <w:vAlign w:val="bottom"/>
          </w:tcPr>
          <w:p>
            <w:pPr>
              <w:spacing w:after="0"/>
              <w:rPr>
                <w:sz w:val="1"/>
                <w:szCs w:val="1"/>
                <w:color w:val="auto"/>
              </w:rPr>
            </w:pPr>
          </w:p>
        </w:tc>
      </w:tr>
      <w:tr>
        <w:trPr>
          <w:trHeight w:val="233"/>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(31,974)</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(15,456)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(3,803)</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36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0"/>
              </w:rPr>
              <w:t>Proceeds from issuance of Series B redeemable convertible preferred stock, net of issuance costs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118,824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6360" w:type="dxa"/>
            <w:vAlign w:val="bottom"/>
          </w:tcPr>
          <w:p>
            <w:pPr>
              <w:ind w:left="20"/>
              <w:spacing w:after="0"/>
              <w:rPr>
                <w:sz w:val="20"/>
                <w:szCs w:val="20"/>
                <w:color w:val="auto"/>
              </w:rPr>
            </w:pPr>
            <w:r>
              <w:rPr>
                <w:rFonts w:ascii="Arial" w:cs="Arial" w:eastAsia="Arial" w:hAnsi="Arial"/>
                <w:sz w:val="16"/>
                <w:szCs w:val="16"/>
                <w:color w:val="auto"/>
                <w:w w:val="90"/>
              </w:rPr>
              <w:t>Proceeds from issuance of Series C redeemable convertible preferred stock, net of issuance costs</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117,324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contributions from ISMMS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30,897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24,636</w:t>
            </w:r>
          </w:p>
        </w:tc>
        <w:tc>
          <w:tcPr>
            <w:tcW w:w="0" w:type="dxa"/>
            <w:vAlign w:val="bottom"/>
          </w:tcPr>
          <w:p>
            <w:pPr>
              <w:spacing w:after="0"/>
              <w:rPr>
                <w:sz w:val="1"/>
                <w:szCs w:val="1"/>
                <w:color w:val="auto"/>
              </w:rPr>
            </w:pPr>
          </w:p>
        </w:tc>
      </w:tr>
      <w:tr>
        <w:trPr>
          <w:trHeight w:val="210"/>
        </w:trPr>
        <w:tc>
          <w:tcPr>
            <w:tcW w:w="6360" w:type="dxa"/>
            <w:vAlign w:val="bottom"/>
          </w:tcPr>
          <w:p>
            <w:pPr>
              <w:ind w:left="20"/>
              <w:spacing w:after="0"/>
              <w:rPr>
                <w:sz w:val="20"/>
                <w:szCs w:val="20"/>
                <w:color w:val="auto"/>
              </w:rPr>
            </w:pPr>
            <w:r>
              <w:rPr>
                <w:rFonts w:ascii="Arial" w:cs="Arial" w:eastAsia="Arial" w:hAnsi="Arial"/>
                <w:sz w:val="16"/>
                <w:szCs w:val="16"/>
                <w:color w:val="auto"/>
              </w:rPr>
              <w:t>Proceeds from long-term debt</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15,928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4,500</w:t>
            </w:r>
          </w:p>
        </w:tc>
        <w:tc>
          <w:tcPr>
            <w:tcW w:w="0" w:type="dxa"/>
            <w:vAlign w:val="bottom"/>
          </w:tcPr>
          <w:p>
            <w:pPr>
              <w:spacing w:after="0"/>
              <w:rPr>
                <w:sz w:val="1"/>
                <w:szCs w:val="1"/>
                <w:color w:val="auto"/>
              </w:rPr>
            </w:pPr>
          </w:p>
        </w:tc>
      </w:tr>
      <w:tr>
        <w:trPr>
          <w:trHeight w:val="215"/>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 principal payments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Capital lease principal payments</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(2,071)</w:t>
            </w:r>
          </w:p>
        </w:tc>
        <w:tc>
          <w:tcPr>
            <w:tcW w:w="0" w:type="dxa"/>
            <w:vAlign w:val="bottom"/>
          </w:tcPr>
          <w:p>
            <w:pPr>
              <w:spacing w:after="0"/>
              <w:rPr>
                <w:sz w:val="1"/>
                <w:szCs w:val="1"/>
                <w:color w:val="auto"/>
              </w:rPr>
            </w:pPr>
          </w:p>
        </w:tc>
      </w:tr>
      <w:tr>
        <w:trPr>
          <w:trHeight w:val="208"/>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129,056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148,012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27,065</w:t>
            </w:r>
          </w:p>
        </w:tc>
        <w:tc>
          <w:tcPr>
            <w:tcW w:w="0" w:type="dxa"/>
            <w:vAlign w:val="bottom"/>
          </w:tcPr>
          <w:p>
            <w:pPr>
              <w:spacing w:after="0"/>
              <w:rPr>
                <w:sz w:val="1"/>
                <w:szCs w:val="1"/>
                <w:color w:val="auto"/>
              </w:rPr>
            </w:pPr>
          </w:p>
        </w:tc>
      </w:tr>
      <w:tr>
        <w:trPr>
          <w:trHeight w:val="210"/>
        </w:trPr>
        <w:tc>
          <w:tcPr>
            <w:tcW w:w="6360" w:type="dxa"/>
            <w:vAlign w:val="bottom"/>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3,954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113,828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(1,422)</w:t>
            </w:r>
          </w:p>
        </w:tc>
        <w:tc>
          <w:tcPr>
            <w:tcW w:w="0" w:type="dxa"/>
            <w:vAlign w:val="bottom"/>
          </w:tcPr>
          <w:p>
            <w:pPr>
              <w:spacing w:after="0"/>
              <w:rPr>
                <w:sz w:val="1"/>
                <w:szCs w:val="1"/>
                <w:color w:val="auto"/>
              </w:rPr>
            </w:pPr>
          </w:p>
        </w:tc>
      </w:tr>
      <w:tr>
        <w:trPr>
          <w:trHeight w:val="215"/>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beginning of year</w:t>
            </w: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115,006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2,600</w:t>
            </w:r>
          </w:p>
        </w:tc>
        <w:tc>
          <w:tcPr>
            <w:tcW w:w="0" w:type="dxa"/>
            <w:vAlign w:val="bottom"/>
          </w:tcPr>
          <w:p>
            <w:pPr>
              <w:spacing w:after="0"/>
              <w:rPr>
                <w:sz w:val="1"/>
                <w:szCs w:val="1"/>
                <w:color w:val="auto"/>
              </w:rPr>
            </w:pPr>
          </w:p>
        </w:tc>
      </w:tr>
      <w:tr>
        <w:trPr>
          <w:trHeight w:val="203"/>
        </w:trPr>
        <w:tc>
          <w:tcPr>
            <w:tcW w:w="636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at end of year</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118,960</w:t>
            </w:r>
          </w:p>
        </w:tc>
        <w:tc>
          <w:tcPr>
            <w:tcW w:w="480" w:type="dxa"/>
            <w:vAlign w:val="bottom"/>
            <w:gridSpan w:val="2"/>
          </w:tcPr>
          <w:p>
            <w:pPr>
              <w:jc w:val="right"/>
              <w:ind w:right="201"/>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115,006</w:t>
            </w:r>
          </w:p>
        </w:tc>
        <w:tc>
          <w:tcPr>
            <w:tcW w:w="100" w:type="dxa"/>
            <w:vAlign w:val="bottom"/>
          </w:tcPr>
          <w:p>
            <w:pPr>
              <w:spacing w:after="0"/>
              <w:rPr>
                <w:sz w:val="17"/>
                <w:szCs w:val="17"/>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1,178</w:t>
            </w:r>
          </w:p>
        </w:tc>
        <w:tc>
          <w:tcPr>
            <w:tcW w:w="0" w:type="dxa"/>
            <w:vAlign w:val="bottom"/>
          </w:tcPr>
          <w:p>
            <w:pPr>
              <w:spacing w:after="0"/>
              <w:rPr>
                <w:sz w:val="1"/>
                <w:szCs w:val="1"/>
                <w:color w:val="auto"/>
              </w:rPr>
            </w:pPr>
          </w:p>
        </w:tc>
      </w:tr>
      <w:tr>
        <w:trPr>
          <w:trHeight w:val="195"/>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38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expense paid</w:t>
            </w:r>
          </w:p>
        </w:tc>
        <w:tc>
          <w:tcPr>
            <w:tcW w:w="3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w:t>
            </w:r>
          </w:p>
        </w:tc>
        <w:tc>
          <w:tcPr>
            <w:tcW w:w="0" w:type="dxa"/>
            <w:vAlign w:val="bottom"/>
          </w:tcPr>
          <w:p>
            <w:pPr>
              <w:spacing w:after="0"/>
              <w:rPr>
                <w:sz w:val="1"/>
                <w:szCs w:val="1"/>
                <w:color w:val="auto"/>
              </w:rPr>
            </w:pPr>
          </w:p>
        </w:tc>
      </w:tr>
      <w:tr>
        <w:trPr>
          <w:trHeight w:val="208"/>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property and equipment in accounts payable and accrued expenses</w:t>
            </w: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Software development costs in accounts payable and accrued expenses</w:t>
            </w:r>
          </w:p>
        </w:tc>
        <w:tc>
          <w:tcPr>
            <w:tcW w:w="3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1,473</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w:t>
            </w:r>
          </w:p>
        </w:tc>
        <w:tc>
          <w:tcPr>
            <w:tcW w:w="0" w:type="dxa"/>
            <w:vAlign w:val="bottom"/>
          </w:tcPr>
          <w:p>
            <w:pPr>
              <w:spacing w:after="0"/>
              <w:rPr>
                <w:sz w:val="1"/>
                <w:szCs w:val="1"/>
                <w:color w:val="auto"/>
              </w:rPr>
            </w:pPr>
          </w:p>
        </w:tc>
      </w:tr>
      <w:tr>
        <w:trPr>
          <w:trHeight w:val="208"/>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Series A redeemable convertible preferred stock dividends declared and paid</w:t>
            </w: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gridSpan w:val="2"/>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2,951</w:t>
            </w:r>
          </w:p>
        </w:tc>
        <w:tc>
          <w:tcPr>
            <w:tcW w:w="0" w:type="dxa"/>
            <w:vAlign w:val="bottom"/>
          </w:tcPr>
          <w:p>
            <w:pPr>
              <w:spacing w:after="0"/>
              <w:rPr>
                <w:sz w:val="1"/>
                <w:szCs w:val="1"/>
                <w:color w:val="auto"/>
              </w:rPr>
            </w:pPr>
          </w:p>
        </w:tc>
      </w:tr>
      <w:tr>
        <w:trPr>
          <w:trHeight w:val="21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Forgiveness of principal on long-term debt</w:t>
            </w:r>
          </w:p>
        </w:tc>
        <w:tc>
          <w:tcPr>
            <w:tcW w:w="3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4,500</w:t>
            </w:r>
          </w:p>
        </w:tc>
        <w:tc>
          <w:tcPr>
            <w:tcW w:w="0" w:type="dxa"/>
            <w:vAlign w:val="bottom"/>
          </w:tcPr>
          <w:p>
            <w:pPr>
              <w:spacing w:after="0"/>
              <w:rPr>
                <w:sz w:val="1"/>
                <w:szCs w:val="1"/>
                <w:color w:val="auto"/>
              </w:rPr>
            </w:pPr>
          </w:p>
        </w:tc>
      </w:tr>
      <w:tr>
        <w:trPr>
          <w:trHeight w:val="228"/>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 acquired under capital leases obligations</w:t>
            </w: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7,546</w:t>
            </w:r>
          </w:p>
        </w:tc>
        <w:tc>
          <w:tcPr>
            <w:tcW w:w="480" w:type="dxa"/>
            <w:vAlign w:val="bottom"/>
            <w:gridSpan w:val="2"/>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5,670</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16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Organization and Description of Business</w:t>
      </w:r>
    </w:p>
    <w:p>
      <w:pPr>
        <w:spacing w:after="0" w:line="17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Mount Sinai Genomics, Inc., d/b/a Sema4 (the “Company”) provides genomics-related diagnostic and information services and pursues genomics medical research. The Company utilizes an integrated portfolio of laboratory processes, software tools and informatics capabilities to process DNA-containing samples, analyze information about patient-specific genetic variation and generate test reports for clinicians and their patients. The Company provides a variety of genetic diagnostic tests and information with focus on reproductive health, pediatric, oncology and other conditions. In 2020, the Company began to provide diagnostic testing services in response to the recent novel coronavirus (“COVID-19”) outbreak. The Company serves patients and bills third party payors across the United States, with a substantial portion of its diagnostic testing volume occurring in the states of New York, California, Florida, Connecticut, and New Jersey.</w:t>
      </w:r>
    </w:p>
    <w:p>
      <w:pPr>
        <w:spacing w:after="0" w:line="146"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Company was incorporated in the State of Delaware as a for-profit corporation on October 16, 2015, with limited operations focused on establishing the Company as a capitalized, standalone entity. On June 1, 2017, the Company signed a contribution and funding agreement (the “Contribution Agreement”) and other agreements with Icahn School of Medicine at Mount Sinai (“ISMMS”), whereby ISMMS contributed certain assets and liabilities related to the Company’s operations, provided certain services to the Company, and also committed to fund the Company up to $55.0 million in future capital contributions (see Note 6) in exchange for equity in the Company (the “Spin-out”). Following the Spin-out, the Company commenced operations and began providing the services and performing research.</w:t>
      </w:r>
    </w:p>
    <w:p>
      <w:pPr>
        <w:spacing w:after="0" w:line="14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Company remained a wholly-owned subsidiary of ISMMS until August 2, 2019, when the Company issued its Series B redeemable convertible preferred stock (see Note 10). ISMMS provided its remaining committed funding to the Company, pursuant to the Contribution Agreement, prior to the Series B redeemable convertible preferred stock issuance. ISMMS continues to maintain majority control of the Company following the Series B and Series C redeemable convertible preferred stock issuances.</w:t>
      </w:r>
    </w:p>
    <w:p>
      <w:pPr>
        <w:spacing w:after="0" w:line="13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5"/>
          <w:szCs w:val="15"/>
          <w:b w:val="1"/>
          <w:bCs w:val="1"/>
          <w:color w:val="auto"/>
        </w:rPr>
        <w:t>Summary of Significant Accounting Policies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accompanying financial statements have been prepared in conformity with accounting principles generally accepted in the United States of America (“U.S. GAAP”).</w:t>
      </w:r>
    </w:p>
    <w:p>
      <w:pPr>
        <w:spacing w:after="0" w:line="128"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Assets and liabilities transferred to the Company in the Spin-out were accounted for at ISMMS’s historical book basis as the transaction represented a transfer of net assets between entities under common control. The Company’s historical financial information includes costs of certain services historically provided by ISMMS pursuant to a Transition Services Agreement (“TSA”) and service agreements (“Service Agreements”). The Company’s historical results are not necessarily indicative of what its results of operations, financial position, cash flows, or costs and expenses would have been had the Company been an independent entity during the historical periods presented or what its results of operations, financial position, cash flows, or costs and expenses will be in the future when it is a publicly traded, stand-alone company.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Going Concern</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 has evaluated whether there are certain conditions and events, considered in the aggregate, that raise substantial doubt about the Company’s ability to continue as a going concern within one year after the date that the financial statements are issued.</w:t>
      </w:r>
    </w:p>
    <w:p>
      <w:pPr>
        <w:spacing w:after="0" w:line="128"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Through December 31, 2020, the Company has funded its operations primarily with proceeds from the issuance of its redeemable convertible preferred stock and the issuance of long-term debt. The Company has incurred recurring losses since its inception, including net losses of $241.3 million, $29.7 million and $23.9 million for the years ended December 31, 2020, 2019 and 2018, respectively. As of December 31, 2020, the Company had an accumulated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320" w:top="1440" w:right="339" w:bottom="1440" w:gutter="0" w:footer="0" w:header="0"/>
        </w:sectPr>
      </w:pPr>
    </w:p>
    <w:bookmarkStart w:id="179" w:name="page180"/>
    <w:bookmarkEnd w:id="179"/>
    <w:p>
      <w:pPr>
        <w:spacing w:after="0" w:line="11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deficit of $330.1 million. The Company expects to continue to generate significant operating losses for the foreseeable future. As of May 6, 2021, the issuance date of the financial statements for the year ended December 31, 2020, the Company expects that its existing cash and cash equivalents of $108.1 million (excluding restricted cash) will be sufficient to fund its operating expenses and capital expenditure requirements into the second half of 2021. The future viability of the Company beyond that point is dependent on its ability to raise additional capital to finance its operations.</w:t>
      </w:r>
    </w:p>
    <w:p>
      <w:pPr>
        <w:spacing w:after="0" w:line="12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Company is seeking to merge with CM Life Sciences, Inc. (see Note 15). In the event the Company does not complete this transaction, the Company expects to seek additional funding through an initial public offering of its common shares, private equity financings, debt financings or other capital sources, including collaborations with other companies or other strategic transactions. The Company may not be able to obtain financing on acceptable terms, or at all. The terms of any financing may adversely affect the holdings or the rights of the Company’s stockholders.</w:t>
      </w:r>
    </w:p>
    <w:p>
      <w:pPr>
        <w:spacing w:after="0" w:line="12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If the Company is unable to obtain funding, the Company will be forced to delay, reduce or eliminate some or all of its research and development programs, product portfolio expansion or commercialization efforts, which could adversely affect its business prospects, or the Company may be unable to continue operations. Although management continues to pursue these plans, there is no assurance that the Company will be successful in obtaining sufficient funding on terms acceptable to the Company to fund continuing operations, if at all.</w:t>
      </w:r>
    </w:p>
    <w:p>
      <w:pPr>
        <w:spacing w:after="0" w:line="13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Based on its recurring losses from operations incurred since inception, expectation of continuing operating losses for the foreseeable future, and the need to raise additional capital to finance its future operations, as of May 6, 2021, the issuance date of the accompanying financial statements, the Company has concluded that there is substantial doubt about its ability to continue as a going concern for a period of one year from the date that these financial statements were issued.</w:t>
      </w:r>
    </w:p>
    <w:p>
      <w:pPr>
        <w:spacing w:after="0" w:line="13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accompanying financial statements do not include any adjustments that might result from the outcome of this uncertainty. Accordingly, the financial statements have been prepared on a basis that assumes the Company will continue as a going concern and which contemplates the realization of assets and satisfaction of liabilities and commitments in the ordinary course of business.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6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 preparation of financial statements in conformity with U.S. GAAP requires management to make certain estimates, judgments and assumptions that affect the reported amounts of assets and liabilities and the related disclosures at the date of the financial statements as well as the reported amounts of revenues and expenses during the periods presented. The Company bases these estimates on current facts, historical and anticipated results, trends and various other assumptions that it believes are reasonable in the circumstances, including assumptions as to future events. These estimates include, but are not limited to, the transaction price for certain contracts with customers, the capitalization of software costs and the valuation of stock-based awards. Actual results could differ materially from those estimates, judgments and assumptions.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and cash equivalents and accounts receivable.</w:t>
      </w:r>
    </w:p>
    <w:p>
      <w:pPr>
        <w:spacing w:after="0" w:line="12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Company’s cash and cash equivalents are deposited with high-quality financial institutions. The Company has balances in financial institutions that exceed federal depository insurance limits. Management believes these financial institutions are financially sound and, accordingly, that minimal credit risk exists. The Company has not experienced any losses on its deposits of cash and cash equivalents.</w:t>
      </w:r>
    </w:p>
    <w:p>
      <w:pPr>
        <w:spacing w:after="0" w:line="135"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Company assesses both the customer and, if applicable, the third party payor that reimburses the Company on the customer’s behalf when evaluating concentration of credit risk. Significant customers and payors are those that represent more than 10% of the Company’s total annual revenues or accounts receivable balance at each respective balance sheet date. The significant concentrations of accounts receivable at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40"/>
          </w:cols>
          <w:pgMar w:left="320" w:top="1440" w:right="339" w:bottom="1440" w:gutter="0" w:footer="0" w:header="0"/>
        </w:sectPr>
      </w:pPr>
    </w:p>
    <w:bookmarkStart w:id="180" w:name="page181"/>
    <w:bookmarkEnd w:id="180"/>
    <w:p>
      <w:pPr>
        <w:spacing w:after="0" w:line="119" w:lineRule="exact"/>
        <w:rPr>
          <w:sz w:val="20"/>
          <w:szCs w:val="20"/>
          <w:color w:val="auto"/>
        </w:rPr>
      </w:pPr>
    </w:p>
    <w:p>
      <w:pPr>
        <w:spacing w:after="0" w:line="365" w:lineRule="auto"/>
        <w:rPr>
          <w:sz w:val="20"/>
          <w:szCs w:val="20"/>
          <w:color w:val="auto"/>
        </w:rPr>
      </w:pPr>
      <w:r>
        <w:rPr>
          <w:rFonts w:ascii="Arial" w:cs="Arial" w:eastAsia="Arial" w:hAnsi="Arial"/>
          <w:sz w:val="15"/>
          <w:szCs w:val="15"/>
          <w:color w:val="auto"/>
        </w:rPr>
        <w:t>were primarily from large managed care insurance companies and a reference laboratory. There was no individual customer that accounted for 10% or more of revenue or accounts receivable for any of the years presented. The Company does not require collateral as a means to mitigate customer credit risk.</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For each significant payor, revenue as a percentage of total revenues and accounts receivable as a percentage of total accounts receivable are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8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w w:val="89"/>
              </w:rPr>
              <w:t>Revenue</w:t>
            </w: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Accounts Receivable</w:t>
            </w:r>
          </w:p>
        </w:tc>
      </w:tr>
      <w:tr>
        <w:trPr>
          <w:trHeight w:val="183"/>
        </w:trPr>
        <w:tc>
          <w:tcPr>
            <w:tcW w:w="428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0"/>
              </w:rPr>
              <w:t>Year Ended December 31,</w:t>
            </w:r>
          </w:p>
        </w:tc>
        <w:tc>
          <w:tcPr>
            <w:tcW w:w="10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7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As of December 31,</w:t>
            </w:r>
          </w:p>
        </w:tc>
      </w:tr>
      <w:tr>
        <w:trPr>
          <w:trHeight w:val="179"/>
        </w:trPr>
        <w:tc>
          <w:tcPr>
            <w:tcW w:w="428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center"/>
              <w:ind w:left="195"/>
              <w:spacing w:after="0"/>
              <w:rPr>
                <w:sz w:val="20"/>
                <w:szCs w:val="20"/>
                <w:color w:val="auto"/>
              </w:rPr>
            </w:pPr>
            <w:r>
              <w:rPr>
                <w:rFonts w:ascii="Arial" w:cs="Arial" w:eastAsia="Arial" w:hAnsi="Arial"/>
                <w:sz w:val="14"/>
                <w:szCs w:val="14"/>
                <w:b w:val="1"/>
                <w:bCs w:val="1"/>
                <w:color w:val="auto"/>
                <w:w w:val="89"/>
              </w:rPr>
              <w:t>2020</w:t>
            </w: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r>
      <w:tr>
        <w:trPr>
          <w:trHeight w:val="21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Payor A</w:t>
            </w:r>
          </w:p>
        </w:tc>
        <w:tc>
          <w:tcPr>
            <w:tcW w:w="1040" w:type="dxa"/>
            <w:vAlign w:val="bottom"/>
            <w:shd w:val="clear" w:color="auto" w:fill="CCEEFF"/>
          </w:tcPr>
          <w:p>
            <w:pPr>
              <w:jc w:val="center"/>
              <w:ind w:left="195"/>
              <w:spacing w:after="0"/>
              <w:rPr>
                <w:sz w:val="20"/>
                <w:szCs w:val="20"/>
                <w:color w:val="auto"/>
              </w:rPr>
            </w:pPr>
            <w:r>
              <w:rPr>
                <w:rFonts w:ascii="Arial" w:cs="Arial" w:eastAsia="Arial" w:hAnsi="Arial"/>
                <w:sz w:val="18"/>
                <w:szCs w:val="18"/>
                <w:color w:val="auto"/>
                <w:w w:val="88"/>
              </w:rPr>
              <w:t>27%</w:t>
            </w:r>
          </w:p>
        </w:tc>
        <w:tc>
          <w:tcPr>
            <w:tcW w:w="1660" w:type="dxa"/>
            <w:vAlign w:val="bottom"/>
            <w:gridSpan w:val="3"/>
            <w:shd w:val="clear" w:color="auto" w:fill="CCEEFF"/>
          </w:tcPr>
          <w:p>
            <w:pPr>
              <w:jc w:val="center"/>
              <w:ind w:left="295"/>
              <w:spacing w:after="0"/>
              <w:rPr>
                <w:sz w:val="20"/>
                <w:szCs w:val="20"/>
                <w:color w:val="auto"/>
              </w:rPr>
            </w:pPr>
            <w:r>
              <w:rPr>
                <w:rFonts w:ascii="Arial" w:cs="Arial" w:eastAsia="Arial" w:hAnsi="Arial"/>
                <w:sz w:val="18"/>
                <w:szCs w:val="18"/>
                <w:color w:val="auto"/>
                <w:w w:val="88"/>
              </w:rPr>
              <w:t>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right="175"/>
              <w:spacing w:after="0"/>
              <w:rPr>
                <w:sz w:val="20"/>
                <w:szCs w:val="20"/>
                <w:color w:val="auto"/>
              </w:rPr>
            </w:pPr>
            <w:r>
              <w:rPr>
                <w:rFonts w:ascii="Arial" w:cs="Arial" w:eastAsia="Arial" w:hAnsi="Arial"/>
                <w:sz w:val="18"/>
                <w:szCs w:val="18"/>
                <w:color w:val="auto"/>
                <w:w w:val="88"/>
              </w:rPr>
              <w:t>37%</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33%</w:t>
            </w:r>
          </w:p>
        </w:tc>
      </w:tr>
      <w:tr>
        <w:trPr>
          <w:trHeight w:val="225"/>
        </w:trPr>
        <w:tc>
          <w:tcPr>
            <w:tcW w:w="4280" w:type="dxa"/>
            <w:vAlign w:val="bottom"/>
          </w:tcPr>
          <w:p>
            <w:pPr>
              <w:ind w:left="20"/>
              <w:spacing w:after="0"/>
              <w:rPr>
                <w:sz w:val="20"/>
                <w:szCs w:val="20"/>
                <w:color w:val="auto"/>
              </w:rPr>
            </w:pPr>
            <w:r>
              <w:rPr>
                <w:rFonts w:ascii="Arial" w:cs="Arial" w:eastAsia="Arial" w:hAnsi="Arial"/>
                <w:sz w:val="18"/>
                <w:szCs w:val="18"/>
                <w:color w:val="auto"/>
              </w:rPr>
              <w:t>Payor B</w:t>
            </w:r>
          </w:p>
        </w:tc>
        <w:tc>
          <w:tcPr>
            <w:tcW w:w="1040" w:type="dxa"/>
            <w:vAlign w:val="bottom"/>
          </w:tcPr>
          <w:p>
            <w:pPr>
              <w:jc w:val="center"/>
              <w:ind w:left="195"/>
              <w:spacing w:after="0"/>
              <w:rPr>
                <w:sz w:val="20"/>
                <w:szCs w:val="20"/>
                <w:color w:val="auto"/>
              </w:rPr>
            </w:pPr>
            <w:r>
              <w:rPr>
                <w:rFonts w:ascii="Arial" w:cs="Arial" w:eastAsia="Arial" w:hAnsi="Arial"/>
                <w:sz w:val="18"/>
                <w:szCs w:val="18"/>
                <w:color w:val="auto"/>
                <w:w w:val="88"/>
              </w:rPr>
              <w:t>14%</w:t>
            </w:r>
          </w:p>
        </w:tc>
        <w:tc>
          <w:tcPr>
            <w:tcW w:w="1660" w:type="dxa"/>
            <w:vAlign w:val="bottom"/>
            <w:gridSpan w:val="3"/>
          </w:tcPr>
          <w:p>
            <w:pPr>
              <w:jc w:val="center"/>
              <w:ind w:left="27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center"/>
              <w:ind w:right="17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26"/>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Payor C</w:t>
            </w:r>
          </w:p>
        </w:tc>
        <w:tc>
          <w:tcPr>
            <w:tcW w:w="1040" w:type="dxa"/>
            <w:vAlign w:val="bottom"/>
            <w:shd w:val="clear" w:color="auto" w:fill="CCEEFF"/>
          </w:tcPr>
          <w:p>
            <w:pPr>
              <w:jc w:val="center"/>
              <w:ind w:left="195"/>
              <w:spacing w:after="0"/>
              <w:rPr>
                <w:sz w:val="20"/>
                <w:szCs w:val="20"/>
                <w:color w:val="auto"/>
              </w:rPr>
            </w:pPr>
            <w:r>
              <w:rPr>
                <w:rFonts w:ascii="Arial" w:cs="Arial" w:eastAsia="Arial" w:hAnsi="Arial"/>
                <w:sz w:val="18"/>
                <w:szCs w:val="18"/>
                <w:color w:val="auto"/>
              </w:rPr>
              <w:t>*</w:t>
            </w:r>
          </w:p>
        </w:tc>
        <w:tc>
          <w:tcPr>
            <w:tcW w:w="1660" w:type="dxa"/>
            <w:vAlign w:val="bottom"/>
            <w:gridSpan w:val="3"/>
            <w:shd w:val="clear" w:color="auto" w:fill="CCEEFF"/>
          </w:tcPr>
          <w:p>
            <w:pPr>
              <w:jc w:val="center"/>
              <w:ind w:left="27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right="175"/>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25"/>
        </w:trPr>
        <w:tc>
          <w:tcPr>
            <w:tcW w:w="4280" w:type="dxa"/>
            <w:vAlign w:val="bottom"/>
          </w:tcPr>
          <w:p>
            <w:pPr>
              <w:ind w:left="20"/>
              <w:spacing w:after="0"/>
              <w:rPr>
                <w:sz w:val="20"/>
                <w:szCs w:val="20"/>
                <w:color w:val="auto"/>
              </w:rPr>
            </w:pPr>
            <w:r>
              <w:rPr>
                <w:rFonts w:ascii="Arial" w:cs="Arial" w:eastAsia="Arial" w:hAnsi="Arial"/>
                <w:sz w:val="18"/>
                <w:szCs w:val="18"/>
                <w:color w:val="auto"/>
              </w:rPr>
              <w:t>Payor D</w:t>
            </w:r>
          </w:p>
        </w:tc>
        <w:tc>
          <w:tcPr>
            <w:tcW w:w="1040" w:type="dxa"/>
            <w:vAlign w:val="bottom"/>
          </w:tcPr>
          <w:p>
            <w:pPr>
              <w:jc w:val="center"/>
              <w:ind w:left="195"/>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center"/>
              <w:ind w:left="295"/>
              <w:spacing w:after="0"/>
              <w:rPr>
                <w:sz w:val="20"/>
                <w:szCs w:val="20"/>
                <w:color w:val="auto"/>
              </w:rPr>
            </w:pPr>
            <w:r>
              <w:rPr>
                <w:rFonts w:ascii="Arial" w:cs="Arial" w:eastAsia="Arial" w:hAnsi="Arial"/>
                <w:sz w:val="18"/>
                <w:szCs w:val="18"/>
                <w:color w:val="auto"/>
                <w:w w:val="88"/>
              </w:rPr>
              <w:t>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center"/>
              <w:ind w:right="175"/>
              <w:spacing w:after="0"/>
              <w:rPr>
                <w:sz w:val="20"/>
                <w:szCs w:val="20"/>
                <w:color w:val="auto"/>
              </w:rPr>
            </w:pPr>
            <w:r>
              <w:rPr>
                <w:rFonts w:ascii="Arial" w:cs="Arial" w:eastAsia="Arial" w:hAnsi="Arial"/>
                <w:sz w:val="18"/>
                <w:szCs w:val="18"/>
                <w:color w:val="auto"/>
                <w:w w:val="88"/>
              </w:rPr>
              <w:t>27%</w:t>
            </w:r>
          </w:p>
        </w:tc>
        <w:tc>
          <w:tcPr>
            <w:tcW w:w="1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12%</w:t>
            </w:r>
          </w:p>
        </w:tc>
      </w:tr>
      <w:tr>
        <w:trPr>
          <w:trHeight w:val="226"/>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Payor E</w:t>
            </w:r>
          </w:p>
        </w:tc>
        <w:tc>
          <w:tcPr>
            <w:tcW w:w="1040" w:type="dxa"/>
            <w:vAlign w:val="bottom"/>
            <w:shd w:val="clear" w:color="auto" w:fill="CCEEFF"/>
          </w:tcPr>
          <w:p>
            <w:pPr>
              <w:jc w:val="center"/>
              <w:ind w:left="195"/>
              <w:spacing w:after="0"/>
              <w:rPr>
                <w:sz w:val="20"/>
                <w:szCs w:val="20"/>
                <w:color w:val="auto"/>
              </w:rPr>
            </w:pPr>
            <w:r>
              <w:rPr>
                <w:rFonts w:ascii="Arial" w:cs="Arial" w:eastAsia="Arial" w:hAnsi="Arial"/>
                <w:sz w:val="18"/>
                <w:szCs w:val="18"/>
                <w:color w:val="auto"/>
              </w:rPr>
              <w:t>*</w:t>
            </w:r>
          </w:p>
        </w:tc>
        <w:tc>
          <w:tcPr>
            <w:tcW w:w="1660" w:type="dxa"/>
            <w:vAlign w:val="bottom"/>
            <w:gridSpan w:val="3"/>
            <w:shd w:val="clear" w:color="auto" w:fill="CCEEFF"/>
          </w:tcPr>
          <w:p>
            <w:pPr>
              <w:jc w:val="center"/>
              <w:ind w:left="27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right="175"/>
              <w:spacing w:after="0"/>
              <w:rPr>
                <w:sz w:val="20"/>
                <w:szCs w:val="20"/>
                <w:color w:val="auto"/>
              </w:rPr>
            </w:pPr>
            <w:r>
              <w:rPr>
                <w:rFonts w:ascii="Arial" w:cs="Arial" w:eastAsia="Arial" w:hAnsi="Arial"/>
                <w:sz w:val="18"/>
                <w:szCs w:val="18"/>
                <w:color w:val="auto"/>
                <w:w w:val="88"/>
              </w:rPr>
              <w:t>13%</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21%</w:t>
            </w: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0" w:lineRule="exact"/>
        <w:rPr>
          <w:sz w:val="20"/>
          <w:szCs w:val="20"/>
          <w:color w:val="auto"/>
        </w:rPr>
      </w:pPr>
    </w:p>
    <w:p>
      <w:pPr>
        <w:ind w:left="320" w:hanging="314"/>
        <w:spacing w:after="0"/>
        <w:tabs>
          <w:tab w:leader="none" w:pos="320" w:val="left"/>
        </w:tabs>
        <w:numPr>
          <w:ilvl w:val="0"/>
          <w:numId w:val="99"/>
        </w:numPr>
        <w:rPr>
          <w:rFonts w:ascii="Arial" w:cs="Arial" w:eastAsia="Arial" w:hAnsi="Arial"/>
          <w:sz w:val="14"/>
          <w:szCs w:val="14"/>
          <w:color w:val="auto"/>
        </w:rPr>
      </w:pPr>
      <w:r>
        <w:rPr>
          <w:rFonts w:ascii="Arial" w:cs="Arial" w:eastAsia="Arial" w:hAnsi="Arial"/>
          <w:sz w:val="14"/>
          <w:szCs w:val="14"/>
          <w:color w:val="auto"/>
        </w:rPr>
        <w:t>less than 10%</w:t>
      </w:r>
    </w:p>
    <w:p>
      <w:pPr>
        <w:spacing w:after="0" w:line="15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is subject to a concentration of risk from a limited number of suppliers for certain reagents and laboratory supplies. One supplier accounted for approximately 11% 15% and 14% of purchases of lab supplies, reagents and kits for the years ended December 31, 2020, 2019 and 2018, respectively. Another supplier accounted for approximately 10%, 12% and 13% of purchases of lab supplies, reagents and kits for the years ended December 31, 2020, 2019 and 2018, respectively. This risk is managed by maintaining a target quantity of surplus stock.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March 2020, the World Health Organization declared the COVID-19 outbreak a pandemic. COVID-19 has had, and continues to have, an extensive impact on the global health and economic environments. Many jurisdictions, including those in which the Company has locations, have implemented measures to combat the outbreak, such as travel restrictions and shelter in place orders. In addition, the healthcare sector generally experienced a decline in discretionary care services at the onset of the pandemic.</w:t>
      </w:r>
    </w:p>
    <w:p>
      <w:pPr>
        <w:spacing w:after="0" w:line="138"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Beginning in April 2020, the Company’s diagnostic test volumes decreased significantly as compared to the prior year as a result of COVID-19 and the related limitations and priorities across the healthcare system. In response, beginning in May 2020, the Company entered into several service agreements with state governments and healthcare institutions to provide testing for the presence of COVID-19 infection. While test volumes improved in the second half of 2020, the Company continued to experience changes in the mix of tests due to the impact of COVID-19. COVID-19 could continue to have a material impact on the Company’s results of operations, cash flows and financial condition for the foreseeable future.</w:t>
      </w:r>
    </w:p>
    <w:p>
      <w:pPr>
        <w:spacing w:after="0" w:line="12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March 2020, the Coronavirus Aid, Relief and Economic Security Act (“CARES Act”) was signed into law which was a stimulus bill that, among other things, provided assistance to qualifying businesses and individuals and included funding for the healthcare system. The Company received $5.4 million in 2020 as part of the stimulus, comprised of $2.6 million received under the Provider Relief Fund (“PRF”) distribution and $2.8 million received under the Employee Retention Credit (“ERC”) distribution.</w:t>
      </w:r>
    </w:p>
    <w:p>
      <w:pPr>
        <w:spacing w:after="0" w:line="13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PRF distributions to healthcare providers are not loans and will not be required to be repaid; however, as a condition to receiving these payments, providers must agree to certain terms and conditions and submit sufficient documentation demonstrating that the funds are being used for healthcare-related expenses or lost revenue attributable to the COVID-19 pandemic. The Company concluded it is probable that all terms and conditions associated with the PRF distribution have been met. As a result, the Company recorded the PRF distribution in other income, net in the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40"/>
          </w:cols>
          <w:pgMar w:left="320" w:top="1440" w:right="339" w:bottom="1440" w:gutter="0" w:footer="0" w:header="0"/>
        </w:sectPr>
      </w:pPr>
    </w:p>
    <w:bookmarkStart w:id="181" w:name="page182"/>
    <w:bookmarkEnd w:id="181"/>
    <w:p>
      <w:pPr>
        <w:spacing w:after="0" w:line="119" w:lineRule="exact"/>
        <w:rPr>
          <w:sz w:val="20"/>
          <w:szCs w:val="20"/>
          <w:color w:val="auto"/>
        </w:rPr>
      </w:pPr>
    </w:p>
    <w:p>
      <w:pPr>
        <w:spacing w:after="0" w:line="302" w:lineRule="auto"/>
        <w:rPr>
          <w:sz w:val="20"/>
          <w:szCs w:val="20"/>
          <w:color w:val="auto"/>
        </w:rPr>
      </w:pPr>
      <w:r>
        <w:rPr>
          <w:rFonts w:ascii="Arial" w:cs="Arial" w:eastAsia="Arial" w:hAnsi="Arial"/>
          <w:sz w:val="15"/>
          <w:szCs w:val="15"/>
          <w:color w:val="auto"/>
        </w:rPr>
        <w:t>ERC distributions are refundable tax credits for 50% of qualified wages paid to employees during the pandemic. A company is eligible for the ERC if it has not received a Paycheck Protection Program loan under the Cares Act and (1) its operations have been fully or partially suspended because of COVID-19 or</w:t>
      </w:r>
    </w:p>
    <w:p>
      <w:pPr>
        <w:spacing w:after="0" w:line="1" w:lineRule="exact"/>
        <w:rPr>
          <w:sz w:val="20"/>
          <w:szCs w:val="20"/>
          <w:color w:val="auto"/>
        </w:rPr>
      </w:pPr>
    </w:p>
    <w:p>
      <w:pPr>
        <w:jc w:val="both"/>
        <w:ind w:firstLine="6"/>
        <w:spacing w:after="0" w:line="322" w:lineRule="auto"/>
        <w:tabs>
          <w:tab w:leader="none" w:pos="273" w:val="left"/>
        </w:tabs>
        <w:numPr>
          <w:ilvl w:val="0"/>
          <w:numId w:val="100"/>
        </w:numPr>
        <w:rPr>
          <w:rFonts w:ascii="Arial" w:cs="Arial" w:eastAsia="Arial" w:hAnsi="Arial"/>
          <w:sz w:val="15"/>
          <w:szCs w:val="15"/>
          <w:color w:val="auto"/>
        </w:rPr>
      </w:pPr>
      <w:r>
        <w:rPr>
          <w:rFonts w:ascii="Arial" w:cs="Arial" w:eastAsia="Arial" w:hAnsi="Arial"/>
          <w:sz w:val="15"/>
          <w:szCs w:val="15"/>
          <w:color w:val="auto"/>
        </w:rPr>
        <w:t>its gross receipts in a calendar quarter in 2020 declined by more than 50% from the same period in 2019. At the time of applying for the ERC, the Company concluded that it was reasonably possible the eligibility requirements would be met; however, due to a change in circumstances, the Company re-evaluated its position, deferred the recognition of the ERC distribution and recorded the proceeds in other liabilities as of December 31, 2020.</w:t>
      </w:r>
    </w:p>
    <w:p>
      <w:pPr>
        <w:spacing w:after="0" w:line="8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At this time, the Company is not certain of the availability, extent or impact of any future relief provided under the CARES Act or other stimulus initiatives.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 considers all highly liquid investments with original maturities of three months or less from the date of purchase to be cash equivalents. Cash equivalents consist of amounts invested in money market funds. Carrying values of cash equivalents approximate fair value due to the short-term nature of these instruments.</w:t>
      </w:r>
    </w:p>
    <w:p>
      <w:pPr>
        <w:spacing w:after="0" w:line="13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on the balance sheets that sum to the total of the same amounts shown on the statements of cash flows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80" w:type="dxa"/>
            <w:vAlign w:val="bottom"/>
            <w:tcBorders>
              <w:bottom w:val="single" w:sz="8" w:color="auto"/>
            </w:tcBorders>
          </w:tcPr>
          <w:p>
            <w:pPr>
              <w:spacing w:after="0"/>
              <w:rPr>
                <w:sz w:val="16"/>
                <w:szCs w:val="16"/>
                <w:color w:val="auto"/>
              </w:rPr>
            </w:pPr>
          </w:p>
        </w:tc>
      </w:tr>
      <w:tr>
        <w:trPr>
          <w:trHeight w:val="183"/>
        </w:trPr>
        <w:tc>
          <w:tcPr>
            <w:tcW w:w="80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2019</w:t>
            </w: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108,132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115,006</w:t>
            </w: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10,828</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4"/>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118,960</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115,006</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Restricted cash as of December 31, 2020 consists of money market deposit accounts that secure irrevocable standby letters of credit that serve as collateral for security deposits for financing obligations and operating leases (see Note 7 and Note 8, respectively).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64"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Accounts receivable consists of amounts due from customers for services performed and reflect the consideration to which the Company expects to be entitled in exchange for providing those services. Accounts receivable are estimated and recorded in the period the related revenue is recorded. During the years ended December 31, 2020, 2019 and 2018, the Company did not record provisions for doubtful accounts. The Company wrote off accounts receivable balances of $0.2 million for the year ended December 31, 2020 and did not write off any accounts receivable balances for the years ended December 31, 2019 and 2018.</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6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Inventory, which primarily consists of testing supplies and reagents, is capitalized when purchased and expensed when used in performing services. Inventory is stated at the lower of cost or net realizable value. Cost is determined using actual costs on a first-in, first-out basis. The Company periodically performs obsolescence assessments and writes off any inventory that is no longer usable. Any write-down of inventory to net realizable value creates a new cost basis. During the years ended December 31, 2020, 2019 and 2018, the Company did not write off any inventory.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6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Property and equipment, including equipment contributed by ISMMS on the date of the Spin-out (see Note 5), are stated at cost less accumulated depreciation and amortization. Equipment includes assets under capital lease. Improvements are capitalized, while maintenance and repairs are expensed as incurred. When assets are retired or otherwise disposed of, the cost and accumulated depreciation and amortization are removed from the balance sheets and any resulting gain or loss is reflected in the statements of operations and comprehensive loss in the period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40"/>
          </w:cols>
          <w:pgMar w:left="320" w:top="1440" w:right="339" w:bottom="1440" w:gutter="0" w:footer="0" w:header="0"/>
        </w:sectPr>
      </w:pPr>
    </w:p>
    <w:bookmarkStart w:id="182" w:name="page183"/>
    <w:bookmarkEnd w:id="182"/>
    <w:p>
      <w:pPr>
        <w:spacing w:after="0" w:line="119"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Capital leases and leasehold improvements are amortized straight-line over the shorter of the term of the lease or the estimated useful life. All other property and equipment assets are depreciated using the straight-line method over the estimated useful life of the asset, which ranges from three to five years.</w:t>
      </w:r>
    </w:p>
    <w:p>
      <w:pPr>
        <w:spacing w:after="0" w:line="58"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Company reviews the recoverability of its long-lived assets when events or changes in circumstances occur that indicate that the carrying value of the asset or asset group may not be recoverable. An impairment loss is recognized when the total estimated future undiscounted cash flows expected to result from the use of the asset and its eventual disposition are less than its carrying amount. Impairment, if any, is assessed using discounted cash flows or other appropriate measures of fair value. There were no long-lived asset impairment losses recorded for any periods presented.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Software</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Costs incurred for computer software developed or obtained for internal use are capitalized for application development activities and expensed as incurred for preliminary project activities and post-implementation activities. Capitalization of such costs ceases when the project is substantially complete and ready for its intended purpose. Costs for maintenance and training are expensed as incurred.</w:t>
      </w:r>
    </w:p>
    <w:p>
      <w:pPr>
        <w:spacing w:after="0" w:line="135" w:lineRule="exact"/>
        <w:rPr>
          <w:sz w:val="20"/>
          <w:szCs w:val="20"/>
          <w:color w:val="auto"/>
        </w:rPr>
      </w:pPr>
    </w:p>
    <w:p>
      <w:pPr>
        <w:jc w:val="both"/>
        <w:ind w:right="20" w:firstLine="318"/>
        <w:spacing w:after="0" w:line="294" w:lineRule="auto"/>
        <w:rPr>
          <w:sz w:val="20"/>
          <w:szCs w:val="20"/>
          <w:color w:val="auto"/>
        </w:rPr>
      </w:pPr>
      <w:r>
        <w:rPr>
          <w:rFonts w:ascii="Arial" w:cs="Arial" w:eastAsia="Arial" w:hAnsi="Arial"/>
          <w:sz w:val="17"/>
          <w:szCs w:val="17"/>
          <w:color w:val="auto"/>
        </w:rPr>
        <w:t>Capitalized software costs are amortized using the straight-line method over an estimated useful life of three years. Capitalized software is reviewed for impairment whenever events or changes in circumstances may indicate that the carrying amount of an asset may not be recoverable.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Financial assets and liabilities are recorded at fair value. Fair value is defined as the price that would be received to sell an asset or paid to transfer a liability in an orderly transaction between market participants at the measurement date.</w:t>
      </w:r>
    </w:p>
    <w:p>
      <w:pPr>
        <w:spacing w:after="0" w:line="12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Company utilizes valuation techniques that maximize the use of observable inputs and minimize the use of unobservable inputs to the extent possible. The Company determines the fair value of its financial instruments based on assumptions that market participants would use in pricing an asset or liability in the principal or most advantageous market. The following hierarchy lists three levels of fair value based on the extent to which inputs used in measuring fair value are observable in the market:</w:t>
      </w:r>
    </w:p>
    <w:p>
      <w:pPr>
        <w:spacing w:after="0" w:line="138" w:lineRule="exact"/>
        <w:rPr>
          <w:sz w:val="20"/>
          <w:szCs w:val="20"/>
          <w:color w:val="auto"/>
        </w:rPr>
      </w:pPr>
    </w:p>
    <w:p>
      <w:pPr>
        <w:ind w:left="320"/>
        <w:spacing w:after="0" w:line="264"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 Observable inputs such as quoted prices (unadjusted) in active markets that are accessible at the measurement date for identical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w:t>
      </w:r>
    </w:p>
    <w:p>
      <w:pPr>
        <w:spacing w:after="0" w:line="128" w:lineRule="exact"/>
        <w:rPr>
          <w:sz w:val="20"/>
          <w:szCs w:val="20"/>
          <w:color w:val="auto"/>
        </w:rPr>
      </w:pPr>
    </w:p>
    <w:p>
      <w:pPr>
        <w:ind w:left="320"/>
        <w:spacing w:after="0" w:line="264"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 Observable inputs such as quoted prices for similar instruments in active markets, quoted prices for identical or similar instruments in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that are not active or model-derived valuations whose significant inputs are observable.</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 Unobservable inputs that are significant to the measurement of fair value but are supported by little to no market data.</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Company’s financial assets and liabilities consist of cash and cash equivalents, restricted cash, accounts receivable, accounts payable, accrued liabilities, capital leases and long-term debt. The Company’s cash and cash equivalents, restricted cash, accounts receivable, accounts payable and accrued liabilities approximate their fair value due to the relatively short-term nature of these accounts.</w:t>
      </w:r>
    </w:p>
    <w:p>
      <w:pPr>
        <w:spacing w:after="0" w:line="135"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The Company’s capital leases and long-term debt are classified within level 1 of the fair value hierarchy because such long-term debt and capital lease agreements bear interest at rates for instruments with similar characteristics; accordingly, the carrying value of these liabilities approximate their fair values.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 records incentive stock options (“ISO”) and non-qualified stock options (“NSO”) offered to employees, consultants and directors of the Company based on the estimated fair value of the awards and recognizes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40"/>
          </w:cols>
          <w:pgMar w:left="320" w:top="1440" w:right="339" w:bottom="1440" w:gutter="0" w:footer="0" w:header="0"/>
        </w:sectPr>
      </w:pPr>
    </w:p>
    <w:bookmarkStart w:id="183" w:name="page184"/>
    <w:bookmarkEnd w:id="183"/>
    <w:p>
      <w:pPr>
        <w:spacing w:after="0" w:line="119"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compensation expense over the requisite service period for each separate vesting portion of the award as if the award was, in-substance, multiple awards. The Company uses the Black-Scholes option-pricing model to estimate the fair value of its stock option awards. Terms of the ISO and NSO stock options include a provision whereby the Company has a call option to repurchase the award for cash upon termination of employment or termination of the consulting agreement. The Company has concluded that it is probable it will continue to exercise its call option prior to the award holder being subject to the risks and rewards of equity ownership. As a result, stock options are classified as liabilities in the accompanying balance sheets.</w:t>
      </w:r>
    </w:p>
    <w:p>
      <w:pPr>
        <w:spacing w:after="0" w:line="9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ISO and NSO stock options granted vest solely based upon continued employment or service over a specific period of time. As such, the Company recognizes stock-based compensation liabilities only for those stock-based awards that are ultimately vested over their requisite service periods based on the vesting provisions of the individual grant awards, net of the shares exercised and forfeitures realized. Determination of fair value requires input of highly subjective assumptions.</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accounts for forfeitures as they occur.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6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Income taxes are accounted for under the asset and liability method. The provision for income taxes represents income taxes paid or payable for the current year plus the change in deferred taxes during the year. Current and deferred income taxes are measured based on the tax laws that are enacted as of the balance sheet date of the relevant reporting period. Deferred tax assets and liabilities are recognized for the expected future tax consequences of temporary differences between the carrying amounts of assets and liabilities and their respective tax bases using tax rates in effect for the year in which the differences are expected to reverse. The effect on deferred tax assets and liabilities of a change in tax rates is recognized in the statements of operations and comprehensive loss in the period when the change is enacted. A valuation allowance is established when it is more likely than not that some or all of the deferred tax assets will not be realized. Based on the Company’s historical operating losses, the Company has recorded a valuation allowance to reduce deferred tax assets to the amount that is more likely than not to be realized.</w:t>
      </w:r>
    </w:p>
    <w:p>
      <w:pPr>
        <w:spacing w:after="0" w:line="12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Company recognizes the effect of a tax position when it is more likely than not, based on technical merits, that the position will be sustained upon examination by the appropriate taxing authorities. The amount of tax benefit recognized for an uncertain tax position is the largest amount of benefit with a greater than 50 percent likelihood of being realized. Unrecognized tax benefits are included within other liabilities if recognized and are charged to earnings in the period that such determination is made. The Company records interest and penalties related to tax uncertainties, if applicable, as a component of income tax expense.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categorizes lease agreements at their inception as either operating or capital leases.</w:t>
      </w:r>
    </w:p>
    <w:p>
      <w:pPr>
        <w:spacing w:after="0" w:line="16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For operating leases, the Company recognizes related rent expense on a straight-line basis over the term of the applicable lease agreement. Certain lease agreements contain rent holidays, scheduled rent increases and lease incentives. Rent holidays and scheduled rent increases are included in the determination of rent expense to be recorded over the lease term. Lease incentives are recognized as a reduction of rent expense on a straight-line basis over the term of the lease. The Company recognizes rent expense beginning on the date it obtains the legal right to use and control the leased space.</w:t>
      </w:r>
    </w:p>
    <w:p>
      <w:pPr>
        <w:spacing w:after="0" w:line="93"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For capital leases, the Company records a leased asset with a corresponding liability. Payments are recorded as reductions to the liability with an interest charge recorded based on the remaining liability.</w:t>
      </w:r>
    </w:p>
    <w:p>
      <w:pPr>
        <w:spacing w:after="0" w:line="128"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Sale-leaseback arrangements characterized as “failed” due to the Company’s continuing involvement with the “sold” assets are accounted for as financing obligations. Specifically, in a failed sale-leaseback transaction, the Company does not derecognize the transferred assets and accounts for the proceeds as a financing obligation. The financing obligation is decreased over time by the Company’s lease payments, less the portion considered interest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Amounts related to contingencies are accrued if it is probable that a liability has been incurred and an amount can be reasonably estimated.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64"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 xml:space="preserve">The Company adopted Accounting Standards Codification (“ASC”) Topic 606 (“ASC 606”),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on January 1, 2019 using the modified retrospective method applied to contracts which were not completed as of the adoption date. As a result, upon the adoption of ASC 606, the majority of what was previously classified as the provision for doubtful accounts recorded in general and administrative expense is now reflected as an implicit price concession and, therefore, is included as a reduction to diagnostic test revenue in the statements of operations and comprehensive loss. The Company recognizes any changes in customer credit issues not assessed at the date of service as provisions for doubtful accounts. Upon the adoption of ASC 606, the Company recognizes revenue when control of the promised goods or services is transferred to the customer in an amount that reflects the consideration which the Company expects to be entitled to in exchange for those goods or services.</w:t>
      </w:r>
    </w:p>
    <w:p>
      <w:pPr>
        <w:spacing w:after="0" w:line="10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majority of revenue is generated from diagnostic services provided to three groups of customers: patients with third-party insurance coverage; patients without third-party insurance coverage or those who elect to self-pay; and institutional clients, such as hospitals, clinics and reference laboratories. The Company also recognizes revenue from collaboration service agreements with pharmaceutical companies and other third parties pursuant to which the Company provides diagnostic testing and related data aggregation reporting services.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Diagnostic test revenue</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Company’s diagnostic test revenue contracts typically consist of a single performance obligation to deliver diagnostic testing services to the ordering facility or patient. Control over diagnostic testing services is transferred at a point in time. Specifically, the Company determined the customer obtains control of the promised service upon delivery of the test results.</w:t>
      </w:r>
    </w:p>
    <w:p>
      <w:pPr>
        <w:spacing w:after="0" w:line="13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Revenue from diagnostic testing services is recorded at the estimated transaction price, subject to the constraint for variable consideration, upon transfer of control of the service.</w:t>
      </w:r>
    </w:p>
    <w:p>
      <w:pPr>
        <w:spacing w:after="0" w:line="128"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Diagnostic test revenues consist primarily of services reimbursed by third-party insurance payors. Third-party insurance payors include managed care health plans and commercial insurance companies, including plans offered through the health insurance exchanges, and employers. In these arrangements, the customer is the patient. In arrangements with third-party insurance payors, the transaction price is stated within the contract, however, the Company accepts payments from third-party payors that are less than the contractually stated price and is therefore variable consideration.</w:t>
      </w:r>
    </w:p>
    <w:p>
      <w:pPr>
        <w:spacing w:after="0" w:line="9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When determining the transaction price, the Company uses a portfolio approach as a practical expedient to account for categories of diagnostic test contracts as collective groups rather than on an individual contract basis. The portfolio consists of major payor classes based on third-party payors. Based on historical collection trends and other analyses, the Company believes that revenue recognized by utilizing the portfolio approach approximates the revenue that would have been recognized if an individual contract approach was used.</w:t>
      </w:r>
    </w:p>
    <w:p>
      <w:pPr>
        <w:spacing w:after="0" w:line="13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Estimates of allowances for third-party insurance payors that impact the estimated transaction price are based upon the pricing and payment terms specified in the related contractual agreements. Contractual pricing and payment terms in third-party insurance agreements are generally based upon predetermined rates per diagnosis, per diem rates or discounted fee-for-service rates. In addition, for third-party payors in general, the estimated transaction price is impacted by factors such as historical collection experience, contractual provisions and insurance reimbursement policies, payor mix, and other relevant information for applicable payor portfolios. The estimates for implicit price concessions require significant judgment and are based upon management’s assessment of expected net collections, business and economic conditions, historical trends, trends in federal, state and private employer health care coverage and other collection indicators.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40"/>
          </w:cols>
          <w:pgMar w:left="320" w:top="1440" w:right="339" w:bottom="1440" w:gutter="0" w:footer="0" w:header="0"/>
        </w:sectPr>
      </w:pPr>
    </w:p>
    <w:bookmarkStart w:id="185" w:name="page186"/>
    <w:bookmarkEnd w:id="185"/>
    <w:p>
      <w:pPr>
        <w:spacing w:after="0" w:line="119"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Company monitors these accrual estimates at each reporting period based on actual cash collections in order to assess whether a revision to the estimate is required. Both the initial estimate and any subsequent revision to the estimate contain uncertainty and require the use of judgment in the estimation of the transaction price and application of the constraint for variable consideration. If actual results in the future vary from the Company’s estimates, the Company will adjust these estimates, which would affect revenue and earnings in the period such variances become known.</w:t>
      </w:r>
    </w:p>
    <w:p>
      <w:pPr>
        <w:spacing w:after="0" w:line="9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For self-pay patients, the Company determines the transaction price associated with services rendered in consideration of implicit price concessions that are granted to such patients. The estimates for implicit price concessions require significant judgment and are based upon management’s assessment of expected net collections, business and economic conditions, historical trends, trends in federal, state and private employer health care coverage and other collection indicators.</w:t>
      </w:r>
    </w:p>
    <w:p>
      <w:pPr>
        <w:spacing w:after="0" w:line="138"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For institutional clients, the customer is the institution. The Company determines the transaction price associated with services rendered in accordance with the contractual rates established with each customer.</w:t>
      </w:r>
    </w:p>
    <w:p>
      <w:pPr>
        <w:spacing w:after="0" w:line="12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Payment terms and conditions vary by contract and customer. The Company’s standard payment terms are generally less than 60 days from the invoice date. In instances where the timing of the Company’s revenue recognition differs from the timing of its invoicing, the Company does not assess whether a contract has a significant financing component if the expectation at contract inception is such that the period between payment by the customer and the transfer of the promised services to the customer will be one year or less.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16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Company enters into both short-term and long-term project-based collaboration service agreements with third parties, whereby the Company provides diagnostic testing, research and related data aggregation reporting services. Certain of these contracts include the transfer of a license to the Company’s intellectual property or participation by the Company on joint steering committees with the customer, which was considered to be immaterial in the context of the contract. The Company concludes that the goods and services transferred to our customers pursuant to these agreements generally comprise a single performance obligation on the basis that such goods and services are not distinct within the context of the contract. This is because the goods and services are highly interdependent and interrelated such that the Company would not be able to fulfill its underlying promise to our customers by transferring each good or service independently.</w:t>
      </w:r>
    </w:p>
    <w:p>
      <w:pPr>
        <w:spacing w:after="0" w:line="146"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consideration to which the Company is entitled pursuant to its collaboration service agreements generally includes non-refundable upfront payments and variable payments based upon the achievement of certain milestones during the contract term. Non-refundable upfront payments are generally received in advance of performing the services and, therefore, are recorded as a contract liability upon receipt. Milestone payments are included in the transaction price only when it is probable that doing so will not result in a significant reversal of cumulative revenue recognized when the uncertainty associated with the milestone is subsequently resolved. For longer-term contracts, the Company does not account for a significant financing component since a substantial amount of the consideration promised by the customer is variable and the amount or timing of that consideration varies on the basis of a future event that is not substantially within the control of either party.</w:t>
      </w:r>
    </w:p>
    <w:p>
      <w:pPr>
        <w:spacing w:after="0" w:line="132"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The Company satisfies its performance obligations pursuant to its collaboration service agreements over time as the customer simultaneously receives and consumes the benefits provided by the Company’s services as the Company performs those services. The Company recognizes revenue over time using an input measure based on costs incurred on the basis that this measure best reflects the pattern of transfer of control of the services to the customer. In some contracts, the Company subcontracts certain services to other parties for which the Company is ultimately responsible. Costs incurred for such subcontracted services are included in the Company’s measure of progress for satisfying its performance obligation and are recorded in cost of services in the statements of operations and comprehensive loss. Changes in the total estimated costs to be incurred in measuring the Company’s progress toward satisfying its performance obligation may result in adjustments to cumulative revenue recognized at the time the change in estimate occurs.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40"/>
          </w:cols>
          <w:pgMar w:left="320" w:top="1440" w:right="339" w:bottom="1440" w:gutter="0" w:footer="0" w:header="0"/>
        </w:sectPr>
      </w:pPr>
    </w:p>
    <w:bookmarkStart w:id="186" w:name="page187"/>
    <w:bookmarkEnd w:id="186"/>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64"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The Company recognized revenue pursuant to ASC Topic 605 (“ASC 605”), Revenue recognition, for the year ended December 31, 2018 prior to the adoption of ASC 606. Under ASC 605, diagnostic test revenue was recognized when persuasive evidence of a final agreement existed; delivery had occurred or services were rendered; the price of the product or service was fixed or determinable; and collectability from the customer was reasonably assured. The criterion for whether the price was fixed or determinable and whether collectability was reasonably assured were based on management’s judgments. When evaluating collectability, in situations where reimbursement coverage did not exist, the Company considered whether a sufficient history to reliably estimate a payer’s individual payment patterns existed. For most uninsured customers, the Company was not able to demonstrate a predictable pattern of collectability and, therefore, recognized revenue when payment was received. For customers who had demonstrated a consistent pattern of payment of tests billed at the appropriate amounts, the Company recognized revenue at estimated realizable amounts upon delivery of test results.</w:t>
      </w:r>
    </w:p>
    <w:p>
      <w:pPr>
        <w:spacing w:after="0" w:line="10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Revenues from providing diagnostic testing and related data aggregation reporting services pursuant to collaboration service agreements were recognized when the contractual obligations were met based on the terms of the respective agreements.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w:t>
      </w:r>
    </w:p>
    <w:p>
      <w:pPr>
        <w:spacing w:after="0" w:line="16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Cost of services reflects the aggregate costs incurred in performing diagnostic testing and collaboration services. These costs include expenses for reagents and laboratory supplies, personnel-related expenses (comprising salaries and benefits), stock-based compensation, shipping and handling fees, costs of third-party reference lab testing and third-party providers of genetic counseling and phlebotomy services, amortization of software development costs and equipment and allocated facility costs associated with testing. Allocated facility costs include depreciation of laboratory equipment, facility occupancy and information technology costs. Cost of services are recorded as the services are performed.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6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Research and development expenses represent costs incurred to develop technology and future test offerings. These costs are principally associated with the Company’s efforts to develop the software used to analyze data and process customer orders. These costs primarily consist of personnel-related expenses (comprising salaries and benefits), stock-based compensation, costs of reagents and laboratory supplies, costs of consultants and third-party services, equipment and related depreciation expenses, non-capitalizable software development costs and allocated facility and information technology costs associated with genomics medical research. Research and development costs are expensed as incurred.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164"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Selling and marketing expenses primarily consist of personnel-related expenses (comprising salaries, and benefits) and stock-based compensation for employees performing commercial sales, account management, marketing and medical education. Selling and marketing costs are expensed as incurred.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6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General and administrative expenses primarily consist of personnel-related expenses (comprising salaries and benefits) and stock-based compensation for employees in executive leadership, legal, finance and accounting, human resources, information technology, strategy and other administrative functions. In addition, these expenses include office occupancy and information technology costs. General and administrative costs are expensed as incurred.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Other income, net primarily consists of certain funding received under the CARES Act in 2020, sales and use taxes and gains and losses on equipment disposals. The Company recognized $2.6 million of the $5.4 million of funding received under the CARES Act as other income, net on the statements of operations and comprehensive loss during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40"/>
          </w:cols>
          <w:pgMar w:left="320" w:top="1440" w:right="339" w:bottom="1440" w:gutter="0" w:footer="0" w:header="0"/>
        </w:sectPr>
      </w:pPr>
    </w:p>
    <w:bookmarkStart w:id="187" w:name="page188"/>
    <w:bookmarkEnd w:id="187"/>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For the years ended December 31, 2020 and 2019, basic and diluted net loss per share attributable to common stockholders is presented in conformity with the two-class method required for companies with participating securities. The Company considers all redeemable convertible preferred stock issued on and after August 2, 2019 to be participating securities as the holders are entitled to receive dividends on an as-converted to Class A common stock basis in the event that a dividend is paid on common stock.</w:t>
      </w:r>
    </w:p>
    <w:p>
      <w:pPr>
        <w:spacing w:after="0" w:line="138"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Under the two-class method, the net loss attributable to common stockholders was not allocated to the redeemable convertible preferred stock, as holders of the redeemable convertible preferred stock did not have a contractual obligation to share in losses. The net loss attributable to common stockholders is allocated to Class A and Class B common stockholders based on the proportion to which each class of common stock shares in losses of the Company. This proportion is based on the rights of the holders of Class B common stock relative to those of the holders of Class A common stock (see Note 11 and Note 13). Basic net loss per share attributable to common stockholders is calculated by dividing the net loss attributable to common stockholders by the weighted-average number of shares of common stock outstanding for the period.</w:t>
      </w:r>
    </w:p>
    <w:p>
      <w:pPr>
        <w:spacing w:after="0" w:line="126"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Diluted net loss per share attributable to common stockholders is computed by dividing the net loss attributable to common stockholders by the weighted-average number of shares of common stock outstanding in the basic net loss per share calculation plus the number of shares of common stock that would be issued assuming exercise or conversion of all potentially dilutive instruments. For purposes of this calculation, common stock options and redeemable convertible preferred stock have been excluded as their effect is anti-dilutive.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64"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The Company operates and manages its business as one reportable operating segment based on the manner in which the Chief Executive Officer, who is the Company’s chief operating decision maker (“CODM”), assesses performance and allocates resources across the business.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As such, the Company is eligible for exemptions from various reporting requirements applicable to other public companies that are not emerging growth companies, including reduced reporting and extended transition periods to comply with new or revised accounting standards for public business entities. The Company has elected to avail itself of this exemption and, therefore, will not be subject to the same new or revised accounting standards as other public companies that are not emerging growth companies.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 xml:space="preserve">Effective January 1, 2020, the Company adopted ASU 2018-13, </w:t>
      </w:r>
      <w:r>
        <w:rPr>
          <w:rFonts w:ascii="Arial" w:cs="Arial" w:eastAsia="Arial" w:hAnsi="Arial"/>
          <w:sz w:val="17"/>
          <w:szCs w:val="17"/>
          <w:i w:val="1"/>
          <w:iCs w:val="1"/>
          <w:color w:val="auto"/>
        </w:rPr>
        <w:t>Changes to the Disclosure Requirements for Fair Value Measurement</w:t>
      </w:r>
      <w:r>
        <w:rPr>
          <w:rFonts w:ascii="Arial" w:cs="Arial" w:eastAsia="Arial" w:hAnsi="Arial"/>
          <w:sz w:val="17"/>
          <w:szCs w:val="17"/>
          <w:color w:val="auto"/>
        </w:rPr>
        <w:t xml:space="preserve"> (“ASU 2018-13”). This ASU removes requirements to disclose the amount of and reasons for transfers between Level 1 and Level 2 of the fair value hierarchy, the policy for timing of transfers between levels, and the valuation processes for Level 3 fair value measurements. ASU 2018-13 clarifies that disclosure regarding measurement uncertainty is intended to communicate information about the uncertainty in measurement as of the reporting date. ASU 2018-13 adds certain disclosure requirements, including disclosure of changes in unrealized gains and losses for the period included in other comprehensive income for recurring Level 3 fair value measurements held at the end of the reporting period and the range and weighted average of significant unobservable inputs used to develop Level 3 fair value measurements. ASU 2018-13 also requires entities that use the practical expedient to measure the fair value of certain investments at their net asset values to disclose (1) the timing of liquidation of an investee’s assets and (2) the date when redemption restrictions will lapse, but only if the investee has communicated this information to the entity or announced it publicly Adoption of ASU 2018-13 did not have a material impact on the Company’s financial statements.</w:t>
      </w:r>
    </w:p>
    <w:p>
      <w:pPr>
        <w:spacing w:after="0" w:line="12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 xml:space="preserve">Effective January 1, 2020, the Company adopted ASU 2018-07, </w:t>
      </w:r>
      <w:r>
        <w:rPr>
          <w:rFonts w:ascii="Arial" w:cs="Arial" w:eastAsia="Arial" w:hAnsi="Arial"/>
          <w:sz w:val="18"/>
          <w:szCs w:val="18"/>
          <w:i w:val="1"/>
          <w:iCs w:val="1"/>
          <w:color w:val="auto"/>
        </w:rPr>
        <w:t xml:space="preserve">Compensation – Stock Compensation (Topic 718), Improvements to Nonemployee Share-Based Payment Accounting </w:t>
      </w:r>
      <w:r>
        <w:rPr>
          <w:rFonts w:ascii="Arial" w:cs="Arial" w:eastAsia="Arial" w:hAnsi="Arial"/>
          <w:sz w:val="18"/>
          <w:szCs w:val="18"/>
          <w:color w:val="auto"/>
        </w:rPr>
        <w:t>(“ASU 2018-07”), which was issued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40"/>
          </w:cols>
          <w:pgMar w:left="320" w:top="1440" w:right="339" w:bottom="1440" w:gutter="0" w:footer="0" w:header="0"/>
        </w:sectPr>
      </w:pPr>
    </w:p>
    <w:bookmarkStart w:id="188" w:name="page189"/>
    <w:bookmarkEnd w:id="188"/>
    <w:p>
      <w:pPr>
        <w:spacing w:after="0" w:line="119"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simplify accounting for nonemployee share-based payment transactions by making the treatment of nonemployee share-based compensation similar to that of employee share-based compensation. Adoption of ASU 2018-07 did not have a material impact on the Company’s financial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64"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 xml:space="preserve">In February 2016, the FASB issued ASU 2016-02, </w:t>
      </w:r>
      <w:r>
        <w:rPr>
          <w:rFonts w:ascii="Arial" w:cs="Arial" w:eastAsia="Arial" w:hAnsi="Arial"/>
          <w:sz w:val="15"/>
          <w:szCs w:val="15"/>
          <w:i w:val="1"/>
          <w:iCs w:val="1"/>
          <w:color w:val="auto"/>
        </w:rPr>
        <w:t>Leases</w:t>
      </w:r>
      <w:r>
        <w:rPr>
          <w:rFonts w:ascii="Arial" w:cs="Arial" w:eastAsia="Arial" w:hAnsi="Arial"/>
          <w:sz w:val="15"/>
          <w:szCs w:val="15"/>
          <w:color w:val="auto"/>
        </w:rPr>
        <w:t xml:space="preserve"> (“ASU 2016-02”), which requires lessees to recognize right-of-use assets and lease liabilities for most leases on their balance sheets. Expense recognition for lessees under ASU 2016-02 is similar to current lease accounting. ASU 2016-02 will require enhanced disclosures to help the financial statement users better understand the amount, timing, and uncertainty of cash flows arising from leases. The recognition, measurement and presentation of expenses and cash flows arising from a lease will primarily depend on its classification as a finance or operating lease. As an emerging growth company, the provisions of ASU 2016-02 are effective for the Company for annual and interim periods beginning after December 15, 2021. Early adoption is permitted. The Company is evaluating the transition options permissible under ASU 2016-02 and plans to adopt through a cumulative adjustment to retained earnings on the date of adoption. Significant implementation matters being addressed by the Company include documenting the new lease accounting process. The Company is evaluating the effect this ASU will have on its financial statements, related disclosures and ongoing financial reporting. The Company expects implementation of this ASU to result in the recognition of right-of-use assets and corresponding lease liabilities in its balance sheets, principally related to office and facility leases.</w:t>
      </w:r>
    </w:p>
    <w:p>
      <w:pPr>
        <w:spacing w:after="0" w:line="319"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 xml:space="preserve">In June 2016, the FASB issued ASU 2016-13, </w:t>
      </w:r>
      <w:r>
        <w:rPr>
          <w:rFonts w:ascii="Arial" w:cs="Arial" w:eastAsia="Arial" w:hAnsi="Arial"/>
          <w:sz w:val="15"/>
          <w:szCs w:val="15"/>
          <w:i w:val="1"/>
          <w:iCs w:val="1"/>
          <w:color w:val="auto"/>
        </w:rPr>
        <w:t>Financial Instruments – Credit Losses (Topic 326): Measurement of Credit Losses on Financial</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Instruments </w:t>
      </w:r>
      <w:r>
        <w:rPr>
          <w:rFonts w:ascii="Arial" w:cs="Arial" w:eastAsia="Arial" w:hAnsi="Arial"/>
          <w:sz w:val="15"/>
          <w:szCs w:val="15"/>
          <w:color w:val="auto"/>
        </w:rPr>
        <w:t>(“ASU 2016-13”). The new credit losses standard changes the impairment model for most financial assets and certain other instruments. For trade</w:t>
      </w:r>
      <w:r>
        <w:rPr>
          <w:rFonts w:ascii="Arial" w:cs="Arial" w:eastAsia="Arial" w:hAnsi="Arial"/>
          <w:sz w:val="15"/>
          <w:szCs w:val="15"/>
          <w:i w:val="1"/>
          <w:iCs w:val="1"/>
          <w:color w:val="auto"/>
        </w:rPr>
        <w:t xml:space="preserve"> </w:t>
      </w:r>
      <w:r>
        <w:rPr>
          <w:rFonts w:ascii="Arial" w:cs="Arial" w:eastAsia="Arial" w:hAnsi="Arial"/>
          <w:sz w:val="15"/>
          <w:szCs w:val="15"/>
          <w:color w:val="auto"/>
        </w:rPr>
        <w:t>and other receivables, contract assets recognized as a result of applying ASC 606, loans and certain other instruments, entities will be required to use a new forward looking “expected loss” model that generally will result in earlier recognition of credit losses than under today’s incurred loss model. As an emerging growth company, ASU 2016-13 is effective for annual periods beginning after December 31, 2022, with early adoption permitted. Application of the amendments is through a cumulative-effect adjustment to the opening retained earnings as of the beginning of the first reporting period in which the guidance is effective. The Company is currently evaluating the impact of the new guidance on its financial statements and related disclosures.</w:t>
      </w:r>
    </w:p>
    <w:p>
      <w:pPr>
        <w:spacing w:after="0" w:line="104"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5"/>
          <w:szCs w:val="15"/>
          <w:color w:val="auto"/>
        </w:rPr>
        <w:t xml:space="preserve">In August 2018, the FASB issued ASU 2018-15, </w:t>
      </w:r>
      <w:r>
        <w:rPr>
          <w:rFonts w:ascii="Arial" w:cs="Arial" w:eastAsia="Arial" w:hAnsi="Arial"/>
          <w:sz w:val="15"/>
          <w:szCs w:val="15"/>
          <w:i w:val="1"/>
          <w:iCs w:val="1"/>
          <w:color w:val="auto"/>
        </w:rPr>
        <w:t>Intangibles – Goodwill and Other – Internal-Use Software (Subtopic 350-40): Customer’s Accounting</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for Implementation Costs Incurred in a Cloud Computing Arrangement That Is a Service Contract </w:t>
      </w:r>
      <w:r>
        <w:rPr>
          <w:rFonts w:ascii="Arial" w:cs="Arial" w:eastAsia="Arial" w:hAnsi="Arial"/>
          <w:sz w:val="15"/>
          <w:szCs w:val="15"/>
          <w:color w:val="auto"/>
        </w:rPr>
        <w:t>(“ASU 2018-15”), which aligns the requirements for</w:t>
      </w:r>
      <w:r>
        <w:rPr>
          <w:rFonts w:ascii="Arial" w:cs="Arial" w:eastAsia="Arial" w:hAnsi="Arial"/>
          <w:sz w:val="15"/>
          <w:szCs w:val="15"/>
          <w:i w:val="1"/>
          <w:iCs w:val="1"/>
          <w:color w:val="auto"/>
        </w:rPr>
        <w:t xml:space="preserve"> </w:t>
      </w:r>
      <w:r>
        <w:rPr>
          <w:rFonts w:ascii="Arial" w:cs="Arial" w:eastAsia="Arial" w:hAnsi="Arial"/>
          <w:sz w:val="15"/>
          <w:szCs w:val="15"/>
          <w:color w:val="auto"/>
        </w:rPr>
        <w:t>capitalizing implementation costs incurred in a hosting arrangement that is a service contract with the requirements for capitalizing implementation costs incurred to develop or obtain internal-use software (and hosting arrangements that include an internal use software license). The accounting for the service element of a hosting arrangement that is a service contract is not affected by the standard. ASU 2018-15 will require an entity (customer) in a hosting arrangement that is a service contract to follow the guidance in Subtopic 350-40 to determine which implementation costs to capitalize as an asset related to the service contract and which costs to expense. ASU 2018-15 also requires the entity (customer) to expense the capitalized implementation costs of a hosting arrangement that is a service contract over the term of the hosting arrangement. ASU 2018-15 also requires the entity to present the expense related to the capitalized implementation costs in the same line item in the statement of income as the fees associated with the hosting element (service) of the arrangement and classify payments for capitalized implementation costs in the statement of cash flows in the same manner as payments made for fees associated with the hosting element. The entity is also required to present the capitalized implementation costs on the balance sheets in the same line item that a prepayment for the fees of the associated hosting arrangement would be presented. The amendments in ASU 2018-15 are effective for the Company in annual reporting periods beginning after December 15, 2020 and interim periods beginning after December 15, 2021. Early adoption is permitted. The Company is evaluating the transition options permissible under ASU 2018-15 of either (1) retrospectively adjusting prior periods presented or (2) prospectively applying amendments to all implementation costs incurred after the date of adoption. The Company is currently evaluating the impact of ASU 2018-15 will have on its financial statements and related disclosures.</w:t>
      </w:r>
    </w:p>
    <w:p>
      <w:pPr>
        <w:spacing w:after="0" w:line="328"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 xml:space="preserve">In November 2018, the FASB issued ASU 2018-18, </w:t>
      </w:r>
      <w:r>
        <w:rPr>
          <w:rFonts w:ascii="Arial" w:cs="Arial" w:eastAsia="Arial" w:hAnsi="Arial"/>
          <w:sz w:val="18"/>
          <w:szCs w:val="18"/>
          <w:i w:val="1"/>
          <w:iCs w:val="1"/>
          <w:color w:val="auto"/>
        </w:rPr>
        <w:t>Collaborative Arrangements: Clarifying the Interaction between Topic 808 and Topic 606</w:t>
      </w:r>
      <w:r>
        <w:rPr>
          <w:rFonts w:ascii="Arial" w:cs="Arial" w:eastAsia="Arial" w:hAnsi="Arial"/>
          <w:sz w:val="18"/>
          <w:szCs w:val="18"/>
          <w:color w:val="auto"/>
        </w:rPr>
        <w:t xml:space="preserve"> (“ASU 2018-18”), which clarifies that certain transactions between participants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40"/>
          </w:cols>
          <w:pgMar w:left="320" w:top="1440" w:right="339" w:bottom="1440" w:gutter="0" w:footer="0" w:header="0"/>
        </w:sectPr>
      </w:pPr>
    </w:p>
    <w:bookmarkStart w:id="189" w:name="page190"/>
    <w:bookmarkEnd w:id="189"/>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 xml:space="preserve">a collaborative arrangement should be accounted for under ASC 606 when the counterparty is a customer. In addition, ASC Topic 808 (“ASC 808”), </w:t>
      </w:r>
      <w:r>
        <w:rPr>
          <w:rFonts w:ascii="Arial" w:cs="Arial" w:eastAsia="Arial" w:hAnsi="Arial"/>
          <w:sz w:val="17"/>
          <w:szCs w:val="17"/>
          <w:i w:val="1"/>
          <w:iCs w:val="1"/>
          <w:color w:val="auto"/>
        </w:rPr>
        <w:t xml:space="preserve">Collaborative Arrangements </w:t>
      </w:r>
      <w:r>
        <w:rPr>
          <w:rFonts w:ascii="Arial" w:cs="Arial" w:eastAsia="Arial" w:hAnsi="Arial"/>
          <w:sz w:val="17"/>
          <w:szCs w:val="17"/>
          <w:color w:val="auto"/>
        </w:rPr>
        <w:t>precludes an entity from presenting consideration from a transaction in a collaborative arrangement as revenue from contracts</w:t>
      </w:r>
      <w:r>
        <w:rPr>
          <w:rFonts w:ascii="Arial" w:cs="Arial" w:eastAsia="Arial" w:hAnsi="Arial"/>
          <w:sz w:val="17"/>
          <w:szCs w:val="17"/>
          <w:i w:val="1"/>
          <w:iCs w:val="1"/>
          <w:color w:val="auto"/>
        </w:rPr>
        <w:t xml:space="preserve"> </w:t>
      </w:r>
      <w:r>
        <w:rPr>
          <w:rFonts w:ascii="Arial" w:cs="Arial" w:eastAsia="Arial" w:hAnsi="Arial"/>
          <w:sz w:val="17"/>
          <w:szCs w:val="17"/>
          <w:color w:val="auto"/>
        </w:rPr>
        <w:t>with customers if the counterparty is not a customer for that transaction. The provisions of ASU 2018-18 are effective for the Company for annual and interim periods beginning after December 15, 2020. Early adoption is permitted. The amendments in ASU 2018-18 are to be applied retrospectively through a cumulative effect adjustment to the opening balance of retained earnings of the later of (1) the earliest annual period presented and (2) the annual period that includes the date of the entity’s initial application of ASC 606. Permissible transition options include the election to retrospectively apply the amendments to either (1) all contracts or (2) only the contracts that are not completed at the date of initial application of Topic 606. The Company is not currently a participant in any such collaborative arrangements that are accounted for under ASC 808 and will evaluate the impact the adoption of this standard for any potential collaborative arrangements the Company enters into in the future.</w:t>
      </w:r>
    </w:p>
    <w:p>
      <w:pPr>
        <w:spacing w:after="0" w:line="132"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 xml:space="preserve">In December 2019, the FASB issued ASU 2019-12, </w:t>
      </w:r>
      <w:r>
        <w:rPr>
          <w:rFonts w:ascii="Arial" w:cs="Arial" w:eastAsia="Arial" w:hAnsi="Arial"/>
          <w:sz w:val="15"/>
          <w:szCs w:val="15"/>
          <w:i w:val="1"/>
          <w:iCs w:val="1"/>
          <w:color w:val="auto"/>
        </w:rPr>
        <w:t>Income Taxes (Topic 740): Simplifying the Accounting for Income Taxes</w:t>
      </w:r>
      <w:r>
        <w:rPr>
          <w:rFonts w:ascii="Arial" w:cs="Arial" w:eastAsia="Arial" w:hAnsi="Arial"/>
          <w:sz w:val="15"/>
          <w:szCs w:val="15"/>
          <w:color w:val="auto"/>
        </w:rPr>
        <w:t xml:space="preserve"> (“ASU 2019-12”). ASU 2019-12 simplifies the accounting for income taxes by removing certain exceptions to the general principles in ASC 740 and clarifying and amending existing guidance to improve consistent application. ASU 2019-12 is effective for fiscal years beginning after December 15, 2021. Early adoption is permitted. The Company is currently assessing the impact of adopting this new accounting guidance will have on its financial statements and related disclosures.</w:t>
      </w:r>
    </w:p>
    <w:p>
      <w:pPr>
        <w:spacing w:after="0" w:line="8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Revenue Recognition</w:t>
      </w:r>
    </w:p>
    <w:p>
      <w:pPr>
        <w:spacing w:after="0" w:line="17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As described in Note 2, the Company adopted ASC 606 on January 1, 2019 using the modified retrospective method applied to contracts which were not completed as of the adoption date. The only impact as a result of the adoption of ASC 606 was the change in presentation of bad debt expense from general and administrative expense to a reduction of diagnostic test revenue. The adoption of ASC 606 did not have a material impact on the Company’s financial statements.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Disaggregated revenue</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the Company’s revenue disaggregated by type of customer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5"/>
              </w:rPr>
              <w:t>Year Ended December 31,</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83"/>
        </w:trPr>
        <w:tc>
          <w:tcPr>
            <w:tcW w:w="636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2018</w:t>
            </w:r>
          </w:p>
        </w:tc>
      </w:tr>
      <w:tr>
        <w:trPr>
          <w:trHeight w:val="206"/>
        </w:trPr>
        <w:tc>
          <w:tcPr>
            <w:tcW w:w="636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Diagnostic test revenue:</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5"/>
        </w:trPr>
        <w:tc>
          <w:tcPr>
            <w:tcW w:w="6360" w:type="dxa"/>
            <w:vAlign w:val="bottom"/>
          </w:tcPr>
          <w:p>
            <w:pPr>
              <w:ind w:left="240"/>
              <w:spacing w:after="0"/>
              <w:rPr>
                <w:sz w:val="20"/>
                <w:szCs w:val="20"/>
                <w:color w:val="auto"/>
              </w:rPr>
            </w:pPr>
            <w:r>
              <w:rPr>
                <w:rFonts w:ascii="Arial" w:cs="Arial" w:eastAsia="Arial" w:hAnsi="Arial"/>
                <w:sz w:val="18"/>
                <w:szCs w:val="18"/>
                <w:color w:val="auto"/>
              </w:rPr>
              <w:t>Patients with third-party insurance</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138,153</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169,538</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112,542</w:t>
            </w:r>
          </w:p>
        </w:tc>
      </w:tr>
      <w:tr>
        <w:trPr>
          <w:trHeight w:val="226"/>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Institutional customers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19,606</w:t>
            </w:r>
          </w:p>
        </w:tc>
      </w:tr>
      <w:tr>
        <w:trPr>
          <w:trHeight w:val="225"/>
        </w:trPr>
        <w:tc>
          <w:tcPr>
            <w:tcW w:w="63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Self-pay patients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w:t>
            </w:r>
          </w:p>
        </w:tc>
      </w:tr>
      <w:tr>
        <w:trPr>
          <w:trHeight w:val="284"/>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diagnostic test revenue</w:t>
            </w:r>
          </w:p>
        </w:tc>
        <w:tc>
          <w:tcPr>
            <w:tcW w:w="3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175,351</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191,667</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132,970</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38"/>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w:t>
            </w: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3,971</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4,507</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r>
      <w:tr>
        <w:trPr>
          <w:trHeight w:val="23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179,322</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196,174</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133,341</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Reassessment of variable consideration</w:t>
      </w:r>
    </w:p>
    <w:p>
      <w:pPr>
        <w:spacing w:after="0" w:line="16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Subsequent changes to the estimate of the transaction price, determined on a portfolio basis when applicable, are generally recorded as adjustments to revenue in the period of the change. The Company updates variable consideration estimated quarterly. The quarterly changes in estimates did not result in material adjustments to the Company’s previously reported revenue or accounts receivable amounts for the years ended December 31, 2020, 2019 and 2018.</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Remaining performance obligations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Due to the long-term nature of some collaboration service agreements, the Company’s obligations pursuant to such agreements represent partially unsatisfied performance obligations at year-end. The revenues under existing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40"/>
          </w:cols>
          <w:pgMar w:left="320" w:top="1440" w:right="339" w:bottom="1440" w:gutter="0" w:footer="0" w:header="0"/>
        </w:sectPr>
      </w:pPr>
    </w:p>
    <w:bookmarkStart w:id="190" w:name="page191"/>
    <w:bookmarkEnd w:id="190"/>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collaboration service agreements with original expected durations of more than one year are estimated to be approximately $12.0 million. The Company expects to recognize the majority of this revenue over the next 4 years.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Contract assets consist of the Company’s right to consideration that is conditional upon its future performance. Contract assets arise in collaboration service agreements for which revenue is recognized over time but the Company’s right to bill the customer is contingent upon the achievement of contractually-defined milestones.</w:t>
      </w:r>
    </w:p>
    <w:p>
      <w:pPr>
        <w:spacing w:after="0" w:line="13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Contract liabilities consist of customer payments in excess of revenues recognized. For collaboration service agreements, the Company assesses the performance obligations and recognizes contract liabilities as current or non-current based upon forecasted performance.</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 reconciliation of the beginning and ending balances of contract assets and contract liabilities is shown in the table below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Contract</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w w:val="96"/>
              </w:rPr>
              <w:t>Contract Liabilities</w:t>
            </w:r>
          </w:p>
        </w:tc>
        <w:tc>
          <w:tcPr>
            <w:tcW w:w="0" w:type="dxa"/>
            <w:vAlign w:val="bottom"/>
          </w:tcPr>
          <w:p>
            <w:pPr>
              <w:spacing w:after="0"/>
              <w:rPr>
                <w:sz w:val="1"/>
                <w:szCs w:val="1"/>
                <w:color w:val="auto"/>
              </w:rPr>
            </w:pPr>
          </w:p>
        </w:tc>
      </w:tr>
      <w:tr>
        <w:trPr>
          <w:trHeight w:val="185"/>
        </w:trPr>
        <w:tc>
          <w:tcPr>
            <w:tcW w:w="788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Assets</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2018</w:t>
            </w:r>
          </w:p>
        </w:tc>
        <w:tc>
          <w:tcPr>
            <w:tcW w:w="1180" w:type="dxa"/>
            <w:vAlign w:val="bottom"/>
            <w:shd w:val="clear" w:color="auto" w:fill="CCEEFF"/>
          </w:tcPr>
          <w:p>
            <w:pPr>
              <w:jc w:val="right"/>
              <w:ind w:right="999"/>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7880" w:type="dxa"/>
            <w:vAlign w:val="bottom"/>
          </w:tcPr>
          <w:p>
            <w:pPr>
              <w:ind w:left="20"/>
              <w:spacing w:after="0"/>
              <w:rPr>
                <w:sz w:val="20"/>
                <w:szCs w:val="20"/>
                <w:color w:val="auto"/>
              </w:rPr>
            </w:pPr>
            <w:r>
              <w:rPr>
                <w:rFonts w:ascii="Arial" w:cs="Arial" w:eastAsia="Arial" w:hAnsi="Arial"/>
                <w:sz w:val="18"/>
                <w:szCs w:val="18"/>
                <w:color w:val="auto"/>
              </w:rPr>
              <w:t>Contract asset additions</w:t>
            </w:r>
          </w:p>
        </w:tc>
        <w:tc>
          <w:tcPr>
            <w:tcW w:w="1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1,057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prepayments</w:t>
            </w:r>
          </w:p>
        </w:tc>
        <w:tc>
          <w:tcPr>
            <w:tcW w:w="11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3,754</w:t>
            </w:r>
          </w:p>
        </w:tc>
        <w:tc>
          <w:tcPr>
            <w:tcW w:w="0" w:type="dxa"/>
            <w:vAlign w:val="bottom"/>
          </w:tcPr>
          <w:p>
            <w:pPr>
              <w:spacing w:after="0"/>
              <w:rPr>
                <w:sz w:val="1"/>
                <w:szCs w:val="1"/>
                <w:color w:val="auto"/>
              </w:rPr>
            </w:pPr>
          </w:p>
        </w:tc>
      </w:tr>
      <w:tr>
        <w:trPr>
          <w:trHeight w:val="225"/>
        </w:trPr>
        <w:tc>
          <w:tcPr>
            <w:tcW w:w="7880" w:type="dxa"/>
            <w:vAlign w:val="bottom"/>
          </w:tcPr>
          <w:p>
            <w:pPr>
              <w:ind w:left="20"/>
              <w:spacing w:after="0"/>
              <w:rPr>
                <w:sz w:val="20"/>
                <w:szCs w:val="20"/>
                <w:color w:val="auto"/>
              </w:rPr>
            </w:pPr>
            <w:r>
              <w:rPr>
                <w:rFonts w:ascii="Arial" w:cs="Arial" w:eastAsia="Arial" w:hAnsi="Arial"/>
                <w:sz w:val="18"/>
                <w:szCs w:val="18"/>
                <w:color w:val="auto"/>
              </w:rPr>
              <w:t>Revenue recognized</w:t>
            </w:r>
          </w:p>
        </w:tc>
        <w:tc>
          <w:tcPr>
            <w:tcW w:w="118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44"/>
        </w:trPr>
        <w:tc>
          <w:tcPr>
            <w:tcW w:w="7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2019</w:t>
            </w:r>
          </w:p>
        </w:tc>
        <w:tc>
          <w:tcPr>
            <w:tcW w:w="1180" w:type="dxa"/>
            <w:vAlign w:val="bottom"/>
            <w:tcBorders>
              <w:top w:val="single" w:sz="8" w:color="auto"/>
              <w:bottom w:val="single" w:sz="8" w:color="auto"/>
            </w:tcBorders>
            <w:shd w:val="clear" w:color="auto" w:fill="CCEEFF"/>
          </w:tcPr>
          <w:p>
            <w:pPr>
              <w:jc w:val="right"/>
              <w:ind w:right="99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1,057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3,399</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Contract asset additions</w:t>
            </w: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880" w:type="dxa"/>
            <w:vAlign w:val="bottom"/>
            <w:vMerge w:val="continue"/>
          </w:tcPr>
          <w:p>
            <w:pPr>
              <w:spacing w:after="0"/>
              <w:rPr>
                <w:sz w:val="17"/>
                <w:szCs w:val="17"/>
                <w:color w:val="auto"/>
              </w:rPr>
            </w:pPr>
          </w:p>
        </w:tc>
        <w:tc>
          <w:tcPr>
            <w:tcW w:w="1180" w:type="dxa"/>
            <w:vAlign w:val="bottom"/>
          </w:tcPr>
          <w:p>
            <w:pPr>
              <w:spacing w:after="0"/>
              <w:rPr>
                <w:sz w:val="17"/>
                <w:szCs w:val="17"/>
                <w:color w:val="auto"/>
              </w:rPr>
            </w:pPr>
          </w:p>
        </w:tc>
        <w:tc>
          <w:tcPr>
            <w:tcW w:w="520" w:type="dxa"/>
            <w:vAlign w:val="bottom"/>
          </w:tcPr>
          <w:p>
            <w:pPr>
              <w:jc w:val="right"/>
              <w:spacing w:after="0" w:line="198" w:lineRule="exact"/>
              <w:rPr>
                <w:sz w:val="20"/>
                <w:szCs w:val="20"/>
                <w:color w:val="auto"/>
              </w:rPr>
            </w:pPr>
            <w:r>
              <w:rPr>
                <w:rFonts w:ascii="Arial" w:cs="Arial" w:eastAsia="Arial" w:hAnsi="Arial"/>
                <w:sz w:val="18"/>
                <w:szCs w:val="18"/>
                <w:color w:val="auto"/>
                <w:w w:val="97"/>
              </w:rPr>
              <w:t>1,097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spacing w:after="0" w:line="198"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transferred to receivables</w:t>
            </w:r>
          </w:p>
        </w:tc>
        <w:tc>
          <w:tcPr>
            <w:tcW w:w="11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7880" w:type="dxa"/>
            <w:vAlign w:val="bottom"/>
          </w:tcPr>
          <w:p>
            <w:pPr>
              <w:ind w:left="20"/>
              <w:spacing w:after="0"/>
              <w:rPr>
                <w:sz w:val="20"/>
                <w:szCs w:val="20"/>
                <w:color w:val="auto"/>
              </w:rPr>
            </w:pPr>
            <w:r>
              <w:rPr>
                <w:rFonts w:ascii="Arial" w:cs="Arial" w:eastAsia="Arial" w:hAnsi="Arial"/>
                <w:sz w:val="18"/>
                <w:szCs w:val="18"/>
                <w:color w:val="auto"/>
              </w:rPr>
              <w:t>Customer prepayments</w:t>
            </w:r>
          </w:p>
        </w:tc>
        <w:tc>
          <w:tcPr>
            <w:tcW w:w="118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25"/>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recognized</w:t>
            </w:r>
          </w:p>
        </w:tc>
        <w:tc>
          <w:tcPr>
            <w:tcW w:w="11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19"/>
        </w:trPr>
        <w:tc>
          <w:tcPr>
            <w:tcW w:w="7880" w:type="dxa"/>
            <w:vAlign w:val="bottom"/>
          </w:tcPr>
          <w:p>
            <w:pPr>
              <w:ind w:left="20"/>
              <w:spacing w:after="0"/>
              <w:rPr>
                <w:sz w:val="20"/>
                <w:szCs w:val="20"/>
                <w:color w:val="auto"/>
              </w:rPr>
            </w:pPr>
            <w:r>
              <w:rPr>
                <w:rFonts w:ascii="Arial" w:cs="Arial" w:eastAsia="Arial" w:hAnsi="Arial"/>
                <w:sz w:val="18"/>
                <w:szCs w:val="18"/>
                <w:color w:val="auto"/>
              </w:rPr>
              <w:t>December 31, 2020</w:t>
            </w:r>
          </w:p>
        </w:tc>
        <w:tc>
          <w:tcPr>
            <w:tcW w:w="1180" w:type="dxa"/>
            <w:vAlign w:val="bottom"/>
            <w:tcBorders>
              <w:top w:val="single" w:sz="8" w:color="auto"/>
              <w:bottom w:val="single" w:sz="8" w:color="auto"/>
            </w:tcBorders>
          </w:tcPr>
          <w:p>
            <w:pPr>
              <w:jc w:val="right"/>
              <w:ind w:right="99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2,028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3,811</w:t>
            </w: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increase in contract assets and contract liabilities as of December 31, 2020 and 2019 is primarily due to the execution of a collaboration service agreement with a customer. The Company presents contracts assets and contract liabilities arising from this customer contract on a net basis on its balance sheets. As of December 31, 2020, $1.8 million is recorded as current contract liabilities. As of December 31, 2019, $1.5 million and $0.8 million are recorded as current contract liabilities and contract liabilities, net of current portion,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to fulfill contracts</w:t>
      </w:r>
    </w:p>
    <w:p>
      <w:pPr>
        <w:spacing w:after="0" w:line="16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Costs associated with fulfilling the Company’s performance obligations pursuant to its collaboration service agreements include costs for services that are subcontracted to ISMMS. Amounts are generally prepaid and then expensed in line with the pattern of revenue recognition. Prepayment of amounts prior to the costs being incurred are recognized on the balance sheets as current or non-current based upon forecasted performance.</w:t>
      </w:r>
    </w:p>
    <w:p>
      <w:pPr>
        <w:spacing w:after="0" w:line="118"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As of December 31, 2020 and 2019, the Company had outstanding deferred costs to fulfill contracts of $3.0 million and $1.1 million, respectively. As of December 31, 2020, all outstanding deferred costs were recorded as prepaid expenses and other current assets. As of December 31, 2019, $0.9 million and $0.2 million were recorded as prepaid expenses and other current assets and other assets, respectively.</w:t>
      </w:r>
    </w:p>
    <w:p>
      <w:pPr>
        <w:spacing w:after="0" w:line="11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Amortization of deferred costs was $0.9 million, $0.7 million and $0 for the years ended December 31, 2020, 2019 and 2018, respectively. The amortization of these costs is recorded in cost of services on the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40"/>
          </w:cols>
          <w:pgMar w:left="320" w:top="1440" w:right="339" w:bottom="1440" w:gutter="0" w:footer="0" w:header="0"/>
        </w:sectPr>
      </w:pPr>
    </w:p>
    <w:bookmarkStart w:id="191" w:name="page192"/>
    <w:bookmarkEnd w:id="191"/>
    <w:p>
      <w:pPr>
        <w:spacing w:after="0" w:line="113" w:lineRule="exact"/>
        <w:rPr>
          <w:sz w:val="20"/>
          <w:szCs w:val="20"/>
          <w:color w:val="auto"/>
        </w:rPr>
      </w:pPr>
    </w:p>
    <w:p>
      <w:pPr>
        <w:ind w:left="320" w:hanging="314"/>
        <w:spacing w:after="0"/>
        <w:tabs>
          <w:tab w:leader="none" w:pos="32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70"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set forth the fair value of financial instruments that were measured at fair value on a recurring basis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2020</w:t>
            </w: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183"/>
        </w:trPr>
        <w:tc>
          <w:tcPr>
            <w:tcW w:w="4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5"/>
                <w:szCs w:val="15"/>
                <w:color w:val="auto"/>
              </w:rPr>
            </w:pPr>
          </w:p>
        </w:tc>
        <w:tc>
          <w:tcPr>
            <w:tcW w:w="132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1</w:t>
            </w:r>
          </w:p>
        </w:tc>
        <w:tc>
          <w:tcPr>
            <w:tcW w:w="54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2</w:t>
            </w:r>
          </w:p>
        </w:tc>
        <w:tc>
          <w:tcPr>
            <w:tcW w:w="340" w:type="dxa"/>
            <w:vAlign w:val="bottom"/>
          </w:tcPr>
          <w:p>
            <w:pPr>
              <w:spacing w:after="0"/>
              <w:rPr>
                <w:sz w:val="15"/>
                <w:szCs w:val="15"/>
                <w:color w:val="auto"/>
              </w:rPr>
            </w:pPr>
          </w:p>
        </w:tc>
        <w:tc>
          <w:tcPr>
            <w:tcW w:w="1220" w:type="dxa"/>
            <w:vAlign w:val="bottom"/>
          </w:tcPr>
          <w:p>
            <w:pPr>
              <w:ind w:left="220"/>
              <w:spacing w:after="0"/>
              <w:rPr>
                <w:sz w:val="20"/>
                <w:szCs w:val="20"/>
                <w:color w:val="auto"/>
              </w:rPr>
            </w:pPr>
            <w:r>
              <w:rPr>
                <w:rFonts w:ascii="Arial" w:cs="Arial" w:eastAsia="Arial" w:hAnsi="Arial"/>
                <w:sz w:val="14"/>
                <w:szCs w:val="14"/>
                <w:b w:val="1"/>
                <w:bCs w:val="1"/>
                <w:color w:val="auto"/>
              </w:rPr>
              <w:t>Level 3</w:t>
            </w:r>
          </w:p>
        </w:tc>
      </w:tr>
      <w:tr>
        <w:trPr>
          <w:trHeight w:val="206"/>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3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r>
      <w:tr>
        <w:trPr>
          <w:trHeight w:val="225"/>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Money market funds</w:t>
            </w: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92,940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92,940</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w:t>
            </w:r>
          </w:p>
        </w:tc>
      </w:tr>
      <w:tr>
        <w:trPr>
          <w:trHeight w:val="239"/>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financial assets</w:t>
            </w: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92,940</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92,940</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r>
      <w:tr>
        <w:trPr>
          <w:trHeight w:val="20"/>
        </w:trPr>
        <w:tc>
          <w:tcPr>
            <w:tcW w:w="4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431"/>
        </w:trPr>
        <w:tc>
          <w:tcPr>
            <w:tcW w:w="47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2019</w:t>
            </w: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183"/>
        </w:trPr>
        <w:tc>
          <w:tcPr>
            <w:tcW w:w="4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5"/>
                <w:szCs w:val="15"/>
                <w:color w:val="auto"/>
              </w:rPr>
            </w:pPr>
          </w:p>
        </w:tc>
        <w:tc>
          <w:tcPr>
            <w:tcW w:w="132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1</w:t>
            </w:r>
          </w:p>
        </w:tc>
        <w:tc>
          <w:tcPr>
            <w:tcW w:w="54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2</w:t>
            </w:r>
          </w:p>
        </w:tc>
        <w:tc>
          <w:tcPr>
            <w:tcW w:w="340" w:type="dxa"/>
            <w:vAlign w:val="bottom"/>
          </w:tcPr>
          <w:p>
            <w:pPr>
              <w:spacing w:after="0"/>
              <w:rPr>
                <w:sz w:val="15"/>
                <w:szCs w:val="15"/>
                <w:color w:val="auto"/>
              </w:rPr>
            </w:pPr>
          </w:p>
        </w:tc>
        <w:tc>
          <w:tcPr>
            <w:tcW w:w="1220" w:type="dxa"/>
            <w:vAlign w:val="bottom"/>
          </w:tcPr>
          <w:p>
            <w:pPr>
              <w:ind w:left="220"/>
              <w:spacing w:after="0"/>
              <w:rPr>
                <w:sz w:val="20"/>
                <w:szCs w:val="20"/>
                <w:color w:val="auto"/>
              </w:rPr>
            </w:pPr>
            <w:r>
              <w:rPr>
                <w:rFonts w:ascii="Arial" w:cs="Arial" w:eastAsia="Arial" w:hAnsi="Arial"/>
                <w:sz w:val="14"/>
                <w:szCs w:val="14"/>
                <w:b w:val="1"/>
                <w:bCs w:val="1"/>
                <w:color w:val="auto"/>
              </w:rPr>
              <w:t>Level 3</w:t>
            </w:r>
          </w:p>
        </w:tc>
      </w:tr>
      <w:tr>
        <w:trPr>
          <w:trHeight w:val="206"/>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3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r>
      <w:tr>
        <w:trPr>
          <w:trHeight w:val="225"/>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Money market funds</w:t>
            </w: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100,272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100,272</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w:t>
            </w:r>
          </w:p>
        </w:tc>
      </w:tr>
      <w:tr>
        <w:trPr>
          <w:trHeight w:val="23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financial assets</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100,272</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100,272</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Money market funds are classified within Level 1 of the fair value hierarchy as the fair value is based on quoted prices in active markets.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There were no transfers between Level 1, Level 2 and Level 3 during the periods presented.</w:t>
      </w:r>
    </w:p>
    <w:p>
      <w:pPr>
        <w:spacing w:after="0" w:line="158" w:lineRule="exact"/>
        <w:rPr>
          <w:sz w:val="20"/>
          <w:szCs w:val="20"/>
          <w:color w:val="auto"/>
        </w:rPr>
      </w:pPr>
    </w:p>
    <w:p>
      <w:pPr>
        <w:ind w:left="320" w:hanging="314"/>
        <w:spacing w:after="0"/>
        <w:tabs>
          <w:tab w:leader="none" w:pos="32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70"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consisted of the following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As of December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0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Laboratory equipment</w:t>
            </w:r>
          </w:p>
        </w:tc>
        <w:tc>
          <w:tcPr>
            <w:tcW w:w="940" w:type="dxa"/>
            <w:vAlign w:val="bottom"/>
            <w:shd w:val="clear" w:color="auto" w:fill="CCEEFF"/>
          </w:tcPr>
          <w:p>
            <w:pPr>
              <w:jc w:val="right"/>
              <w:ind w:right="758"/>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22,818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14,907</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Equipment under capital leases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20,743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13,197</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 under capital lease</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6,276</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Construction-in-progress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4,673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5,959</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software</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14,631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6,319</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Computer equipment</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4,118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3,188</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fixtures and other equipment</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Leasehold improvements</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16,736</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2,124</w:t>
            </w:r>
          </w:p>
        </w:tc>
        <w:tc>
          <w:tcPr>
            <w:tcW w:w="0" w:type="dxa"/>
            <w:vAlign w:val="bottom"/>
          </w:tcPr>
          <w:p>
            <w:pPr>
              <w:spacing w:after="0"/>
              <w:rPr>
                <w:sz w:val="1"/>
                <w:szCs w:val="1"/>
                <w:color w:val="auto"/>
              </w:rPr>
            </w:pPr>
          </w:p>
        </w:tc>
      </w:tr>
      <w:tr>
        <w:trPr>
          <w:trHeight w:val="244"/>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property and equipment</w:t>
            </w:r>
          </w:p>
        </w:tc>
        <w:tc>
          <w:tcPr>
            <w:tcW w:w="94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93,209</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53,628</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020" w:type="dxa"/>
            <w:vAlign w:val="bottom"/>
            <w:tcBorders>
              <w:bottom w:val="single" w:sz="8" w:color="CCEEFF"/>
            </w:tcBorders>
            <w:vMerge w:val="continue"/>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86"/>
              </w:rPr>
              <w:t>(30,099)</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(18,365)</w:t>
            </w:r>
          </w:p>
        </w:tc>
        <w:tc>
          <w:tcPr>
            <w:tcW w:w="0" w:type="dxa"/>
            <w:vAlign w:val="bottom"/>
          </w:tcPr>
          <w:p>
            <w:pPr>
              <w:spacing w:after="0"/>
              <w:rPr>
                <w:sz w:val="1"/>
                <w:szCs w:val="1"/>
                <w:color w:val="auto"/>
              </w:rPr>
            </w:pPr>
          </w:p>
        </w:tc>
      </w:tr>
      <w:tr>
        <w:trPr>
          <w:trHeight w:val="244"/>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Property and equipment, net</w:t>
            </w:r>
          </w:p>
        </w:tc>
        <w:tc>
          <w:tcPr>
            <w:tcW w:w="940" w:type="dxa"/>
            <w:vAlign w:val="bottom"/>
            <w:tcBorders>
              <w:bottom w:val="single" w:sz="8" w:color="auto"/>
            </w:tcBorders>
            <w:shd w:val="clear" w:color="auto" w:fill="CCEEFF"/>
          </w:tcPr>
          <w:p>
            <w:pPr>
              <w:jc w:val="right"/>
              <w:ind w:right="758"/>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63,110</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35,263</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For the years ended December 31, 2020, 2019 and 2018, depreciation and amortization expense was $11.7 million, $6.4 million and $5.4 million, respectively, which included software amortization expense of $3.0 million, $1.2 million and $0.4 million for the years ended December 31, 2020, 2019 and 2018, respectively. Depreciation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40"/>
          </w:cols>
          <w:pgMar w:left="320" w:top="1440" w:right="339" w:bottom="1440" w:gutter="0" w:footer="0" w:header="0"/>
        </w:sectPr>
      </w:pPr>
    </w:p>
    <w:bookmarkStart w:id="192" w:name="page193"/>
    <w:bookmarkEnd w:id="192"/>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and amortization expense is included within the statements of operations and comprehensive loss as 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5"/>
              </w:rPr>
              <w:t>Year Ended December 31,</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83"/>
        </w:trPr>
        <w:tc>
          <w:tcPr>
            <w:tcW w:w="636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2018</w:t>
            </w: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980" w:type="dxa"/>
            <w:vAlign w:val="bottom"/>
            <w:shd w:val="clear" w:color="auto" w:fill="CCEEFF"/>
          </w:tcPr>
          <w:p>
            <w:pPr>
              <w:jc w:val="right"/>
              <w:ind w:right="778"/>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9,055</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4,223</w:t>
            </w: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821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722</w:t>
            </w:r>
          </w:p>
        </w:tc>
      </w:tr>
      <w:tr>
        <w:trPr>
          <w:trHeight w:val="22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w:t>
            </w:r>
          </w:p>
        </w:tc>
      </w:tr>
      <w:tr>
        <w:trPr>
          <w:trHeight w:val="239"/>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depreciation and amortization expenses</w:t>
            </w:r>
          </w:p>
        </w:tc>
        <w:tc>
          <w:tcPr>
            <w:tcW w:w="980" w:type="dxa"/>
            <w:vAlign w:val="bottom"/>
            <w:shd w:val="clear" w:color="auto" w:fill="CCEEFF"/>
          </w:tcPr>
          <w:p>
            <w:pPr>
              <w:jc w:val="right"/>
              <w:ind w:right="778"/>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11,734</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6,407</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5,433</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During 2018, the Company sold laboratory equipment to ISMMS for $0.1 million and realized a loss of $0.1 million, which is included in other income, net in the statements of operations and comprehensive loss. During 2020 and 2019, there were no sales of property and equipment made by the Company.</w:t>
      </w:r>
    </w:p>
    <w:p>
      <w:pPr>
        <w:spacing w:after="0" w:line="5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5"/>
          <w:szCs w:val="15"/>
          <w:b w:val="1"/>
          <w:bCs w:val="1"/>
          <w:color w:val="auto"/>
        </w:rPr>
        <w:t>Related Party Transactions</w:t>
      </w:r>
    </w:p>
    <w:p>
      <w:pPr>
        <w:spacing w:after="0" w:line="170"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On June 1, 2017, the Company and ISMMS entered into the Contribution Agreement, pursuant to which certain assets and liabilities were contributed to the Company by ISMMS in exchange for common and preferred stock of the Company with dividends accrued at 3% per annum. In accordance with the Contribution Agreement, ISMMS committed to fund $55.0 million to the Company, of which $55.0 million was drawn as of December 31, 2019. ISMMS also assigned a loan funding commitment to the Company, for which ISMMS is the guarantor. See Note 7 and Note 10 for further information.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revenues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 provides diagnostic testing services to entities within the Mount Sinai Health Network. Related party diagnostic testing revenues recognized totaled $0.3 million for the year ended December 31, 2020. The Company did not recognize any related party diagnostic testing revenues during the years ended December 31, 2019 and 2018.</w:t>
      </w:r>
    </w:p>
    <w:p>
      <w:pPr>
        <w:spacing w:after="0" w:line="135"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Company entered into collaboration service agreements with ISMMS and other entities within the Mount Sinai Health Network pursuant to which the Company performed various diagnostic testing, research and related data aggregation reporting services. Revenues recognized under these agreements were nominal for the year ended December 31, 2020. Revenues recognized under these agreements totaled $1.2 million and $0.3 million for the years ended December 31, 2019 and 2018, respectively. These amounts are presented in other revenue on the statements of operations and comprehensive loss.</w:t>
      </w:r>
    </w:p>
    <w:p>
      <w:pPr>
        <w:spacing w:after="0" w:line="93"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The Company had amounts due from ISMMS and other entities within the Mount Sinai Health Network for revenues earned of $0.3 million and $0.2 million as of December 31, 2020 and 2019, respectively. These amounts are presented as due from related parties on the Company’s balance sheets.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costs</w:t>
      </w:r>
    </w:p>
    <w:p>
      <w:pPr>
        <w:spacing w:after="0" w:line="164"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The Company is party to a TSA with ISMMS. The TSA was established to facilitate the continuity of the Company’s operations following the Spin-out. The TSA includes financial guarantees on debt and lease obligations (as further discussed in Note 7 and Note 8, respectively); rental of certain office spaces; and accounting, finance, billing, compliance, information technology and insurance services. Expenses recognized under this agreement totaled $7.2 million, $7.8 million and $6.0 million for the years ended December 31, 2020, 2019 and 2018, respectively, and are presented within related party expenses in the statements of operations and comprehensive loss. The Company had TSA payables due to ISMMS of $0.6 million and $0.5 million at December 31, 2020 and 2019, respectively. These amounts are included within due to related parties on the Company’s balance sheets.</w:t>
      </w:r>
    </w:p>
    <w:p>
      <w:pPr>
        <w:spacing w:after="0" w:line="9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 is also party to the Service Agreements with ISMMS, whereby ISMMS provides services for the Company, including certain revenue collection efforts, procurement efforts, office space, administrative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40"/>
          </w:cols>
          <w:pgMar w:left="320" w:top="1440" w:right="339" w:bottom="1440" w:gutter="0" w:footer="0" w:header="0"/>
        </w:sectPr>
      </w:pPr>
    </w:p>
    <w:bookmarkStart w:id="193" w:name="page194"/>
    <w:bookmarkEnd w:id="193"/>
    <w:p>
      <w:pPr>
        <w:spacing w:after="0" w:line="11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services that are not covered under the TSA. ISMMS also provides personnel through employee lease arrangements pursuant to the Service Agreements. In addition, the Company incurs costs for research and development and other support provided by related parties, including costs for services that are subcontracted to related parties that support the Company in fulfilling its performance obligations with our customers. Expenses recognized pursuant to the Service Agreements and other service arrangements with ISMMS totaled $4.4 million, $3.5 million and $7.3 million for the years ended December 31, 2020, 2019 and 2018, respectively. These amounts are included in either cost of services or related party expenses on the statements of operations and comprehensive loss depending on the particular activity to which the costs relate. The Company had payables due to ISMMS for the Service Agreements and other service arrangements of $0.8 million and $1.3 million at December 31, 2020 and 2019, respectively. These amounts are included within due to related parties on the Company’s balance sheets.</w:t>
      </w:r>
    </w:p>
    <w:p>
      <w:pPr>
        <w:spacing w:after="0" w:line="12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Total related party costs are included within cost of services and related party expenses in the statements of operations and comprehensive loss as follows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5"/>
              </w:rPr>
              <w:t>Year Ended December 31,</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83"/>
        </w:trPr>
        <w:tc>
          <w:tcPr>
            <w:tcW w:w="636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2018</w:t>
            </w: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of services</w:t>
            </w:r>
          </w:p>
        </w:tc>
        <w:tc>
          <w:tcPr>
            <w:tcW w:w="980" w:type="dxa"/>
            <w:vAlign w:val="bottom"/>
            <w:shd w:val="clear" w:color="auto" w:fill="CCEEFF"/>
          </w:tcPr>
          <w:p>
            <w:pPr>
              <w:jc w:val="right"/>
              <w:ind w:right="778"/>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4,122</w:t>
            </w:r>
          </w:p>
        </w:tc>
      </w:tr>
      <w:tr>
        <w:trPr>
          <w:trHeight w:val="225"/>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Related party expenses</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9,132</w:t>
            </w:r>
          </w:p>
        </w:tc>
      </w:tr>
      <w:tr>
        <w:trPr>
          <w:trHeight w:val="239"/>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related party costs</w:t>
            </w:r>
          </w:p>
        </w:tc>
        <w:tc>
          <w:tcPr>
            <w:tcW w:w="980" w:type="dxa"/>
            <w:vAlign w:val="bottom"/>
            <w:shd w:val="clear" w:color="auto" w:fill="CCEEFF"/>
          </w:tcPr>
          <w:p>
            <w:pPr>
              <w:jc w:val="right"/>
              <w:ind w:right="778"/>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11,584</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11,311</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13,254</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5"/>
          <w:szCs w:val="15"/>
          <w:b w:val="1"/>
          <w:bCs w:val="1"/>
          <w:color w:val="auto"/>
        </w:rPr>
        <w:t>Long-Term Debt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Funding Commitment</w:t>
      </w:r>
    </w:p>
    <w:p>
      <w:pPr>
        <w:spacing w:after="0" w:line="16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In April 2016, ISMMS received a $5.0 million loan funding commitment (the “DECD Loan Agreement”) from the Connecticut Department of Economic and Community Development (“DECD”) to support the Genetic Sequencing Laboratory Project in Branford, Connecticut (the “Project”). The DECD made a commitment to offer a total of $9.5 million in loan funding for leasehold improvements, construction, equipment, research and development, and administrative expenses over a period of ten years at an annual interest rate of 2.0% (collectively, “Phase 1” and “Phase 2” of funding for the Project). On June 1, 2017, as part of the Spin-out, ISMMS assigned both the agreement underlying the Project and the DECD Loan Agreement to the Company. ISMMS guaranteed and continues to guarantee the Company’s obligation to repay the DECD.</w:t>
      </w:r>
    </w:p>
    <w:p>
      <w:pPr>
        <w:spacing w:after="0" w:line="12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June 2018, the Company amended the existing $9.5 million DECD Loan Agreement (the “Amended DECD Loan Agreement”) with the DECD by increasing the total loan commitment to $15.5 million at the same fixed annual interest rate of 2.0% for a term of 10 years from the date the new funds are disbursed (“Phase 3” of funding for the Project).</w:t>
      </w:r>
    </w:p>
    <w:p>
      <w:pPr>
        <w:spacing w:after="0" w:line="13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terms of the Amended DECD Loan Agreement require the Company to make interest-only payments through July 2023 and principal and interest payments commencing in August 2023. The final payment of principal and interest is due in July 2028.</w:t>
      </w:r>
    </w:p>
    <w:p>
      <w:pPr>
        <w:spacing w:after="0" w:line="128"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In addition, under the terms of the Amended DECD Loan Agreement, the DECD may grant partial principal loan forgiveness of up to $12.3 million in the aggregate. Such forgiveness is contingent upon the Company achieving job creation and retention milestones, specifically:</w:t>
      </w:r>
    </w:p>
    <w:p>
      <w:pPr>
        <w:spacing w:after="0" w:line="104" w:lineRule="exact"/>
        <w:rPr>
          <w:sz w:val="20"/>
          <w:szCs w:val="20"/>
          <w:color w:val="auto"/>
        </w:rPr>
      </w:pPr>
    </w:p>
    <w:p>
      <w:pPr>
        <w:ind w:left="640" w:hanging="318"/>
        <w:spacing w:after="0" w:line="264" w:lineRule="auto"/>
        <w:rPr>
          <w:sz w:val="20"/>
          <w:szCs w:val="20"/>
          <w:color w:val="auto"/>
        </w:rPr>
      </w:pPr>
      <w:r>
        <w:rPr>
          <w:rFonts w:ascii="Arial" w:cs="Arial" w:eastAsia="Arial" w:hAnsi="Arial"/>
          <w:sz w:val="18"/>
          <w:szCs w:val="18"/>
          <w:color w:val="auto"/>
        </w:rPr>
        <w:t>– $4.5 million of Phase 1 funding will be forgiven based on creating and maintaining 35 new full-time positions in Connecticut, with a combined annual average compensation of $70,000 for a period of 24 continuous months by December 31, 2017;</w:t>
      </w:r>
    </w:p>
    <w:p>
      <w:pPr>
        <w:spacing w:after="0" w:line="127" w:lineRule="exact"/>
        <w:rPr>
          <w:sz w:val="20"/>
          <w:szCs w:val="20"/>
          <w:color w:val="auto"/>
        </w:rPr>
      </w:pPr>
    </w:p>
    <w:p>
      <w:pPr>
        <w:ind w:left="640" w:hanging="318"/>
        <w:spacing w:after="0" w:line="365" w:lineRule="auto"/>
        <w:rPr>
          <w:sz w:val="20"/>
          <w:szCs w:val="20"/>
          <w:color w:val="auto"/>
        </w:rPr>
      </w:pPr>
      <w:r>
        <w:rPr>
          <w:rFonts w:ascii="Arial" w:cs="Arial" w:eastAsia="Arial" w:hAnsi="Arial"/>
          <w:sz w:val="15"/>
          <w:szCs w:val="15"/>
          <w:color w:val="auto"/>
        </w:rPr>
        <w:t>– $2.8 million of Phase 2 funding will be forgiven based on creating 228 new full-time positions in Connecticut, with a combined annual average compensation of $83,000, and maintaining an average of 269 full-time positions for a period of 24 continuous months by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40"/>
          </w:cols>
          <w:pgMar w:left="320" w:top="1440" w:right="339" w:bottom="1440" w:gutter="0" w:footer="0" w:header="0"/>
        </w:sectPr>
      </w:pPr>
    </w:p>
    <w:bookmarkStart w:id="194" w:name="page195"/>
    <w:bookmarkEnd w:id="194"/>
    <w:p>
      <w:pPr>
        <w:spacing w:after="0" w:line="119" w:lineRule="exact"/>
        <w:rPr>
          <w:sz w:val="20"/>
          <w:szCs w:val="20"/>
          <w:color w:val="auto"/>
        </w:rPr>
      </w:pPr>
    </w:p>
    <w:p>
      <w:pPr>
        <w:ind w:left="640" w:hanging="318"/>
        <w:spacing w:after="0" w:line="255" w:lineRule="auto"/>
        <w:rPr>
          <w:sz w:val="20"/>
          <w:szCs w:val="20"/>
          <w:color w:val="auto"/>
        </w:rPr>
      </w:pPr>
      <w:r>
        <w:rPr>
          <w:rFonts w:ascii="Arial" w:cs="Arial" w:eastAsia="Arial" w:hAnsi="Arial"/>
          <w:sz w:val="18"/>
          <w:szCs w:val="18"/>
          <w:color w:val="auto"/>
        </w:rPr>
        <w:t>– $3.0 million of Phase 3 funding will be forgiven based on creating an additional 181 full-time positions in Connecticut, with a combined annual average compensation of $83,000, and maintaining an average of 450 full-time positions for a period of 24 continuous months by December 31, 2022; and</w:t>
      </w:r>
    </w:p>
    <w:p>
      <w:pPr>
        <w:spacing w:after="0" w:line="135" w:lineRule="exact"/>
        <w:rPr>
          <w:sz w:val="20"/>
          <w:szCs w:val="20"/>
          <w:color w:val="auto"/>
        </w:rPr>
      </w:pPr>
    </w:p>
    <w:p>
      <w:pPr>
        <w:ind w:left="640" w:hanging="318"/>
        <w:spacing w:after="0" w:line="255" w:lineRule="auto"/>
        <w:rPr>
          <w:sz w:val="20"/>
          <w:szCs w:val="20"/>
          <w:color w:val="auto"/>
        </w:rPr>
      </w:pPr>
      <w:r>
        <w:rPr>
          <w:rFonts w:ascii="Arial" w:cs="Arial" w:eastAsia="Arial" w:hAnsi="Arial"/>
          <w:sz w:val="18"/>
          <w:szCs w:val="18"/>
          <w:color w:val="auto"/>
        </w:rPr>
        <w:t>– An additional $2.0 million of funding will be forgiven based on creating an additional 103 full-time positions in Connecticut, with a combined annual average compensation of $83,000, and maintaining an average of 553 full-time positions for a period of 24 continuous months by December 31, 2023.</w:t>
      </w:r>
    </w:p>
    <w:p>
      <w:pPr>
        <w:spacing w:after="0" w:line="13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Amended DECD Loan Agreement terms require the completion of an employment audit by a certified public accountant and acceptance by the DECD to achieve principal loan forgiveness.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summarizes the phased funding and potential loan forgiveness milestones set forth in the Amended DECD Loan Agreement (in millions):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Funding</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right"/>
              <w:ind w:right="257"/>
              <w:spacing w:after="0"/>
              <w:rPr>
                <w:sz w:val="20"/>
                <w:szCs w:val="20"/>
                <w:color w:val="auto"/>
              </w:rPr>
            </w:pPr>
            <w:r>
              <w:rPr>
                <w:rFonts w:ascii="Arial" w:cs="Arial" w:eastAsia="Arial" w:hAnsi="Arial"/>
                <w:sz w:val="14"/>
                <w:szCs w:val="14"/>
                <w:b w:val="1"/>
                <w:bCs w:val="1"/>
                <w:color w:val="auto"/>
              </w:rPr>
              <w:t>Potential Loan</w:t>
            </w:r>
          </w:p>
        </w:tc>
        <w:tc>
          <w:tcPr>
            <w:tcW w:w="0" w:type="dxa"/>
            <w:vAlign w:val="bottom"/>
          </w:tcPr>
          <w:p>
            <w:pPr>
              <w:spacing w:after="0"/>
              <w:rPr>
                <w:sz w:val="1"/>
                <w:szCs w:val="1"/>
                <w:color w:val="auto"/>
              </w:rPr>
            </w:pPr>
          </w:p>
        </w:tc>
      </w:tr>
      <w:tr>
        <w:trPr>
          <w:trHeight w:val="185"/>
        </w:trPr>
        <w:tc>
          <w:tcPr>
            <w:tcW w:w="80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Forgiveness</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Phase 1</w:t>
            </w:r>
          </w:p>
        </w:tc>
        <w:tc>
          <w:tcPr>
            <w:tcW w:w="1120" w:type="dxa"/>
            <w:vAlign w:val="bottom"/>
            <w:shd w:val="clear" w:color="auto" w:fill="CCEEFF"/>
          </w:tcPr>
          <w:p>
            <w:pPr>
              <w:jc w:val="right"/>
              <w:ind w:right="938"/>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Phase 2</w:t>
            </w:r>
          </w:p>
        </w:tc>
        <w:tc>
          <w:tcPr>
            <w:tcW w:w="1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Phase 3</w:t>
            </w: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Final</w:t>
            </w:r>
          </w:p>
        </w:tc>
        <w:tc>
          <w:tcPr>
            <w:tcW w:w="112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4"/>
        </w:trPr>
        <w:tc>
          <w:tcPr>
            <w:tcW w:w="8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120" w:type="dxa"/>
            <w:vAlign w:val="bottom"/>
            <w:tcBorders>
              <w:top w:val="single" w:sz="8" w:color="auto"/>
              <w:bottom w:val="single" w:sz="8" w:color="auto"/>
            </w:tcBorders>
            <w:shd w:val="clear" w:color="auto" w:fill="CCEEFF"/>
          </w:tcPr>
          <w:p>
            <w:pPr>
              <w:jc w:val="right"/>
              <w:ind w:right="938"/>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September 2018, the Company received an official letter from the DECD stating that in accordance with the Amended DECD Loan Agreement and following its Phase 1 employment audit, the Company met the job creation and retention milestones for Phase 1 and earned the related $4.5 million principal loan forgiveness credit. Accordingly, the Company recorded a $4.5 million gain on extinguishment of debt in the statements of operations and comprehensive loss for the year ended December 31, 2018.</w:t>
      </w:r>
    </w:p>
    <w:p>
      <w:pPr>
        <w:spacing w:after="0" w:line="138" w:lineRule="exact"/>
        <w:rPr>
          <w:sz w:val="20"/>
          <w:szCs w:val="20"/>
          <w:color w:val="auto"/>
        </w:rPr>
      </w:pPr>
    </w:p>
    <w:p>
      <w:pPr>
        <w:jc w:val="both"/>
        <w:ind w:right="20" w:firstLine="318"/>
        <w:spacing w:after="0" w:line="294" w:lineRule="auto"/>
        <w:rPr>
          <w:sz w:val="20"/>
          <w:szCs w:val="20"/>
          <w:color w:val="auto"/>
        </w:rPr>
      </w:pPr>
      <w:r>
        <w:rPr>
          <w:rFonts w:ascii="Arial" w:cs="Arial" w:eastAsia="Arial" w:hAnsi="Arial"/>
          <w:sz w:val="17"/>
          <w:szCs w:val="17"/>
          <w:color w:val="auto"/>
        </w:rPr>
        <w:t>The Company received $4.5 million in loan funding for Phase 2 and $6.0 million in loan funding for Phase 3 in September 2018 and March 2020, respectively. The outstanding loan balance from the DECD was $11.0 million and $5.0 million at December 31, 2020 and 2019, respectively.</w:t>
      </w:r>
    </w:p>
    <w:p>
      <w:pPr>
        <w:spacing w:after="0" w:line="10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Debt due to the DECD is collateralized by providing a security interest in certain machinery and equipment the Company acquired from ISMMS, as defined in a separate security agreement (the “DECD Security Agreement”). The DECD Security Agreement provides a security for the payment and performance of meeting the Company’s obligations to the DECD until the obligations have been fully satisfied.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Master Loan Agreement</w:t>
      </w:r>
    </w:p>
    <w:p>
      <w:pPr>
        <w:spacing w:after="0" w:line="164"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In August 2020, the Company entered into a Master Loan and Security Agreement (“Master Loan Agreement”) with a bank, which was assigned to a separate lender in September 2020. The Master Loan Agreement set forth terms and conditions between the Company and the bank, inclusive of certain representations and covenants. In October 2020, the Company entered into an equipment security note (“Equipment Note”), subject to all terms in the Master Loan Agreement, in which the Company received a loan of $6.3 million and deposited the proceeds into a deposit account held by the bank. The funds deposited into the account remain in the Company’s name; however, release of the funds is controlled by the bank, as agreed upon under a separate deposit control agreement. Per the terms of the Master Loan Agreement, on an annual basis upon each anniversary of the executed Master Loan Agreement, funds in the deposit account will be released to the Company in such manner that the remaining balance in the deposit account is equal to 110% of the current principal balance of the outstanding loan. Once the funds are released, the Company can use the proceeds without any restrictions. The terms of the Equipment Note require the Company to make sixty consecutive monthly payments of principal and interest at a fixed monthly amount of $0.1 million beginning in November 2020. Interest payments are fixed at an annual interest rate of 4.75%. The Company granted the bank a security interest in the equipment listed in the Equipment Note as collateral for the loan financing arrangement. The Company retains the title to all equipment listed in the Equipment Note and fulfillment of the arrangement is not dependent on the use of the specified equipment. As such, the Company accounts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40"/>
          </w:cols>
          <w:pgMar w:left="320" w:top="1440" w:right="339" w:bottom="1440" w:gutter="0" w:footer="0" w:header="0"/>
        </w:sectPr>
      </w:pPr>
    </w:p>
    <w:bookmarkStart w:id="195" w:name="page196"/>
    <w:bookmarkEnd w:id="195"/>
    <w:p>
      <w:pPr>
        <w:spacing w:after="0" w:line="119" w:lineRule="exact"/>
        <w:rPr>
          <w:sz w:val="20"/>
          <w:szCs w:val="20"/>
          <w:color w:val="auto"/>
        </w:rPr>
      </w:pPr>
    </w:p>
    <w:p>
      <w:pPr>
        <w:jc w:val="both"/>
        <w:ind w:right="20"/>
        <w:spacing w:after="0" w:line="294" w:lineRule="auto"/>
        <w:rPr>
          <w:sz w:val="20"/>
          <w:szCs w:val="20"/>
          <w:color w:val="auto"/>
        </w:rPr>
      </w:pPr>
      <w:r>
        <w:rPr>
          <w:rFonts w:ascii="Arial" w:cs="Arial" w:eastAsia="Arial" w:hAnsi="Arial"/>
          <w:sz w:val="17"/>
          <w:szCs w:val="17"/>
          <w:color w:val="auto"/>
        </w:rPr>
        <w:t>financing arrangement as debt. The Company recorded the $6.3 million proceeds as restricted cash on the balance sheet at December 31, 2020. The outstanding loan balance was $6.1 million at December 31, 2020 following monthly payments made in November and December 2020.</w:t>
      </w:r>
    </w:p>
    <w:p>
      <w:pPr>
        <w:spacing w:after="0" w:line="10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a separate subordination agreement between the bank and the DECD, the DECD agreed that any present or future security interests in collateral would be subordinate to the security interests of the bank.</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Master Lease Agreement</w:t>
      </w:r>
    </w:p>
    <w:p>
      <w:pPr>
        <w:spacing w:after="0" w:line="16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In December 2020, the Company entered into a Master Lease Agreement (“Master Lease Agreement”) with a lender whereby the Company agreed to sell certain equipment and immediately leaseback the equipment, resulting in proceeds of $3.6 million. The transaction does not qualify as a sale-leaseback transaction as there is a $1.00 repurchase option at the end of the lease term that does not represent the fair value of the underlying assets. Accordingly, the Company continues to reflect the transferred assets on the balance sheets and recorded the proceeds as a financing obligation.</w:t>
      </w:r>
    </w:p>
    <w:p>
      <w:pPr>
        <w:spacing w:after="0" w:line="9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terms of the Master Lease Agreement require the Company to make sixty consecutive monthly payments of principal and interest at a fixed monthly amount of $0.1 million beginning in February 2021. Interest payments are fixed at an annual interest rate of 3.54%.</w:t>
      </w:r>
    </w:p>
    <w:p>
      <w:pPr>
        <w:spacing w:after="0" w:line="128"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Per the terms of the Master Lease Agreement and a separate Letter of Credit Agreement (“LOC Agreement”), the Company was required to deliver a letter of credit, from a financial institution deemed satisfactory, equal to the amount of the transferred assets. Accordingly, in December 2020, a financial institution issued an irrevocable standby letter of credit to the lender for $3.6 million. The Company deposited the funds in an account held by the financial institution and, in accordance with the terms of a separate agreement with the financial institution, the Company must maintain an aggregate amount on deposit equal to at least 105% of the value of any outstanding letters of credit issued by the financial institution on the Company’s behalf. Per the terms of the LOC Agreement with the lender, the letter of credit must be in place until all obligations have been paid in full. Beginning in June 2021 and every December and June thereafter, the letter of credit will be reduced to the then outstanding balance of the obligation. In addition, beginning in June 2022 and continuing each fiscal year thereafter, the lender will consent to a 33% reduction of the then current balance of the letter of credit provided that certain conditions and covenants have been met. Further, the Company must furnish annual audited financial statements and other financial information to the lender on a regular basis. The Company was in compliance with the above covenants as of December 31, 2020.</w:t>
      </w:r>
    </w:p>
    <w:p>
      <w:pPr>
        <w:spacing w:after="0" w:line="31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 recorded the $3.6 million proceeds as restricted cash on the balance sheet at December 31, 2020. The outstanding loan balance was also $3.6 million at December 31, 2020.</w:t>
      </w:r>
    </w:p>
    <w:p>
      <w:pPr>
        <w:spacing w:after="0" w:line="12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a separate intercreditor agreement between the lender and the DECD, the DECD agreed that any present or future security interests in collateral would be subordinate to the security interests of the lender.</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680" w:type="dxa"/>
            <w:vAlign w:val="bottom"/>
          </w:tcPr>
          <w:p>
            <w:pPr>
              <w:spacing w:after="0"/>
              <w:rPr>
                <w:sz w:val="20"/>
                <w:szCs w:val="20"/>
                <w:color w:val="auto"/>
              </w:rPr>
            </w:pPr>
            <w:r>
              <w:rPr>
                <w:rFonts w:ascii="Arial" w:cs="Arial" w:eastAsia="Arial" w:hAnsi="Arial"/>
                <w:sz w:val="18"/>
                <w:szCs w:val="18"/>
                <w:i w:val="1"/>
                <w:iCs w:val="1"/>
                <w:color w:val="auto"/>
              </w:rPr>
              <w:t>Maturities of Long-Term Debt</w:t>
            </w: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1"/>
        </w:trPr>
        <w:tc>
          <w:tcPr>
            <w:tcW w:w="9680" w:type="dxa"/>
            <w:vAlign w:val="bottom"/>
          </w:tcPr>
          <w:p>
            <w:pPr>
              <w:ind w:left="320"/>
              <w:spacing w:after="0"/>
              <w:rPr>
                <w:sz w:val="20"/>
                <w:szCs w:val="20"/>
                <w:color w:val="auto"/>
              </w:rPr>
            </w:pPr>
            <w:r>
              <w:rPr>
                <w:rFonts w:ascii="Arial" w:cs="Arial" w:eastAsia="Arial" w:hAnsi="Arial"/>
                <w:sz w:val="18"/>
                <w:szCs w:val="18"/>
                <w:color w:val="auto"/>
              </w:rPr>
              <w:t>As of December 31, 2020, long-term debt matures as follows (in thousands):</w:t>
            </w: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9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5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25"/>
        </w:trPr>
        <w:tc>
          <w:tcPr>
            <w:tcW w:w="9680" w:type="dxa"/>
            <w:vAlign w:val="bottom"/>
          </w:tcPr>
          <w:p>
            <w:pPr>
              <w:ind w:left="20"/>
              <w:spacing w:after="0"/>
              <w:rPr>
                <w:sz w:val="20"/>
                <w:szCs w:val="20"/>
                <w:color w:val="auto"/>
              </w:rPr>
            </w:pPr>
            <w:r>
              <w:rPr>
                <w:rFonts w:ascii="Arial" w:cs="Arial" w:eastAsia="Arial" w:hAnsi="Arial"/>
                <w:sz w:val="18"/>
                <w:szCs w:val="18"/>
                <w:color w:val="auto"/>
              </w:rPr>
              <w:t>2022</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1,906</w:t>
            </w:r>
          </w:p>
        </w:tc>
        <w:tc>
          <w:tcPr>
            <w:tcW w:w="0" w:type="dxa"/>
            <w:vAlign w:val="bottom"/>
          </w:tcPr>
          <w:p>
            <w:pPr>
              <w:spacing w:after="0"/>
              <w:rPr>
                <w:sz w:val="1"/>
                <w:szCs w:val="1"/>
                <w:color w:val="auto"/>
              </w:rPr>
            </w:pPr>
          </w:p>
        </w:tc>
      </w:tr>
      <w:tr>
        <w:trPr>
          <w:trHeight w:val="226"/>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w:t>
            </w:r>
          </w:p>
        </w:tc>
        <w:tc>
          <w:tcPr>
            <w:tcW w:w="0" w:type="dxa"/>
            <w:vAlign w:val="bottom"/>
          </w:tcPr>
          <w:p>
            <w:pPr>
              <w:spacing w:after="0"/>
              <w:rPr>
                <w:sz w:val="1"/>
                <w:szCs w:val="1"/>
                <w:color w:val="auto"/>
              </w:rPr>
            </w:pPr>
          </w:p>
        </w:tc>
      </w:tr>
      <w:tr>
        <w:trPr>
          <w:trHeight w:val="225"/>
        </w:trPr>
        <w:tc>
          <w:tcPr>
            <w:tcW w:w="9680" w:type="dxa"/>
            <w:vAlign w:val="bottom"/>
          </w:tcPr>
          <w:p>
            <w:pPr>
              <w:ind w:left="20"/>
              <w:spacing w:after="0"/>
              <w:rPr>
                <w:sz w:val="20"/>
                <w:szCs w:val="20"/>
                <w:color w:val="auto"/>
              </w:rPr>
            </w:pPr>
            <w:r>
              <w:rPr>
                <w:rFonts w:ascii="Arial" w:cs="Arial" w:eastAsia="Arial" w:hAnsi="Arial"/>
                <w:sz w:val="18"/>
                <w:szCs w:val="18"/>
                <w:color w:val="auto"/>
              </w:rPr>
              <w:t>2024</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4,208</w:t>
            </w:r>
          </w:p>
        </w:tc>
        <w:tc>
          <w:tcPr>
            <w:tcW w:w="0" w:type="dxa"/>
            <w:vAlign w:val="bottom"/>
          </w:tcPr>
          <w:p>
            <w:pPr>
              <w:spacing w:after="0"/>
              <w:rPr>
                <w:sz w:val="1"/>
                <w:szCs w:val="1"/>
                <w:color w:val="auto"/>
              </w:rPr>
            </w:pPr>
          </w:p>
        </w:tc>
      </w:tr>
      <w:tr>
        <w:trPr>
          <w:trHeight w:val="226"/>
        </w:trPr>
        <w:tc>
          <w:tcPr>
            <w:tcW w:w="9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4,106</w:t>
            </w:r>
          </w:p>
        </w:tc>
        <w:tc>
          <w:tcPr>
            <w:tcW w:w="0" w:type="dxa"/>
            <w:vAlign w:val="bottom"/>
          </w:tcPr>
          <w:p>
            <w:pPr>
              <w:spacing w:after="0"/>
              <w:rPr>
                <w:sz w:val="1"/>
                <w:szCs w:val="1"/>
                <w:color w:val="auto"/>
              </w:rPr>
            </w:pPr>
          </w:p>
        </w:tc>
      </w:tr>
      <w:tr>
        <w:trPr>
          <w:trHeight w:val="218"/>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5,886</w:t>
            </w:r>
          </w:p>
        </w:tc>
        <w:tc>
          <w:tcPr>
            <w:tcW w:w="0" w:type="dxa"/>
            <w:vAlign w:val="bottom"/>
          </w:tcPr>
          <w:p>
            <w:pPr>
              <w:spacing w:after="0"/>
              <w:rPr>
                <w:sz w:val="1"/>
                <w:szCs w:val="1"/>
                <w:color w:val="auto"/>
              </w:rPr>
            </w:pPr>
          </w:p>
        </w:tc>
      </w:tr>
      <w:tr>
        <w:trPr>
          <w:trHeight w:val="244"/>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maturities of long-term debt</w:t>
            </w:r>
          </w:p>
        </w:tc>
        <w:tc>
          <w:tcPr>
            <w:tcW w:w="5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20,741</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Less: Current portion of long-term debt</w:t>
            </w: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9680" w:type="dxa"/>
            <w:vAlign w:val="bottom"/>
            <w:tcBorders>
              <w:bottom w:val="single" w:sz="8" w:color="CCEEFF"/>
            </w:tcBorders>
            <w:vMerge w:val="continue"/>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44"/>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debt, net of current portion</w:t>
            </w:r>
          </w:p>
        </w:tc>
        <w:tc>
          <w:tcPr>
            <w:tcW w:w="56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18,971</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40"/>
          </w:cols>
          <w:pgMar w:left="320" w:top="1440" w:right="339" w:bottom="1440" w:gutter="0" w:footer="0" w:header="0"/>
        </w:sectPr>
      </w:pPr>
    </w:p>
    <w:bookmarkStart w:id="196" w:name="page197"/>
    <w:bookmarkEnd w:id="196"/>
    <w:p>
      <w:pPr>
        <w:spacing w:after="0" w:line="11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color w:val="auto"/>
        </w:rPr>
        <w:t>Commitments and Contingencies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6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entered into an agreement with ISMMS to sublease office space in Connecticut with a remaining term of approximately 13 years as of December 31, 2020. The lease is subject to escalating rent and rent-free period provisions and require the Company to pay additional amounts for operating expenses. In addition, the Company leased certain lab and office spaces in New York from ISMMS on a month-to-month basis during the years ended December 31, 2020, 2019 and 2018. See Note 6 for additional information.</w:t>
      </w:r>
    </w:p>
    <w:p>
      <w:pPr>
        <w:spacing w:after="0" w:line="138"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In April 2019, the Company entered into a sublease agreement to rent a building located in Stamford, Connecticut to be used for office and laboratory space. As the land is more than 25% of the total value, the building is accounted for as a capital lease and the land as an operating lease.</w:t>
      </w:r>
    </w:p>
    <w:p>
      <w:pPr>
        <w:spacing w:after="0" w:line="10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In November 2019, the Company entered into a lease agreement with a third party for office space in Connecticut. The Company took occupancy of the facility and the lease commenced in November 2019 and has a remaining term of 13 years as of December 31, 2020. The lease provides for escalating rent over the lease term and requires the Company to pay additional amounts for operating expenses. Per the terms of the lease agreement, the Company was required to deliver a letter of credit from a financial institution equal to the amount of the security deposit on the office space. Accordingly, in February 2020, a financial institution issued an irrevocable standby letter of credit to the third party for $0.9 million. The Company recorded $0.9 million as restricted cash on the balance sheet as of December 31, 2020.</w:t>
      </w:r>
    </w:p>
    <w:p>
      <w:pPr>
        <w:spacing w:after="0" w:line="14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January 2020, the Company entered into a lease agreement with a third party for lab space in Branford, Connecticut. The Company took occupancy of the facility and the lease commenced in February 2020 and has a remaining term of 9 years as of December 31, 2020. The lease provides for escalating rent over the lease term and requires the Company to pay additional amounts for operating expenses.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680" w:type="dxa"/>
            <w:vAlign w:val="bottom"/>
          </w:tcPr>
          <w:p>
            <w:pPr>
              <w:ind w:left="320"/>
              <w:spacing w:after="0"/>
              <w:rPr>
                <w:sz w:val="20"/>
                <w:szCs w:val="20"/>
                <w:color w:val="auto"/>
              </w:rPr>
            </w:pPr>
            <w:r>
              <w:rPr>
                <w:rFonts w:ascii="Arial" w:cs="Arial" w:eastAsia="Arial" w:hAnsi="Arial"/>
                <w:sz w:val="18"/>
                <w:szCs w:val="18"/>
                <w:color w:val="auto"/>
                <w:w w:val="95"/>
              </w:rPr>
              <w:t>Future minimum payments under non-cancelable operating leases as of December 31, 2020 are as follows (in thousands):</w:t>
            </w: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187"/>
        </w:trPr>
        <w:tc>
          <w:tcPr>
            <w:tcW w:w="9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25"/>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5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3,840</w:t>
            </w:r>
          </w:p>
        </w:tc>
      </w:tr>
      <w:tr>
        <w:trPr>
          <w:trHeight w:val="225"/>
        </w:trPr>
        <w:tc>
          <w:tcPr>
            <w:tcW w:w="9680" w:type="dxa"/>
            <w:vAlign w:val="bottom"/>
          </w:tcPr>
          <w:p>
            <w:pPr>
              <w:ind w:left="20"/>
              <w:spacing w:after="0"/>
              <w:rPr>
                <w:sz w:val="20"/>
                <w:szCs w:val="20"/>
                <w:color w:val="auto"/>
              </w:rPr>
            </w:pPr>
            <w:r>
              <w:rPr>
                <w:rFonts w:ascii="Arial" w:cs="Arial" w:eastAsia="Arial" w:hAnsi="Arial"/>
                <w:sz w:val="18"/>
                <w:szCs w:val="18"/>
                <w:color w:val="auto"/>
              </w:rPr>
              <w:t>2022</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3,975</w:t>
            </w:r>
          </w:p>
        </w:tc>
      </w:tr>
      <w:tr>
        <w:trPr>
          <w:trHeight w:val="226"/>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4,080</w:t>
            </w:r>
          </w:p>
        </w:tc>
      </w:tr>
      <w:tr>
        <w:trPr>
          <w:trHeight w:val="225"/>
        </w:trPr>
        <w:tc>
          <w:tcPr>
            <w:tcW w:w="9680" w:type="dxa"/>
            <w:vAlign w:val="bottom"/>
          </w:tcPr>
          <w:p>
            <w:pPr>
              <w:ind w:left="20"/>
              <w:spacing w:after="0"/>
              <w:rPr>
                <w:sz w:val="20"/>
                <w:szCs w:val="20"/>
                <w:color w:val="auto"/>
              </w:rPr>
            </w:pPr>
            <w:r>
              <w:rPr>
                <w:rFonts w:ascii="Arial" w:cs="Arial" w:eastAsia="Arial" w:hAnsi="Arial"/>
                <w:sz w:val="18"/>
                <w:szCs w:val="18"/>
                <w:color w:val="auto"/>
              </w:rPr>
              <w:t>2024</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4,182</w:t>
            </w:r>
          </w:p>
        </w:tc>
      </w:tr>
      <w:tr>
        <w:trPr>
          <w:trHeight w:val="226"/>
        </w:trPr>
        <w:tc>
          <w:tcPr>
            <w:tcW w:w="9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4,577</w:t>
            </w:r>
          </w:p>
        </w:tc>
      </w:tr>
      <w:tr>
        <w:trPr>
          <w:trHeight w:val="218"/>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52,653</w:t>
            </w:r>
          </w:p>
        </w:tc>
      </w:tr>
      <w:tr>
        <w:trPr>
          <w:trHeight w:val="244"/>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lease obligations</w:t>
            </w:r>
          </w:p>
        </w:tc>
        <w:tc>
          <w:tcPr>
            <w:tcW w:w="56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73,307</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Rent expense related to non-cancelable operating leases was $5.3 million,$0.8 million and $0.9 million for the years ended December 31, 2020, 2019 and 2018, respectively. Rent expense related to month-to-month operating leases was $3.2 million, $2.8 million, and $3.2 million for the years ended December 31, 2020, 2019 and 2018, respectively.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Leases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 entered into various capital lease agreements to obtain laboratory equipment which contain bargain purchase commitments at the end of the lease term. The terms of the capital leases range from 3 to 5 years with interest rates ranging from 1.9% to 12.0% The leases are secured by the underlying equipment.</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In April 2019, the Company entered into a sublease agreement to rent a building to be used for office and laboratory space for a base term of 325 months.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The building is accounted for as a capital lease and the land as an operating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40"/>
          </w:cols>
          <w:pgMar w:left="320" w:top="1440" w:right="339" w:bottom="1440" w:gutter="0" w:footer="0" w:header="0"/>
        </w:sectPr>
      </w:pPr>
    </w:p>
    <w:bookmarkStart w:id="197" w:name="page198"/>
    <w:bookmarkEnd w:id="197"/>
    <w:p>
      <w:pPr>
        <w:spacing w:after="0" w:line="11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 has the option to renew the lease at the end of the initial base term for either one period of 10 years, or two periods of 5 years. There is also an early termination option in which the Company may cancel the lease after the 196th month with a cancellation charge of $8.4 million. The Company has no intent to exercise the renewal nor early termination options.</w:t>
      </w:r>
    </w:p>
    <w:p>
      <w:pPr>
        <w:spacing w:after="0" w:line="13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building lease is amortized on a straight-line basis over 325 months. The interest rate related to the lease obligation is 13.1% and the maturity date is October 30, 2046.</w:t>
      </w:r>
    </w:p>
    <w:p>
      <w:pPr>
        <w:spacing w:after="0" w:line="12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 also incurs other lease-related expenses such as real estate taxes, operating expenses and maintenance that are generally based on the Company’s pro-rata share of the total square footage of the property being leased.</w:t>
      </w:r>
    </w:p>
    <w:p>
      <w:pPr>
        <w:spacing w:after="0" w:line="12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Property and equipment under capital leases was $27.0 million and $19.5 million as of December 31, 2020 and 2019, respectively. Accumulated amortization on capital lease assets was $9.7 million and $6.3 million at December 31, 2020 and 2019, respectively.</w:t>
      </w:r>
    </w:p>
    <w:p>
      <w:pPr>
        <w:spacing w:after="0" w:line="128"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For all capital leases, the portion of the future payments designated as principal repayment is recorded as a capital lease obligation on the Company’s balance sheets in accordance with repayment terms. Future payments under capital leases at December 31, 2020, are as follows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5,165</w:t>
            </w:r>
          </w:p>
        </w:tc>
        <w:tc>
          <w:tcPr>
            <w:tcW w:w="0" w:type="dxa"/>
            <w:vAlign w:val="bottom"/>
          </w:tcPr>
          <w:p>
            <w:pPr>
              <w:spacing w:after="0"/>
              <w:rPr>
                <w:sz w:val="1"/>
                <w:szCs w:val="1"/>
                <w:color w:val="auto"/>
              </w:rPr>
            </w:pPr>
          </w:p>
        </w:tc>
      </w:tr>
      <w:tr>
        <w:trPr>
          <w:trHeight w:val="225"/>
        </w:trPr>
        <w:tc>
          <w:tcPr>
            <w:tcW w:w="9680" w:type="dxa"/>
            <w:vAlign w:val="bottom"/>
          </w:tcPr>
          <w:p>
            <w:pPr>
              <w:ind w:left="20"/>
              <w:spacing w:after="0"/>
              <w:rPr>
                <w:sz w:val="20"/>
                <w:szCs w:val="20"/>
                <w:color w:val="auto"/>
              </w:rPr>
            </w:pPr>
            <w:r>
              <w:rPr>
                <w:rFonts w:ascii="Arial" w:cs="Arial" w:eastAsia="Arial" w:hAnsi="Arial"/>
                <w:sz w:val="18"/>
                <w:szCs w:val="18"/>
                <w:color w:val="auto"/>
              </w:rPr>
              <w:t>2022</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4,702</w:t>
            </w:r>
          </w:p>
        </w:tc>
        <w:tc>
          <w:tcPr>
            <w:tcW w:w="0" w:type="dxa"/>
            <w:vAlign w:val="bottom"/>
          </w:tcPr>
          <w:p>
            <w:pPr>
              <w:spacing w:after="0"/>
              <w:rPr>
                <w:sz w:val="1"/>
                <w:szCs w:val="1"/>
                <w:color w:val="auto"/>
              </w:rPr>
            </w:pPr>
          </w:p>
        </w:tc>
      </w:tr>
      <w:tr>
        <w:trPr>
          <w:trHeight w:val="226"/>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3,479</w:t>
            </w:r>
          </w:p>
        </w:tc>
        <w:tc>
          <w:tcPr>
            <w:tcW w:w="0" w:type="dxa"/>
            <w:vAlign w:val="bottom"/>
          </w:tcPr>
          <w:p>
            <w:pPr>
              <w:spacing w:after="0"/>
              <w:rPr>
                <w:sz w:val="1"/>
                <w:szCs w:val="1"/>
                <w:color w:val="auto"/>
              </w:rPr>
            </w:pPr>
          </w:p>
        </w:tc>
      </w:tr>
      <w:tr>
        <w:trPr>
          <w:trHeight w:val="225"/>
        </w:trPr>
        <w:tc>
          <w:tcPr>
            <w:tcW w:w="9680" w:type="dxa"/>
            <w:vAlign w:val="bottom"/>
          </w:tcPr>
          <w:p>
            <w:pPr>
              <w:ind w:left="20"/>
              <w:spacing w:after="0"/>
              <w:rPr>
                <w:sz w:val="20"/>
                <w:szCs w:val="20"/>
                <w:color w:val="auto"/>
              </w:rPr>
            </w:pPr>
            <w:r>
              <w:rPr>
                <w:rFonts w:ascii="Arial" w:cs="Arial" w:eastAsia="Arial" w:hAnsi="Arial"/>
                <w:sz w:val="18"/>
                <w:szCs w:val="18"/>
                <w:color w:val="auto"/>
              </w:rPr>
              <w:t>2024</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2,658</w:t>
            </w:r>
          </w:p>
        </w:tc>
        <w:tc>
          <w:tcPr>
            <w:tcW w:w="0" w:type="dxa"/>
            <w:vAlign w:val="bottom"/>
          </w:tcPr>
          <w:p>
            <w:pPr>
              <w:spacing w:after="0"/>
              <w:rPr>
                <w:sz w:val="1"/>
                <w:szCs w:val="1"/>
                <w:color w:val="auto"/>
              </w:rPr>
            </w:pPr>
          </w:p>
        </w:tc>
      </w:tr>
      <w:tr>
        <w:trPr>
          <w:trHeight w:val="226"/>
        </w:trPr>
        <w:tc>
          <w:tcPr>
            <w:tcW w:w="9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w:t>
            </w:r>
          </w:p>
        </w:tc>
        <w:tc>
          <w:tcPr>
            <w:tcW w:w="0" w:type="dxa"/>
            <w:vAlign w:val="bottom"/>
          </w:tcPr>
          <w:p>
            <w:pPr>
              <w:spacing w:after="0"/>
              <w:rPr>
                <w:sz w:val="1"/>
                <w:szCs w:val="1"/>
                <w:color w:val="auto"/>
              </w:rPr>
            </w:pPr>
          </w:p>
        </w:tc>
      </w:tr>
      <w:tr>
        <w:trPr>
          <w:trHeight w:val="218"/>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51,869</w:t>
            </w:r>
          </w:p>
        </w:tc>
        <w:tc>
          <w:tcPr>
            <w:tcW w:w="0" w:type="dxa"/>
            <w:vAlign w:val="bottom"/>
          </w:tcPr>
          <w:p>
            <w:pPr>
              <w:spacing w:after="0"/>
              <w:rPr>
                <w:sz w:val="1"/>
                <w:szCs w:val="1"/>
                <w:color w:val="auto"/>
              </w:rPr>
            </w:pPr>
          </w:p>
        </w:tc>
      </w:tr>
      <w:tr>
        <w:trPr>
          <w:trHeight w:val="244"/>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capital lease obligations</w:t>
            </w:r>
          </w:p>
        </w:tc>
        <w:tc>
          <w:tcPr>
            <w:tcW w:w="5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70,217</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Less: amounts representing interest</w:t>
            </w: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9680" w:type="dxa"/>
            <w:vAlign w:val="bottom"/>
            <w:tcBorders>
              <w:bottom w:val="single" w:sz="8" w:color="CCEEFF"/>
            </w:tcBorders>
            <w:vMerge w:val="continue"/>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(45,933)</w:t>
            </w:r>
          </w:p>
        </w:tc>
        <w:tc>
          <w:tcPr>
            <w:tcW w:w="0" w:type="dxa"/>
            <w:vAlign w:val="bottom"/>
          </w:tcPr>
          <w:p>
            <w:pPr>
              <w:spacing w:after="0"/>
              <w:rPr>
                <w:sz w:val="1"/>
                <w:szCs w:val="1"/>
                <w:color w:val="auto"/>
              </w:rPr>
            </w:pPr>
          </w:p>
        </w:tc>
      </w:tr>
      <w:tr>
        <w:trPr>
          <w:trHeight w:val="21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Present value of net minimum capital lease payments</w:t>
            </w: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24,284</w:t>
            </w:r>
          </w:p>
        </w:tc>
        <w:tc>
          <w:tcPr>
            <w:tcW w:w="0" w:type="dxa"/>
            <w:vAlign w:val="bottom"/>
          </w:tcPr>
          <w:p>
            <w:pPr>
              <w:spacing w:after="0"/>
              <w:rPr>
                <w:sz w:val="1"/>
                <w:szCs w:val="1"/>
                <w:color w:val="auto"/>
              </w:rPr>
            </w:pPr>
          </w:p>
        </w:tc>
      </w:tr>
      <w:tr>
        <w:trPr>
          <w:trHeight w:val="218"/>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w:t>
            </w: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(3,506)</w:t>
            </w:r>
          </w:p>
        </w:tc>
        <w:tc>
          <w:tcPr>
            <w:tcW w:w="0" w:type="dxa"/>
            <w:vAlign w:val="bottom"/>
          </w:tcPr>
          <w:p>
            <w:pPr>
              <w:spacing w:after="0"/>
              <w:rPr>
                <w:sz w:val="1"/>
                <w:szCs w:val="1"/>
                <w:color w:val="auto"/>
              </w:rPr>
            </w:pPr>
          </w:p>
        </w:tc>
      </w:tr>
      <w:tr>
        <w:trPr>
          <w:trHeight w:val="244"/>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lease obligations, net of current portion</w:t>
            </w:r>
          </w:p>
        </w:tc>
        <w:tc>
          <w:tcPr>
            <w:tcW w:w="52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20,778</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Interest expense related to capital leases was $2.2 million, $0.7 million and $0.1 million for the years ended December 31, 2020, 2019 and 2018, respectively.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64"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The Company may, from time to time, become involved in legal proceedings arising out of the normal course of its operations. For instance, the Company may be subject to lawsuits alleging negligence or other similar legal claims related to its provision of genetic testing and/or information services. The Company establishes reserves for specific legal matters when it determines that the likelihood of an unfavorable outcome is probable and the loss is reasonably estimable. The Company has also identified certain other legal matters where it believes an unfavorable outcome is not probable and, therefore, no reserve is established. Although management currently believes that resolving claims against the Company, including claims where an unfavorable outcome is reasonably possible, will not have a material impact on the liquidity, results of operations, or financial condition of the Company, these matters are subject to inherent uncertainties and management's view of these matters may change in the future. It is possible that an unfavorable outcome of one or more of these lawsuits or other contingencies could have a material impact on the liquidity, results of operations, or financial condition of the Company.</w:t>
      </w:r>
    </w:p>
    <w:p>
      <w:pPr>
        <w:spacing w:after="0" w:line="10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Significant judgment is required in both the determination of probability of loss and the determination as to whether the amount can be reasonably estimated. Accruals are based only on information available at the time of the assessment, due to the uncertain nature of such matters. As additional information becomes available, management reassesses potential liabilities related to pending claims and litigation and may revise its previous estimates, which could materially affect the Company’s results of operations in a given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40"/>
          </w:cols>
          <w:pgMar w:left="320" w:top="1440" w:right="339" w:bottom="1440" w:gutter="0" w:footer="0" w:header="0"/>
        </w:sectPr>
      </w:pPr>
    </w:p>
    <w:bookmarkStart w:id="198" w:name="page199"/>
    <w:bookmarkEnd w:id="198"/>
    <w:p>
      <w:pPr>
        <w:spacing w:after="0" w:line="119"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Company maintains various liability insurance coverages for, among other things, claims that could result from providing, or failing to provide diagnostic testing services, including inaccurate testing results, and other exposures. The Company’s insurance coverage limits its maximum exposure on claims; however, the Company is responsible for any uninsured portion of losses. Management believes that present insurance coverage is sufficient to cover potential exposures.</w:t>
      </w:r>
    </w:p>
    <w:p>
      <w:pPr>
        <w:spacing w:after="0" w:line="138"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The Company was not a party to any material legal proceedings at December 31, 2020, nor is it a party to any legal proceedings as of the date of issuance of these financial statements.</w:t>
      </w:r>
    </w:p>
    <w:p>
      <w:pPr>
        <w:spacing w:after="0" w:line="12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5"/>
          <w:szCs w:val="15"/>
          <w:b w:val="1"/>
          <w:bCs w:val="1"/>
          <w:color w:val="auto"/>
        </w:rPr>
        <w:t>Stock-Based Compensation</w:t>
      </w:r>
    </w:p>
    <w:p>
      <w:pPr>
        <w:spacing w:after="0" w:line="17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April 2017, the Company adopted the 2017 Stock Incentive Plan (the “2017 Plan”), effectively replacing the 2016 Stock Incentive Plan, for which no shares had vested, therefore, resulting in no obligation to the Company. In February 2018, the Board of Directors approved a resolution to amend the 2017 Plan, whereby awards are to be granted for Class A common stock and/or Class B common stock of the Company. The 2017 Plan is intended to qualify as an incentive stock option under the section 422 of Internal Revenue Service code, however certain non-qualified stock options and stock appreciation rights have been awarded under the 2017 Plan.</w:t>
      </w:r>
    </w:p>
    <w:p>
      <w:pPr>
        <w:spacing w:after="0" w:line="14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2017 Plan offers total aggregate shares of up to 279,192 shares of Class A common stock and Class B common stock, collectively, on an as-converted to Class A common stock basis. Following the amendment to the 2017 Plan in February 2018, the Company intends to use available shares to grant Class B common stock awards.</w:t>
      </w:r>
    </w:p>
    <w:p>
      <w:pPr>
        <w:spacing w:after="0" w:line="13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Awards could be granted to directors, officers, employees and consultants (collectively referred to as Employees) at the discretion of the Company and under terms and provisions established by the Board of Directors. Under the terms of the 2017 Plan, options may be granted at an exercise price not less than fair value. For employees holding more than 10% of the voting rights of all classes of stock of the Company, the per share exercise price must be at least 110% of fair value of the common stock on the date of grant, as determined by the Board of Directors. The terms of the awards granted may not exceed ten years from the date of grant.</w:t>
      </w:r>
    </w:p>
    <w:p>
      <w:pPr>
        <w:spacing w:after="0" w:line="14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2017 Plan awards granted generally vest in tranches with different vesting dates over a period of four years solely based upon continued employment or engagement under a consulting agreement over a specific period of time. Generally, the options granted to newly hired employees vest in equal monthly or quarterly installments over the four-year vesting schedule.</w:t>
      </w:r>
    </w:p>
    <w:p>
      <w:pPr>
        <w:spacing w:after="0" w:line="135"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Under the 2017 Plan, the Company has a call option to repurchase awards for cash from the plan participants. upon termination of the participant’s employment or consulting agreement. The Company concludes that it is probable it will exercise its call option prior to the award holder being subject to the risks and rewards of equity ownership. As a result, the Company’s stock-based compensation awards are classified as a liability.</w:t>
      </w:r>
    </w:p>
    <w:p>
      <w:pPr>
        <w:spacing w:after="0" w:line="118"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initial measurement of fair value and subsequent change in fair value are recognized as compensation expense over the requisite service period from grant date to settlement date for all awards that vest with a corresponding adjustment to stock-based compensation liabilities on the Company’s balance sheets. Shares of common stock issued upon settlement of an award continue to be classified as a liability and remeasured to fair value each reporting period until the stockholder bears the risks and rewards of equity ownership for a reasonable period of time, which the Company concludes is a period of at least six months.</w:t>
      </w:r>
    </w:p>
    <w:p>
      <w:pPr>
        <w:spacing w:after="0" w:line="93"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In 2018, the Company granted stock appreciation rights (“SAR”) to one employee and one consultant. In 2019 and 2020, the Company did not grant SARs to any employees or consultants. The awards granted vest in tranches with different vesting dates over a period of four years solely based upon continued employment or engagement under consulting agreement and vest in equal quarterly installments over the four-year vesting schedule. The SAR can only be exercised upon a liquidation event as defined in the related SAR agreement, which includes liquidations, mergers, and an initial public offering. The Company concluded that such liquidation events are not probable of occurring and, as such, no expense related to the SAR was recognized by the Company for the years ended December 31, 2020, 2019 and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40"/>
          </w:cols>
          <w:pgMar w:left="320" w:top="1440" w:right="339" w:bottom="1440" w:gutter="0" w:footer="0" w:header="0"/>
        </w:sectPr>
      </w:pPr>
    </w:p>
    <w:bookmarkStart w:id="199" w:name="page200"/>
    <w:bookmarkEnd w:id="199"/>
    <w:p>
      <w:pPr>
        <w:spacing w:after="0" w:line="119"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At December 31, 2020 and 2019, stock-based compensation liabilities were $132.0 million and $11.8 million, respectively. Stock-based compensation expense is included within the statements of operations and comprehensive loss as follows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5"/>
              </w:rPr>
              <w:t>Year Ended December 31,</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83"/>
        </w:trPr>
        <w:tc>
          <w:tcPr>
            <w:tcW w:w="636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2018</w:t>
            </w: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13,947</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26,650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1,281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1,135</w:t>
            </w:r>
          </w:p>
        </w:tc>
      </w:tr>
      <w:tr>
        <w:trPr>
          <w:trHeight w:val="22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r>
      <w:tr>
        <w:trPr>
          <w:trHeight w:val="225"/>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68,884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3,306</w:t>
            </w:r>
          </w:p>
        </w:tc>
      </w:tr>
      <w:tr>
        <w:trPr>
          <w:trHeight w:val="23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120,231</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5,482</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5,605</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summarizes the activity under the 2017 Plan for Class A and Class B common stock options (in thousands, except share and per share amounts):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Class A Common Stock</w:t>
            </w: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w w:val="96"/>
              </w:rPr>
              <w:t>Shares Available for</w:t>
            </w:r>
          </w:p>
        </w:tc>
        <w:tc>
          <w:tcPr>
            <w:tcW w:w="0" w:type="dxa"/>
            <w:vAlign w:val="bottom"/>
          </w:tcPr>
          <w:p>
            <w:pPr>
              <w:spacing w:after="0"/>
              <w:rPr>
                <w:sz w:val="1"/>
                <w:szCs w:val="1"/>
                <w:color w:val="auto"/>
              </w:rPr>
            </w:pPr>
          </w:p>
        </w:tc>
      </w:tr>
      <w:tr>
        <w:trPr>
          <w:trHeight w:val="185"/>
        </w:trPr>
        <w:tc>
          <w:tcPr>
            <w:tcW w:w="4260" w:type="dxa"/>
            <w:vAlign w:val="bottom"/>
            <w:tcBorders>
              <w:bottom w:val="single" w:sz="8" w:color="auto"/>
            </w:tcBorders>
            <w:vMerge w:val="continue"/>
          </w:tcPr>
          <w:p>
            <w:pPr>
              <w:spacing w:after="0"/>
              <w:rPr>
                <w:sz w:val="16"/>
                <w:szCs w:val="16"/>
                <w:color w:val="auto"/>
              </w:rPr>
            </w:pPr>
          </w:p>
        </w:tc>
        <w:tc>
          <w:tcPr>
            <w:tcW w:w="13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218"/>
        </w:trPr>
        <w:tc>
          <w:tcPr>
            <w:tcW w:w="4260" w:type="dxa"/>
            <w:vAlign w:val="bottom"/>
          </w:tcPr>
          <w:p>
            <w:pPr>
              <w:ind w:left="20"/>
              <w:spacing w:after="0"/>
              <w:rPr>
                <w:sz w:val="20"/>
                <w:szCs w:val="20"/>
                <w:color w:val="auto"/>
              </w:rPr>
            </w:pPr>
            <w:r>
              <w:rPr>
                <w:rFonts w:ascii="Arial" w:cs="Arial" w:eastAsia="Arial" w:hAnsi="Arial"/>
                <w:sz w:val="18"/>
                <w:szCs w:val="18"/>
                <w:color w:val="auto"/>
              </w:rPr>
              <w:t>Balances at December 31, 2018</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260" w:type="dxa"/>
            <w:vAlign w:val="bottom"/>
          </w:tcPr>
          <w:p>
            <w:pPr>
              <w:ind w:left="240"/>
              <w:spacing w:after="0"/>
              <w:rPr>
                <w:sz w:val="20"/>
                <w:szCs w:val="20"/>
                <w:color w:val="auto"/>
              </w:rPr>
            </w:pPr>
            <w:r>
              <w:rPr>
                <w:rFonts w:ascii="Arial" w:cs="Arial" w:eastAsia="Arial" w:hAnsi="Arial"/>
                <w:sz w:val="18"/>
                <w:szCs w:val="18"/>
                <w:color w:val="auto"/>
              </w:rPr>
              <w:t>Options forfeited and cancelled</w:t>
            </w:r>
          </w:p>
        </w:tc>
        <w:tc>
          <w:tcPr>
            <w:tcW w:w="1360" w:type="dxa"/>
            <w:vAlign w:val="bottom"/>
          </w:tcPr>
          <w:p>
            <w:pPr>
              <w:jc w:val="right"/>
              <w:spacing w:after="0"/>
              <w:rPr>
                <w:sz w:val="20"/>
                <w:szCs w:val="20"/>
                <w:color w:val="auto"/>
              </w:rPr>
            </w:pPr>
            <w:r>
              <w:rPr>
                <w:rFonts w:ascii="Arial" w:cs="Arial" w:eastAsia="Arial" w:hAnsi="Arial"/>
                <w:sz w:val="18"/>
                <w:szCs w:val="18"/>
                <w:color w:val="auto"/>
              </w:rPr>
              <w:t>14,000</w:t>
            </w:r>
          </w:p>
        </w:tc>
        <w:tc>
          <w:tcPr>
            <w:tcW w:w="0" w:type="dxa"/>
            <w:vAlign w:val="bottom"/>
          </w:tcPr>
          <w:p>
            <w:pPr>
              <w:spacing w:after="0"/>
              <w:rPr>
                <w:sz w:val="1"/>
                <w:szCs w:val="1"/>
                <w:color w:val="auto"/>
              </w:rPr>
            </w:pPr>
          </w:p>
        </w:tc>
      </w:tr>
      <w:tr>
        <w:trPr>
          <w:trHeight w:val="226"/>
        </w:trPr>
        <w:tc>
          <w:tcPr>
            <w:tcW w:w="42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w w:val="88"/>
              </w:rPr>
              <w:t>Increase in share reserve for issuance of Class B grants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(14,000)</w:t>
            </w:r>
          </w:p>
        </w:tc>
        <w:tc>
          <w:tcPr>
            <w:tcW w:w="0" w:type="dxa"/>
            <w:vAlign w:val="bottom"/>
          </w:tcPr>
          <w:p>
            <w:pPr>
              <w:spacing w:after="0"/>
              <w:rPr>
                <w:sz w:val="1"/>
                <w:szCs w:val="1"/>
                <w:color w:val="auto"/>
              </w:rPr>
            </w:pPr>
          </w:p>
        </w:tc>
      </w:tr>
      <w:tr>
        <w:trPr>
          <w:trHeight w:val="218"/>
        </w:trPr>
        <w:tc>
          <w:tcPr>
            <w:tcW w:w="4260" w:type="dxa"/>
            <w:vAlign w:val="bottom"/>
          </w:tcPr>
          <w:p>
            <w:pPr>
              <w:ind w:left="20"/>
              <w:spacing w:after="0"/>
              <w:rPr>
                <w:sz w:val="20"/>
                <w:szCs w:val="20"/>
                <w:color w:val="auto"/>
              </w:rPr>
            </w:pPr>
            <w:r>
              <w:rPr>
                <w:rFonts w:ascii="Arial" w:cs="Arial" w:eastAsia="Arial" w:hAnsi="Arial"/>
                <w:sz w:val="18"/>
                <w:szCs w:val="18"/>
                <w:color w:val="auto"/>
              </w:rPr>
              <w:t>Balances at December 31, 2019</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260" w:type="dxa"/>
            <w:vAlign w:val="bottom"/>
          </w:tcPr>
          <w:p>
            <w:pPr>
              <w:ind w:left="20"/>
              <w:spacing w:after="0"/>
              <w:rPr>
                <w:sz w:val="20"/>
                <w:szCs w:val="20"/>
                <w:color w:val="auto"/>
              </w:rPr>
            </w:pPr>
            <w:r>
              <w:rPr>
                <w:rFonts w:ascii="Arial" w:cs="Arial" w:eastAsia="Arial" w:hAnsi="Arial"/>
                <w:sz w:val="18"/>
                <w:szCs w:val="18"/>
                <w:color w:val="auto"/>
              </w:rPr>
              <w:t>Options forfeited and cancelled</w:t>
            </w:r>
          </w:p>
        </w:tc>
        <w:tc>
          <w:tcPr>
            <w:tcW w:w="1360" w:type="dxa"/>
            <w:vAlign w:val="bottom"/>
          </w:tcPr>
          <w:p>
            <w:pPr>
              <w:jc w:val="right"/>
              <w:spacing w:after="0"/>
              <w:rPr>
                <w:sz w:val="20"/>
                <w:szCs w:val="20"/>
                <w:color w:val="auto"/>
              </w:rPr>
            </w:pPr>
            <w:r>
              <w:rPr>
                <w:rFonts w:ascii="Arial" w:cs="Arial" w:eastAsia="Arial" w:hAnsi="Arial"/>
                <w:sz w:val="18"/>
                <w:szCs w:val="18"/>
                <w:color w:val="auto"/>
              </w:rPr>
              <w:t>6,500</w:t>
            </w:r>
          </w:p>
        </w:tc>
        <w:tc>
          <w:tcPr>
            <w:tcW w:w="0" w:type="dxa"/>
            <w:vAlign w:val="bottom"/>
          </w:tcPr>
          <w:p>
            <w:pPr>
              <w:spacing w:after="0"/>
              <w:rPr>
                <w:sz w:val="1"/>
                <w:szCs w:val="1"/>
                <w:color w:val="auto"/>
              </w:rPr>
            </w:pPr>
          </w:p>
        </w:tc>
      </w:tr>
      <w:tr>
        <w:trPr>
          <w:trHeight w:val="226"/>
        </w:trPr>
        <w:tc>
          <w:tcPr>
            <w:tcW w:w="4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4"/>
              </w:rPr>
              <w:t>Increase in share reserve for issuance of Class B grants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(6,500)</w:t>
            </w:r>
          </w:p>
        </w:tc>
        <w:tc>
          <w:tcPr>
            <w:tcW w:w="0" w:type="dxa"/>
            <w:vAlign w:val="bottom"/>
          </w:tcPr>
          <w:p>
            <w:pPr>
              <w:spacing w:after="0"/>
              <w:rPr>
                <w:sz w:val="1"/>
                <w:szCs w:val="1"/>
                <w:color w:val="auto"/>
              </w:rPr>
            </w:pPr>
          </w:p>
        </w:tc>
      </w:tr>
      <w:tr>
        <w:trPr>
          <w:trHeight w:val="218"/>
        </w:trPr>
        <w:tc>
          <w:tcPr>
            <w:tcW w:w="4260" w:type="dxa"/>
            <w:vAlign w:val="bottom"/>
          </w:tcPr>
          <w:p>
            <w:pPr>
              <w:ind w:left="20"/>
              <w:spacing w:after="0"/>
              <w:rPr>
                <w:sz w:val="20"/>
                <w:szCs w:val="20"/>
                <w:color w:val="auto"/>
              </w:rPr>
            </w:pPr>
            <w:r>
              <w:rPr>
                <w:rFonts w:ascii="Arial" w:cs="Arial" w:eastAsia="Arial" w:hAnsi="Arial"/>
                <w:sz w:val="18"/>
                <w:szCs w:val="18"/>
                <w:color w:val="auto"/>
              </w:rPr>
              <w:t>Balances at December 31, 2020</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260" w:type="dxa"/>
            <w:vAlign w:val="bottom"/>
          </w:tcPr>
          <w:p>
            <w:pPr>
              <w:ind w:left="20"/>
              <w:spacing w:after="0"/>
              <w:rPr>
                <w:sz w:val="20"/>
                <w:szCs w:val="20"/>
                <w:color w:val="auto"/>
              </w:rPr>
            </w:pPr>
            <w:r>
              <w:rPr>
                <w:rFonts w:ascii="Arial" w:cs="Arial" w:eastAsia="Arial" w:hAnsi="Arial"/>
                <w:sz w:val="18"/>
                <w:szCs w:val="18"/>
                <w:color w:val="auto"/>
              </w:rPr>
              <w:t>Options exercisable at December 31, 2020</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-1168400</wp:posOffset>
            </wp:positionV>
            <wp:extent cx="7134860" cy="1517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860" cy="15176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-873760</wp:posOffset>
            </wp:positionV>
            <wp:extent cx="7134860" cy="142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-579120</wp:posOffset>
            </wp:positionV>
            <wp:extent cx="7134860" cy="142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-293370</wp:posOffset>
            </wp:positionV>
            <wp:extent cx="7134860" cy="1511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860" cy="1511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4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Stock Options</w:t>
            </w:r>
          </w:p>
        </w:tc>
        <w:tc>
          <w:tcPr>
            <w:tcW w:w="14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Weighted- Average</w:t>
            </w:r>
          </w:p>
        </w:tc>
        <w:tc>
          <w:tcPr>
            <w:tcW w:w="1420" w:type="dxa"/>
            <w:vAlign w:val="bottom"/>
            <w:gridSpan w:val="2"/>
          </w:tcPr>
          <w:p>
            <w:pPr>
              <w:jc w:val="center"/>
              <w:ind w:right="80"/>
              <w:spacing w:after="0" w:line="133" w:lineRule="exact"/>
              <w:rPr>
                <w:sz w:val="20"/>
                <w:szCs w:val="20"/>
                <w:color w:val="auto"/>
              </w:rPr>
            </w:pPr>
            <w:r>
              <w:rPr>
                <w:rFonts w:ascii="Arial" w:cs="Arial" w:eastAsia="Arial" w:hAnsi="Arial"/>
                <w:sz w:val="14"/>
                <w:szCs w:val="14"/>
                <w:b w:val="1"/>
                <w:bCs w:val="1"/>
                <w:color w:val="auto"/>
                <w:w w:val="92"/>
              </w:rPr>
              <w:t>Remaining</w:t>
            </w: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Aggregate Intrinsic</w:t>
            </w:r>
          </w:p>
        </w:tc>
        <w:tc>
          <w:tcPr>
            <w:tcW w:w="0" w:type="dxa"/>
            <w:vAlign w:val="bottom"/>
          </w:tcPr>
          <w:p>
            <w:pPr>
              <w:spacing w:after="0"/>
              <w:rPr>
                <w:sz w:val="1"/>
                <w:szCs w:val="1"/>
                <w:color w:val="auto"/>
              </w:rPr>
            </w:pPr>
          </w:p>
        </w:tc>
      </w:tr>
      <w:tr>
        <w:trPr>
          <w:trHeight w:val="133"/>
        </w:trPr>
        <w:tc>
          <w:tcPr>
            <w:tcW w:w="1400" w:type="dxa"/>
            <w:vAlign w:val="bottom"/>
            <w:gridSpan w:val="2"/>
            <w:vMerge w:val="continue"/>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42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3"/>
              </w:rPr>
              <w:t>Contractual Life</w:t>
            </w:r>
          </w:p>
        </w:tc>
        <w:tc>
          <w:tcPr>
            <w:tcW w:w="13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Outstanding</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Exercise Price</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(years)</w:t>
            </w:r>
          </w:p>
        </w:tc>
        <w:tc>
          <w:tcPr>
            <w:tcW w:w="280" w:type="dxa"/>
            <w:vAlign w:val="bottom"/>
          </w:tcPr>
          <w:p>
            <w:pPr>
              <w:spacing w:after="0"/>
              <w:rPr>
                <w:sz w:val="16"/>
                <w:szCs w:val="16"/>
                <w:color w:val="auto"/>
              </w:rPr>
            </w:pPr>
          </w:p>
        </w:tc>
        <w:tc>
          <w:tcPr>
            <w:tcW w:w="1020" w:type="dxa"/>
            <w:vAlign w:val="bottom"/>
          </w:tcPr>
          <w:p>
            <w:pPr>
              <w:jc w:val="right"/>
              <w:ind w:right="39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8"/>
        </w:trPr>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142,500</w:t>
            </w:r>
          </w:p>
        </w:tc>
        <w:tc>
          <w:tcPr>
            <w:tcW w:w="100" w:type="dxa"/>
            <w:vAlign w:val="bottom"/>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18.94</w:t>
            </w:r>
          </w:p>
        </w:tc>
        <w:tc>
          <w:tcPr>
            <w:tcW w:w="80" w:type="dxa"/>
            <w:vAlign w:val="bottom"/>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$ 5,794</w:t>
            </w:r>
          </w:p>
        </w:tc>
        <w:tc>
          <w:tcPr>
            <w:tcW w:w="0" w:type="dxa"/>
            <w:vAlign w:val="bottom"/>
          </w:tcPr>
          <w:p>
            <w:pPr>
              <w:spacing w:after="0"/>
              <w:rPr>
                <w:sz w:val="1"/>
                <w:szCs w:val="1"/>
                <w:color w:val="auto"/>
              </w:rPr>
            </w:pPr>
          </w:p>
        </w:tc>
      </w:tr>
      <w:tr>
        <w:trPr>
          <w:trHeight w:val="225"/>
        </w:trPr>
        <w:tc>
          <w:tcPr>
            <w:tcW w:w="1300" w:type="dxa"/>
            <w:vAlign w:val="bottom"/>
          </w:tcPr>
          <w:p>
            <w:pPr>
              <w:jc w:val="right"/>
              <w:spacing w:after="0"/>
              <w:rPr>
                <w:sz w:val="20"/>
                <w:szCs w:val="20"/>
                <w:color w:val="auto"/>
              </w:rPr>
            </w:pPr>
            <w:r>
              <w:rPr>
                <w:rFonts w:ascii="Arial" w:cs="Arial" w:eastAsia="Arial" w:hAnsi="Arial"/>
                <w:sz w:val="18"/>
                <w:szCs w:val="18"/>
                <w:color w:val="auto"/>
              </w:rPr>
              <w:t>(14,000)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18.94</w:t>
            </w:r>
          </w:p>
        </w:tc>
        <w:tc>
          <w:tcPr>
            <w:tcW w:w="8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140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128,500</w:t>
            </w:r>
          </w:p>
        </w:tc>
        <w:tc>
          <w:tcPr>
            <w:tcW w:w="100" w:type="dxa"/>
            <w:vAlign w:val="bottom"/>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18.94</w:t>
            </w:r>
          </w:p>
        </w:tc>
        <w:tc>
          <w:tcPr>
            <w:tcW w:w="80" w:type="dxa"/>
            <w:vAlign w:val="bottom"/>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96"/>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9,754</w:t>
            </w:r>
          </w:p>
        </w:tc>
        <w:tc>
          <w:tcPr>
            <w:tcW w:w="0" w:type="dxa"/>
            <w:vAlign w:val="bottom"/>
          </w:tcPr>
          <w:p>
            <w:pPr>
              <w:spacing w:after="0"/>
              <w:rPr>
                <w:sz w:val="1"/>
                <w:szCs w:val="1"/>
                <w:color w:val="auto"/>
              </w:rPr>
            </w:pPr>
          </w:p>
        </w:tc>
      </w:tr>
      <w:tr>
        <w:trPr>
          <w:trHeight w:val="225"/>
        </w:trPr>
        <w:tc>
          <w:tcPr>
            <w:tcW w:w="1300" w:type="dxa"/>
            <w:vAlign w:val="bottom"/>
          </w:tcPr>
          <w:p>
            <w:pPr>
              <w:jc w:val="right"/>
              <w:spacing w:after="0"/>
              <w:rPr>
                <w:sz w:val="20"/>
                <w:szCs w:val="20"/>
                <w:color w:val="auto"/>
              </w:rPr>
            </w:pPr>
            <w:r>
              <w:rPr>
                <w:rFonts w:ascii="Arial" w:cs="Arial" w:eastAsia="Arial" w:hAnsi="Arial"/>
                <w:sz w:val="18"/>
                <w:szCs w:val="18"/>
                <w:color w:val="auto"/>
              </w:rPr>
              <w:t>(6,500)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18.94</w:t>
            </w:r>
          </w:p>
        </w:tc>
        <w:tc>
          <w:tcPr>
            <w:tcW w:w="8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140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122,000</w:t>
            </w:r>
          </w:p>
        </w:tc>
        <w:tc>
          <w:tcPr>
            <w:tcW w:w="100" w:type="dxa"/>
            <w:vAlign w:val="bottom"/>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18.94</w:t>
            </w:r>
          </w:p>
        </w:tc>
        <w:tc>
          <w:tcPr>
            <w:tcW w:w="80" w:type="dxa"/>
            <w:vAlign w:val="bottom"/>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96"/>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80,565</w:t>
            </w:r>
          </w:p>
        </w:tc>
        <w:tc>
          <w:tcPr>
            <w:tcW w:w="0" w:type="dxa"/>
            <w:vAlign w:val="bottom"/>
          </w:tcPr>
          <w:p>
            <w:pPr>
              <w:spacing w:after="0"/>
              <w:rPr>
                <w:sz w:val="1"/>
                <w:szCs w:val="1"/>
                <w:color w:val="auto"/>
              </w:rPr>
            </w:pPr>
          </w:p>
        </w:tc>
      </w:tr>
      <w:tr>
        <w:trPr>
          <w:trHeight w:val="225"/>
        </w:trPr>
        <w:tc>
          <w:tcPr>
            <w:tcW w:w="1300" w:type="dxa"/>
            <w:vAlign w:val="bottom"/>
          </w:tcPr>
          <w:p>
            <w:pPr>
              <w:jc w:val="right"/>
              <w:spacing w:after="0"/>
              <w:rPr>
                <w:sz w:val="20"/>
                <w:szCs w:val="20"/>
                <w:color w:val="auto"/>
              </w:rPr>
            </w:pPr>
            <w:r>
              <w:rPr>
                <w:rFonts w:ascii="Arial" w:cs="Arial" w:eastAsia="Arial" w:hAnsi="Arial"/>
                <w:sz w:val="18"/>
                <w:szCs w:val="18"/>
                <w:color w:val="auto"/>
              </w:rPr>
              <w:t>115,972</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18.94</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19"/>
                <w:szCs w:val="19"/>
                <w:color w:val="auto"/>
              </w:rPr>
            </w:pPr>
          </w:p>
        </w:tc>
        <w:tc>
          <w:tcPr>
            <w:tcW w:w="280" w:type="dxa"/>
            <w:vAlign w:val="bottom"/>
          </w:tcPr>
          <w:p>
            <w:pPr>
              <w:jc w:val="right"/>
              <w:ind w:right="96"/>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76,584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620" w:space="100"/>
            <w:col w:w="552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F-28</w:t>
      </w:r>
    </w:p>
    <w:p>
      <w:pPr>
        <w:sectPr>
          <w:pgSz w:w="11900" w:h="16838" w:orient="portrait"/>
          <w:cols w:equalWidth="0" w:num="1">
            <w:col w:w="11240"/>
          </w:cols>
          <w:pgMar w:left="320" w:top="1440" w:right="339" w:bottom="1440" w:gutter="0" w:footer="0" w:header="0"/>
          <w:type w:val="continuous"/>
        </w:sectPr>
      </w:pPr>
    </w:p>
    <w:bookmarkStart w:id="200" w:name="page201"/>
    <w:bookmarkEnd w:id="200"/>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All outstanding stock options for Class A common stock have an exercise price of $18.94.</w:t>
      </w:r>
    </w:p>
    <w:p>
      <w:pPr>
        <w:spacing w:after="0" w:line="17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880" w:type="dxa"/>
            <w:vAlign w:val="bottom"/>
          </w:tcPr>
          <w:p>
            <w:pPr>
              <w:spacing w:after="0"/>
              <w:rPr>
                <w:sz w:val="11"/>
                <w:szCs w:val="11"/>
                <w:color w:val="auto"/>
              </w:rPr>
            </w:pPr>
          </w:p>
        </w:tc>
        <w:tc>
          <w:tcPr>
            <w:tcW w:w="2860" w:type="dxa"/>
            <w:vAlign w:val="bottom"/>
            <w:vMerge w:val="restart"/>
          </w:tcPr>
          <w:p>
            <w:pPr>
              <w:jc w:val="center"/>
              <w:ind w:left="1209"/>
              <w:spacing w:after="0"/>
              <w:rPr>
                <w:sz w:val="20"/>
                <w:szCs w:val="20"/>
                <w:color w:val="auto"/>
              </w:rPr>
            </w:pPr>
            <w:r>
              <w:rPr>
                <w:rFonts w:ascii="Arial" w:cs="Arial" w:eastAsia="Arial" w:hAnsi="Arial"/>
                <w:sz w:val="14"/>
                <w:szCs w:val="14"/>
                <w:b w:val="1"/>
                <w:bCs w:val="1"/>
                <w:color w:val="auto"/>
                <w:w w:val="90"/>
              </w:rPr>
              <w:t>Shares Available for</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Stock Options</w:t>
            </w:r>
          </w:p>
        </w:tc>
        <w:tc>
          <w:tcPr>
            <w:tcW w:w="1480" w:type="dxa"/>
            <w:vAlign w:val="bottom"/>
            <w:vMerge w:val="restart"/>
          </w:tcPr>
          <w:p>
            <w:pPr>
              <w:jc w:val="center"/>
              <w:ind w:left="9"/>
              <w:spacing w:after="0"/>
              <w:rPr>
                <w:sz w:val="20"/>
                <w:szCs w:val="20"/>
                <w:color w:val="auto"/>
              </w:rPr>
            </w:pPr>
            <w:r>
              <w:rPr>
                <w:rFonts w:ascii="Arial" w:cs="Arial" w:eastAsia="Arial" w:hAnsi="Arial"/>
                <w:sz w:val="14"/>
                <w:szCs w:val="14"/>
                <w:b w:val="1"/>
                <w:bCs w:val="1"/>
                <w:color w:val="auto"/>
                <w:w w:val="91"/>
              </w:rPr>
              <w:t>Weighted- Average</w:t>
            </w:r>
          </w:p>
        </w:tc>
        <w:tc>
          <w:tcPr>
            <w:tcW w:w="14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Remaining</w:t>
            </w:r>
          </w:p>
        </w:tc>
        <w:tc>
          <w:tcPr>
            <w:tcW w:w="1300" w:type="dxa"/>
            <w:vAlign w:val="bottom"/>
            <w:vMerge w:val="restart"/>
          </w:tcPr>
          <w:p>
            <w:pPr>
              <w:jc w:val="center"/>
              <w:ind w:left="49"/>
              <w:spacing w:after="0"/>
              <w:rPr>
                <w:sz w:val="20"/>
                <w:szCs w:val="20"/>
                <w:color w:val="auto"/>
              </w:rPr>
            </w:pPr>
            <w:r>
              <w:rPr>
                <w:rFonts w:ascii="Arial" w:cs="Arial" w:eastAsia="Arial" w:hAnsi="Arial"/>
                <w:sz w:val="14"/>
                <w:szCs w:val="14"/>
                <w:b w:val="1"/>
                <w:bCs w:val="1"/>
                <w:color w:val="auto"/>
                <w:w w:val="92"/>
              </w:rPr>
              <w:t>Aggregate Intrinsic</w:t>
            </w:r>
          </w:p>
        </w:tc>
        <w:tc>
          <w:tcPr>
            <w:tcW w:w="0" w:type="dxa"/>
            <w:vAlign w:val="bottom"/>
          </w:tcPr>
          <w:p>
            <w:pPr>
              <w:spacing w:after="0"/>
              <w:rPr>
                <w:sz w:val="1"/>
                <w:szCs w:val="1"/>
                <w:color w:val="auto"/>
              </w:rPr>
            </w:pPr>
          </w:p>
        </w:tc>
      </w:tr>
      <w:tr>
        <w:trPr>
          <w:trHeight w:val="133"/>
        </w:trPr>
        <w:tc>
          <w:tcPr>
            <w:tcW w:w="2880" w:type="dxa"/>
            <w:vAlign w:val="bottom"/>
            <w:vMerge w:val="restart"/>
          </w:tcPr>
          <w:p>
            <w:pPr>
              <w:spacing w:after="0"/>
              <w:rPr>
                <w:sz w:val="20"/>
                <w:szCs w:val="20"/>
                <w:color w:val="auto"/>
              </w:rPr>
            </w:pPr>
            <w:r>
              <w:rPr>
                <w:rFonts w:ascii="Arial" w:cs="Arial" w:eastAsia="Arial" w:hAnsi="Arial"/>
                <w:sz w:val="14"/>
                <w:szCs w:val="14"/>
                <w:b w:val="1"/>
                <w:bCs w:val="1"/>
                <w:color w:val="auto"/>
              </w:rPr>
              <w:t>Class B Common Stock</w:t>
            </w:r>
          </w:p>
        </w:tc>
        <w:tc>
          <w:tcPr>
            <w:tcW w:w="286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14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Contractual Life</w:t>
            </w: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2880" w:type="dxa"/>
            <w:vAlign w:val="bottom"/>
            <w:vMerge w:val="continue"/>
          </w:tcPr>
          <w:p>
            <w:pPr>
              <w:spacing w:after="0"/>
              <w:rPr>
                <w:sz w:val="15"/>
                <w:szCs w:val="15"/>
                <w:color w:val="auto"/>
              </w:rPr>
            </w:pPr>
          </w:p>
        </w:tc>
        <w:tc>
          <w:tcPr>
            <w:tcW w:w="2860" w:type="dxa"/>
            <w:vAlign w:val="bottom"/>
          </w:tcPr>
          <w:p>
            <w:pPr>
              <w:jc w:val="center"/>
              <w:ind w:left="1209"/>
              <w:spacing w:after="0"/>
              <w:rPr>
                <w:sz w:val="20"/>
                <w:szCs w:val="20"/>
                <w:color w:val="auto"/>
              </w:rPr>
            </w:pPr>
            <w:r>
              <w:rPr>
                <w:rFonts w:ascii="Arial" w:cs="Arial" w:eastAsia="Arial" w:hAnsi="Arial"/>
                <w:sz w:val="14"/>
                <w:szCs w:val="14"/>
                <w:b w:val="1"/>
                <w:bCs w:val="1"/>
                <w:color w:val="auto"/>
              </w:rPr>
              <w:t>Grant</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9"/>
              </w:rPr>
              <w:t>Outstanding</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9"/>
              </w:rPr>
              <w:t>Exercise Price</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7"/>
              </w:rPr>
              <w:t>(years)</w:t>
            </w:r>
          </w:p>
        </w:tc>
        <w:tc>
          <w:tcPr>
            <w:tcW w:w="1300" w:type="dxa"/>
            <w:vAlign w:val="bottom"/>
          </w:tcPr>
          <w:p>
            <w:pPr>
              <w:jc w:val="center"/>
              <w:ind w:left="49"/>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wp:posOffset>
            </wp:positionV>
            <wp:extent cx="7134860" cy="1517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860" cy="15176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tbl>
      <w:tblPr>
        <w:tblLayout w:type="fixed"/>
        <w:tblInd w:w="0" w:type="dxa"/>
        <w:tblCellMar>
          <w:top w:w="0" w:type="dxa"/>
          <w:left w:w="0" w:type="dxa"/>
          <w:bottom w:w="0" w:type="dxa"/>
          <w:right w:w="0" w:type="dxa"/>
        </w:tblCellMar>
      </w:tblPr>
      <w:tr>
        <w:trPr>
          <w:trHeight w:val="221"/>
        </w:trPr>
        <w:tc>
          <w:tcPr>
            <w:tcW w:w="44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Balances at December 31, 2018</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3,315,972</w:t>
            </w:r>
          </w:p>
        </w:tc>
        <w:tc>
          <w:tcPr>
            <w:tcW w:w="0" w:type="dxa"/>
            <w:vAlign w:val="bottom"/>
          </w:tcPr>
          <w:p>
            <w:pPr>
              <w:spacing w:after="0"/>
              <w:rPr>
                <w:sz w:val="1"/>
                <w:szCs w:val="1"/>
                <w:color w:val="auto"/>
              </w:rPr>
            </w:pPr>
          </w:p>
        </w:tc>
      </w:tr>
      <w:tr>
        <w:trPr>
          <w:trHeight w:val="223"/>
        </w:trPr>
        <w:tc>
          <w:tcPr>
            <w:tcW w:w="4440" w:type="dxa"/>
            <w:vAlign w:val="bottom"/>
          </w:tcPr>
          <w:p>
            <w:pPr>
              <w:ind w:left="240"/>
              <w:spacing w:after="0"/>
              <w:rPr>
                <w:sz w:val="20"/>
                <w:szCs w:val="20"/>
                <w:color w:val="auto"/>
              </w:rPr>
            </w:pPr>
            <w:r>
              <w:rPr>
                <w:rFonts w:ascii="Arial" w:cs="Arial" w:eastAsia="Arial" w:hAnsi="Arial"/>
                <w:sz w:val="18"/>
                <w:szCs w:val="18"/>
                <w:color w:val="auto"/>
              </w:rPr>
              <w:t>Options granted</w:t>
            </w:r>
          </w:p>
        </w:tc>
        <w:tc>
          <w:tcPr>
            <w:tcW w:w="1180" w:type="dxa"/>
            <w:vAlign w:val="bottom"/>
          </w:tcPr>
          <w:p>
            <w:pPr>
              <w:jc w:val="right"/>
              <w:spacing w:after="0"/>
              <w:rPr>
                <w:sz w:val="20"/>
                <w:szCs w:val="20"/>
                <w:color w:val="auto"/>
              </w:rPr>
            </w:pPr>
            <w:r>
              <w:rPr>
                <w:rFonts w:ascii="Arial" w:cs="Arial" w:eastAsia="Arial" w:hAnsi="Arial"/>
                <w:sz w:val="18"/>
                <w:szCs w:val="18"/>
                <w:color w:val="auto"/>
              </w:rPr>
              <w:t>(3,247,815)</w:t>
            </w:r>
          </w:p>
        </w:tc>
        <w:tc>
          <w:tcPr>
            <w:tcW w:w="0" w:type="dxa"/>
            <w:vAlign w:val="bottom"/>
          </w:tcPr>
          <w:p>
            <w:pPr>
              <w:spacing w:after="0"/>
              <w:rPr>
                <w:sz w:val="1"/>
                <w:szCs w:val="1"/>
                <w:color w:val="auto"/>
              </w:rPr>
            </w:pPr>
          </w:p>
        </w:tc>
      </w:tr>
      <w:tr>
        <w:trPr>
          <w:trHeight w:val="225"/>
        </w:trPr>
        <w:tc>
          <w:tcPr>
            <w:tcW w:w="4440" w:type="dxa"/>
            <w:vAlign w:val="bottom"/>
          </w:tcPr>
          <w:p>
            <w:pPr>
              <w:ind w:left="240"/>
              <w:spacing w:after="0"/>
              <w:rPr>
                <w:sz w:val="20"/>
                <w:szCs w:val="20"/>
                <w:color w:val="auto"/>
              </w:rPr>
            </w:pPr>
            <w:r>
              <w:rPr>
                <w:rFonts w:ascii="Arial" w:cs="Arial" w:eastAsia="Arial" w:hAnsi="Arial"/>
                <w:sz w:val="18"/>
                <w:szCs w:val="18"/>
                <w:color w:val="auto"/>
              </w:rPr>
              <w:t>Options forfeited and cancelled</w:t>
            </w:r>
          </w:p>
        </w:tc>
        <w:tc>
          <w:tcPr>
            <w:tcW w:w="1180" w:type="dxa"/>
            <w:vAlign w:val="bottom"/>
          </w:tcPr>
          <w:p>
            <w:pPr>
              <w:jc w:val="right"/>
              <w:spacing w:after="0"/>
              <w:rPr>
                <w:sz w:val="20"/>
                <w:szCs w:val="20"/>
                <w:color w:val="auto"/>
              </w:rPr>
            </w:pPr>
            <w:r>
              <w:rPr>
                <w:rFonts w:ascii="Arial" w:cs="Arial" w:eastAsia="Arial" w:hAnsi="Arial"/>
                <w:sz w:val="18"/>
                <w:szCs w:val="18"/>
                <w:color w:val="auto"/>
              </w:rPr>
              <w:t>369,000</w:t>
            </w:r>
          </w:p>
        </w:tc>
        <w:tc>
          <w:tcPr>
            <w:tcW w:w="0" w:type="dxa"/>
            <w:vAlign w:val="bottom"/>
          </w:tcPr>
          <w:p>
            <w:pPr>
              <w:spacing w:after="0"/>
              <w:rPr>
                <w:sz w:val="1"/>
                <w:szCs w:val="1"/>
                <w:color w:val="auto"/>
              </w:rPr>
            </w:pPr>
          </w:p>
        </w:tc>
      </w:tr>
      <w:tr>
        <w:trPr>
          <w:trHeight w:val="174"/>
        </w:trPr>
        <w:tc>
          <w:tcPr>
            <w:tcW w:w="4440" w:type="dxa"/>
            <w:vAlign w:val="bottom"/>
          </w:tcPr>
          <w:p>
            <w:pPr>
              <w:ind w:left="240"/>
              <w:spacing w:after="0" w:line="174" w:lineRule="exact"/>
              <w:rPr>
                <w:sz w:val="20"/>
                <w:szCs w:val="20"/>
                <w:color w:val="auto"/>
              </w:rPr>
            </w:pPr>
            <w:r>
              <w:rPr>
                <w:rFonts w:ascii="Arial" w:cs="Arial" w:eastAsia="Arial" w:hAnsi="Arial"/>
                <w:sz w:val="18"/>
                <w:szCs w:val="18"/>
                <w:color w:val="auto"/>
                <w:w w:val="96"/>
              </w:rPr>
              <w:t>Increase in share reserve for issuance under the 2017</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7,529,200</w:t>
            </w:r>
          </w:p>
        </w:tc>
        <w:tc>
          <w:tcPr>
            <w:tcW w:w="0" w:type="dxa"/>
            <w:vAlign w:val="bottom"/>
          </w:tcPr>
          <w:p>
            <w:pPr>
              <w:spacing w:after="0"/>
              <w:rPr>
                <w:sz w:val="1"/>
                <w:szCs w:val="1"/>
                <w:color w:val="auto"/>
              </w:rPr>
            </w:pPr>
          </w:p>
        </w:tc>
      </w:tr>
      <w:tr>
        <w:trPr>
          <w:trHeight w:val="223"/>
        </w:trPr>
        <w:tc>
          <w:tcPr>
            <w:tcW w:w="4440" w:type="dxa"/>
            <w:vAlign w:val="bottom"/>
          </w:tcPr>
          <w:p>
            <w:pPr>
              <w:ind w:left="400"/>
              <w:spacing w:after="0"/>
              <w:rPr>
                <w:sz w:val="20"/>
                <w:szCs w:val="20"/>
                <w:color w:val="auto"/>
              </w:rPr>
            </w:pPr>
            <w:r>
              <w:rPr>
                <w:rFonts w:ascii="Arial" w:cs="Arial" w:eastAsia="Arial" w:hAnsi="Arial"/>
                <w:sz w:val="18"/>
                <w:szCs w:val="18"/>
                <w:color w:val="auto"/>
              </w:rPr>
              <w:t>Plan</w:t>
            </w: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44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93"/>
              </w:rPr>
              <w:t>Increase in share reserve for issuance of Class B grants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1,400,000</w:t>
            </w:r>
          </w:p>
        </w:tc>
        <w:tc>
          <w:tcPr>
            <w:tcW w:w="0" w:type="dxa"/>
            <w:vAlign w:val="bottom"/>
          </w:tcPr>
          <w:p>
            <w:pPr>
              <w:spacing w:after="0"/>
              <w:rPr>
                <w:sz w:val="1"/>
                <w:szCs w:val="1"/>
                <w:color w:val="auto"/>
              </w:rPr>
            </w:pPr>
          </w:p>
        </w:tc>
      </w:tr>
      <w:tr>
        <w:trPr>
          <w:trHeight w:val="218"/>
        </w:trPr>
        <w:tc>
          <w:tcPr>
            <w:tcW w:w="4440" w:type="dxa"/>
            <w:vAlign w:val="bottom"/>
          </w:tcPr>
          <w:p>
            <w:pPr>
              <w:ind w:left="20"/>
              <w:spacing w:after="0"/>
              <w:rPr>
                <w:sz w:val="20"/>
                <w:szCs w:val="20"/>
                <w:color w:val="auto"/>
              </w:rPr>
            </w:pPr>
            <w:r>
              <w:rPr>
                <w:rFonts w:ascii="Arial" w:cs="Arial" w:eastAsia="Arial" w:hAnsi="Arial"/>
                <w:sz w:val="18"/>
                <w:szCs w:val="18"/>
                <w:color w:val="auto"/>
              </w:rPr>
              <w:t>Balances at December 31, 2019</w:t>
            </w:r>
          </w:p>
        </w:tc>
        <w:tc>
          <w:tcPr>
            <w:tcW w:w="1180" w:type="dxa"/>
            <w:vAlign w:val="bottom"/>
          </w:tcPr>
          <w:p>
            <w:pPr>
              <w:jc w:val="right"/>
              <w:spacing w:after="0"/>
              <w:rPr>
                <w:sz w:val="20"/>
                <w:szCs w:val="20"/>
                <w:color w:val="auto"/>
              </w:rPr>
            </w:pPr>
            <w:r>
              <w:rPr>
                <w:rFonts w:ascii="Arial" w:cs="Arial" w:eastAsia="Arial" w:hAnsi="Arial"/>
                <w:sz w:val="18"/>
                <w:szCs w:val="18"/>
                <w:color w:val="auto"/>
              </w:rPr>
              <w:t>9,366,357</w:t>
            </w:r>
          </w:p>
        </w:tc>
        <w:tc>
          <w:tcPr>
            <w:tcW w:w="0" w:type="dxa"/>
            <w:vAlign w:val="bottom"/>
          </w:tcPr>
          <w:p>
            <w:pPr>
              <w:spacing w:after="0"/>
              <w:rPr>
                <w:sz w:val="1"/>
                <w:szCs w:val="1"/>
                <w:color w:val="auto"/>
              </w:rPr>
            </w:pPr>
          </w:p>
        </w:tc>
      </w:tr>
      <w:tr>
        <w:trPr>
          <w:trHeight w:val="225"/>
        </w:trPr>
        <w:tc>
          <w:tcPr>
            <w:tcW w:w="4440" w:type="dxa"/>
            <w:vAlign w:val="bottom"/>
          </w:tcPr>
          <w:p>
            <w:pPr>
              <w:ind w:left="240"/>
              <w:spacing w:after="0"/>
              <w:rPr>
                <w:sz w:val="20"/>
                <w:szCs w:val="20"/>
                <w:color w:val="auto"/>
              </w:rPr>
            </w:pPr>
            <w:r>
              <w:rPr>
                <w:rFonts w:ascii="Arial" w:cs="Arial" w:eastAsia="Arial" w:hAnsi="Arial"/>
                <w:sz w:val="18"/>
                <w:szCs w:val="18"/>
                <w:color w:val="auto"/>
              </w:rPr>
              <w:t>Options granted</w:t>
            </w:r>
          </w:p>
        </w:tc>
        <w:tc>
          <w:tcPr>
            <w:tcW w:w="1180" w:type="dxa"/>
            <w:vAlign w:val="bottom"/>
          </w:tcPr>
          <w:p>
            <w:pPr>
              <w:jc w:val="right"/>
              <w:spacing w:after="0"/>
              <w:rPr>
                <w:sz w:val="20"/>
                <w:szCs w:val="20"/>
                <w:color w:val="auto"/>
              </w:rPr>
            </w:pPr>
            <w:r>
              <w:rPr>
                <w:rFonts w:ascii="Arial" w:cs="Arial" w:eastAsia="Arial" w:hAnsi="Arial"/>
                <w:sz w:val="18"/>
                <w:szCs w:val="18"/>
                <w:color w:val="auto"/>
              </w:rPr>
              <w:t>(9,245,190)</w:t>
            </w:r>
          </w:p>
        </w:tc>
        <w:tc>
          <w:tcPr>
            <w:tcW w:w="0" w:type="dxa"/>
            <w:vAlign w:val="bottom"/>
          </w:tcPr>
          <w:p>
            <w:pPr>
              <w:spacing w:after="0"/>
              <w:rPr>
                <w:sz w:val="1"/>
                <w:szCs w:val="1"/>
                <w:color w:val="auto"/>
              </w:rPr>
            </w:pPr>
          </w:p>
        </w:tc>
      </w:tr>
      <w:tr>
        <w:trPr>
          <w:trHeight w:val="225"/>
        </w:trPr>
        <w:tc>
          <w:tcPr>
            <w:tcW w:w="4440" w:type="dxa"/>
            <w:vAlign w:val="bottom"/>
          </w:tcPr>
          <w:p>
            <w:pPr>
              <w:ind w:left="240"/>
              <w:spacing w:after="0"/>
              <w:rPr>
                <w:sz w:val="20"/>
                <w:szCs w:val="20"/>
                <w:color w:val="auto"/>
              </w:rPr>
            </w:pPr>
            <w:r>
              <w:rPr>
                <w:rFonts w:ascii="Arial" w:cs="Arial" w:eastAsia="Arial" w:hAnsi="Arial"/>
                <w:sz w:val="18"/>
                <w:szCs w:val="18"/>
                <w:color w:val="auto"/>
              </w:rPr>
              <w:t>Options forfeited and cancelled</w:t>
            </w:r>
          </w:p>
        </w:tc>
        <w:tc>
          <w:tcPr>
            <w:tcW w:w="1180" w:type="dxa"/>
            <w:vAlign w:val="bottom"/>
          </w:tcPr>
          <w:p>
            <w:pPr>
              <w:jc w:val="right"/>
              <w:spacing w:after="0"/>
              <w:rPr>
                <w:sz w:val="20"/>
                <w:szCs w:val="20"/>
                <w:color w:val="auto"/>
              </w:rPr>
            </w:pPr>
            <w:r>
              <w:rPr>
                <w:rFonts w:ascii="Arial" w:cs="Arial" w:eastAsia="Arial" w:hAnsi="Arial"/>
                <w:sz w:val="18"/>
                <w:szCs w:val="18"/>
                <w:color w:val="auto"/>
              </w:rPr>
              <w:t>537,000</w:t>
            </w:r>
          </w:p>
        </w:tc>
        <w:tc>
          <w:tcPr>
            <w:tcW w:w="0" w:type="dxa"/>
            <w:vAlign w:val="bottom"/>
          </w:tcPr>
          <w:p>
            <w:pPr>
              <w:spacing w:after="0"/>
              <w:rPr>
                <w:sz w:val="1"/>
                <w:szCs w:val="1"/>
                <w:color w:val="auto"/>
              </w:rPr>
            </w:pPr>
          </w:p>
        </w:tc>
      </w:tr>
      <w:tr>
        <w:trPr>
          <w:trHeight w:val="225"/>
        </w:trPr>
        <w:tc>
          <w:tcPr>
            <w:tcW w:w="4440" w:type="dxa"/>
            <w:vAlign w:val="bottom"/>
          </w:tcPr>
          <w:p>
            <w:pPr>
              <w:ind w:left="240"/>
              <w:spacing w:after="0"/>
              <w:rPr>
                <w:sz w:val="20"/>
                <w:szCs w:val="20"/>
                <w:color w:val="auto"/>
              </w:rPr>
            </w:pPr>
            <w:r>
              <w:rPr>
                <w:rFonts w:ascii="Arial" w:cs="Arial" w:eastAsia="Arial" w:hAnsi="Arial"/>
                <w:sz w:val="18"/>
                <w:szCs w:val="18"/>
                <w:color w:val="auto"/>
                <w:w w:val="93"/>
              </w:rPr>
              <w:t>Increase in share reserve for issuance of Class B grants</w:t>
            </w:r>
          </w:p>
        </w:tc>
        <w:tc>
          <w:tcPr>
            <w:tcW w:w="1180" w:type="dxa"/>
            <w:vAlign w:val="bottom"/>
          </w:tcPr>
          <w:p>
            <w:pPr>
              <w:jc w:val="right"/>
              <w:spacing w:after="0"/>
              <w:rPr>
                <w:sz w:val="20"/>
                <w:szCs w:val="20"/>
                <w:color w:val="auto"/>
              </w:rPr>
            </w:pPr>
            <w:r>
              <w:rPr>
                <w:rFonts w:ascii="Arial" w:cs="Arial" w:eastAsia="Arial" w:hAnsi="Arial"/>
                <w:sz w:val="18"/>
                <w:szCs w:val="18"/>
                <w:color w:val="auto"/>
              </w:rPr>
              <w:t>650,000</w:t>
            </w:r>
          </w:p>
        </w:tc>
        <w:tc>
          <w:tcPr>
            <w:tcW w:w="0" w:type="dxa"/>
            <w:vAlign w:val="bottom"/>
          </w:tcPr>
          <w:p>
            <w:pPr>
              <w:spacing w:after="0"/>
              <w:rPr>
                <w:sz w:val="1"/>
                <w:szCs w:val="1"/>
                <w:color w:val="auto"/>
              </w:rPr>
            </w:pPr>
          </w:p>
        </w:tc>
      </w:tr>
      <w:tr>
        <w:trPr>
          <w:trHeight w:val="226"/>
        </w:trPr>
        <w:tc>
          <w:tcPr>
            <w:tcW w:w="444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Options exercised</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4440" w:type="dxa"/>
            <w:vAlign w:val="bottom"/>
          </w:tcPr>
          <w:p>
            <w:pPr>
              <w:ind w:left="20"/>
              <w:spacing w:after="0"/>
              <w:rPr>
                <w:sz w:val="20"/>
                <w:szCs w:val="20"/>
                <w:color w:val="auto"/>
              </w:rPr>
            </w:pPr>
            <w:r>
              <w:rPr>
                <w:rFonts w:ascii="Arial" w:cs="Arial" w:eastAsia="Arial" w:hAnsi="Arial"/>
                <w:sz w:val="18"/>
                <w:szCs w:val="18"/>
                <w:color w:val="auto"/>
              </w:rPr>
              <w:t>Balances at December 31, 2020</w:t>
            </w:r>
          </w:p>
        </w:tc>
        <w:tc>
          <w:tcPr>
            <w:tcW w:w="1180" w:type="dxa"/>
            <w:vAlign w:val="bottom"/>
          </w:tcPr>
          <w:p>
            <w:pPr>
              <w:jc w:val="right"/>
              <w:spacing w:after="0"/>
              <w:rPr>
                <w:sz w:val="20"/>
                <w:szCs w:val="20"/>
                <w:color w:val="auto"/>
              </w:rPr>
            </w:pPr>
            <w:r>
              <w:rPr>
                <w:rFonts w:ascii="Arial" w:cs="Arial" w:eastAsia="Arial" w:hAnsi="Arial"/>
                <w:sz w:val="18"/>
                <w:szCs w:val="18"/>
                <w:color w:val="auto"/>
              </w:rPr>
              <w:t>1,308,167</w:t>
            </w:r>
          </w:p>
        </w:tc>
        <w:tc>
          <w:tcPr>
            <w:tcW w:w="0" w:type="dxa"/>
            <w:vAlign w:val="bottom"/>
          </w:tcPr>
          <w:p>
            <w:pPr>
              <w:spacing w:after="0"/>
              <w:rPr>
                <w:sz w:val="1"/>
                <w:szCs w:val="1"/>
                <w:color w:val="auto"/>
              </w:rPr>
            </w:pPr>
          </w:p>
        </w:tc>
      </w:tr>
      <w:tr>
        <w:trPr>
          <w:trHeight w:val="225"/>
        </w:trPr>
        <w:tc>
          <w:tcPr>
            <w:tcW w:w="4440" w:type="dxa"/>
            <w:vAlign w:val="bottom"/>
          </w:tcPr>
          <w:p>
            <w:pPr>
              <w:ind w:left="240"/>
              <w:spacing w:after="0"/>
              <w:rPr>
                <w:sz w:val="20"/>
                <w:szCs w:val="20"/>
                <w:color w:val="auto"/>
              </w:rPr>
            </w:pPr>
            <w:r>
              <w:rPr>
                <w:rFonts w:ascii="Arial" w:cs="Arial" w:eastAsia="Arial" w:hAnsi="Arial"/>
                <w:sz w:val="18"/>
                <w:szCs w:val="18"/>
                <w:color w:val="auto"/>
              </w:rPr>
              <w:t>Options exercisable at December 31, 2020</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-1555115</wp:posOffset>
            </wp:positionV>
            <wp:extent cx="7134860" cy="142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-1160145</wp:posOffset>
            </wp:positionV>
            <wp:extent cx="7134860" cy="142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-865505</wp:posOffset>
            </wp:positionV>
            <wp:extent cx="7134860" cy="1428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-579120</wp:posOffset>
            </wp:positionV>
            <wp:extent cx="7134860" cy="142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-293370</wp:posOffset>
            </wp:positionV>
            <wp:extent cx="7134860" cy="1511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860" cy="1511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1"/>
        </w:trPr>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2,434,028</w:t>
            </w:r>
          </w:p>
        </w:tc>
        <w:tc>
          <w:tcPr>
            <w:tcW w:w="100" w:type="dxa"/>
            <w:vAlign w:val="bottom"/>
          </w:tcPr>
          <w:p>
            <w:pPr>
              <w:spacing w:after="0"/>
              <w:rPr>
                <w:sz w:val="19"/>
                <w:szCs w:val="19"/>
                <w:color w:val="auto"/>
              </w:rPr>
            </w:pPr>
          </w:p>
        </w:tc>
        <w:tc>
          <w:tcPr>
            <w:tcW w:w="520" w:type="dxa"/>
            <w:vAlign w:val="bottom"/>
            <w:tcBorders>
              <w:top w:val="single" w:sz="8" w:color="auto"/>
            </w:tcBorders>
          </w:tcPr>
          <w:p>
            <w:pPr>
              <w:jc w:val="right"/>
              <w:ind w:right="332"/>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8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9.27</w:t>
            </w:r>
          </w:p>
        </w:tc>
        <w:tc>
          <w:tcPr>
            <w:tcW w:w="100" w:type="dxa"/>
            <w:vAlign w:val="bottom"/>
          </w:tcPr>
          <w:p>
            <w:pPr>
              <w:spacing w:after="0"/>
              <w:rPr>
                <w:sz w:val="19"/>
                <w:szCs w:val="19"/>
                <w:color w:val="auto"/>
              </w:rPr>
            </w:pPr>
          </w:p>
        </w:tc>
        <w:tc>
          <w:tcPr>
            <w:tcW w:w="420" w:type="dxa"/>
            <w:vAlign w:val="bottom"/>
            <w:tcBorders>
              <w:top w:val="single" w:sz="8" w:color="auto"/>
            </w:tcBorders>
          </w:tcPr>
          <w:p>
            <w:pPr>
              <w:jc w:val="right"/>
              <w:ind w:right="23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969</w:t>
            </w:r>
          </w:p>
        </w:tc>
      </w:tr>
      <w:tr>
        <w:trPr>
          <w:trHeight w:val="223"/>
        </w:trPr>
        <w:tc>
          <w:tcPr>
            <w:tcW w:w="1300" w:type="dxa"/>
            <w:vAlign w:val="bottom"/>
          </w:tcPr>
          <w:p>
            <w:pPr>
              <w:jc w:val="right"/>
              <w:spacing w:after="0"/>
              <w:rPr>
                <w:sz w:val="20"/>
                <w:szCs w:val="20"/>
                <w:color w:val="auto"/>
              </w:rPr>
            </w:pPr>
            <w:r>
              <w:rPr>
                <w:rFonts w:ascii="Arial" w:cs="Arial" w:eastAsia="Arial" w:hAnsi="Arial"/>
                <w:sz w:val="18"/>
                <w:szCs w:val="18"/>
                <w:color w:val="auto"/>
              </w:rPr>
              <w:t>3,247,815</w:t>
            </w:r>
          </w:p>
        </w:tc>
        <w:tc>
          <w:tcPr>
            <w:tcW w:w="100" w:type="dxa"/>
            <w:vAlign w:val="bottom"/>
          </w:tcPr>
          <w:p>
            <w:pPr>
              <w:spacing w:after="0"/>
              <w:rPr>
                <w:sz w:val="19"/>
                <w:szCs w:val="19"/>
                <w:color w:val="auto"/>
              </w:rPr>
            </w:pPr>
          </w:p>
        </w:tc>
        <w:tc>
          <w:tcPr>
            <w:tcW w:w="520" w:type="dxa"/>
            <w:vAlign w:val="bottom"/>
          </w:tcPr>
          <w:p>
            <w:pPr>
              <w:jc w:val="right"/>
              <w:ind w:right="33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0.95</w:t>
            </w:r>
          </w:p>
        </w:tc>
        <w:tc>
          <w:tcPr>
            <w:tcW w:w="8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1300" w:type="dxa"/>
            <w:vAlign w:val="bottom"/>
          </w:tcPr>
          <w:p>
            <w:pPr>
              <w:jc w:val="right"/>
              <w:spacing w:after="0"/>
              <w:rPr>
                <w:sz w:val="20"/>
                <w:szCs w:val="20"/>
                <w:color w:val="auto"/>
              </w:rPr>
            </w:pPr>
            <w:r>
              <w:rPr>
                <w:rFonts w:ascii="Arial" w:cs="Arial" w:eastAsia="Arial" w:hAnsi="Arial"/>
                <w:sz w:val="18"/>
                <w:szCs w:val="18"/>
                <w:color w:val="auto"/>
              </w:rPr>
              <w:t>(369,000)</w:t>
            </w:r>
          </w:p>
        </w:tc>
        <w:tc>
          <w:tcPr>
            <w:tcW w:w="100" w:type="dxa"/>
            <w:vAlign w:val="bottom"/>
          </w:tcPr>
          <w:p>
            <w:pPr>
              <w:spacing w:after="0"/>
              <w:rPr>
                <w:sz w:val="19"/>
                <w:szCs w:val="19"/>
                <w:color w:val="auto"/>
              </w:rPr>
            </w:pPr>
          </w:p>
        </w:tc>
        <w:tc>
          <w:tcPr>
            <w:tcW w:w="520" w:type="dxa"/>
            <w:vAlign w:val="bottom"/>
          </w:tcPr>
          <w:p>
            <w:pPr>
              <w:jc w:val="right"/>
              <w:ind w:right="33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0.23</w:t>
            </w:r>
          </w:p>
        </w:tc>
        <w:tc>
          <w:tcPr>
            <w:tcW w:w="8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8"/>
        </w:trPr>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8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8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5,312,843</w:t>
            </w:r>
          </w:p>
        </w:tc>
        <w:tc>
          <w:tcPr>
            <w:tcW w:w="100" w:type="dxa"/>
            <w:vAlign w:val="bottom"/>
          </w:tcPr>
          <w:p>
            <w:pPr>
              <w:spacing w:after="0"/>
              <w:rPr>
                <w:sz w:val="18"/>
                <w:szCs w:val="18"/>
                <w:color w:val="auto"/>
              </w:rPr>
            </w:pPr>
          </w:p>
        </w:tc>
        <w:tc>
          <w:tcPr>
            <w:tcW w:w="520" w:type="dxa"/>
            <w:vAlign w:val="bottom"/>
            <w:tcBorders>
              <w:top w:val="single" w:sz="8" w:color="auto"/>
            </w:tcBorders>
          </w:tcPr>
          <w:p>
            <w:pPr>
              <w:jc w:val="right"/>
              <w:ind w:right="332"/>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0.65</w:t>
            </w:r>
          </w:p>
        </w:tc>
        <w:tc>
          <w:tcPr>
            <w:tcW w:w="80" w:type="dxa"/>
            <w:vAlign w:val="bottom"/>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9.09</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1,562</w:t>
            </w:r>
          </w:p>
        </w:tc>
      </w:tr>
      <w:tr>
        <w:trPr>
          <w:trHeight w:val="225"/>
        </w:trPr>
        <w:tc>
          <w:tcPr>
            <w:tcW w:w="1300" w:type="dxa"/>
            <w:vAlign w:val="bottom"/>
          </w:tcPr>
          <w:p>
            <w:pPr>
              <w:jc w:val="right"/>
              <w:spacing w:after="0"/>
              <w:rPr>
                <w:sz w:val="20"/>
                <w:szCs w:val="20"/>
                <w:color w:val="auto"/>
              </w:rPr>
            </w:pPr>
            <w:r>
              <w:rPr>
                <w:rFonts w:ascii="Arial" w:cs="Arial" w:eastAsia="Arial" w:hAnsi="Arial"/>
                <w:sz w:val="18"/>
                <w:szCs w:val="18"/>
                <w:color w:val="auto"/>
              </w:rPr>
              <w:t>9,245,190</w:t>
            </w:r>
          </w:p>
        </w:tc>
        <w:tc>
          <w:tcPr>
            <w:tcW w:w="100" w:type="dxa"/>
            <w:vAlign w:val="bottom"/>
          </w:tcPr>
          <w:p>
            <w:pPr>
              <w:spacing w:after="0"/>
              <w:rPr>
                <w:sz w:val="19"/>
                <w:szCs w:val="19"/>
                <w:color w:val="auto"/>
              </w:rPr>
            </w:pPr>
          </w:p>
        </w:tc>
        <w:tc>
          <w:tcPr>
            <w:tcW w:w="520" w:type="dxa"/>
            <w:vAlign w:val="bottom"/>
          </w:tcPr>
          <w:p>
            <w:pPr>
              <w:jc w:val="right"/>
              <w:ind w:right="33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1.32</w:t>
            </w:r>
          </w:p>
        </w:tc>
        <w:tc>
          <w:tcPr>
            <w:tcW w:w="8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5"/>
        </w:trPr>
        <w:tc>
          <w:tcPr>
            <w:tcW w:w="1300" w:type="dxa"/>
            <w:vAlign w:val="bottom"/>
          </w:tcPr>
          <w:p>
            <w:pPr>
              <w:jc w:val="right"/>
              <w:spacing w:after="0"/>
              <w:rPr>
                <w:sz w:val="20"/>
                <w:szCs w:val="20"/>
                <w:color w:val="auto"/>
              </w:rPr>
            </w:pPr>
            <w:r>
              <w:rPr>
                <w:rFonts w:ascii="Arial" w:cs="Arial" w:eastAsia="Arial" w:hAnsi="Arial"/>
                <w:sz w:val="18"/>
                <w:szCs w:val="18"/>
                <w:color w:val="auto"/>
              </w:rPr>
              <w:t>(537,000)</w:t>
            </w:r>
          </w:p>
        </w:tc>
        <w:tc>
          <w:tcPr>
            <w:tcW w:w="100" w:type="dxa"/>
            <w:vAlign w:val="bottom"/>
          </w:tcPr>
          <w:p>
            <w:pPr>
              <w:spacing w:after="0"/>
              <w:rPr>
                <w:sz w:val="19"/>
                <w:szCs w:val="19"/>
                <w:color w:val="auto"/>
              </w:rPr>
            </w:pPr>
          </w:p>
        </w:tc>
        <w:tc>
          <w:tcPr>
            <w:tcW w:w="520" w:type="dxa"/>
            <w:vAlign w:val="bottom"/>
          </w:tcPr>
          <w:p>
            <w:pPr>
              <w:jc w:val="right"/>
              <w:ind w:right="33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0.86</w:t>
            </w:r>
          </w:p>
        </w:tc>
        <w:tc>
          <w:tcPr>
            <w:tcW w:w="8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5"/>
        </w:trPr>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8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1300" w:type="dxa"/>
            <w:vAlign w:val="bottom"/>
          </w:tcPr>
          <w:p>
            <w:pPr>
              <w:jc w:val="right"/>
              <w:spacing w:after="0"/>
              <w:rPr>
                <w:sz w:val="20"/>
                <w:szCs w:val="20"/>
                <w:color w:val="auto"/>
              </w:rPr>
            </w:pPr>
            <w:r>
              <w:rPr>
                <w:rFonts w:ascii="Arial" w:cs="Arial" w:eastAsia="Arial" w:hAnsi="Arial"/>
                <w:sz w:val="18"/>
                <w:szCs w:val="18"/>
                <w:color w:val="auto"/>
              </w:rPr>
              <w:t>(105,429)</w:t>
            </w:r>
          </w:p>
        </w:tc>
        <w:tc>
          <w:tcPr>
            <w:tcW w:w="100" w:type="dxa"/>
            <w:vAlign w:val="bottom"/>
          </w:tcPr>
          <w:p>
            <w:pPr>
              <w:spacing w:after="0"/>
              <w:rPr>
                <w:sz w:val="19"/>
                <w:szCs w:val="19"/>
                <w:color w:val="auto"/>
              </w:rPr>
            </w:pPr>
          </w:p>
        </w:tc>
        <w:tc>
          <w:tcPr>
            <w:tcW w:w="520" w:type="dxa"/>
            <w:vAlign w:val="bottom"/>
          </w:tcPr>
          <w:p>
            <w:pPr>
              <w:jc w:val="right"/>
              <w:ind w:right="33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0.95</w:t>
            </w:r>
          </w:p>
        </w:tc>
        <w:tc>
          <w:tcPr>
            <w:tcW w:w="8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18"/>
        </w:trPr>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13,915,604</w:t>
            </w:r>
          </w:p>
        </w:tc>
        <w:tc>
          <w:tcPr>
            <w:tcW w:w="100" w:type="dxa"/>
            <w:vAlign w:val="bottom"/>
          </w:tcPr>
          <w:p>
            <w:pPr>
              <w:spacing w:after="0"/>
              <w:rPr>
                <w:sz w:val="18"/>
                <w:szCs w:val="18"/>
                <w:color w:val="auto"/>
              </w:rPr>
            </w:pPr>
          </w:p>
        </w:tc>
        <w:tc>
          <w:tcPr>
            <w:tcW w:w="520" w:type="dxa"/>
            <w:vAlign w:val="bottom"/>
            <w:tcBorders>
              <w:top w:val="single" w:sz="8" w:color="auto"/>
            </w:tcBorders>
          </w:tcPr>
          <w:p>
            <w:pPr>
              <w:jc w:val="right"/>
              <w:ind w:right="332"/>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18"/>
                <w:szCs w:val="18"/>
                <w:color w:val="auto"/>
              </w:rPr>
            </w:pPr>
          </w:p>
        </w:tc>
        <w:tc>
          <w:tcPr>
            <w:tcW w:w="420" w:type="dxa"/>
            <w:vAlign w:val="bottom"/>
            <w:tcBorders>
              <w:top w:val="single" w:sz="8" w:color="auto"/>
            </w:tcBorders>
          </w:tcPr>
          <w:p>
            <w:pPr>
              <w:jc w:val="right"/>
              <w:ind w:right="23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79,334</w:t>
            </w:r>
          </w:p>
        </w:tc>
      </w:tr>
      <w:tr>
        <w:trPr>
          <w:trHeight w:val="225"/>
        </w:trPr>
        <w:tc>
          <w:tcPr>
            <w:tcW w:w="1300" w:type="dxa"/>
            <w:vAlign w:val="bottom"/>
          </w:tcPr>
          <w:p>
            <w:pPr>
              <w:jc w:val="right"/>
              <w:spacing w:after="0"/>
              <w:rPr>
                <w:sz w:val="20"/>
                <w:szCs w:val="20"/>
                <w:color w:val="auto"/>
              </w:rPr>
            </w:pPr>
            <w:r>
              <w:rPr>
                <w:rFonts w:ascii="Arial" w:cs="Arial" w:eastAsia="Arial" w:hAnsi="Arial"/>
                <w:sz w:val="18"/>
                <w:szCs w:val="18"/>
                <w:color w:val="auto"/>
              </w:rPr>
              <w:t>5,615,734</w:t>
            </w:r>
          </w:p>
        </w:tc>
        <w:tc>
          <w:tcPr>
            <w:tcW w:w="100" w:type="dxa"/>
            <w:vAlign w:val="bottom"/>
          </w:tcPr>
          <w:p>
            <w:pPr>
              <w:spacing w:after="0"/>
              <w:rPr>
                <w:sz w:val="19"/>
                <w:szCs w:val="19"/>
                <w:color w:val="auto"/>
              </w:rPr>
            </w:pPr>
          </w:p>
        </w:tc>
        <w:tc>
          <w:tcPr>
            <w:tcW w:w="520" w:type="dxa"/>
            <w:vAlign w:val="bottom"/>
          </w:tcPr>
          <w:p>
            <w:pPr>
              <w:jc w:val="right"/>
              <w:ind w:right="33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0.74</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8.42</w:t>
            </w:r>
          </w:p>
        </w:tc>
        <w:tc>
          <w:tcPr>
            <w:tcW w:w="100" w:type="dxa"/>
            <w:vAlign w:val="bottom"/>
          </w:tcPr>
          <w:p>
            <w:pPr>
              <w:spacing w:after="0"/>
              <w:rPr>
                <w:sz w:val="19"/>
                <w:szCs w:val="19"/>
                <w:color w:val="auto"/>
              </w:rPr>
            </w:pP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34,005</w:t>
            </w:r>
          </w:p>
        </w:tc>
      </w:tr>
    </w:tbl>
    <w:p>
      <w:pPr>
        <w:spacing w:after="0" w:line="200" w:lineRule="exact"/>
        <w:rPr>
          <w:sz w:val="20"/>
          <w:szCs w:val="20"/>
          <w:color w:val="auto"/>
        </w:rPr>
      </w:pPr>
    </w:p>
    <w:p>
      <w:pPr>
        <w:sectPr>
          <w:pgSz w:w="11900" w:h="16838" w:orient="portrait"/>
          <w:cols w:equalWidth="0" w:num="2">
            <w:col w:w="5620" w:space="100"/>
            <w:col w:w="5520"/>
          </w:cols>
          <w:pgMar w:left="320" w:top="1440" w:right="339" w:bottom="1440" w:gutter="0" w:footer="0" w:header="0"/>
          <w:type w:val="continuous"/>
        </w:sectPr>
      </w:pPr>
    </w:p>
    <w:p>
      <w:pPr>
        <w:spacing w:after="0" w:line="4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December 31, 2020, stock options outstanding for Class B common stock consisted of the following: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20" w:type="dxa"/>
            <w:vAlign w:val="bottom"/>
          </w:tcPr>
          <w:p>
            <w:pPr>
              <w:ind w:left="20"/>
              <w:spacing w:after="0"/>
              <w:rPr>
                <w:sz w:val="20"/>
                <w:szCs w:val="20"/>
                <w:color w:val="auto"/>
              </w:rPr>
            </w:pPr>
            <w:r>
              <w:rPr>
                <w:rFonts w:ascii="Arial" w:cs="Arial" w:eastAsia="Arial" w:hAnsi="Arial"/>
                <w:sz w:val="14"/>
                <w:szCs w:val="14"/>
                <w:b w:val="1"/>
                <w:bCs w:val="1"/>
                <w:color w:val="auto"/>
              </w:rPr>
              <w:t>Exercise Prices</w:t>
            </w:r>
          </w:p>
        </w:tc>
        <w:tc>
          <w:tcPr>
            <w:tcW w:w="4560" w:type="dxa"/>
            <w:vAlign w:val="bottom"/>
            <w:gridSpan w:val="2"/>
          </w:tcPr>
          <w:p>
            <w:pPr>
              <w:ind w:left="2080"/>
              <w:spacing w:after="0"/>
              <w:rPr>
                <w:sz w:val="20"/>
                <w:szCs w:val="20"/>
                <w:color w:val="auto"/>
              </w:rPr>
            </w:pPr>
            <w:r>
              <w:rPr>
                <w:rFonts w:ascii="Arial" w:cs="Arial" w:eastAsia="Arial" w:hAnsi="Arial"/>
                <w:sz w:val="14"/>
                <w:szCs w:val="14"/>
                <w:b w:val="1"/>
                <w:bCs w:val="1"/>
                <w:color w:val="auto"/>
              </w:rPr>
              <w:t>Class B Stock Options Outstanding</w:t>
            </w:r>
          </w:p>
        </w:tc>
        <w:tc>
          <w:tcPr>
            <w:tcW w:w="366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 Average Remaining Contractual Life (years)</w:t>
            </w:r>
          </w:p>
        </w:tc>
      </w:tr>
      <w:tr>
        <w:trPr>
          <w:trHeight w:val="224"/>
        </w:trPr>
        <w:tc>
          <w:tcPr>
            <w:tcW w:w="3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$0.1894</w:t>
            </w:r>
          </w:p>
        </w:tc>
        <w:tc>
          <w:tcPr>
            <w:tcW w:w="4480" w:type="dxa"/>
            <w:vAlign w:val="bottom"/>
            <w:tcBorders>
              <w:top w:val="single" w:sz="8" w:color="auto"/>
            </w:tcBorders>
            <w:shd w:val="clear" w:color="auto" w:fill="CCEEFF"/>
          </w:tcPr>
          <w:p>
            <w:pPr>
              <w:jc w:val="center"/>
              <w:ind w:left="1735"/>
              <w:spacing w:after="0"/>
              <w:rPr>
                <w:sz w:val="20"/>
                <w:szCs w:val="20"/>
                <w:color w:val="auto"/>
              </w:rPr>
            </w:pPr>
            <w:r>
              <w:rPr>
                <w:rFonts w:ascii="Arial" w:cs="Arial" w:eastAsia="Arial" w:hAnsi="Arial"/>
                <w:sz w:val="18"/>
                <w:szCs w:val="18"/>
                <w:color w:val="auto"/>
                <w:w w:val="87"/>
              </w:rPr>
              <w:t>1,834,028</w:t>
            </w:r>
          </w:p>
        </w:tc>
        <w:tc>
          <w:tcPr>
            <w:tcW w:w="80" w:type="dxa"/>
            <w:vAlign w:val="bottom"/>
            <w:tcBorders>
              <w:top w:val="single" w:sz="8" w:color="CCEEFF"/>
            </w:tcBorders>
            <w:shd w:val="clear" w:color="auto" w:fill="CCEEFF"/>
          </w:tcPr>
          <w:p>
            <w:pPr>
              <w:spacing w:after="0"/>
              <w:rPr>
                <w:sz w:val="19"/>
                <w:szCs w:val="19"/>
                <w:color w:val="auto"/>
              </w:rPr>
            </w:pPr>
          </w:p>
        </w:tc>
        <w:tc>
          <w:tcPr>
            <w:tcW w:w="3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7.27</w:t>
            </w:r>
          </w:p>
        </w:tc>
      </w:tr>
      <w:tr>
        <w:trPr>
          <w:trHeight w:val="225"/>
        </w:trPr>
        <w:tc>
          <w:tcPr>
            <w:tcW w:w="3020" w:type="dxa"/>
            <w:vAlign w:val="bottom"/>
          </w:tcPr>
          <w:p>
            <w:pPr>
              <w:ind w:left="20"/>
              <w:spacing w:after="0"/>
              <w:rPr>
                <w:sz w:val="20"/>
                <w:szCs w:val="20"/>
                <w:color w:val="auto"/>
              </w:rPr>
            </w:pPr>
            <w:r>
              <w:rPr>
                <w:rFonts w:ascii="Arial" w:cs="Arial" w:eastAsia="Arial" w:hAnsi="Arial"/>
                <w:sz w:val="18"/>
                <w:szCs w:val="18"/>
                <w:color w:val="auto"/>
              </w:rPr>
              <w:t>$0.5960</w:t>
            </w:r>
          </w:p>
        </w:tc>
        <w:tc>
          <w:tcPr>
            <w:tcW w:w="4480" w:type="dxa"/>
            <w:vAlign w:val="bottom"/>
          </w:tcPr>
          <w:p>
            <w:pPr>
              <w:jc w:val="center"/>
              <w:ind w:left="1735"/>
              <w:spacing w:after="0"/>
              <w:rPr>
                <w:sz w:val="20"/>
                <w:szCs w:val="20"/>
                <w:color w:val="auto"/>
              </w:rPr>
            </w:pPr>
            <w:r>
              <w:rPr>
                <w:rFonts w:ascii="Arial" w:cs="Arial" w:eastAsia="Arial" w:hAnsi="Arial"/>
                <w:sz w:val="18"/>
                <w:szCs w:val="18"/>
                <w:color w:val="auto"/>
                <w:w w:val="90"/>
              </w:rPr>
              <w:t>50,000</w:t>
            </w:r>
          </w:p>
        </w:tc>
        <w:tc>
          <w:tcPr>
            <w:tcW w:w="80" w:type="dxa"/>
            <w:vAlign w:val="bottom"/>
          </w:tcPr>
          <w:p>
            <w:pPr>
              <w:spacing w:after="0"/>
              <w:rPr>
                <w:sz w:val="19"/>
                <w:szCs w:val="19"/>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85"/>
              </w:rPr>
              <w:t>7.82</w:t>
            </w:r>
          </w:p>
        </w:tc>
      </w:tr>
      <w:tr>
        <w:trPr>
          <w:trHeight w:val="226"/>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$0.9485</w:t>
            </w:r>
          </w:p>
        </w:tc>
        <w:tc>
          <w:tcPr>
            <w:tcW w:w="4480" w:type="dxa"/>
            <w:vAlign w:val="bottom"/>
            <w:shd w:val="clear" w:color="auto" w:fill="CCEEFF"/>
          </w:tcPr>
          <w:p>
            <w:pPr>
              <w:jc w:val="center"/>
              <w:ind w:left="1735"/>
              <w:spacing w:after="0"/>
              <w:rPr>
                <w:sz w:val="20"/>
                <w:szCs w:val="20"/>
                <w:color w:val="auto"/>
              </w:rPr>
            </w:pPr>
            <w:r>
              <w:rPr>
                <w:rFonts w:ascii="Arial" w:cs="Arial" w:eastAsia="Arial" w:hAnsi="Arial"/>
                <w:sz w:val="18"/>
                <w:szCs w:val="18"/>
                <w:color w:val="auto"/>
                <w:w w:val="87"/>
              </w:rPr>
              <w:t>9,611,633</w:t>
            </w:r>
          </w:p>
        </w:tc>
        <w:tc>
          <w:tcPr>
            <w:tcW w:w="80" w:type="dxa"/>
            <w:vAlign w:val="bottom"/>
            <w:shd w:val="clear" w:color="auto" w:fill="CCEEFF"/>
          </w:tcPr>
          <w:p>
            <w:pPr>
              <w:spacing w:after="0"/>
              <w:rPr>
                <w:sz w:val="19"/>
                <w:szCs w:val="19"/>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8.98</w:t>
            </w:r>
          </w:p>
        </w:tc>
      </w:tr>
      <w:tr>
        <w:trPr>
          <w:trHeight w:val="224"/>
        </w:trPr>
        <w:tc>
          <w:tcPr>
            <w:tcW w:w="3020" w:type="dxa"/>
            <w:vAlign w:val="bottom"/>
          </w:tcPr>
          <w:p>
            <w:pPr>
              <w:ind w:left="20"/>
              <w:spacing w:after="0"/>
              <w:rPr>
                <w:sz w:val="20"/>
                <w:szCs w:val="20"/>
                <w:color w:val="auto"/>
              </w:rPr>
            </w:pPr>
            <w:r>
              <w:rPr>
                <w:rFonts w:ascii="Arial" w:cs="Arial" w:eastAsia="Arial" w:hAnsi="Arial"/>
                <w:sz w:val="18"/>
                <w:szCs w:val="18"/>
                <w:color w:val="auto"/>
              </w:rPr>
              <w:t>$2.3564</w:t>
            </w:r>
          </w:p>
        </w:tc>
        <w:tc>
          <w:tcPr>
            <w:tcW w:w="4480" w:type="dxa"/>
            <w:vAlign w:val="bottom"/>
          </w:tcPr>
          <w:p>
            <w:pPr>
              <w:jc w:val="center"/>
              <w:ind w:left="1735"/>
              <w:spacing w:after="0"/>
              <w:rPr>
                <w:sz w:val="20"/>
                <w:szCs w:val="20"/>
                <w:color w:val="auto"/>
              </w:rPr>
            </w:pPr>
            <w:r>
              <w:rPr>
                <w:rFonts w:ascii="Arial" w:cs="Arial" w:eastAsia="Arial" w:hAnsi="Arial"/>
                <w:sz w:val="18"/>
                <w:szCs w:val="18"/>
                <w:color w:val="auto"/>
                <w:w w:val="87"/>
              </w:rPr>
              <w:t>2,419,943</w:t>
            </w:r>
          </w:p>
        </w:tc>
        <w:tc>
          <w:tcPr>
            <w:tcW w:w="80" w:type="dxa"/>
            <w:vAlign w:val="bottom"/>
          </w:tcPr>
          <w:p>
            <w:pPr>
              <w:spacing w:after="0"/>
              <w:rPr>
                <w:sz w:val="19"/>
                <w:szCs w:val="19"/>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85"/>
              </w:rPr>
              <w:t>9.89</w:t>
            </w:r>
          </w:p>
        </w:tc>
      </w:tr>
    </w:tbl>
    <w:p>
      <w:pPr>
        <w:spacing w:after="0" w:line="22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aggregate intrinsic value in the tables above calculates the difference between the exercise price of the underlying stock options and the fair value of the Company’s common stock for stock options that were in-the-money and represents the value that would have been received by the option holders had all option holders exercised their options on December 31, 2020.</w:t>
      </w:r>
    </w:p>
    <w:p>
      <w:pPr>
        <w:spacing w:after="0" w:line="13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fair value of each stock option award granted was estimated on the date of grant and remeasured each reporting period using the Black-Scholes option-valuation model based on the following inputs and assumptions:</w:t>
      </w:r>
    </w:p>
    <w:p>
      <w:pPr>
        <w:spacing w:after="0" w:line="128"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Expected volatility – Since the Company is privately-held and, therefore, does not have any trading history for its common stock, the expected volatility was estimated based on the average volatility for comparable publicly traded companies over a period equal to the expected term of stock option grants. When selecting these comparable companies, the Company considered the enterprise value, risk profiles, position within the industry, and whether there was sufficient historical share price information to meet the expected life of the stock-based awards. Historical volatility was computed using the daily closing prices for the selected companies’ common stock during the equivalent period of the calculated expected term of the stock-based awards.</w:t>
      </w:r>
    </w:p>
    <w:p>
      <w:pPr>
        <w:spacing w:after="0" w:line="9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Expected term – The expected term represents the period that awards are expected to be outstanding. The expected term was determined by the potential timing of a liquidity event since all awards have accelerated vesting features upon a liquidation event and the Company generally does not expect grantees to exercise vested options prior to a liquidation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40"/>
          </w:cols>
          <w:pgMar w:left="320" w:top="1440" w:right="339" w:bottom="1440" w:gutter="0" w:footer="0" w:header="0"/>
          <w:type w:val="continuous"/>
        </w:sectPr>
      </w:pPr>
    </w:p>
    <w:bookmarkStart w:id="201" w:name="page202"/>
    <w:bookmarkEnd w:id="201"/>
    <w:p>
      <w:pPr>
        <w:spacing w:after="0" w:line="11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Risk-free interest rate – The risk-free interest rate is based on the U.S. Treasury yield curve in effect for bonds with maturities consistent with the expected holding periods corresponding with the expected term of the option.</w:t>
      </w:r>
    </w:p>
    <w:p>
      <w:pPr>
        <w:spacing w:after="0" w:line="12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Dividend yield – The Company has never paid dividends on its common stock and does not anticipate paying dividends on its common stock in the foreseeable future. Therefore, the Company used an expected dividend yield of zero.</w:t>
      </w:r>
    </w:p>
    <w:p>
      <w:pPr>
        <w:spacing w:after="0" w:line="128"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Fair value of common stock –The absence of a public market for the Company’s common stock for the years ended December 31, 2020, 2019 and 2018 required the Company’s Board of Directors to estimate the fair value of its common stock. The Company considered several objective and subjective factors, including the most recently available valuation of the Company’s common stock prepared by an independent third party valuation firm and factors that may have changed from the date of the most recent valuation through the end of the reporting period. In determining the fair value of common stock, the Company considered the valuation of comparable companies, the Company’s operating and financial performance, the lack of liquidity of the Company’s common stock, transactions in the Company’s common stock, general and industry specific economic outlook, amongst other factors.</w:t>
      </w:r>
    </w:p>
    <w:p>
      <w:pPr>
        <w:spacing w:after="0" w:line="9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estimated fair value of the stock option awards as of December 31, 2020, 2019, and 2018 was estimated using the Black-Scholes option pricing model with the following assumptions: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6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65.80%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60.00%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70.00%</w:t>
            </w: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0.50-1.49</w:t>
            </w:r>
          </w:p>
        </w:tc>
        <w:tc>
          <w:tcPr>
            <w:tcW w:w="100" w:type="dxa"/>
            <w:vAlign w:val="bottom"/>
          </w:tcPr>
          <w:p>
            <w:pPr>
              <w:spacing w:after="0"/>
              <w:rPr>
                <w:sz w:val="19"/>
                <w:szCs w:val="19"/>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3.00–5.00</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4.00</w:t>
            </w:r>
          </w:p>
        </w:tc>
      </w:tr>
      <w:tr>
        <w:trPr>
          <w:trHeight w:val="22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0.10%</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1.40%–1.43%</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2.68%</w:t>
            </w: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6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6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w:t>
            </w:r>
          </w:p>
        </w:tc>
      </w:tr>
      <w:tr>
        <w:trPr>
          <w:trHeight w:val="22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Class A common stock</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$679.31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$94.85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$59.60</w:t>
            </w:r>
          </w:p>
        </w:tc>
      </w:tr>
      <w:tr>
        <w:trPr>
          <w:trHeight w:val="224"/>
        </w:trPr>
        <w:tc>
          <w:tcPr>
            <w:tcW w:w="6360" w:type="dxa"/>
            <w:vAlign w:val="bottom"/>
          </w:tcPr>
          <w:p>
            <w:pPr>
              <w:ind w:left="20"/>
              <w:spacing w:after="0"/>
              <w:rPr>
                <w:sz w:val="20"/>
                <w:szCs w:val="20"/>
                <w:color w:val="auto"/>
              </w:rPr>
            </w:pPr>
            <w:r>
              <w:rPr>
                <w:rFonts w:ascii="Arial" w:cs="Arial" w:eastAsia="Arial" w:hAnsi="Arial"/>
                <w:sz w:val="18"/>
                <w:szCs w:val="18"/>
                <w:color w:val="auto"/>
              </w:rPr>
              <w:t>Fair value of Class B common stock</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$6.7931</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$0.9485</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6"/>
              </w:rPr>
              <w:t>$0.5960</w:t>
            </w:r>
          </w:p>
        </w:tc>
      </w:tr>
    </w:tbl>
    <w:p>
      <w:pPr>
        <w:spacing w:after="0" w:line="240"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As of December 31, 2020, the fair value associated with the Company’s stock options totaled $160.6 million. The vested portion of this fair value at December 31, 2020 was $80.0 million and $52.0 million for Class A and Class B stock options, respectively, and is included in stock-based compensation liabilities on the Company’s balance sheets. As of December 31, 2020, unrecognized stock-based compensation cost related to the unvested portion of the Company’s stock options were $0.5 million and $28.1 million for Class A and Class B stock options, respectively. The Company expects to recognize the unrecognized compensation cost on a graded-vesting basis over a weighted-average period of 0.3 and 0.9 years for Class A and Class B stock options, respectively. Cash received from stock option exercise for the year ended December 31, 2020 was $0.1 million. No cash was received from stock option exercise for the years ended December 31, 2019 and 2018.</w:t>
      </w:r>
    </w:p>
    <w:p>
      <w:pPr>
        <w:spacing w:after="0" w:line="12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5"/>
          <w:szCs w:val="15"/>
          <w:b w:val="1"/>
          <w:bCs w:val="1"/>
          <w:color w:val="auto"/>
        </w:rPr>
        <w:t>Redeemable Convertible Preferred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Redeemable Convertible Preferred Stock</w:t>
      </w:r>
    </w:p>
    <w:p>
      <w:pPr>
        <w:spacing w:after="0" w:line="16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In June 2017, in connection with the Spin-out, the Company issued 800,000 shares of Series A redeemable convertible preferred stock (the “Series A Preferred Stock”) to ISMMS at an original issue price of $122.94 per share (the “Series A Original Issue Price”). ISMMS’s capital contribution to the Company was accounted for at the net book value of the assets transferred to and liabilities assumed by the Company since the Company and ISMMS are entities under common control (see Note 1). As a result, the difference between the fair value of the Series A Preferred Stock at the Series A Original Issue Price and the net book value of the assets and liabilities contributed to the Company as described in Note 6 results in additional preference of $55.0 million to ISMMS.</w:t>
      </w:r>
    </w:p>
    <w:p>
      <w:pPr>
        <w:spacing w:after="0" w:line="14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holder of the Series A Preferred Stock was entitled to a number of votes equal to the number of whole shares of Class A common stock into which it is convertible. The Series A Preferred Stock was convertible to Class A common stock at the option of the holder at any time and without the payment of additional consideration and was mandatorily convertible upon the occurrence of certain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40"/>
          </w:cols>
          <w:pgMar w:left="320" w:top="1440" w:right="339" w:bottom="1440" w:gutter="0" w:footer="0" w:header="0"/>
        </w:sectPr>
      </w:pPr>
    </w:p>
    <w:bookmarkStart w:id="202" w:name="page203"/>
    <w:bookmarkEnd w:id="202"/>
    <w:p>
      <w:pPr>
        <w:spacing w:after="0" w:line="11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holder of the Series A Preferred Stock was entitled to mandatory, cumulative dividends at a rate of 3% per annum that were satisfied through the issuance of additional shares on each anniversary of the issuance of the Series A Preferred Stock. As a result, the Company issued an additional 24,000 and 24,720 shares to the holder of the Series A Preferred Stock on June 1, 2018 and June 1, 2019, respectively.</w:t>
      </w:r>
    </w:p>
    <w:p>
      <w:pPr>
        <w:spacing w:after="0" w:line="13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the event of a liquidation, dissolution or a deemed liquidation of the Company, the holder of the Series A Preferred Stock was to receive distributions prior to payment to the holder of Class A common stock.</w:t>
      </w:r>
    </w:p>
    <w:p>
      <w:pPr>
        <w:spacing w:after="0" w:line="12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Series A Preferred Stock Modification and Issuances of Redeemable Convertible Series B Preferred Stock and Redeemable Convertible Series C Preferred Stock</w:t>
      </w:r>
    </w:p>
    <w:p>
      <w:pPr>
        <w:spacing w:after="0" w:line="12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In August 2019, the Company amended its certificate of incorporation to change the structure of the redeemable convertible preferred stock by authorizing to issue three series of redeemable convertible preferred stock. Following the amended certificate of incorporation, the Company has authority to issue 1,308,663 shares of redeemable convertible preferred stock with $0.00001 par value per share, which consists of 447,373 shares designated as Series A-1 redeemable convertible preferred stock (the “Series A-1 Preferred Stock”), 522,627 shares designated as Series A-2 redeemable convertible preferred stock (the “Series A-2 Preferred Stock”) and 338,663 shares designated as Series B redeemable convertible preferred stock (the “Series B Preferred Stock”). The original issue price for Series A-1 Preferred Stock and Series A-2 Preferred Stock is the Series A Original Issue Price and the original issue price for Series B Preferred stock is $376.80 per share (the “Series B Original Issue Price”).</w:t>
      </w:r>
    </w:p>
    <w:p>
      <w:pPr>
        <w:spacing w:after="0" w:line="132"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consideration thereof on August 2, 2019, the Company issued 447,373 shares and 401,347 shares of its Series A-1 Preferred Stock and Series A-2 Preferred Stock, respectively, to ISMMS at the Series A Original Issue Price, replacing the Series A Preferred Stock issued and outstanding prior to the amendment to the certificate of incorporation. Also, on August 2, 2019, the Company entered into a stock purchase agreement with third-party investors, whereby the Company issued 338,663 shares of its Series B Preferred Stock at the Series B Original Issue Price, resulting in $118.8 million in cash proceeds, net of issuance costs.</w:t>
      </w:r>
    </w:p>
    <w:p>
      <w:pPr>
        <w:spacing w:after="0" w:line="141"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In July and August 2020, the Company amended its certificate of incorporation to authorize the issuance of additional shares of redeemable convertible preferred stock. Following the amended certificate of incorporation, the Company has authority to issue 197,824 shares of redeemable convertible preferred stock with $0.00001 par value per share designated as Series C redeemable convertible preferred stock (the “Series C Preferred Stock”). The original issue price for Series C Preferred Stock is $613.67 per share (the “Series C Original Issue Price”). Concurrently with these amendments to the certificate of incorporation, the Company entered into stock purchase agreements with third-party investors, whereby the Company issued 197,821 shares of its Series C Preferred Stock at the Series C Original Issue Price, resulting in $117.3 million in cash proceeds, net of issuance costs.</w:t>
      </w:r>
    </w:p>
    <w:p>
      <w:pPr>
        <w:spacing w:after="0" w:line="9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Series A-1 Preferred Stock, the Series A-2 Preferred Stock, the Series B Preferred Stock and the Series C Preferred Stock are collectively referred to as the “Redeemable Convertible Preferred Stock.”</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Holders of the Redeemable Convertible Preferred Stock are entitled to a number of votes equal to the number of whole shares of Class A common stock into which it is convertible.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Holders of the Redeemable Convertible Preferred Stock are entitled to receive or participate in dividends to the extent that dividends are declared for holders of Class A common stock and Class B common stock, at which point the holders of the Redeemable Convertible Preferred Stock are entitled to participate on an as-converted to Class A common stock basis.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has not declared any cash or other dividends through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40"/>
          </w:cols>
          <w:pgMar w:left="320" w:top="1440" w:right="339" w:bottom="1440" w:gutter="0" w:footer="0" w:header="0"/>
        </w:sectPr>
      </w:pPr>
    </w:p>
    <w:bookmarkStart w:id="203" w:name="page204"/>
    <w:bookmarkEnd w:id="203"/>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Rights</w:t>
      </w:r>
    </w:p>
    <w:p>
      <w:pPr>
        <w:spacing w:after="0" w:line="16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Redeemable Convertible Preferred Stock is convertible into Class A common stock at the option of the holder at any time and without the payment of additional consideration and is mandatorily convertible upon the occurrence of certain events. The conversion ratio could be adjusted upon the Company’s issuance of shares of common stock below the original issue prices of the Redeemable Convertible Preferred Stock; the issuance of certain options or securities convertible into common stock of the Company; the issuance of certain dividends; and events such as stock splits, merger and reorganization.</w:t>
      </w:r>
    </w:p>
    <w:p>
      <w:pPr>
        <w:spacing w:after="0" w:line="9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There were no conversions of Redeemable Convertible Preferred Stock into Class A common stock during the years ended December 31, 2020, 2019 and 2018. As of December 31, 2020 and 2019, all shares of Redeemable Convertible Preferred Stock were convertible into shares of Class A common stock at a 1:1 ratio.</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Preference</w:t>
      </w:r>
    </w:p>
    <w:p>
      <w:pPr>
        <w:spacing w:after="0" w:line="16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the event of a liquidation, dissolution or deemed liquidation of the Company, the holders of the Series A-1 Preferred Stock, Series B Preferred Stock and Series C Preferred Stock are entitled to receive, prior to distribution to the holders of Series A-2 Preferred Stock, Class A common stock and Class B common stock, an amount per share equal to the greater of: (i) the liquidation preference amount for each series of preferred stock plus any accrued but unpaid dividends, or (ii) the amount per share that would have been payable had all shares been converted into Class A common stock immediately prior to such liquidation event. After the required distributions to the holders of the Series A-1 Preferred Stock, Series B Preferred Stock and Series C Preferred Stock, holders of the Series A-2 Preferred Stock are entitled to receive distributions of the remaining assets of the Company prior to the holders of Class A common stock and Class B common stock.</w:t>
      </w:r>
    </w:p>
    <w:p>
      <w:pPr>
        <w:spacing w:after="0" w:line="14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holders of the Series A-1 Preferred Stock and Series A-2 Preferred Stock are entitled to a liquidation preference equal to the Series A Original Issue Price.</w:t>
      </w:r>
    </w:p>
    <w:p>
      <w:pPr>
        <w:spacing w:after="0" w:line="128"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holders of the Series B Preferred Stock are entitled to a liquidation preference of $603.26 per share during the period commencing on original issue date of the Series B Preferred Stock (the “Series B Original Issue Date”) and ending on the date that is one day prior to the third anniversary of the Series B Original Issue Date; $612.69 per share during the period commencing on the third anniversary of the Series B Original Issue Date and ending on the date that is one day prior to the fourth anniversary of the Series B Original Issue Date; and $659.82 per share from and after the fourth anniversary of the Series B Original Issue Date, in each case as such amount is appropriately adjusted in the event of any stock dividend, stock split or other similar recapitalization with respect to the Series B Preferred Stock.</w:t>
      </w:r>
    </w:p>
    <w:p>
      <w:pPr>
        <w:spacing w:after="0" w:line="143" w:lineRule="exact"/>
        <w:rPr>
          <w:sz w:val="20"/>
          <w:szCs w:val="20"/>
          <w:color w:val="auto"/>
        </w:rPr>
      </w:pPr>
    </w:p>
    <w:p>
      <w:pPr>
        <w:ind w:right="2100" w:firstLine="318"/>
        <w:spacing w:after="0" w:line="430" w:lineRule="auto"/>
        <w:rPr>
          <w:sz w:val="20"/>
          <w:szCs w:val="20"/>
          <w:color w:val="auto"/>
        </w:rPr>
      </w:pPr>
      <w:r>
        <w:rPr>
          <w:rFonts w:ascii="Arial" w:cs="Arial" w:eastAsia="Arial" w:hAnsi="Arial"/>
          <w:sz w:val="18"/>
          <w:szCs w:val="18"/>
          <w:color w:val="auto"/>
        </w:rPr>
        <w:t xml:space="preserve">The holders of the Series C Preferred Stock are entitled to a liquidation preference equal to the Series C Original Issue Price. </w:t>
      </w:r>
      <w:r>
        <w:rPr>
          <w:rFonts w:ascii="Arial" w:cs="Arial" w:eastAsia="Arial" w:hAnsi="Arial"/>
          <w:sz w:val="18"/>
          <w:szCs w:val="18"/>
          <w:b w:val="1"/>
          <w:bCs w:val="1"/>
          <w:i w:val="1"/>
          <w:iCs w:val="1"/>
          <w:color w:val="auto"/>
        </w:rPr>
        <w:t>Classification of Redeemable Convertible Preferred Stock</w:t>
      </w:r>
    </w:p>
    <w:p>
      <w:pPr>
        <w:jc w:val="both"/>
        <w:ind w:firstLine="318"/>
        <w:spacing w:after="0" w:line="268" w:lineRule="auto"/>
        <w:rPr>
          <w:sz w:val="20"/>
          <w:szCs w:val="20"/>
          <w:color w:val="auto"/>
        </w:rPr>
      </w:pPr>
      <w:r>
        <w:rPr>
          <w:rFonts w:ascii="Arial" w:cs="Arial" w:eastAsia="Arial" w:hAnsi="Arial"/>
          <w:sz w:val="17"/>
          <w:szCs w:val="17"/>
          <w:color w:val="auto"/>
        </w:rPr>
        <w:t>The Redeemable Convertible Preferred Stock has deemed liquidation provisions which provide the holders the option to redeem the shares upon a change in control or other deemed liquidation event. The deemed liquidation preference provisions of the Redeemable Convertible Preferred Stock are considered contingent redemption provisions that are not solely within the Company’s control. Accordingly, the Redeemable Convertible Preferred Stock is presented outside of permanent equity in the mezzanine portion of the Company’s balance sheets. No accretion was recorded during the years ended December 31, 2020, 2019 and 2018 as a deemed liquidation event was not considered probable.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40"/>
          </w:cols>
          <w:pgMar w:left="320" w:top="1440" w:right="339" w:bottom="1440" w:gutter="0" w:footer="0" w:header="0"/>
        </w:sectPr>
      </w:pPr>
    </w:p>
    <w:bookmarkStart w:id="204" w:name="page205"/>
    <w:bookmarkEnd w:id="204"/>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Redeemable Convertible Preferred Stock at December 31, 2020 consists of the following (in thousands, except share data):</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Redeemable Convertible Preferred Stock</w:t>
            </w:r>
          </w:p>
        </w:tc>
        <w:tc>
          <w:tcPr>
            <w:tcW w:w="16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 Authorized</w:t>
            </w:r>
          </w:p>
        </w:tc>
        <w:tc>
          <w:tcPr>
            <w:tcW w:w="1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Shares Issued and</w:t>
            </w:r>
          </w:p>
        </w:tc>
        <w:tc>
          <w:tcPr>
            <w:tcW w:w="320" w:type="dxa"/>
            <w:vAlign w:val="bottom"/>
          </w:tcPr>
          <w:p>
            <w:pPr>
              <w:spacing w:after="0"/>
              <w:rPr>
                <w:sz w:val="14"/>
                <w:szCs w:val="14"/>
                <w:color w:val="auto"/>
              </w:rPr>
            </w:pPr>
          </w:p>
        </w:tc>
        <w:tc>
          <w:tcPr>
            <w:tcW w:w="13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Amount</w:t>
            </w:r>
          </w:p>
        </w:tc>
        <w:tc>
          <w:tcPr>
            <w:tcW w:w="1560" w:type="dxa"/>
            <w:vAlign w:val="bottom"/>
            <w:gridSpan w:val="2"/>
          </w:tcPr>
          <w:p>
            <w:pPr>
              <w:jc w:val="right"/>
              <w:ind w:right="15"/>
              <w:spacing w:after="0"/>
              <w:rPr>
                <w:sz w:val="20"/>
                <w:szCs w:val="20"/>
                <w:color w:val="auto"/>
              </w:rPr>
            </w:pPr>
            <w:r>
              <w:rPr>
                <w:rFonts w:ascii="Arial" w:cs="Arial" w:eastAsia="Arial" w:hAnsi="Arial"/>
                <w:sz w:val="14"/>
                <w:szCs w:val="14"/>
                <w:b w:val="1"/>
                <w:bCs w:val="1"/>
                <w:color w:val="auto"/>
                <w:w w:val="96"/>
              </w:rPr>
              <w:t>Aggregate Liquidation</w:t>
            </w:r>
          </w:p>
        </w:tc>
        <w:tc>
          <w:tcPr>
            <w:tcW w:w="0" w:type="dxa"/>
            <w:vAlign w:val="bottom"/>
          </w:tcPr>
          <w:p>
            <w:pPr>
              <w:spacing w:after="0"/>
              <w:rPr>
                <w:sz w:val="1"/>
                <w:szCs w:val="1"/>
                <w:color w:val="auto"/>
              </w:rPr>
            </w:pPr>
          </w:p>
        </w:tc>
      </w:tr>
      <w:tr>
        <w:trPr>
          <w:trHeight w:val="185"/>
        </w:trPr>
        <w:tc>
          <w:tcPr>
            <w:tcW w:w="4700" w:type="dxa"/>
            <w:vAlign w:val="bottom"/>
            <w:vMerge w:val="continue"/>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Outstanding</w:t>
            </w:r>
          </w:p>
        </w:tc>
        <w:tc>
          <w:tcPr>
            <w:tcW w:w="3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ind w:right="375"/>
              <w:spacing w:after="0"/>
              <w:rPr>
                <w:sz w:val="20"/>
                <w:szCs w:val="20"/>
                <w:color w:val="auto"/>
              </w:rPr>
            </w:pPr>
            <w:r>
              <w:rPr>
                <w:rFonts w:ascii="Arial" w:cs="Arial" w:eastAsia="Arial" w:hAnsi="Arial"/>
                <w:sz w:val="14"/>
                <w:szCs w:val="14"/>
                <w:b w:val="1"/>
                <w:bCs w:val="1"/>
                <w:color w:val="auto"/>
              </w:rPr>
              <w:t>Preference</w:t>
            </w:r>
          </w:p>
        </w:tc>
        <w:tc>
          <w:tcPr>
            <w:tcW w:w="0" w:type="dxa"/>
            <w:vAlign w:val="bottom"/>
          </w:tcPr>
          <w:p>
            <w:pPr>
              <w:spacing w:after="0"/>
              <w:rPr>
                <w:sz w:val="1"/>
                <w:szCs w:val="1"/>
                <w:color w:val="auto"/>
              </w:rPr>
            </w:pPr>
          </w:p>
        </w:tc>
      </w:tr>
      <w:tr>
        <w:trPr>
          <w:trHeight w:val="219"/>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A-1</w:t>
            </w:r>
          </w:p>
        </w:tc>
        <w:tc>
          <w:tcPr>
            <w:tcW w:w="1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447,373</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447,373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51,811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8"/>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55,000</w:t>
            </w:r>
          </w:p>
        </w:tc>
        <w:tc>
          <w:tcPr>
            <w:tcW w:w="0" w:type="dxa"/>
            <w:vAlign w:val="bottom"/>
          </w:tcPr>
          <w:p>
            <w:pPr>
              <w:spacing w:after="0"/>
              <w:rPr>
                <w:sz w:val="1"/>
                <w:szCs w:val="1"/>
                <w:color w:val="auto"/>
              </w:rPr>
            </w:pPr>
          </w:p>
        </w:tc>
      </w:tr>
      <w:tr>
        <w:trPr>
          <w:trHeight w:val="225"/>
        </w:trPr>
        <w:tc>
          <w:tcPr>
            <w:tcW w:w="4700" w:type="dxa"/>
            <w:vAlign w:val="bottom"/>
          </w:tcPr>
          <w:p>
            <w:pPr>
              <w:ind w:left="20"/>
              <w:spacing w:after="0"/>
              <w:rPr>
                <w:sz w:val="20"/>
                <w:szCs w:val="20"/>
                <w:color w:val="auto"/>
              </w:rPr>
            </w:pPr>
            <w:r>
              <w:rPr>
                <w:rFonts w:ascii="Arial" w:cs="Arial" w:eastAsia="Arial" w:hAnsi="Arial"/>
                <w:sz w:val="18"/>
                <w:szCs w:val="18"/>
                <w:color w:val="auto"/>
              </w:rPr>
              <w:t>Series A-2</w:t>
            </w: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522,627</w:t>
            </w:r>
          </w:p>
        </w:tc>
        <w:tc>
          <w:tcPr>
            <w:tcW w:w="8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401,347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46,480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49,342</w:t>
            </w:r>
          </w:p>
        </w:tc>
        <w:tc>
          <w:tcPr>
            <w:tcW w:w="0" w:type="dxa"/>
            <w:vAlign w:val="bottom"/>
          </w:tcPr>
          <w:p>
            <w:pPr>
              <w:spacing w:after="0"/>
              <w:rPr>
                <w:sz w:val="1"/>
                <w:szCs w:val="1"/>
                <w:color w:val="auto"/>
              </w:rPr>
            </w:pPr>
          </w:p>
        </w:tc>
      </w:tr>
      <w:tr>
        <w:trPr>
          <w:trHeight w:val="22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B</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338,663</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338,663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204,302</w:t>
            </w:r>
          </w:p>
        </w:tc>
        <w:tc>
          <w:tcPr>
            <w:tcW w:w="0" w:type="dxa"/>
            <w:vAlign w:val="bottom"/>
          </w:tcPr>
          <w:p>
            <w:pPr>
              <w:spacing w:after="0"/>
              <w:rPr>
                <w:sz w:val="1"/>
                <w:szCs w:val="1"/>
                <w:color w:val="auto"/>
              </w:rPr>
            </w:pPr>
          </w:p>
        </w:tc>
      </w:tr>
      <w:tr>
        <w:trPr>
          <w:trHeight w:val="225"/>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Series C</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197,824</w:t>
            </w: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197,821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117,324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121,397</w:t>
            </w:r>
          </w:p>
        </w:tc>
        <w:tc>
          <w:tcPr>
            <w:tcW w:w="0" w:type="dxa"/>
            <w:vAlign w:val="bottom"/>
          </w:tcPr>
          <w:p>
            <w:pPr>
              <w:spacing w:after="0"/>
              <w:rPr>
                <w:sz w:val="1"/>
                <w:szCs w:val="1"/>
                <w:color w:val="auto"/>
              </w:rPr>
            </w:pPr>
          </w:p>
        </w:tc>
      </w:tr>
      <w:tr>
        <w:trPr>
          <w:trHeight w:val="283"/>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Redeemable Convertible Preferred Stock</w:t>
            </w:r>
          </w:p>
        </w:tc>
        <w:tc>
          <w:tcPr>
            <w:tcW w:w="15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1,506,487</w:t>
            </w:r>
          </w:p>
        </w:tc>
        <w:tc>
          <w:tcPr>
            <w:tcW w:w="8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1,385,204</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334,439</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430,041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5"/>
          <w:szCs w:val="15"/>
          <w:b w:val="1"/>
          <w:bCs w:val="1"/>
          <w:color w:val="auto"/>
        </w:rPr>
        <w:t>Common Stock</w:t>
      </w:r>
    </w:p>
    <w:p>
      <w:pPr>
        <w:spacing w:after="0" w:line="170"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On March 1, 2018, the Company’s certificate of incorporation was amended to provide for two classes of common stock, Class A and Class B. The Company converted 57,500 Class A shares to Class B shares at a conversion ratio of 1:100. As a result, the Company has the authority to issue 1,942,500 shares of Class A common stock and 5,750,000 shares of Class B common stock, both at $0.00001 par value per share.</w:t>
      </w:r>
    </w:p>
    <w:p>
      <w:pPr>
        <w:spacing w:after="0" w:line="118"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On August 2, 2019, the Company’s certificate of incorporation was amended to increase the number of shares the Company was authorized to issue for both Class A and Class B common stock. As a result of the amended certificate of incorporation, the Company has the authority to issue 2,500,000 shares of Class A common stock and 15,000,000 shares of Class B common stock, both at $0.00001 par value per share. The Company has authority to convert all Class B common stock to shares of Class A common stock on a basis of 100 shares of Class B common stock for each share of Class A common stock.</w:t>
      </w:r>
    </w:p>
    <w:p>
      <w:pPr>
        <w:spacing w:after="0" w:line="93"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rights of the holders of Class A common stock and Class B common stock are identical, except with respect to voting and conversion. Holders of Class A common stock are entitled to one vote per share and holders of Class B common stock are entitled to one one-hundredth of a vote per share. The Company has the authority at any time by notice given to the holders of Class B common stock to convert all of the Class B common stock to shares of Class A common stock on a basis of 100 shares of Class B common stock for each share of Class A common stock.</w:t>
      </w:r>
    </w:p>
    <w:p>
      <w:pPr>
        <w:spacing w:after="0" w:line="12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There was one share of Class A common stock issued and outstanding at December 31, 2020, 2019 and 2018. There were 105,429 shares of Class B common stock issued and outstanding at December 31, 2020. There were no shares of Class B common stock issued and outstanding at December 31, 2019 and 2018. The shares of Class B common stock issued and outstanding at December 31, 2020 remained liability-classified since the Company concluded that the stockholder did not yet bear the risks and rewards of equity ownership for a reasonable period of time.</w:t>
      </w:r>
    </w:p>
    <w:p>
      <w:pPr>
        <w:spacing w:after="0" w:line="11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Income Taxes</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For the years ended December 31, 2020, 2019 and 2018, the Company did not have a current or deferred income tax expense or (benefit). Accordingly, the effective tax rate for the Company for the years ended December 31, 2020, 2019 and 2018 was zero percent. A reconciliation of the anticipated income tax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40"/>
          </w:cols>
          <w:pgMar w:left="320" w:top="1440" w:right="339" w:bottom="1440" w:gutter="0" w:footer="0" w:header="0"/>
        </w:sectPr>
      </w:pPr>
    </w:p>
    <w:bookmarkStart w:id="205" w:name="page206"/>
    <w:bookmarkEnd w:id="205"/>
    <w:p>
      <w:pPr>
        <w:spacing w:after="0" w:line="11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(benefit) computed by applying the statutory federal income tax rate of 21% to income before taxes to the amount reported in the statement of operations and comprehensive loss is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6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5"/>
              </w:rPr>
              <w:t>Year Ended December 31,</w:t>
            </w:r>
          </w:p>
        </w:tc>
        <w:tc>
          <w:tcPr>
            <w:tcW w:w="1560" w:type="dxa"/>
            <w:vAlign w:val="bottom"/>
            <w:tcBorders>
              <w:bottom w:val="single" w:sz="8" w:color="auto"/>
            </w:tcBorders>
          </w:tcPr>
          <w:p>
            <w:pPr>
              <w:spacing w:after="0"/>
              <w:rPr>
                <w:sz w:val="16"/>
                <w:szCs w:val="16"/>
                <w:color w:val="auto"/>
              </w:rPr>
            </w:pPr>
          </w:p>
        </w:tc>
      </w:tr>
      <w:tr>
        <w:trPr>
          <w:trHeight w:val="183"/>
        </w:trPr>
        <w:tc>
          <w:tcPr>
            <w:tcW w:w="636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federal taxes at statutory rate</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21.0%</w:t>
            </w:r>
          </w:p>
        </w:tc>
        <w:tc>
          <w:tcPr>
            <w:tcW w:w="1660" w:type="dxa"/>
            <w:vAlign w:val="bottom"/>
            <w:gridSpan w:val="2"/>
            <w:shd w:val="clear" w:color="auto" w:fill="CCEEFF"/>
          </w:tcPr>
          <w:p>
            <w:pPr>
              <w:jc w:val="center"/>
              <w:ind w:left="35"/>
              <w:spacing w:after="0"/>
              <w:rPr>
                <w:sz w:val="20"/>
                <w:szCs w:val="20"/>
                <w:color w:val="auto"/>
              </w:rPr>
            </w:pPr>
            <w:r>
              <w:rPr>
                <w:rFonts w:ascii="Arial" w:cs="Arial" w:eastAsia="Arial" w:hAnsi="Arial"/>
                <w:sz w:val="18"/>
                <w:szCs w:val="18"/>
                <w:color w:val="auto"/>
                <w:w w:val="90"/>
              </w:rPr>
              <w:t>21.0%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21.0%</w:t>
            </w: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color w:val="auto"/>
              </w:rPr>
              <w:t>State taxes (net of federal benefit)</w:t>
            </w: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660" w:type="dxa"/>
            <w:vAlign w:val="bottom"/>
            <w:gridSpan w:val="2"/>
          </w:tcPr>
          <w:p>
            <w:pPr>
              <w:jc w:val="center"/>
              <w:ind w:left="35"/>
              <w:spacing w:after="0"/>
              <w:rPr>
                <w:sz w:val="20"/>
                <w:szCs w:val="20"/>
                <w:color w:val="auto"/>
              </w:rPr>
            </w:pPr>
            <w:r>
              <w:rPr>
                <w:rFonts w:ascii="Arial" w:cs="Arial" w:eastAsia="Arial" w:hAnsi="Arial"/>
                <w:sz w:val="18"/>
                <w:szCs w:val="18"/>
                <w:color w:val="auto"/>
                <w:w w:val="87"/>
              </w:rPr>
              <w:t>3.5</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2.1</w:t>
            </w:r>
          </w:p>
        </w:tc>
      </w:tr>
      <w:tr>
        <w:trPr>
          <w:trHeight w:val="22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tax credits</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0.6</w:t>
            </w:r>
          </w:p>
        </w:tc>
        <w:tc>
          <w:tcPr>
            <w:tcW w:w="1660" w:type="dxa"/>
            <w:vAlign w:val="bottom"/>
            <w:gridSpan w:val="2"/>
            <w:shd w:val="clear" w:color="auto" w:fill="CCEEFF"/>
          </w:tcPr>
          <w:p>
            <w:pPr>
              <w:jc w:val="center"/>
              <w:ind w:left="35"/>
              <w:spacing w:after="0"/>
              <w:rPr>
                <w:sz w:val="20"/>
                <w:szCs w:val="20"/>
                <w:color w:val="auto"/>
              </w:rPr>
            </w:pPr>
            <w:r>
              <w:rPr>
                <w:rFonts w:ascii="Arial" w:cs="Arial" w:eastAsia="Arial" w:hAnsi="Arial"/>
                <w:sz w:val="18"/>
                <w:szCs w:val="18"/>
                <w:color w:val="auto"/>
                <w:w w:val="87"/>
              </w:rPr>
              <w:t>3.4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3.7</w:t>
            </w: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color w:val="auto"/>
              </w:rPr>
              <w:t>Non-deductible stock-based compensation</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(7.8)</w:t>
            </w:r>
          </w:p>
        </w:tc>
        <w:tc>
          <w:tcPr>
            <w:tcW w:w="1660" w:type="dxa"/>
            <w:vAlign w:val="bottom"/>
            <w:gridSpan w:val="2"/>
          </w:tcPr>
          <w:p>
            <w:pPr>
              <w:jc w:val="center"/>
              <w:ind w:left="35"/>
              <w:spacing w:after="0"/>
              <w:rPr>
                <w:sz w:val="20"/>
                <w:szCs w:val="20"/>
                <w:color w:val="auto"/>
              </w:rPr>
            </w:pPr>
            <w:r>
              <w:rPr>
                <w:rFonts w:ascii="Arial" w:cs="Arial" w:eastAsia="Arial" w:hAnsi="Arial"/>
                <w:sz w:val="18"/>
                <w:szCs w:val="18"/>
                <w:color w:val="auto"/>
                <w:w w:val="91"/>
              </w:rPr>
              <w:t>(3.3)</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6"/>
              </w:rPr>
              <w:t>(4.3)</w:t>
            </w:r>
          </w:p>
        </w:tc>
      </w:tr>
      <w:tr>
        <w:trPr>
          <w:trHeight w:val="22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Non-deductible expenses</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60" w:type="dxa"/>
            <w:vAlign w:val="bottom"/>
            <w:gridSpan w:val="2"/>
            <w:shd w:val="clear" w:color="auto" w:fill="CCEEFF"/>
          </w:tcPr>
          <w:p>
            <w:pPr>
              <w:jc w:val="center"/>
              <w:ind w:left="35"/>
              <w:spacing w:after="0"/>
              <w:rPr>
                <w:sz w:val="20"/>
                <w:szCs w:val="20"/>
                <w:color w:val="auto"/>
              </w:rPr>
            </w:pPr>
            <w:r>
              <w:rPr>
                <w:rFonts w:ascii="Arial" w:cs="Arial" w:eastAsia="Arial" w:hAnsi="Arial"/>
                <w:sz w:val="18"/>
                <w:szCs w:val="18"/>
                <w:color w:val="auto"/>
                <w:w w:val="91"/>
              </w:rPr>
              <w:t>(0.5)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(0.3)</w:t>
            </w:r>
          </w:p>
        </w:tc>
      </w:tr>
      <w:tr>
        <w:trPr>
          <w:trHeight w:val="225"/>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valuation allowance</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(15.9)</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(24.1)</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(22.2)</w:t>
            </w:r>
          </w:p>
        </w:tc>
      </w:tr>
      <w:tr>
        <w:trPr>
          <w:trHeight w:val="23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w:t>
            </w:r>
          </w:p>
        </w:tc>
        <w:tc>
          <w:tcPr>
            <w:tcW w:w="10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tax effects of temporary differences and carryforwards that give rise to significant portions of the net deferred tax assets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As of December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0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6"/>
        </w:trPr>
        <w:tc>
          <w:tcPr>
            <w:tcW w:w="80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Deferred tax assets:</w:t>
            </w:r>
          </w:p>
        </w:tc>
        <w:tc>
          <w:tcPr>
            <w:tcW w:w="9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240"/>
              <w:spacing w:after="0"/>
              <w:rPr>
                <w:sz w:val="20"/>
                <w:szCs w:val="20"/>
                <w:color w:val="auto"/>
              </w:rPr>
            </w:pPr>
            <w:r>
              <w:rPr>
                <w:rFonts w:ascii="Arial" w:cs="Arial" w:eastAsia="Arial" w:hAnsi="Arial"/>
                <w:sz w:val="18"/>
                <w:szCs w:val="18"/>
                <w:color w:val="auto"/>
              </w:rPr>
              <w:t>Net operating loss carryforwards</w:t>
            </w:r>
          </w:p>
        </w:tc>
        <w:tc>
          <w:tcPr>
            <w:tcW w:w="940" w:type="dxa"/>
            <w:vAlign w:val="bottom"/>
          </w:tcPr>
          <w:p>
            <w:pPr>
              <w:jc w:val="right"/>
              <w:ind w:right="758"/>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44,583</w:t>
            </w:r>
          </w:p>
        </w:tc>
        <w:tc>
          <w:tcPr>
            <w:tcW w:w="100" w:type="dxa"/>
            <w:vAlign w:val="bottom"/>
          </w:tcPr>
          <w:p>
            <w:pPr>
              <w:spacing w:after="0"/>
              <w:rPr>
                <w:sz w:val="19"/>
                <w:szCs w:val="19"/>
                <w:color w:val="auto"/>
              </w:rPr>
            </w:pPr>
          </w:p>
        </w:tc>
        <w:tc>
          <w:tcPr>
            <w:tcW w:w="580" w:type="dxa"/>
            <w:vAlign w:val="bottom"/>
          </w:tcPr>
          <w:p>
            <w:pPr>
              <w:jc w:val="right"/>
              <w:ind w:right="39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17,599</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25"/>
        </w:trPr>
        <w:tc>
          <w:tcPr>
            <w:tcW w:w="8020" w:type="dxa"/>
            <w:vAlign w:val="bottom"/>
          </w:tcPr>
          <w:p>
            <w:pPr>
              <w:ind w:left="240"/>
              <w:spacing w:after="0"/>
              <w:rPr>
                <w:sz w:val="20"/>
                <w:szCs w:val="20"/>
                <w:color w:val="auto"/>
              </w:rPr>
            </w:pPr>
            <w:r>
              <w:rPr>
                <w:rFonts w:ascii="Arial" w:cs="Arial" w:eastAsia="Arial" w:hAnsi="Arial"/>
                <w:sz w:val="18"/>
                <w:szCs w:val="18"/>
                <w:color w:val="auto"/>
              </w:rPr>
              <w:t>Accrued compensation</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2,337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1,331</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 credits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w:t>
            </w:r>
          </w:p>
        </w:tc>
        <w:tc>
          <w:tcPr>
            <w:tcW w:w="0" w:type="dxa"/>
            <w:vAlign w:val="bottom"/>
          </w:tcPr>
          <w:p>
            <w:pPr>
              <w:spacing w:after="0"/>
              <w:rPr>
                <w:sz w:val="1"/>
                <w:szCs w:val="1"/>
                <w:color w:val="auto"/>
              </w:rPr>
            </w:pPr>
          </w:p>
        </w:tc>
      </w:tr>
      <w:tr>
        <w:trPr>
          <w:trHeight w:val="225"/>
        </w:trPr>
        <w:tc>
          <w:tcPr>
            <w:tcW w:w="8020" w:type="dxa"/>
            <w:vAlign w:val="bottom"/>
          </w:tcPr>
          <w:p>
            <w:pPr>
              <w:ind w:left="240"/>
              <w:spacing w:after="0"/>
              <w:rPr>
                <w:sz w:val="20"/>
                <w:szCs w:val="20"/>
                <w:color w:val="auto"/>
              </w:rPr>
            </w:pPr>
            <w:r>
              <w:rPr>
                <w:rFonts w:ascii="Arial" w:cs="Arial" w:eastAsia="Arial" w:hAnsi="Arial"/>
                <w:sz w:val="18"/>
                <w:szCs w:val="18"/>
                <w:color w:val="auto"/>
              </w:rPr>
              <w:t>Deferred rent</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Unearned revenue</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020" w:type="dxa"/>
            <w:vAlign w:val="bottom"/>
          </w:tcPr>
          <w:p>
            <w:pPr>
              <w:ind w:left="240"/>
              <w:spacing w:after="0"/>
              <w:rPr>
                <w:sz w:val="20"/>
                <w:szCs w:val="20"/>
                <w:color w:val="auto"/>
              </w:rPr>
            </w:pPr>
            <w:r>
              <w:rPr>
                <w:rFonts w:ascii="Arial" w:cs="Arial" w:eastAsia="Arial" w:hAnsi="Arial"/>
                <w:sz w:val="18"/>
                <w:szCs w:val="18"/>
                <w:color w:val="auto"/>
              </w:rPr>
              <w:t>Deferred employer taxes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expense</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4"/>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Gross deferred tax assets</w:t>
            </w:r>
          </w:p>
        </w:tc>
        <w:tc>
          <w:tcPr>
            <w:tcW w:w="94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61,356</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21,576</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40"/>
              <w:spacing w:after="0"/>
              <w:rPr>
                <w:sz w:val="20"/>
                <w:szCs w:val="20"/>
                <w:color w:val="auto"/>
              </w:rPr>
            </w:pPr>
            <w:r>
              <w:rPr>
                <w:rFonts w:ascii="Arial" w:cs="Arial" w:eastAsia="Arial" w:hAnsi="Arial"/>
                <w:sz w:val="18"/>
                <w:szCs w:val="18"/>
                <w:color w:val="auto"/>
              </w:rPr>
              <w:t>Valuation allowance</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020" w:type="dxa"/>
            <w:vAlign w:val="bottom"/>
            <w:tcBorders>
              <w:bottom w:val="single" w:sz="8" w:color="CCEEFF"/>
            </w:tcBorders>
            <w:vMerge w:val="continue"/>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86"/>
              </w:rPr>
              <w:t>(58,264)</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(20,082)</w:t>
            </w:r>
          </w:p>
        </w:tc>
        <w:tc>
          <w:tcPr>
            <w:tcW w:w="0" w:type="dxa"/>
            <w:vAlign w:val="bottom"/>
          </w:tcPr>
          <w:p>
            <w:pPr>
              <w:spacing w:after="0"/>
              <w:rPr>
                <w:sz w:val="1"/>
                <w:szCs w:val="1"/>
                <w:color w:val="auto"/>
              </w:rPr>
            </w:pPr>
          </w:p>
        </w:tc>
      </w:tr>
      <w:tr>
        <w:trPr>
          <w:trHeight w:val="244"/>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deferred tax assets</w:t>
            </w:r>
          </w:p>
        </w:tc>
        <w:tc>
          <w:tcPr>
            <w:tcW w:w="94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3,092</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software</w:t>
            </w: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(2,407)</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19"/>
        </w:trPr>
        <w:tc>
          <w:tcPr>
            <w:tcW w:w="8020" w:type="dxa"/>
            <w:vAlign w:val="bottom"/>
          </w:tcPr>
          <w:p>
            <w:pPr>
              <w:ind w:left="240"/>
              <w:spacing w:after="0"/>
              <w:rPr>
                <w:sz w:val="20"/>
                <w:szCs w:val="20"/>
                <w:color w:val="auto"/>
              </w:rPr>
            </w:pPr>
            <w:r>
              <w:rPr>
                <w:rFonts w:ascii="Arial" w:cs="Arial" w:eastAsia="Arial" w:hAnsi="Arial"/>
                <w:sz w:val="18"/>
                <w:szCs w:val="18"/>
                <w:color w:val="auto"/>
              </w:rPr>
              <w:t>Total deferred tax liabilities</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(3,092)</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deferred tax assets</w:t>
            </w:r>
          </w:p>
        </w:tc>
        <w:tc>
          <w:tcPr>
            <w:tcW w:w="940" w:type="dxa"/>
            <w:vAlign w:val="bottom"/>
            <w:shd w:val="clear" w:color="auto" w:fill="CCEEFF"/>
          </w:tcPr>
          <w:p>
            <w:pPr>
              <w:jc w:val="right"/>
              <w:ind w:right="758"/>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40"/>
          </w:cols>
          <w:pgMar w:left="320" w:top="1440" w:right="339" w:bottom="1440" w:gutter="0" w:footer="0" w:header="0"/>
        </w:sectPr>
      </w:pPr>
    </w:p>
    <w:bookmarkStart w:id="206" w:name="page207"/>
    <w:bookmarkEnd w:id="206"/>
    <w:p>
      <w:pPr>
        <w:spacing w:after="0" w:line="11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of December 31, 2020, the Company had the following tax net operating loss carryforwards available to reduce future federal and state taxable income, and tax credit carryforwards available to offset future federal and Connecticut income taxes: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spacing w:after="0"/>
              <w:rPr>
                <w:sz w:val="16"/>
                <w:szCs w:val="16"/>
                <w:color w:val="auto"/>
              </w:rPr>
            </w:pPr>
          </w:p>
        </w:tc>
        <w:tc>
          <w:tcPr>
            <w:tcW w:w="1660" w:type="dxa"/>
            <w:vAlign w:val="bottom"/>
            <w:gridSpan w:val="2"/>
          </w:tcPr>
          <w:p>
            <w:pPr>
              <w:ind w:left="540"/>
              <w:spacing w:after="0"/>
              <w:rPr>
                <w:sz w:val="20"/>
                <w:szCs w:val="20"/>
                <w:color w:val="auto"/>
              </w:rPr>
            </w:pPr>
            <w:r>
              <w:rPr>
                <w:rFonts w:ascii="Arial" w:cs="Arial" w:eastAsia="Arial" w:hAnsi="Arial"/>
                <w:sz w:val="14"/>
                <w:szCs w:val="14"/>
                <w:b w:val="1"/>
                <w:bCs w:val="1"/>
                <w:color w:val="auto"/>
              </w:rPr>
              <w:t>Amount</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3"/>
              </w:rPr>
              <w:t>Expiration period</w:t>
            </w:r>
          </w:p>
        </w:tc>
      </w:tr>
      <w:tr>
        <w:trPr>
          <w:trHeight w:val="211"/>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net operating loss carryforwards:</w:t>
            </w: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25"/>
        </w:trPr>
        <w:tc>
          <w:tcPr>
            <w:tcW w:w="8020" w:type="dxa"/>
            <w:vAlign w:val="bottom"/>
          </w:tcPr>
          <w:p>
            <w:pPr>
              <w:ind w:left="240"/>
              <w:spacing w:after="0"/>
              <w:rPr>
                <w:sz w:val="20"/>
                <w:szCs w:val="20"/>
                <w:color w:val="auto"/>
              </w:rPr>
            </w:pPr>
            <w:r>
              <w:rPr>
                <w:rFonts w:ascii="Arial" w:cs="Arial" w:eastAsia="Arial" w:hAnsi="Arial"/>
                <w:sz w:val="18"/>
                <w:szCs w:val="18"/>
                <w:color w:val="auto"/>
              </w:rPr>
              <w:t>Federal (pre-2018 net operating losses)</w:t>
            </w:r>
          </w:p>
        </w:tc>
        <w:tc>
          <w:tcPr>
            <w:tcW w:w="1560" w:type="dxa"/>
            <w:vAlign w:val="bottom"/>
          </w:tcPr>
          <w:p>
            <w:pPr>
              <w:jc w:val="right"/>
              <w:spacing w:after="0"/>
              <w:rPr>
                <w:sz w:val="20"/>
                <w:szCs w:val="20"/>
                <w:color w:val="auto"/>
              </w:rPr>
            </w:pPr>
            <w:r>
              <w:rPr>
                <w:rFonts w:ascii="Arial" w:cs="Arial" w:eastAsia="Arial" w:hAnsi="Arial"/>
                <w:sz w:val="18"/>
                <w:szCs w:val="18"/>
                <w:color w:val="auto"/>
              </w:rPr>
              <w:t>33,056</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2036-2037</w:t>
            </w:r>
          </w:p>
        </w:tc>
      </w:tr>
      <w:tr>
        <w:trPr>
          <w:trHeight w:val="226"/>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Federal (post-2017 net operating losses)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155,554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No expiration</w:t>
            </w:r>
          </w:p>
        </w:tc>
      </w:tr>
      <w:tr>
        <w:trPr>
          <w:trHeight w:val="225"/>
        </w:trPr>
        <w:tc>
          <w:tcPr>
            <w:tcW w:w="8020" w:type="dxa"/>
            <w:vAlign w:val="bottom"/>
          </w:tcPr>
          <w:p>
            <w:pPr>
              <w:ind w:left="240"/>
              <w:spacing w:after="0"/>
              <w:rPr>
                <w:sz w:val="20"/>
                <w:szCs w:val="20"/>
                <w:color w:val="auto"/>
              </w:rPr>
            </w:pPr>
            <w:r>
              <w:rPr>
                <w:rFonts w:ascii="Arial" w:cs="Arial" w:eastAsia="Arial" w:hAnsi="Arial"/>
                <w:sz w:val="18"/>
                <w:szCs w:val="18"/>
                <w:color w:val="auto"/>
              </w:rPr>
              <w:t>State</w:t>
            </w:r>
          </w:p>
        </w:tc>
        <w:tc>
          <w:tcPr>
            <w:tcW w:w="1560" w:type="dxa"/>
            <w:vAlign w:val="bottom"/>
          </w:tcPr>
          <w:p>
            <w:pPr>
              <w:jc w:val="right"/>
              <w:spacing w:after="0"/>
              <w:rPr>
                <w:sz w:val="20"/>
                <w:szCs w:val="20"/>
                <w:color w:val="auto"/>
              </w:rPr>
            </w:pPr>
            <w:r>
              <w:rPr>
                <w:rFonts w:ascii="Arial" w:cs="Arial" w:eastAsia="Arial" w:hAnsi="Arial"/>
                <w:sz w:val="18"/>
                <w:szCs w:val="18"/>
                <w:color w:val="auto"/>
              </w:rPr>
              <w:t>66,937</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2028-2042</w:t>
            </w:r>
          </w:p>
        </w:tc>
      </w:tr>
      <w:tr>
        <w:trPr>
          <w:trHeight w:val="226"/>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State</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No expiration</w:t>
            </w: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Tax credit carryforwards:</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6"/>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Federal research and development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2038-2040</w:t>
            </w:r>
          </w:p>
        </w:tc>
      </w:tr>
      <w:tr>
        <w:trPr>
          <w:trHeight w:val="225"/>
        </w:trPr>
        <w:tc>
          <w:tcPr>
            <w:tcW w:w="8020" w:type="dxa"/>
            <w:vAlign w:val="bottom"/>
          </w:tcPr>
          <w:p>
            <w:pPr>
              <w:ind w:left="240"/>
              <w:spacing w:after="0"/>
              <w:rPr>
                <w:sz w:val="20"/>
                <w:szCs w:val="20"/>
                <w:color w:val="auto"/>
              </w:rPr>
            </w:pPr>
            <w:r>
              <w:rPr>
                <w:rFonts w:ascii="Arial" w:cs="Arial" w:eastAsia="Arial" w:hAnsi="Arial"/>
                <w:sz w:val="18"/>
                <w:szCs w:val="18"/>
                <w:color w:val="auto"/>
              </w:rPr>
              <w:t>Connecticut research and experimental</w:t>
            </w:r>
          </w:p>
        </w:tc>
        <w:tc>
          <w:tcPr>
            <w:tcW w:w="1560" w:type="dxa"/>
            <w:vAlign w:val="bottom"/>
          </w:tcPr>
          <w:p>
            <w:pPr>
              <w:jc w:val="right"/>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2034-2035</w:t>
            </w:r>
          </w:p>
        </w:tc>
      </w:tr>
      <w:tr>
        <w:trPr>
          <w:trHeight w:val="226"/>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Connecticut research and development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No expiration</w:t>
            </w:r>
          </w:p>
        </w:tc>
      </w:tr>
    </w:tbl>
    <w:p>
      <w:pPr>
        <w:spacing w:after="0" w:line="23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CARES Act, among other things, includes provisions relating to refundable payroll tax credits, net operating loss carryback periods, alternative minimum tax credit refunds, modifications to the net interest deduction limitations and technical corrections to tax depreciation methods for qualified improvement property.</w:t>
      </w:r>
    </w:p>
    <w:p>
      <w:pPr>
        <w:spacing w:after="0" w:line="135"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 CARES Act also provides for the elective deferral of the deposit and payment of the employer share of Social Security taxes for the period beginning March 27, 2020 and ending December 31, 2020. Under the CARES Act, 50% percent of the employer portion of Social Security tax is to be remitted no later than December 31, 2021, with the remaining 50% to be remitted no later than December 31, 2022. The Company has evaluated the effect of the elective deferral on its income tax positions and determined that the corresponding deduction related to the employer portion of Social Security tax is not deductible in the year ended December 31, 2020, resulting in a nominal deferred tax asset. The Company continues to evaluate the potential effects the CARES Act may have on its operations and consolidated financial statements in future periods.</w:t>
      </w:r>
    </w:p>
    <w:p>
      <w:pPr>
        <w:spacing w:after="0" w:line="126"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Future realization of the tax benefits of existing temporary differences and carryforwards ultimately depends on the existence of sufficient taxable income within the carryforward period. As of December 31, 2020 and 2019, the Company performed an evaluation to determine whether a valuation allowance was needed. Based on the Company’s analysis, which considered all available evidence, both positive and negative, the Company determined that it is more likely than not that its net deferred tax assets will not be realized. Accordingly, the Company maintained a full valuation allowance as of December 31, 2020 and 2019. The valuation allowance increased by $38.2 million in 2020 and $7.2 million in 2019 primarily due to the increase in net operating loss carryforwards, research and development tax credits, accrued compensation expenses, stock-based compensation and deferred rent expense.</w:t>
      </w:r>
    </w:p>
    <w:p>
      <w:pPr>
        <w:spacing w:after="0" w:line="99"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Under Internal Revenue Code Section 382, if a corporation undergoes an “ownership change,” the corporation’s ability to use its pre-change NOL carryforwards and other pre-change tax attributes to offset its post-change income may be limited. Generally, an ownership change occurs when certain shareholders increase their aggregated ownership by more than 50 percentage points over their lowest ownership percentage in a testing period (typically three years). The Company has not completed a study to assess whether an ownership change has occurred or whether there have been multiple ownership changes since becoming a “loss corporation” as defined in Section 382. Future changes in stock ownership, which may be outside of the Company’s control, may trigger an ownership change. In addition, future equity offerings or acquisitions that have an equity component of the purchase price could result in an ownership change. If an ownership change has occurred or does occur in the future, utilization of the NOL carryforwards or other tax attributes may be limited.</w:t>
      </w:r>
    </w:p>
    <w:p>
      <w:pPr>
        <w:spacing w:after="0" w:line="14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ASC 740 addresses the determination of whether tax benefits claimed or expected to be claimed on a tax return should be recorded in the financial statements by prescribing a model for recognizing, measuring, and disclosing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240"/>
          </w:cols>
          <w:pgMar w:left="320" w:top="1440" w:right="339" w:bottom="1440" w:gutter="0" w:footer="0" w:header="0"/>
        </w:sectPr>
      </w:pPr>
    </w:p>
    <w:bookmarkStart w:id="207" w:name="page208"/>
    <w:bookmarkEnd w:id="207"/>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uncertain tax positions. Unrecognized income tax benefits represent income tax positions taken on income tax returns but not yet recognized in the financial statements.</w:t>
      </w:r>
    </w:p>
    <w:p>
      <w:pPr>
        <w:spacing w:after="0" w:line="12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As of December 31, 2020 and 2019, the Company had nominal gross unrecognized tax benefits which, if recognized, would not impact the effective tax rate due to the Company’s valuation allowance position. Due to the uncertainties associated with any examinations that may arise with the relevant tax authorities, it is not possible to reasonably estimate the impact of any significant increase or decrease to the unrecognized tax benefits within the next twelve months.</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 reconciliation of the beginning and ending amounts of unrecognized tax benefits for the years ended December 31, 2020 and 2019 is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w w:val="92"/>
              </w:rPr>
              <w:t>As of December 31,</w:t>
            </w:r>
          </w:p>
        </w:tc>
        <w:tc>
          <w:tcPr>
            <w:tcW w:w="980" w:type="dxa"/>
            <w:vAlign w:val="bottom"/>
          </w:tcPr>
          <w:p>
            <w:pPr>
              <w:spacing w:after="0"/>
              <w:rPr>
                <w:sz w:val="15"/>
                <w:szCs w:val="15"/>
                <w:color w:val="auto"/>
              </w:rPr>
            </w:pPr>
          </w:p>
        </w:tc>
      </w:tr>
      <w:tr>
        <w:trPr>
          <w:trHeight w:val="24"/>
        </w:trPr>
        <w:tc>
          <w:tcPr>
            <w:tcW w:w="80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78"/>
        </w:trPr>
        <w:tc>
          <w:tcPr>
            <w:tcW w:w="802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2019</w:t>
            </w:r>
          </w:p>
        </w:tc>
      </w:tr>
      <w:tr>
        <w:trPr>
          <w:trHeight w:val="239"/>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Unrecognized tax benefits – January 1</w:t>
            </w:r>
          </w:p>
        </w:tc>
        <w:tc>
          <w:tcPr>
            <w:tcW w:w="980" w:type="dxa"/>
            <w:vAlign w:val="bottom"/>
            <w:tcBorders>
              <w:bottom w:val="single" w:sz="8" w:color="CCEEFF"/>
            </w:tcBorders>
            <w:shd w:val="clear" w:color="auto" w:fill="CCEEFF"/>
          </w:tcPr>
          <w:p>
            <w:pPr>
              <w:jc w:val="right"/>
              <w:ind w:right="798"/>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264"/>
        </w:trPr>
        <w:tc>
          <w:tcPr>
            <w:tcW w:w="8020" w:type="dxa"/>
            <w:vAlign w:val="bottom"/>
          </w:tcPr>
          <w:p>
            <w:pPr>
              <w:ind w:left="240"/>
              <w:spacing w:after="0"/>
              <w:rPr>
                <w:sz w:val="20"/>
                <w:szCs w:val="20"/>
                <w:color w:val="auto"/>
              </w:rPr>
            </w:pPr>
            <w:r>
              <w:rPr>
                <w:rFonts w:ascii="Arial" w:cs="Arial" w:eastAsia="Arial" w:hAnsi="Arial"/>
                <w:sz w:val="18"/>
                <w:szCs w:val="18"/>
                <w:color w:val="auto"/>
              </w:rPr>
              <w:t>Gross increases – tax positions in current period</w:t>
            </w:r>
          </w:p>
        </w:tc>
        <w:tc>
          <w:tcPr>
            <w:tcW w:w="9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238"/>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tax benefits – December 31</w:t>
            </w:r>
          </w:p>
        </w:tc>
        <w:tc>
          <w:tcPr>
            <w:tcW w:w="980" w:type="dxa"/>
            <w:vAlign w:val="bottom"/>
            <w:shd w:val="clear" w:color="auto" w:fill="CCEEFF"/>
          </w:tcPr>
          <w:p>
            <w:pPr>
              <w:jc w:val="right"/>
              <w:ind w:right="798"/>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r>
      <w:tr>
        <w:trPr>
          <w:trHeight w:val="28"/>
        </w:trPr>
        <w:tc>
          <w:tcPr>
            <w:tcW w:w="80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3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To the extent penalties and interest would be assessed on any underpayment of income tax, the Company’s policy is that such amounts would be accrued and classified as a component of income tax expense in the financial statements. As of December 31, 2020 and 2019, the Company had no accrued interest or penalties related to uncertain tax positions.</w:t>
      </w:r>
    </w:p>
    <w:p>
      <w:pPr>
        <w:spacing w:after="0" w:line="135"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Company files U.S federal and multiple state income tax returns as prescribed by the tax laws of the jurisdictions in which it operates. In the normal course of business, the Company is subject to examination by federal and state jurisdictions, where applicable. There are currently no pending federal or state income tax examinations. As a result of the Company’s net operating loss carryforwards, the Company’s federal and state statutes of limitations remain open for all years until the net operating loss carryforwards are utilized or expire prior to utilization.</w:t>
      </w:r>
    </w:p>
    <w:p>
      <w:pPr>
        <w:spacing w:after="0" w:line="12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As a result of legislation in the state of Connecticut, corporate entities have the opportunity to exchange certain research and development tax credit carryforwards for a cash payment of 65% of the research and development tax credits. The research and development expenses that qualify for Connecticut credits are limited to those costs incurred within Connecticut. The Company has elected to participate in the exchange program and, as a result, has recognized net benefits of $0.5 million for the year ended December 31, 2019 and $0.5 million for the year ended December 31, 2018 which is included in non-operating income in the statements of operations and comprehensive loss. The Company was not eligible for the exchange program for the year ended December 31, 2020 because it no longer qualified as a small business for purposes of the exchange program as its gross income exceeded $70.0 million for the previous tax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240"/>
          </w:cols>
          <w:pgMar w:left="320" w:top="1440" w:right="339" w:bottom="1440" w:gutter="0" w:footer="0" w:header="0"/>
        </w:sectPr>
      </w:pPr>
    </w:p>
    <w:bookmarkStart w:id="208" w:name="page209"/>
    <w:bookmarkEnd w:id="208"/>
    <w:p>
      <w:pPr>
        <w:spacing w:after="0" w:line="11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Net Loss per Share</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Basic net loss per share is computed by dividing the net loss attributable to common stockholders by the weighted-average number of shares of common stock outstanding for the period. The following table sets forth the computation of basic net loss per share attributable to common stockholders (in thousands, except for share amounts):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5"/>
              </w:rPr>
              <w:t>Year Ended December 31,</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36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3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36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(241,340)</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(32,743)</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(26,823)</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360" w:type="dxa"/>
            <w:vAlign w:val="bottom"/>
            <w:shd w:val="clear" w:color="auto" w:fill="CCEEFF"/>
          </w:tcPr>
          <w:p>
            <w:pPr>
              <w:ind w:left="20"/>
              <w:spacing w:after="0" w:line="140" w:lineRule="exact"/>
              <w:rPr>
                <w:sz w:val="20"/>
                <w:szCs w:val="20"/>
                <w:color w:val="auto"/>
              </w:rPr>
            </w:pPr>
            <w:r>
              <w:rPr>
                <w:rFonts w:ascii="Arial" w:cs="Arial" w:eastAsia="Arial" w:hAnsi="Arial"/>
                <w:sz w:val="15"/>
                <w:szCs w:val="15"/>
                <w:color w:val="auto"/>
              </w:rPr>
              <w:t>Weighted average Class A shares outstanding used in computing allocation of net loss</w:t>
            </w:r>
          </w:p>
        </w:tc>
        <w:tc>
          <w:tcPr>
            <w:tcW w:w="38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4"/>
        </w:trPr>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attributable to common stockholders</w:t>
            </w:r>
          </w:p>
        </w:tc>
        <w:tc>
          <w:tcPr>
            <w:tcW w:w="38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6360" w:type="dxa"/>
            <w:vAlign w:val="bottom"/>
          </w:tcPr>
          <w:p>
            <w:pPr>
              <w:ind w:left="20"/>
              <w:spacing w:after="0" w:line="173" w:lineRule="exact"/>
              <w:rPr>
                <w:sz w:val="20"/>
                <w:szCs w:val="20"/>
                <w:color w:val="auto"/>
              </w:rPr>
            </w:pPr>
            <w:r>
              <w:rPr>
                <w:rFonts w:ascii="Arial" w:cs="Arial" w:eastAsia="Arial" w:hAnsi="Arial"/>
                <w:sz w:val="18"/>
                <w:szCs w:val="18"/>
                <w:color w:val="auto"/>
                <w:w w:val="88"/>
              </w:rPr>
              <w:t>Weighted average Class B shares on an as converted to Class A basis used in computing</w:t>
            </w:r>
          </w:p>
        </w:tc>
        <w:tc>
          <w:tcPr>
            <w:tcW w:w="38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4"/>
        </w:trPr>
        <w:tc>
          <w:tcPr>
            <w:tcW w:w="6360" w:type="dxa"/>
            <w:vAlign w:val="bottom"/>
          </w:tcPr>
          <w:p>
            <w:pPr>
              <w:ind w:left="180"/>
              <w:spacing w:after="0"/>
              <w:rPr>
                <w:sz w:val="20"/>
                <w:szCs w:val="20"/>
                <w:color w:val="auto"/>
              </w:rPr>
            </w:pPr>
            <w:r>
              <w:rPr>
                <w:rFonts w:ascii="Arial" w:cs="Arial" w:eastAsia="Arial" w:hAnsi="Arial"/>
                <w:sz w:val="18"/>
                <w:szCs w:val="18"/>
                <w:color w:val="auto"/>
              </w:rPr>
              <w:t>allocation</w:t>
            </w:r>
          </w:p>
        </w:tc>
        <w:tc>
          <w:tcPr>
            <w:tcW w:w="38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Allocation of net loss attributable to common stockholders for basic:</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360" w:type="dxa"/>
            <w:vAlign w:val="bottom"/>
          </w:tcPr>
          <w:p>
            <w:pPr>
              <w:ind w:left="180"/>
              <w:spacing w:after="0"/>
              <w:rPr>
                <w:sz w:val="20"/>
                <w:szCs w:val="20"/>
                <w:color w:val="auto"/>
              </w:rPr>
            </w:pPr>
            <w:r>
              <w:rPr>
                <w:rFonts w:ascii="Arial" w:cs="Arial" w:eastAsia="Arial" w:hAnsi="Arial"/>
                <w:sz w:val="18"/>
                <w:szCs w:val="18"/>
                <w:color w:val="auto"/>
              </w:rPr>
              <w:t>Class A common stock</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(5,824)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(32,743)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(26,823)</w:t>
            </w:r>
          </w:p>
        </w:tc>
        <w:tc>
          <w:tcPr>
            <w:tcW w:w="0" w:type="dxa"/>
            <w:vAlign w:val="bottom"/>
          </w:tcPr>
          <w:p>
            <w:pPr>
              <w:spacing w:after="0"/>
              <w:rPr>
                <w:sz w:val="1"/>
                <w:szCs w:val="1"/>
                <w:color w:val="auto"/>
              </w:rPr>
            </w:pPr>
          </w:p>
        </w:tc>
      </w:tr>
      <w:tr>
        <w:trPr>
          <w:trHeight w:val="226"/>
        </w:trPr>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Class B common stock</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b w:val="1"/>
                <w:bCs w:val="1"/>
                <w:color w:val="auto"/>
              </w:rPr>
              <w:t>Denominator:</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6360" w:type="dxa"/>
            <w:vAlign w:val="bottom"/>
            <w:shd w:val="clear" w:color="auto" w:fill="CCEEFF"/>
          </w:tcPr>
          <w:p>
            <w:pPr>
              <w:ind w:left="20"/>
              <w:spacing w:after="0" w:line="173" w:lineRule="exact"/>
              <w:rPr>
                <w:sz w:val="20"/>
                <w:szCs w:val="20"/>
                <w:color w:val="auto"/>
              </w:rPr>
            </w:pPr>
            <w:r>
              <w:rPr>
                <w:rFonts w:ascii="Arial" w:cs="Arial" w:eastAsia="Arial" w:hAnsi="Arial"/>
                <w:sz w:val="18"/>
                <w:szCs w:val="18"/>
                <w:color w:val="auto"/>
                <w:w w:val="92"/>
              </w:rPr>
              <w:t>Weighted average shares used in computing net loss per share attributable to Class A</w:t>
            </w:r>
          </w:p>
        </w:tc>
        <w:tc>
          <w:tcPr>
            <w:tcW w:w="3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4"/>
        </w:trPr>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stockholders</w:t>
            </w:r>
          </w:p>
        </w:tc>
        <w:tc>
          <w:tcPr>
            <w:tcW w:w="38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6360" w:type="dxa"/>
            <w:vAlign w:val="bottom"/>
          </w:tcPr>
          <w:p>
            <w:pPr>
              <w:ind w:left="20"/>
              <w:spacing w:after="0" w:line="173" w:lineRule="exact"/>
              <w:rPr>
                <w:sz w:val="20"/>
                <w:szCs w:val="20"/>
                <w:color w:val="auto"/>
              </w:rPr>
            </w:pPr>
            <w:r>
              <w:rPr>
                <w:rFonts w:ascii="Arial" w:cs="Arial" w:eastAsia="Arial" w:hAnsi="Arial"/>
                <w:sz w:val="18"/>
                <w:szCs w:val="18"/>
                <w:color w:val="auto"/>
                <w:w w:val="92"/>
              </w:rPr>
              <w:t>Weighted average shares used in computing net loss per share attributable to Class B</w:t>
            </w:r>
          </w:p>
        </w:tc>
        <w:tc>
          <w:tcPr>
            <w:tcW w:w="38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4,044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6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common stockholders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net loss per share attributable to Class A common stockholders</w:t>
            </w: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(5,824)</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(32,743)</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(26,823)</w:t>
            </w:r>
          </w:p>
        </w:tc>
        <w:tc>
          <w:tcPr>
            <w:tcW w:w="0" w:type="dxa"/>
            <w:vAlign w:val="bottom"/>
          </w:tcPr>
          <w:p>
            <w:pPr>
              <w:spacing w:after="0"/>
              <w:rPr>
                <w:sz w:val="1"/>
                <w:szCs w:val="1"/>
                <w:color w:val="auto"/>
              </w:rPr>
            </w:pPr>
          </w:p>
        </w:tc>
      </w:tr>
      <w:tr>
        <w:trPr>
          <w:trHeight w:val="259"/>
        </w:trPr>
        <w:tc>
          <w:tcPr>
            <w:tcW w:w="6360" w:type="dxa"/>
            <w:vAlign w:val="bottom"/>
          </w:tcPr>
          <w:p>
            <w:pPr>
              <w:ind w:left="20"/>
              <w:spacing w:after="0"/>
              <w:rPr>
                <w:sz w:val="20"/>
                <w:szCs w:val="20"/>
                <w:color w:val="auto"/>
              </w:rPr>
            </w:pPr>
            <w:r>
              <w:rPr>
                <w:rFonts w:ascii="Arial" w:cs="Arial" w:eastAsia="Arial" w:hAnsi="Arial"/>
                <w:sz w:val="18"/>
                <w:szCs w:val="18"/>
                <w:color w:val="auto"/>
              </w:rPr>
              <w:t>Basic net loss per share attributable to Class B common stockholders</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(58)</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Diluted net loss per share is computed based on the weighted-average number of shares of common stock, including the dilutive effect of common stock equivalents, outstanding. Basic net loss per share is the same as diluted net loss per share for 2018 and 2019 as the inclusion of potentially dilutive shares would have been anti-dilutive.</w:t>
      </w:r>
    </w:p>
    <w:p>
      <w:pPr>
        <w:spacing w:after="0" w:line="13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For the year ended December 31, 2020, the Company’s diluted net loss per share of Class A common stock assumed the conversion of all Class B common stock into Class A common stock in accordance with the if-converted method. For the year ended December 31, 2020, the calculation of diluted net loss per share of Class B common stock did not differ from the calculation of basic net loss per share as the inclusion of potentially dilutive shares would have been anti-dilutive. The following table sets forth the computation of diluted net loss per share of Class A common stock for the year ended December 31, 2020 (in thousands, except for share amounts):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6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Year Ended December 31,</w:t>
            </w: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6360" w:type="dxa"/>
            <w:vAlign w:val="bottom"/>
          </w:tcPr>
          <w:p>
            <w:pPr>
              <w:spacing w:after="0"/>
              <w:rPr>
                <w:sz w:val="11"/>
                <w:szCs w:val="11"/>
                <w:color w:val="auto"/>
              </w:rPr>
            </w:pPr>
          </w:p>
        </w:tc>
        <w:tc>
          <w:tcPr>
            <w:tcW w:w="1560" w:type="dxa"/>
            <w:vAlign w:val="bottom"/>
            <w:gridSpan w:val="2"/>
          </w:tcPr>
          <w:p>
            <w:pPr>
              <w:jc w:val="right"/>
              <w:spacing w:after="0" w:line="131" w:lineRule="exact"/>
              <w:rPr>
                <w:sz w:val="20"/>
                <w:szCs w:val="20"/>
                <w:color w:val="auto"/>
              </w:rPr>
            </w:pPr>
            <w:r>
              <w:rPr>
                <w:rFonts w:ascii="Arial" w:cs="Arial" w:eastAsia="Arial" w:hAnsi="Arial"/>
                <w:sz w:val="14"/>
                <w:szCs w:val="14"/>
                <w:b w:val="1"/>
                <w:bCs w:val="1"/>
                <w:color w:val="auto"/>
                <w:w w:val="94"/>
              </w:rPr>
              <w:t>Net Loss Attributable to</w:t>
            </w:r>
          </w:p>
        </w:tc>
        <w:tc>
          <w:tcPr>
            <w:tcW w:w="100" w:type="dxa"/>
            <w:vAlign w:val="bottom"/>
          </w:tcPr>
          <w:p>
            <w:pPr>
              <w:spacing w:after="0"/>
              <w:rPr>
                <w:sz w:val="11"/>
                <w:szCs w:val="11"/>
                <w:color w:val="auto"/>
              </w:rPr>
            </w:pPr>
          </w:p>
        </w:tc>
        <w:tc>
          <w:tcPr>
            <w:tcW w:w="1660" w:type="dxa"/>
            <w:vAlign w:val="bottom"/>
            <w:gridSpan w:val="2"/>
          </w:tcPr>
          <w:p>
            <w:pPr>
              <w:jc w:val="center"/>
              <w:ind w:right="80"/>
              <w:spacing w:after="0" w:line="131" w:lineRule="exact"/>
              <w:rPr>
                <w:sz w:val="20"/>
                <w:szCs w:val="20"/>
                <w:color w:val="auto"/>
              </w:rPr>
            </w:pPr>
            <w:r>
              <w:rPr>
                <w:rFonts w:ascii="Arial" w:cs="Arial" w:eastAsia="Arial" w:hAnsi="Arial"/>
                <w:sz w:val="14"/>
                <w:szCs w:val="14"/>
                <w:b w:val="1"/>
                <w:bCs w:val="1"/>
                <w:color w:val="auto"/>
                <w:w w:val="88"/>
              </w:rPr>
              <w:t>Weighted average shares</w:t>
            </w:r>
          </w:p>
        </w:tc>
        <w:tc>
          <w:tcPr>
            <w:tcW w:w="220" w:type="dxa"/>
            <w:vAlign w:val="bottom"/>
          </w:tcPr>
          <w:p>
            <w:pPr>
              <w:spacing w:after="0"/>
              <w:rPr>
                <w:sz w:val="11"/>
                <w:szCs w:val="11"/>
                <w:color w:val="auto"/>
              </w:rPr>
            </w:pPr>
          </w:p>
        </w:tc>
        <w:tc>
          <w:tcPr>
            <w:tcW w:w="1340" w:type="dxa"/>
            <w:vAlign w:val="bottom"/>
            <w:vMerge w:val="restart"/>
          </w:tcPr>
          <w:p>
            <w:pPr>
              <w:jc w:val="right"/>
              <w:ind w:right="258"/>
              <w:spacing w:after="0"/>
              <w:rPr>
                <w:sz w:val="20"/>
                <w:szCs w:val="20"/>
                <w:color w:val="auto"/>
              </w:rPr>
            </w:pPr>
            <w:r>
              <w:rPr>
                <w:rFonts w:ascii="Arial" w:cs="Arial" w:eastAsia="Arial" w:hAnsi="Arial"/>
                <w:sz w:val="14"/>
                <w:szCs w:val="14"/>
                <w:b w:val="1"/>
                <w:bCs w:val="1"/>
                <w:color w:val="auto"/>
                <w:w w:val="98"/>
              </w:rPr>
              <w:t>Loss per share</w:t>
            </w:r>
          </w:p>
        </w:tc>
        <w:tc>
          <w:tcPr>
            <w:tcW w:w="0" w:type="dxa"/>
            <w:vAlign w:val="bottom"/>
          </w:tcPr>
          <w:p>
            <w:pPr>
              <w:spacing w:after="0"/>
              <w:rPr>
                <w:sz w:val="1"/>
                <w:szCs w:val="1"/>
                <w:color w:val="auto"/>
              </w:rPr>
            </w:pPr>
          </w:p>
        </w:tc>
      </w:tr>
      <w:tr>
        <w:trPr>
          <w:trHeight w:val="185"/>
        </w:trPr>
        <w:tc>
          <w:tcPr>
            <w:tcW w:w="636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93"/>
              </w:rPr>
              <w:t>Class A common stock</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outstanding</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net loss per share</w:t>
            </w: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(5,824)</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(5,824)</w:t>
            </w:r>
          </w:p>
        </w:tc>
        <w:tc>
          <w:tcPr>
            <w:tcW w:w="0" w:type="dxa"/>
            <w:vAlign w:val="bottom"/>
          </w:tcPr>
          <w:p>
            <w:pPr>
              <w:spacing w:after="0"/>
              <w:rPr>
                <w:sz w:val="1"/>
                <w:szCs w:val="1"/>
                <w:color w:val="auto"/>
              </w:rPr>
            </w:pP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color w:val="auto"/>
                <w:w w:val="97"/>
              </w:rPr>
              <w:t>Add:The effect of dilutive potential Class A common stock Class B common stock</w:t>
            </w:r>
          </w:p>
        </w:tc>
        <w:tc>
          <w:tcPr>
            <w:tcW w:w="480" w:type="dxa"/>
            <w:vAlign w:val="bottom"/>
          </w:tcPr>
          <w:p>
            <w:pPr>
              <w:jc w:val="right"/>
              <w:ind w:right="279"/>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(235,516)</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net loss per share attributable to Class A common stock</w:t>
            </w: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(241,340)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240"/>
          </w:cols>
          <w:pgMar w:left="320" w:top="1440" w:right="339" w:bottom="1440" w:gutter="0" w:footer="0" w:header="0"/>
        </w:sectPr>
      </w:pPr>
    </w:p>
    <w:bookmarkStart w:id="209" w:name="page210"/>
    <w:bookmarkEnd w:id="209"/>
    <w:p>
      <w:pPr>
        <w:spacing w:after="0" w:line="119"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The following table summarizes the outstanding shares of potentially dilutive securities that were excluded from the computation of diluted net loss per share attributable to common stockholders for the period presented because including them would have been anti-dilutive: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6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5"/>
              </w:rPr>
              <w:t>Year Ended December 31,</w:t>
            </w: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36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options to purchase Class A common stock</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128,500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142,500</w:t>
            </w:r>
          </w:p>
        </w:tc>
        <w:tc>
          <w:tcPr>
            <w:tcW w:w="0" w:type="dxa"/>
            <w:vAlign w:val="bottom"/>
          </w:tcPr>
          <w:p>
            <w:pPr>
              <w:spacing w:after="0"/>
              <w:rPr>
                <w:sz w:val="1"/>
                <w:szCs w:val="1"/>
                <w:color w:val="auto"/>
              </w:rPr>
            </w:pP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color w:val="auto"/>
              </w:rPr>
              <w:t>Outstanding options to purchase Class B common stock</w:t>
            </w:r>
          </w:p>
        </w:tc>
        <w:tc>
          <w:tcPr>
            <w:tcW w:w="1560" w:type="dxa"/>
            <w:vAlign w:val="bottom"/>
          </w:tcPr>
          <w:p>
            <w:pPr>
              <w:jc w:val="right"/>
              <w:spacing w:after="0"/>
              <w:rPr>
                <w:sz w:val="20"/>
                <w:szCs w:val="20"/>
                <w:color w:val="auto"/>
              </w:rPr>
            </w:pPr>
            <w:r>
              <w:rPr>
                <w:rFonts w:ascii="Arial" w:cs="Arial" w:eastAsia="Arial" w:hAnsi="Arial"/>
                <w:sz w:val="18"/>
                <w:szCs w:val="18"/>
                <w:color w:val="auto"/>
              </w:rPr>
              <w:t>13,915,604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5,312,843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2,434,028</w:t>
            </w:r>
          </w:p>
        </w:tc>
        <w:tc>
          <w:tcPr>
            <w:tcW w:w="0" w:type="dxa"/>
            <w:vAlign w:val="bottom"/>
          </w:tcPr>
          <w:p>
            <w:pPr>
              <w:spacing w:after="0"/>
              <w:rPr>
                <w:sz w:val="1"/>
                <w:szCs w:val="1"/>
                <w:color w:val="auto"/>
              </w:rPr>
            </w:pPr>
          </w:p>
        </w:tc>
      </w:tr>
      <w:tr>
        <w:trPr>
          <w:trHeight w:val="174"/>
        </w:trPr>
        <w:tc>
          <w:tcPr>
            <w:tcW w:w="636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Redeemable convertible preferred stock (on an if-</w:t>
            </w: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1,272,821</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979,526</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814,071</w:t>
            </w:r>
          </w:p>
        </w:tc>
        <w:tc>
          <w:tcPr>
            <w:tcW w:w="0" w:type="dxa"/>
            <w:vAlign w:val="bottom"/>
          </w:tcPr>
          <w:p>
            <w:pPr>
              <w:spacing w:after="0"/>
              <w:rPr>
                <w:sz w:val="1"/>
                <w:szCs w:val="1"/>
                <w:color w:val="auto"/>
              </w:rPr>
            </w:pP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converted basis)</w:t>
            </w:r>
          </w:p>
        </w:tc>
        <w:tc>
          <w:tcPr>
            <w:tcW w:w="15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360" w:type="dxa"/>
            <w:vAlign w:val="bottom"/>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15,310,425</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6,420,869</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3,390,599</w:t>
            </w:r>
          </w:p>
        </w:tc>
        <w:tc>
          <w:tcPr>
            <w:tcW w:w="0" w:type="dxa"/>
            <w:vAlign w:val="bottom"/>
          </w:tcPr>
          <w:p>
            <w:pPr>
              <w:spacing w:after="0"/>
              <w:rPr>
                <w:sz w:val="1"/>
                <w:szCs w:val="1"/>
                <w:color w:val="auto"/>
              </w:rPr>
            </w:pPr>
          </w:p>
        </w:tc>
      </w:tr>
      <w:tr>
        <w:trPr>
          <w:trHeight w:val="20"/>
        </w:trPr>
        <w:tc>
          <w:tcPr>
            <w:tcW w:w="6360" w:type="dxa"/>
            <w:vAlign w:val="bottom"/>
            <w:vMerge w:val="restart"/>
          </w:tcPr>
          <w:p>
            <w:pPr>
              <w:spacing w:after="0"/>
              <w:rPr>
                <w:sz w:val="20"/>
                <w:szCs w:val="20"/>
                <w:color w:val="auto"/>
              </w:rPr>
            </w:pPr>
            <w:r>
              <w:rPr>
                <w:rFonts w:ascii="Arial" w:cs="Arial" w:eastAsia="Arial" w:hAnsi="Arial"/>
                <w:sz w:val="18"/>
                <w:szCs w:val="18"/>
                <w:b w:val="1"/>
                <w:bCs w:val="1"/>
                <w:color w:val="auto"/>
              </w:rPr>
              <w:t>14.  Supplemental Financial Information</w:t>
            </w: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6"/>
        </w:trPr>
        <w:tc>
          <w:tcPr>
            <w:tcW w:w="636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6360" w:type="dxa"/>
            <w:vAlign w:val="bottom"/>
          </w:tcPr>
          <w:p>
            <w:pPr>
              <w:spacing w:after="0"/>
              <w:rPr>
                <w:sz w:val="20"/>
                <w:szCs w:val="20"/>
                <w:color w:val="auto"/>
              </w:rPr>
            </w:pPr>
            <w:r>
              <w:rPr>
                <w:rFonts w:ascii="Arial" w:cs="Arial" w:eastAsia="Arial" w:hAnsi="Arial"/>
                <w:sz w:val="18"/>
                <w:szCs w:val="18"/>
                <w:b w:val="1"/>
                <w:bCs w:val="1"/>
                <w:i w:val="1"/>
                <w:iCs w:val="1"/>
                <w:color w:val="auto"/>
              </w:rPr>
              <w:t>Other current liabilities</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6360" w:type="dxa"/>
            <w:vAlign w:val="bottom"/>
          </w:tcPr>
          <w:p>
            <w:pPr>
              <w:ind w:left="320"/>
              <w:spacing w:after="0"/>
              <w:rPr>
                <w:sz w:val="20"/>
                <w:szCs w:val="20"/>
                <w:color w:val="auto"/>
              </w:rPr>
            </w:pPr>
            <w:r>
              <w:rPr>
                <w:rFonts w:ascii="Arial" w:cs="Arial" w:eastAsia="Arial" w:hAnsi="Arial"/>
                <w:sz w:val="18"/>
                <w:szCs w:val="18"/>
                <w:color w:val="auto"/>
              </w:rPr>
              <w:t>Other current liabilities consisted of the following (in thousands):</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6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6360" w:type="dxa"/>
            <w:vAlign w:val="bottom"/>
            <w:tcBorders>
              <w:bottom w:val="single" w:sz="8" w:color="CCEEFF"/>
            </w:tcBorders>
          </w:tcPr>
          <w:p>
            <w:pPr>
              <w:spacing w:after="0"/>
              <w:rPr>
                <w:sz w:val="15"/>
                <w:szCs w:val="15"/>
                <w:color w:val="auto"/>
              </w:rPr>
            </w:pPr>
          </w:p>
        </w:tc>
        <w:tc>
          <w:tcPr>
            <w:tcW w:w="15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6"/>
        </w:trPr>
        <w:tc>
          <w:tcPr>
            <w:tcW w:w="636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Other current liabilities:</w:t>
            </w: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360" w:type="dxa"/>
            <w:vAlign w:val="bottom"/>
          </w:tcPr>
          <w:p>
            <w:pPr>
              <w:ind w:left="240"/>
              <w:spacing w:after="0"/>
              <w:rPr>
                <w:sz w:val="20"/>
                <w:szCs w:val="20"/>
                <w:color w:val="auto"/>
              </w:rPr>
            </w:pPr>
            <w:r>
              <w:rPr>
                <w:rFonts w:ascii="Arial" w:cs="Arial" w:eastAsia="Arial" w:hAnsi="Arial"/>
                <w:sz w:val="18"/>
                <w:szCs w:val="18"/>
                <w:color w:val="auto"/>
              </w:rPr>
              <w:t>Accrued bonus</w:t>
            </w:r>
          </w:p>
        </w:tc>
        <w:tc>
          <w:tcPr>
            <w:tcW w:w="156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9,821</w:t>
            </w:r>
          </w:p>
        </w:tc>
        <w:tc>
          <w:tcPr>
            <w:tcW w:w="100" w:type="dxa"/>
            <w:vAlign w:val="bottom"/>
          </w:tcPr>
          <w:p>
            <w:pPr>
              <w:spacing w:after="0"/>
              <w:rPr>
                <w:sz w:val="19"/>
                <w:szCs w:val="19"/>
                <w:color w:val="auto"/>
              </w:rPr>
            </w:pPr>
          </w:p>
        </w:tc>
        <w:tc>
          <w:tcPr>
            <w:tcW w:w="580" w:type="dxa"/>
            <w:vAlign w:val="bottom"/>
          </w:tcPr>
          <w:p>
            <w:pPr>
              <w:jc w:val="right"/>
              <w:ind w:right="39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5,296</w:t>
            </w:r>
          </w:p>
        </w:tc>
        <w:tc>
          <w:tcPr>
            <w:tcW w:w="0" w:type="dxa"/>
            <w:vAlign w:val="bottom"/>
          </w:tcPr>
          <w:p>
            <w:pPr>
              <w:spacing w:after="0"/>
              <w:rPr>
                <w:sz w:val="1"/>
                <w:szCs w:val="1"/>
                <w:color w:val="auto"/>
              </w:rPr>
            </w:pPr>
          </w:p>
        </w:tc>
      </w:tr>
      <w:tr>
        <w:trPr>
          <w:trHeight w:val="226"/>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Accrued payroll</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w:t>
            </w:r>
          </w:p>
        </w:tc>
        <w:tc>
          <w:tcPr>
            <w:tcW w:w="0" w:type="dxa"/>
            <w:vAlign w:val="bottom"/>
          </w:tcPr>
          <w:p>
            <w:pPr>
              <w:spacing w:after="0"/>
              <w:rPr>
                <w:sz w:val="1"/>
                <w:szCs w:val="1"/>
                <w:color w:val="auto"/>
              </w:rPr>
            </w:pPr>
          </w:p>
        </w:tc>
      </w:tr>
      <w:tr>
        <w:trPr>
          <w:trHeight w:val="225"/>
        </w:trPr>
        <w:tc>
          <w:tcPr>
            <w:tcW w:w="6360" w:type="dxa"/>
            <w:vAlign w:val="bottom"/>
          </w:tcPr>
          <w:p>
            <w:pPr>
              <w:ind w:left="240"/>
              <w:spacing w:after="0"/>
              <w:rPr>
                <w:sz w:val="20"/>
                <w:szCs w:val="20"/>
                <w:color w:val="auto"/>
              </w:rPr>
            </w:pPr>
            <w:r>
              <w:rPr>
                <w:rFonts w:ascii="Arial" w:cs="Arial" w:eastAsia="Arial" w:hAnsi="Arial"/>
                <w:sz w:val="18"/>
                <w:szCs w:val="18"/>
                <w:color w:val="auto"/>
              </w:rPr>
              <w:t>Accrued benefits</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3,663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26"/>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Accrued commissions</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25"/>
        </w:trPr>
        <w:tc>
          <w:tcPr>
            <w:tcW w:w="6360" w:type="dxa"/>
            <w:vAlign w:val="bottom"/>
          </w:tcPr>
          <w:p>
            <w:pPr>
              <w:ind w:left="240"/>
              <w:spacing w:after="0"/>
              <w:rPr>
                <w:sz w:val="20"/>
                <w:szCs w:val="20"/>
                <w:color w:val="auto"/>
              </w:rPr>
            </w:pPr>
            <w:r>
              <w:rPr>
                <w:rFonts w:ascii="Arial" w:cs="Arial" w:eastAsia="Arial" w:hAnsi="Arial"/>
                <w:sz w:val="18"/>
                <w:szCs w:val="18"/>
                <w:color w:val="auto"/>
              </w:rPr>
              <w:t>Current portion of long-term debt</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1,770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4,509</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0" w:type="dxa"/>
            <w:vAlign w:val="bottom"/>
          </w:tcPr>
          <w:p>
            <w:pPr>
              <w:spacing w:after="0"/>
              <w:rPr>
                <w:sz w:val="1"/>
                <w:szCs w:val="1"/>
                <w:color w:val="auto"/>
              </w:rPr>
            </w:pPr>
          </w:p>
        </w:tc>
      </w:tr>
      <w:tr>
        <w:trPr>
          <w:trHeight w:val="219"/>
        </w:trPr>
        <w:tc>
          <w:tcPr>
            <w:tcW w:w="6360" w:type="dxa"/>
            <w:vAlign w:val="bottom"/>
          </w:tcPr>
          <w:p>
            <w:pPr>
              <w:ind w:left="20"/>
              <w:spacing w:after="0"/>
              <w:rPr>
                <w:sz w:val="20"/>
                <w:szCs w:val="20"/>
                <w:color w:val="auto"/>
              </w:rPr>
            </w:pPr>
            <w:r>
              <w:rPr>
                <w:rFonts w:ascii="Arial" w:cs="Arial" w:eastAsia="Arial" w:hAnsi="Arial"/>
                <w:sz w:val="18"/>
                <w:szCs w:val="18"/>
                <w:color w:val="auto"/>
              </w:rPr>
              <w:t>Total current other liabilities</w:t>
            </w:r>
          </w:p>
        </w:tc>
        <w:tc>
          <w:tcPr>
            <w:tcW w:w="156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28,137</w:t>
            </w:r>
          </w:p>
        </w:tc>
        <w:tc>
          <w:tcPr>
            <w:tcW w:w="100" w:type="dxa"/>
            <w:vAlign w:val="bottom"/>
          </w:tcPr>
          <w:p>
            <w:pPr>
              <w:spacing w:after="0"/>
              <w:rPr>
                <w:sz w:val="19"/>
                <w:szCs w:val="19"/>
                <w:color w:val="auto"/>
              </w:rPr>
            </w:pPr>
          </w:p>
        </w:tc>
        <w:tc>
          <w:tcPr>
            <w:tcW w:w="580" w:type="dxa"/>
            <w:vAlign w:val="bottom"/>
          </w:tcPr>
          <w:p>
            <w:pPr>
              <w:jc w:val="right"/>
              <w:ind w:right="39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10,407</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5"/>
          <w:szCs w:val="15"/>
          <w:b w:val="1"/>
          <w:bCs w:val="1"/>
          <w:color w:val="auto"/>
        </w:rPr>
        <w:t>Subsequent Events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has evaluated subsequent events through May 6, 2021, the date the financial statements were available to be issued.</w:t>
      </w:r>
    </w:p>
    <w:p>
      <w:pPr>
        <w:spacing w:after="0" w:line="16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On February 9, 2021, the Company, CM Life Sciences, Inc. (“CMLS”), and S-IV Sub, Inc., a direct and wholly-owned subsidiary of CMLS, entered into an Agreement and Plan of Merger (the “Merger Agreement”), pursuant to which CMLS will acquire the Company through a merger of S-IV Sub, Inc. with and into the Company (the “Merger”), with the Company being the surviving corporation and a wholly-owned subsidiary of CMLS following the Merger. Once effective, all equity securities of the Company will be converted into the right to receive the applicable portion of merger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240"/>
          </w:cols>
          <w:pgMar w:left="320" w:top="1440" w:right="339" w:bottom="1440" w:gutter="0" w:footer="0" w:header="0"/>
        </w:sectPr>
      </w:pPr>
    </w:p>
    <w:bookmarkStart w:id="210" w:name="page211"/>
    <w:bookmarkEnd w:id="210"/>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8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gridSpan w:val="2"/>
          </w:tcPr>
          <w:p>
            <w:pPr>
              <w:ind w:left="180"/>
              <w:spacing w:after="0" w:line="133" w:lineRule="exact"/>
              <w:rPr>
                <w:sz w:val="20"/>
                <w:szCs w:val="20"/>
                <w:color w:val="auto"/>
              </w:rPr>
            </w:pPr>
            <w:r>
              <w:rPr>
                <w:rFonts w:ascii="Arial" w:cs="Arial" w:eastAsia="Arial" w:hAnsi="Arial"/>
                <w:sz w:val="14"/>
                <w:szCs w:val="14"/>
                <w:b w:val="1"/>
                <w:bCs w:val="1"/>
                <w:color w:val="auto"/>
              </w:rPr>
              <w:t>March 31,</w:t>
            </w:r>
          </w:p>
        </w:tc>
        <w:tc>
          <w:tcPr>
            <w:tcW w:w="16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vMerge w:val="restart"/>
          </w:tcPr>
          <w:p>
            <w:pPr>
              <w:jc w:val="right"/>
              <w:ind w:right="112"/>
              <w:spacing w:after="0"/>
              <w:rPr>
                <w:sz w:val="20"/>
                <w:szCs w:val="20"/>
                <w:color w:val="auto"/>
              </w:rPr>
            </w:pPr>
            <w:r>
              <w:rPr>
                <w:rFonts w:ascii="Arial" w:cs="Arial" w:eastAsia="Arial" w:hAnsi="Arial"/>
                <w:sz w:val="14"/>
                <w:szCs w:val="14"/>
                <w:b w:val="1"/>
                <w:bCs w:val="1"/>
                <w:color w:val="auto"/>
                <w:w w:val="93"/>
              </w:rPr>
              <w:t>December 31, 2020</w:t>
            </w:r>
          </w:p>
        </w:tc>
        <w:tc>
          <w:tcPr>
            <w:tcW w:w="0" w:type="dxa"/>
            <w:vAlign w:val="bottom"/>
          </w:tcPr>
          <w:p>
            <w:pPr>
              <w:spacing w:after="0"/>
              <w:rPr>
                <w:sz w:val="1"/>
                <w:szCs w:val="1"/>
                <w:color w:val="auto"/>
              </w:rPr>
            </w:pPr>
          </w:p>
        </w:tc>
      </w:tr>
      <w:tr>
        <w:trPr>
          <w:trHeight w:val="185"/>
        </w:trPr>
        <w:tc>
          <w:tcPr>
            <w:tcW w:w="80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108,132</w:t>
            </w:r>
          </w:p>
        </w:tc>
        <w:tc>
          <w:tcPr>
            <w:tcW w:w="0" w:type="dxa"/>
            <w:vAlign w:val="bottom"/>
          </w:tcPr>
          <w:p>
            <w:pPr>
              <w:spacing w:after="0"/>
              <w:rPr>
                <w:sz w:val="1"/>
                <w:szCs w:val="1"/>
                <w:color w:val="auto"/>
              </w:rPr>
            </w:pPr>
          </w:p>
        </w:tc>
      </w:tr>
      <w:tr>
        <w:trPr>
          <w:trHeight w:val="225"/>
        </w:trPr>
        <w:tc>
          <w:tcPr>
            <w:tcW w:w="802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33,490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32,044</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Due from related parties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25"/>
        </w:trPr>
        <w:tc>
          <w:tcPr>
            <w:tcW w:w="802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32,969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24,962</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8,681</w:t>
            </w:r>
          </w:p>
        </w:tc>
        <w:tc>
          <w:tcPr>
            <w:tcW w:w="0" w:type="dxa"/>
            <w:vAlign w:val="bottom"/>
          </w:tcPr>
          <w:p>
            <w:pPr>
              <w:spacing w:after="0"/>
              <w:rPr>
                <w:sz w:val="1"/>
                <w:szCs w:val="1"/>
                <w:color w:val="auto"/>
              </w:rPr>
            </w:pPr>
          </w:p>
        </w:tc>
      </w:tr>
      <w:tr>
        <w:trPr>
          <w:trHeight w:val="218"/>
        </w:trPr>
        <w:tc>
          <w:tcPr>
            <w:tcW w:w="802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140,530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174,108</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63,110</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10,828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10,828</w:t>
            </w: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3,596</w:t>
            </w:r>
          </w:p>
        </w:tc>
        <w:tc>
          <w:tcPr>
            <w:tcW w:w="0" w:type="dxa"/>
            <w:vAlign w:val="bottom"/>
          </w:tcPr>
          <w:p>
            <w:pPr>
              <w:spacing w:after="0"/>
              <w:rPr>
                <w:sz w:val="1"/>
                <w:szCs w:val="1"/>
                <w:color w:val="auto"/>
              </w:rPr>
            </w:pPr>
          </w:p>
        </w:tc>
      </w:tr>
      <w:tr>
        <w:trPr>
          <w:trHeight w:val="219"/>
        </w:trPr>
        <w:tc>
          <w:tcPr>
            <w:tcW w:w="802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219,586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251,642</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Liabilities, Redeemable Convertible Preferred Stock and Stockholders’ Deficit</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41,609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38,591</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Due to related parties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25"/>
        </w:trPr>
        <w:tc>
          <w:tcPr>
            <w:tcW w:w="8020" w:type="dxa"/>
            <w:vAlign w:val="bottom"/>
          </w:tcPr>
          <w:p>
            <w:pPr>
              <w:ind w:left="180"/>
              <w:spacing w:after="0"/>
              <w:rPr>
                <w:sz w:val="20"/>
                <w:szCs w:val="20"/>
                <w:color w:val="auto"/>
              </w:rPr>
            </w:pPr>
            <w:r>
              <w:rPr>
                <w:rFonts w:ascii="Arial" w:cs="Arial" w:eastAsia="Arial" w:hAnsi="Arial"/>
                <w:sz w:val="18"/>
                <w:szCs w:val="18"/>
                <w:color w:val="auto"/>
              </w:rPr>
              <w:t>Current contract liabilities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1,783</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22,991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31,643</w:t>
            </w:r>
          </w:p>
        </w:tc>
        <w:tc>
          <w:tcPr>
            <w:tcW w:w="0" w:type="dxa"/>
            <w:vAlign w:val="bottom"/>
          </w:tcPr>
          <w:p>
            <w:pPr>
              <w:spacing w:after="0"/>
              <w:rPr>
                <w:sz w:val="1"/>
                <w:szCs w:val="1"/>
                <w:color w:val="auto"/>
              </w:rPr>
            </w:pPr>
          </w:p>
        </w:tc>
      </w:tr>
      <w:tr>
        <w:trPr>
          <w:trHeight w:val="218"/>
        </w:trPr>
        <w:tc>
          <w:tcPr>
            <w:tcW w:w="802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68,207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73,442</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net of current portion</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18,971</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Stock-based compensation liabilities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296,952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131,989</w:t>
            </w: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22,530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22,852</w:t>
            </w:r>
          </w:p>
        </w:tc>
        <w:tc>
          <w:tcPr>
            <w:tcW w:w="0" w:type="dxa"/>
            <w:vAlign w:val="bottom"/>
          </w:tcPr>
          <w:p>
            <w:pPr>
              <w:spacing w:after="0"/>
              <w:rPr>
                <w:sz w:val="1"/>
                <w:szCs w:val="1"/>
                <w:color w:val="auto"/>
              </w:rPr>
            </w:pPr>
          </w:p>
        </w:tc>
      </w:tr>
      <w:tr>
        <w:trPr>
          <w:trHeight w:val="219"/>
        </w:trPr>
        <w:tc>
          <w:tcPr>
            <w:tcW w:w="8020" w:type="dxa"/>
            <w:vAlign w:val="bottom"/>
          </w:tcPr>
          <w:p>
            <w:pPr>
              <w:ind w:left="34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406,191</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247,254</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Commitments and contingencies (Note 8)</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80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Redeemable convertible preferred stock:</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8020" w:type="dxa"/>
            <w:vAlign w:val="bottom"/>
            <w:shd w:val="clear" w:color="auto" w:fill="CCEEFF"/>
          </w:tcPr>
          <w:p>
            <w:pPr>
              <w:ind w:left="180"/>
              <w:spacing w:after="0" w:line="174" w:lineRule="exact"/>
              <w:rPr>
                <w:sz w:val="20"/>
                <w:szCs w:val="20"/>
                <w:color w:val="auto"/>
              </w:rPr>
            </w:pPr>
            <w:r>
              <w:rPr>
                <w:rFonts w:ascii="Arial" w:cs="Arial" w:eastAsia="Arial" w:hAnsi="Arial"/>
                <w:sz w:val="18"/>
                <w:szCs w:val="18"/>
                <w:color w:val="auto"/>
                <w:w w:val="88"/>
              </w:rPr>
              <w:t>Series A-1 redeemable convertible preferred stock, $0.00001 par value: 447,373 shares authorized, issued and</w:t>
            </w: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8020" w:type="dxa"/>
            <w:vAlign w:val="bottom"/>
            <w:shd w:val="clear" w:color="auto" w:fill="CCEEFF"/>
          </w:tcPr>
          <w:p>
            <w:pPr>
              <w:ind w:left="340"/>
              <w:spacing w:after="0" w:line="172" w:lineRule="exact"/>
              <w:rPr>
                <w:sz w:val="20"/>
                <w:szCs w:val="20"/>
                <w:color w:val="auto"/>
              </w:rPr>
            </w:pPr>
            <w:r>
              <w:rPr>
                <w:rFonts w:ascii="Arial" w:cs="Arial" w:eastAsia="Arial" w:hAnsi="Arial"/>
                <w:sz w:val="18"/>
                <w:szCs w:val="18"/>
                <w:color w:val="auto"/>
                <w:w w:val="93"/>
              </w:rPr>
              <w:t>outstanding at March 31, 2021 and December 31, 2020; aggregate liquidation preference of $55,000 at</w:t>
            </w:r>
          </w:p>
        </w:tc>
        <w:tc>
          <w:tcPr>
            <w:tcW w:w="30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51,811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51,811</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March 31, 2021 and December 31, 2020</w:t>
            </w:r>
          </w:p>
        </w:tc>
        <w:tc>
          <w:tcPr>
            <w:tcW w:w="30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8020" w:type="dxa"/>
            <w:vAlign w:val="bottom"/>
          </w:tcPr>
          <w:p>
            <w:pPr>
              <w:ind w:left="180"/>
              <w:spacing w:after="0" w:line="173" w:lineRule="exact"/>
              <w:rPr>
                <w:sz w:val="20"/>
                <w:szCs w:val="20"/>
                <w:color w:val="auto"/>
              </w:rPr>
            </w:pPr>
            <w:r>
              <w:rPr>
                <w:rFonts w:ascii="Arial" w:cs="Arial" w:eastAsia="Arial" w:hAnsi="Arial"/>
                <w:sz w:val="18"/>
                <w:szCs w:val="18"/>
                <w:color w:val="auto"/>
                <w:w w:val="90"/>
              </w:rPr>
              <w:t>Series A-2 redeemable convertible preferred stock, $0.00001 par value: 522,627 shares authorized at March</w:t>
            </w: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8020" w:type="dxa"/>
            <w:vAlign w:val="bottom"/>
          </w:tcPr>
          <w:p>
            <w:pPr>
              <w:ind w:left="340"/>
              <w:spacing w:after="0" w:line="172" w:lineRule="exact"/>
              <w:rPr>
                <w:sz w:val="20"/>
                <w:szCs w:val="20"/>
                <w:color w:val="auto"/>
              </w:rPr>
            </w:pPr>
            <w:r>
              <w:rPr>
                <w:rFonts w:ascii="Arial" w:cs="Arial" w:eastAsia="Arial" w:hAnsi="Arial"/>
                <w:sz w:val="18"/>
                <w:szCs w:val="18"/>
                <w:color w:val="auto"/>
                <w:w w:val="87"/>
              </w:rPr>
              <w:t>31, 2021 and December 31, 2020; 401,347 shares authorized, issued and outstanding at March 31, 2021 and</w:t>
            </w:r>
          </w:p>
        </w:tc>
        <w:tc>
          <w:tcPr>
            <w:tcW w:w="30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46,480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46,480</w:t>
            </w:r>
          </w:p>
        </w:tc>
        <w:tc>
          <w:tcPr>
            <w:tcW w:w="0" w:type="dxa"/>
            <w:vAlign w:val="bottom"/>
          </w:tcPr>
          <w:p>
            <w:pPr>
              <w:spacing w:after="0"/>
              <w:rPr>
                <w:sz w:val="1"/>
                <w:szCs w:val="1"/>
                <w:color w:val="auto"/>
              </w:rPr>
            </w:pPr>
          </w:p>
        </w:tc>
      </w:tr>
      <w:tr>
        <w:trPr>
          <w:trHeight w:val="224"/>
        </w:trPr>
        <w:tc>
          <w:tcPr>
            <w:tcW w:w="8020" w:type="dxa"/>
            <w:vAlign w:val="bottom"/>
          </w:tcPr>
          <w:p>
            <w:pPr>
              <w:ind w:left="340"/>
              <w:spacing w:after="0"/>
              <w:rPr>
                <w:sz w:val="20"/>
                <w:szCs w:val="20"/>
                <w:color w:val="auto"/>
              </w:rPr>
            </w:pPr>
            <w:r>
              <w:rPr>
                <w:rFonts w:ascii="Arial" w:cs="Arial" w:eastAsia="Arial" w:hAnsi="Arial"/>
                <w:sz w:val="18"/>
                <w:szCs w:val="18"/>
                <w:color w:val="auto"/>
                <w:w w:val="88"/>
              </w:rPr>
              <w:t>December 31, 2020; aggregate liquidation preference of $49,342 at March 31, 2021 and December 31, 2020</w:t>
            </w:r>
          </w:p>
        </w:tc>
        <w:tc>
          <w:tcPr>
            <w:tcW w:w="30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8020" w:type="dxa"/>
            <w:vAlign w:val="bottom"/>
            <w:shd w:val="clear" w:color="auto" w:fill="CCEEFF"/>
          </w:tcPr>
          <w:p>
            <w:pPr>
              <w:ind w:left="180"/>
              <w:spacing w:after="0" w:line="174" w:lineRule="exact"/>
              <w:rPr>
                <w:sz w:val="20"/>
                <w:szCs w:val="20"/>
                <w:color w:val="auto"/>
              </w:rPr>
            </w:pPr>
            <w:r>
              <w:rPr>
                <w:rFonts w:ascii="Arial" w:cs="Arial" w:eastAsia="Arial" w:hAnsi="Arial"/>
                <w:sz w:val="18"/>
                <w:szCs w:val="18"/>
                <w:color w:val="auto"/>
                <w:w w:val="89"/>
              </w:rPr>
              <w:t>Series B redeemable convertible preferred stock, $0.00001 par value: 338,663 shares authorized, issued and</w:t>
            </w: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8020" w:type="dxa"/>
            <w:vAlign w:val="bottom"/>
            <w:shd w:val="clear" w:color="auto" w:fill="CCEEFF"/>
          </w:tcPr>
          <w:p>
            <w:pPr>
              <w:ind w:left="340"/>
              <w:spacing w:after="0" w:line="172" w:lineRule="exact"/>
              <w:rPr>
                <w:sz w:val="20"/>
                <w:szCs w:val="20"/>
                <w:color w:val="auto"/>
              </w:rPr>
            </w:pPr>
            <w:r>
              <w:rPr>
                <w:rFonts w:ascii="Arial" w:cs="Arial" w:eastAsia="Arial" w:hAnsi="Arial"/>
                <w:sz w:val="18"/>
                <w:szCs w:val="18"/>
                <w:color w:val="auto"/>
                <w:w w:val="92"/>
              </w:rPr>
              <w:t>outstanding at March 31, 2021 and December 31, 2020; aggregate liquidation preference of $204,302 at</w:t>
            </w:r>
          </w:p>
        </w:tc>
        <w:tc>
          <w:tcPr>
            <w:tcW w:w="30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118,824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118,824</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March 31, 2021and December 31, 2020</w:t>
            </w:r>
          </w:p>
        </w:tc>
        <w:tc>
          <w:tcPr>
            <w:tcW w:w="30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8020" w:type="dxa"/>
            <w:vAlign w:val="bottom"/>
          </w:tcPr>
          <w:p>
            <w:pPr>
              <w:ind w:left="180"/>
              <w:spacing w:after="0" w:line="173" w:lineRule="exact"/>
              <w:rPr>
                <w:sz w:val="20"/>
                <w:szCs w:val="20"/>
                <w:color w:val="auto"/>
              </w:rPr>
            </w:pPr>
            <w:r>
              <w:rPr>
                <w:rFonts w:ascii="Arial" w:cs="Arial" w:eastAsia="Arial" w:hAnsi="Arial"/>
                <w:sz w:val="18"/>
                <w:szCs w:val="18"/>
                <w:color w:val="auto"/>
                <w:w w:val="89"/>
              </w:rPr>
              <w:t>Series C redeemable convertible preferred stock, $0.00001 par value: 197,824 shares authorized at March 31,</w:t>
            </w: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8020" w:type="dxa"/>
            <w:vAlign w:val="bottom"/>
          </w:tcPr>
          <w:p>
            <w:pPr>
              <w:ind w:left="340"/>
              <w:spacing w:after="0" w:line="172" w:lineRule="exact"/>
              <w:rPr>
                <w:sz w:val="20"/>
                <w:szCs w:val="20"/>
                <w:color w:val="auto"/>
              </w:rPr>
            </w:pPr>
            <w:r>
              <w:rPr>
                <w:rFonts w:ascii="Arial" w:cs="Arial" w:eastAsia="Arial" w:hAnsi="Arial"/>
                <w:sz w:val="18"/>
                <w:szCs w:val="18"/>
                <w:color w:val="auto"/>
                <w:w w:val="88"/>
              </w:rPr>
              <w:t>2021 and December 31, 2020; 197,821 shares issued and outstanding at March 31, 2021 and December 31,</w:t>
            </w:r>
          </w:p>
        </w:tc>
        <w:tc>
          <w:tcPr>
            <w:tcW w:w="30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117,324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117,324</w:t>
            </w:r>
          </w:p>
        </w:tc>
        <w:tc>
          <w:tcPr>
            <w:tcW w:w="0" w:type="dxa"/>
            <w:vAlign w:val="bottom"/>
          </w:tcPr>
          <w:p>
            <w:pPr>
              <w:spacing w:after="0"/>
              <w:rPr>
                <w:sz w:val="1"/>
                <w:szCs w:val="1"/>
                <w:color w:val="auto"/>
              </w:rPr>
            </w:pPr>
          </w:p>
        </w:tc>
      </w:tr>
      <w:tr>
        <w:trPr>
          <w:trHeight w:val="224"/>
        </w:trPr>
        <w:tc>
          <w:tcPr>
            <w:tcW w:w="80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2020; aggregate liquidation preference of $121,397 at March 31, 2021 and December 31, 2020</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Redeemable convertible preferred stock</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334,439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334,439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240"/>
          </w:cols>
          <w:pgMar w:left="320" w:top="121" w:right="339" w:bottom="1440" w:gutter="0" w:footer="0" w:header="0"/>
        </w:sectPr>
      </w:pPr>
    </w:p>
    <w:bookmarkStart w:id="211" w:name="page212"/>
    <w:bookmarkEnd w:id="211"/>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Stockholders’ deficit:</w:t>
            </w:r>
          </w:p>
        </w:tc>
        <w:tc>
          <w:tcPr>
            <w:tcW w:w="4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8020" w:type="dxa"/>
            <w:vAlign w:val="bottom"/>
            <w:shd w:val="clear" w:color="auto" w:fill="CCEEFF"/>
          </w:tcPr>
          <w:p>
            <w:pPr>
              <w:ind w:left="180"/>
              <w:spacing w:after="0" w:line="173" w:lineRule="exact"/>
              <w:rPr>
                <w:sz w:val="20"/>
                <w:szCs w:val="20"/>
                <w:color w:val="auto"/>
              </w:rPr>
            </w:pPr>
            <w:r>
              <w:rPr>
                <w:rFonts w:ascii="Arial" w:cs="Arial" w:eastAsia="Arial" w:hAnsi="Arial"/>
                <w:sz w:val="18"/>
                <w:szCs w:val="18"/>
                <w:color w:val="auto"/>
              </w:rPr>
              <w:t>Class A common stock, $0.00001 par value: 2,500,000 shares authorized at March 31, 2021 and</w:t>
            </w:r>
          </w:p>
        </w:tc>
        <w:tc>
          <w:tcPr>
            <w:tcW w:w="48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December 31, 2020; 1 share issued and outstanding March 31, 2021 and December 31, 2020</w:t>
            </w:r>
          </w:p>
        </w:tc>
        <w:tc>
          <w:tcPr>
            <w:tcW w:w="480" w:type="dxa"/>
            <w:vAlign w:val="bottom"/>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8020" w:type="dxa"/>
            <w:vAlign w:val="bottom"/>
          </w:tcPr>
          <w:p>
            <w:pPr>
              <w:ind w:left="180"/>
              <w:spacing w:after="0" w:line="173" w:lineRule="exact"/>
              <w:rPr>
                <w:sz w:val="20"/>
                <w:szCs w:val="20"/>
                <w:color w:val="auto"/>
              </w:rPr>
            </w:pPr>
            <w:r>
              <w:rPr>
                <w:rFonts w:ascii="Arial" w:cs="Arial" w:eastAsia="Arial" w:hAnsi="Arial"/>
                <w:sz w:val="18"/>
                <w:szCs w:val="18"/>
                <w:color w:val="auto"/>
                <w:w w:val="89"/>
              </w:rPr>
              <w:t>Class B convertible common stock, $0.00001 par value: 15,000,000 shares authorized at March 31, 2021 and</w:t>
            </w: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8020" w:type="dxa"/>
            <w:vAlign w:val="bottom"/>
          </w:tcPr>
          <w:p>
            <w:pPr>
              <w:ind w:left="340"/>
              <w:spacing w:after="0" w:line="172" w:lineRule="exact"/>
              <w:rPr>
                <w:sz w:val="20"/>
                <w:szCs w:val="20"/>
                <w:color w:val="auto"/>
              </w:rPr>
            </w:pPr>
            <w:r>
              <w:rPr>
                <w:rFonts w:ascii="Arial" w:cs="Arial" w:eastAsia="Arial" w:hAnsi="Arial"/>
                <w:sz w:val="18"/>
                <w:szCs w:val="18"/>
                <w:color w:val="auto"/>
                <w:w w:val="99"/>
              </w:rPr>
              <w:t>December 31, 2020 604,649 and 105,429 shares issued and outstanding at March 31, 2021 and</w:t>
            </w:r>
          </w:p>
        </w:tc>
        <w:tc>
          <w:tcPr>
            <w:tcW w:w="480" w:type="dxa"/>
            <w:vAlign w:val="bottom"/>
          </w:tcPr>
          <w:p>
            <w:pPr>
              <w:spacing w:after="0"/>
              <w:rPr>
                <w:sz w:val="14"/>
                <w:szCs w:val="14"/>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8020" w:type="dxa"/>
            <w:vAlign w:val="bottom"/>
          </w:tcPr>
          <w:p>
            <w:pPr>
              <w:ind w:left="340"/>
              <w:spacing w:after="0"/>
              <w:rPr>
                <w:sz w:val="20"/>
                <w:szCs w:val="20"/>
                <w:color w:val="auto"/>
              </w:rPr>
            </w:pPr>
            <w:r>
              <w:rPr>
                <w:rFonts w:ascii="Arial" w:cs="Arial" w:eastAsia="Arial" w:hAnsi="Arial"/>
                <w:sz w:val="18"/>
                <w:szCs w:val="18"/>
                <w:color w:val="auto"/>
              </w:rPr>
              <w:t>December 31, 2020, respectively</w:t>
            </w:r>
          </w:p>
        </w:tc>
        <w:tc>
          <w:tcPr>
            <w:tcW w:w="48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4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deficit</w:t>
            </w: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(521,044)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(330,051)</w:t>
            </w:r>
          </w:p>
        </w:tc>
        <w:tc>
          <w:tcPr>
            <w:tcW w:w="0" w:type="dxa"/>
            <w:vAlign w:val="bottom"/>
          </w:tcPr>
          <w:p>
            <w:pPr>
              <w:spacing w:after="0"/>
              <w:rPr>
                <w:sz w:val="1"/>
                <w:szCs w:val="1"/>
                <w:color w:val="auto"/>
              </w:rPr>
            </w:pPr>
          </w:p>
        </w:tc>
      </w:tr>
      <w:tr>
        <w:trPr>
          <w:trHeight w:val="218"/>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stockholders’ deficit</w:t>
            </w: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(521,044)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(330,051)</w:t>
            </w:r>
          </w:p>
        </w:tc>
        <w:tc>
          <w:tcPr>
            <w:tcW w:w="0" w:type="dxa"/>
            <w:vAlign w:val="bottom"/>
          </w:tcPr>
          <w:p>
            <w:pPr>
              <w:spacing w:after="0"/>
              <w:rPr>
                <w:sz w:val="1"/>
                <w:szCs w:val="1"/>
                <w:color w:val="auto"/>
              </w:rPr>
            </w:pPr>
          </w:p>
        </w:tc>
      </w:tr>
      <w:tr>
        <w:trPr>
          <w:trHeight w:val="219"/>
        </w:trPr>
        <w:tc>
          <w:tcPr>
            <w:tcW w:w="8020" w:type="dxa"/>
            <w:vAlign w:val="bottom"/>
          </w:tcPr>
          <w:p>
            <w:pPr>
              <w:ind w:left="180"/>
              <w:spacing w:after="0"/>
              <w:rPr>
                <w:sz w:val="20"/>
                <w:szCs w:val="20"/>
                <w:color w:val="auto"/>
              </w:rPr>
            </w:pPr>
            <w:r>
              <w:rPr>
                <w:rFonts w:ascii="Arial" w:cs="Arial" w:eastAsia="Arial" w:hAnsi="Arial"/>
                <w:sz w:val="18"/>
                <w:szCs w:val="18"/>
                <w:color w:val="auto"/>
              </w:rPr>
              <w:t>Total liabilities, redeemable convertible preferred stock and stockholders’ deficit</w:t>
            </w:r>
          </w:p>
        </w:tc>
        <w:tc>
          <w:tcPr>
            <w:tcW w:w="4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219,586</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251,642</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40"/>
          </w:cols>
          <w:pgMar w:left="320" w:top="121" w:right="339" w:bottom="1440" w:gutter="0" w:footer="0" w:header="0"/>
        </w:sectPr>
      </w:pPr>
    </w:p>
    <w:bookmarkStart w:id="212" w:name="page213"/>
    <w:bookmarkEnd w:id="212"/>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3"/>
        </w:trPr>
        <w:tc>
          <w:tcPr>
            <w:tcW w:w="80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6"/>
        </w:trPr>
        <w:tc>
          <w:tcPr>
            <w:tcW w:w="80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Revenue</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8020" w:type="dxa"/>
            <w:vAlign w:val="bottom"/>
          </w:tcPr>
          <w:p>
            <w:pPr>
              <w:ind w:left="180"/>
              <w:spacing w:after="0" w:line="173" w:lineRule="exact"/>
              <w:rPr>
                <w:sz w:val="20"/>
                <w:szCs w:val="20"/>
                <w:color w:val="auto"/>
              </w:rPr>
            </w:pPr>
            <w:r>
              <w:rPr>
                <w:rFonts w:ascii="Arial" w:cs="Arial" w:eastAsia="Arial" w:hAnsi="Arial"/>
                <w:sz w:val="18"/>
                <w:szCs w:val="18"/>
                <w:color w:val="auto"/>
                <w:w w:val="89"/>
              </w:rPr>
              <w:t>Diagnostic test revenue (including related party revenue of $33 and $61 for the three months ended March 31,</w:t>
            </w:r>
          </w:p>
        </w:tc>
        <w:tc>
          <w:tcPr>
            <w:tcW w:w="380" w:type="dxa"/>
            <w:vAlign w:val="bottom"/>
            <w:vMerge w:val="restart"/>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62,760</w:t>
            </w:r>
          </w:p>
        </w:tc>
        <w:tc>
          <w:tcPr>
            <w:tcW w:w="100" w:type="dxa"/>
            <w:vAlign w:val="bottom"/>
          </w:tcPr>
          <w:p>
            <w:pPr>
              <w:spacing w:after="0"/>
              <w:rPr>
                <w:sz w:val="15"/>
                <w:szCs w:val="15"/>
                <w:color w:val="auto"/>
              </w:rPr>
            </w:pPr>
          </w:p>
        </w:tc>
        <w:tc>
          <w:tcPr>
            <w:tcW w:w="380" w:type="dxa"/>
            <w:vAlign w:val="bottom"/>
            <w:vMerge w:val="restart"/>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46,070</w:t>
            </w:r>
          </w:p>
        </w:tc>
        <w:tc>
          <w:tcPr>
            <w:tcW w:w="0" w:type="dxa"/>
            <w:vAlign w:val="bottom"/>
          </w:tcPr>
          <w:p>
            <w:pPr>
              <w:spacing w:after="0"/>
              <w:rPr>
                <w:sz w:val="1"/>
                <w:szCs w:val="1"/>
                <w:color w:val="auto"/>
              </w:rPr>
            </w:pPr>
          </w:p>
        </w:tc>
      </w:tr>
      <w:tr>
        <w:trPr>
          <w:trHeight w:val="224"/>
        </w:trPr>
        <w:tc>
          <w:tcPr>
            <w:tcW w:w="8020" w:type="dxa"/>
            <w:vAlign w:val="bottom"/>
          </w:tcPr>
          <w:p>
            <w:pPr>
              <w:ind w:left="340"/>
              <w:spacing w:after="0"/>
              <w:rPr>
                <w:sz w:val="20"/>
                <w:szCs w:val="20"/>
                <w:color w:val="auto"/>
              </w:rPr>
            </w:pPr>
            <w:r>
              <w:rPr>
                <w:rFonts w:ascii="Arial" w:cs="Arial" w:eastAsia="Arial" w:hAnsi="Arial"/>
                <w:sz w:val="18"/>
                <w:szCs w:val="18"/>
                <w:color w:val="auto"/>
              </w:rPr>
              <w:t>2021 and 2020, respectively)</w:t>
            </w:r>
          </w:p>
        </w:tc>
        <w:tc>
          <w:tcPr>
            <w:tcW w:w="38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8020" w:type="dxa"/>
            <w:vAlign w:val="bottom"/>
            <w:shd w:val="clear" w:color="auto" w:fill="CCEEFF"/>
          </w:tcPr>
          <w:p>
            <w:pPr>
              <w:ind w:left="180"/>
              <w:spacing w:after="0" w:line="174" w:lineRule="exact"/>
              <w:rPr>
                <w:sz w:val="20"/>
                <w:szCs w:val="20"/>
                <w:color w:val="auto"/>
              </w:rPr>
            </w:pPr>
            <w:r>
              <w:rPr>
                <w:rFonts w:ascii="Arial" w:cs="Arial" w:eastAsia="Arial" w:hAnsi="Arial"/>
                <w:sz w:val="18"/>
                <w:szCs w:val="18"/>
                <w:color w:val="auto"/>
                <w:w w:val="89"/>
              </w:rPr>
              <w:t>Other revenue (including related party revenue of $27 and $0 for the three months ended March 31, 2021 and</w:t>
            </w:r>
          </w:p>
        </w:tc>
        <w:tc>
          <w:tcPr>
            <w:tcW w:w="3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2020, respectively)</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02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Total revenue</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64,351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46,655</w:t>
            </w:r>
          </w:p>
        </w:tc>
        <w:tc>
          <w:tcPr>
            <w:tcW w:w="0" w:type="dxa"/>
            <w:vAlign w:val="bottom"/>
          </w:tcPr>
          <w:p>
            <w:pPr>
              <w:spacing w:after="0"/>
              <w:rPr>
                <w:sz w:val="1"/>
                <w:szCs w:val="1"/>
                <w:color w:val="auto"/>
              </w:rPr>
            </w:pPr>
          </w:p>
        </w:tc>
      </w:tr>
      <w:tr>
        <w:trPr>
          <w:trHeight w:val="154"/>
        </w:trPr>
        <w:tc>
          <w:tcPr>
            <w:tcW w:w="8020" w:type="dxa"/>
            <w:vAlign w:val="bottom"/>
            <w:shd w:val="clear" w:color="auto" w:fill="CCEEFF"/>
          </w:tcPr>
          <w:p>
            <w:pPr>
              <w:ind w:left="20"/>
              <w:spacing w:after="0" w:line="154" w:lineRule="exact"/>
              <w:rPr>
                <w:sz w:val="20"/>
                <w:szCs w:val="20"/>
                <w:color w:val="auto"/>
              </w:rPr>
            </w:pPr>
            <w:r>
              <w:rPr>
                <w:rFonts w:ascii="Arial" w:cs="Arial" w:eastAsia="Arial" w:hAnsi="Arial"/>
                <w:sz w:val="17"/>
                <w:szCs w:val="17"/>
                <w:color w:val="auto"/>
                <w:w w:val="94"/>
              </w:rPr>
              <w:t>Cost of services (including related party expenses of $278 and $574 for the three months ended March 31, 2021</w:t>
            </w:r>
          </w:p>
        </w:tc>
        <w:tc>
          <w:tcPr>
            <w:tcW w:w="38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71,812</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39,239</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2020, respectively)</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02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Gross (loss) profit</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7,416</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13,096</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31,569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11,733</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7,164</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Related party expenses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2,195</w:t>
            </w:r>
          </w:p>
        </w:tc>
        <w:tc>
          <w:tcPr>
            <w:tcW w:w="0" w:type="dxa"/>
            <w:vAlign w:val="bottom"/>
          </w:tcPr>
          <w:p>
            <w:pPr>
              <w:spacing w:after="0"/>
              <w:rPr>
                <w:sz w:val="1"/>
                <w:szCs w:val="1"/>
                <w:color w:val="auto"/>
              </w:rPr>
            </w:pPr>
          </w:p>
        </w:tc>
      </w:tr>
      <w:tr>
        <w:trPr>
          <w:trHeight w:val="218"/>
        </w:trPr>
        <w:tc>
          <w:tcPr>
            <w:tcW w:w="8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Loss from operations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(195,875)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(26,772)</w:t>
            </w:r>
          </w:p>
        </w:tc>
        <w:tc>
          <w:tcPr>
            <w:tcW w:w="0" w:type="dxa"/>
            <w:vAlign w:val="bottom"/>
          </w:tcPr>
          <w:p>
            <w:pPr>
              <w:spacing w:after="0"/>
              <w:rPr>
                <w:sz w:val="1"/>
                <w:szCs w:val="1"/>
                <w:color w:val="auto"/>
              </w:rPr>
            </w:pPr>
          </w:p>
        </w:tc>
      </w:tr>
      <w:tr>
        <w:trPr>
          <w:trHeight w:val="193"/>
        </w:trPr>
        <w:tc>
          <w:tcPr>
            <w:tcW w:w="8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income, net</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other income (expense), net</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8"/>
        </w:trPr>
        <w:tc>
          <w:tcPr>
            <w:tcW w:w="802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(190,993)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(26,990)</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3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 and comprehensive loss</w:t>
            </w:r>
          </w:p>
        </w:tc>
        <w:tc>
          <w:tcPr>
            <w:tcW w:w="38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(190,993)</w:t>
            </w: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(26,990)</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of Class A common stock</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Basic and diluted net loss per share, Class A common stock</w:t>
            </w: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(26,990)</w:t>
            </w: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of Class B common stock</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443,864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8020" w:type="dxa"/>
            <w:vAlign w:val="bottom"/>
          </w:tcPr>
          <w:p>
            <w:pPr>
              <w:ind w:left="20"/>
              <w:spacing w:after="0"/>
              <w:rPr>
                <w:sz w:val="20"/>
                <w:szCs w:val="20"/>
                <w:color w:val="auto"/>
              </w:rPr>
            </w:pPr>
            <w:r>
              <w:rPr>
                <w:rFonts w:ascii="Arial" w:cs="Arial" w:eastAsia="Arial" w:hAnsi="Arial"/>
                <w:sz w:val="18"/>
                <w:szCs w:val="18"/>
                <w:color w:val="auto"/>
              </w:rPr>
              <w:t>Basic and diluted net loss per share, Class B common stock</w:t>
            </w: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240"/>
          </w:cols>
          <w:pgMar w:left="320" w:top="121" w:right="339" w:bottom="1440" w:gutter="0" w:footer="0" w:header="0"/>
        </w:sectPr>
      </w:pPr>
    </w:p>
    <w:bookmarkStart w:id="213" w:name="page214"/>
    <w:bookmarkEnd w:id="213"/>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 of Redeemable Convertible Preferred Stock and Stockholders' Deficit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224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4"/>
                <w:szCs w:val="14"/>
                <w:b w:val="1"/>
                <w:bCs w:val="1"/>
                <w:color w:val="auto"/>
                <w:w w:val="91"/>
              </w:rPr>
              <w:t>Redeemable Convertible Preferred</w:t>
            </w:r>
          </w:p>
        </w:tc>
        <w:tc>
          <w:tcPr>
            <w:tcW w:w="60" w:type="dxa"/>
            <w:vAlign w:val="bottom"/>
          </w:tcPr>
          <w:p>
            <w:pPr>
              <w:spacing w:after="0"/>
              <w:rPr>
                <w:sz w:val="14"/>
                <w:szCs w:val="14"/>
                <w:color w:val="auto"/>
              </w:rPr>
            </w:pPr>
          </w:p>
        </w:tc>
        <w:tc>
          <w:tcPr>
            <w:tcW w:w="2180" w:type="dxa"/>
            <w:vAlign w:val="bottom"/>
            <w:gridSpan w:val="5"/>
            <w:vMerge w:val="restart"/>
          </w:tcPr>
          <w:p>
            <w:pPr>
              <w:ind w:left="340"/>
              <w:spacing w:after="0"/>
              <w:rPr>
                <w:sz w:val="20"/>
                <w:szCs w:val="20"/>
                <w:color w:val="auto"/>
              </w:rPr>
            </w:pPr>
            <w:r>
              <w:rPr>
                <w:rFonts w:ascii="Arial" w:cs="Arial" w:eastAsia="Arial" w:hAnsi="Arial"/>
                <w:sz w:val="14"/>
                <w:szCs w:val="14"/>
                <w:b w:val="1"/>
                <w:bCs w:val="1"/>
                <w:color w:val="auto"/>
              </w:rPr>
              <w:t>Class A Common Stock</w:t>
            </w:r>
          </w:p>
        </w:tc>
        <w:tc>
          <w:tcPr>
            <w:tcW w:w="2200" w:type="dxa"/>
            <w:vAlign w:val="bottom"/>
            <w:gridSpan w:val="5"/>
            <w:vMerge w:val="restart"/>
          </w:tcPr>
          <w:p>
            <w:pPr>
              <w:ind w:left="360"/>
              <w:spacing w:after="0"/>
              <w:rPr>
                <w:sz w:val="20"/>
                <w:szCs w:val="20"/>
                <w:color w:val="auto"/>
              </w:rPr>
            </w:pPr>
            <w:r>
              <w:rPr>
                <w:rFonts w:ascii="Arial" w:cs="Arial" w:eastAsia="Arial" w:hAnsi="Arial"/>
                <w:sz w:val="14"/>
                <w:szCs w:val="14"/>
                <w:b w:val="1"/>
                <w:bCs w:val="1"/>
                <w:color w:val="auto"/>
              </w:rPr>
              <w:t>Class B Common Stock</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380" w:type="dxa"/>
            <w:vAlign w:val="bottom"/>
          </w:tcPr>
          <w:p>
            <w:pPr>
              <w:spacing w:after="0"/>
              <w:rPr>
                <w:sz w:val="15"/>
                <w:szCs w:val="15"/>
                <w:color w:val="auto"/>
              </w:rPr>
            </w:pPr>
          </w:p>
        </w:tc>
        <w:tc>
          <w:tcPr>
            <w:tcW w:w="1320" w:type="dxa"/>
            <w:vAlign w:val="bottom"/>
            <w:gridSpan w:val="3"/>
          </w:tcPr>
          <w:p>
            <w:pPr>
              <w:jc w:val="center"/>
              <w:ind w:left="739"/>
              <w:spacing w:after="0"/>
              <w:rPr>
                <w:sz w:val="20"/>
                <w:szCs w:val="20"/>
                <w:color w:val="auto"/>
              </w:rPr>
            </w:pPr>
            <w:r>
              <w:rPr>
                <w:rFonts w:ascii="Arial" w:cs="Arial" w:eastAsia="Arial" w:hAnsi="Arial"/>
                <w:sz w:val="14"/>
                <w:szCs w:val="14"/>
                <w:b w:val="1"/>
                <w:bCs w:val="1"/>
                <w:color w:val="auto"/>
                <w:w w:val="89"/>
              </w:rPr>
              <w:t>Stock</w:t>
            </w:r>
          </w:p>
        </w:tc>
        <w:tc>
          <w:tcPr>
            <w:tcW w:w="8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180" w:type="dxa"/>
            <w:vAlign w:val="bottom"/>
            <w:gridSpan w:val="5"/>
            <w:vMerge w:val="continue"/>
          </w:tcPr>
          <w:p>
            <w:pPr>
              <w:spacing w:after="0"/>
              <w:rPr>
                <w:sz w:val="15"/>
                <w:szCs w:val="15"/>
                <w:color w:val="auto"/>
              </w:rPr>
            </w:pPr>
          </w:p>
        </w:tc>
        <w:tc>
          <w:tcPr>
            <w:tcW w:w="2200" w:type="dxa"/>
            <w:vAlign w:val="bottom"/>
            <w:gridSpan w:val="5"/>
            <w:vMerge w:val="continue"/>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380" w:type="dxa"/>
            <w:vAlign w:val="bottom"/>
          </w:tcPr>
          <w:p>
            <w:pPr>
              <w:spacing w:after="0"/>
              <w:rPr>
                <w:sz w:val="9"/>
                <w:szCs w:val="9"/>
                <w:color w:val="auto"/>
              </w:rPr>
            </w:pPr>
          </w:p>
        </w:tc>
        <w:tc>
          <w:tcPr>
            <w:tcW w:w="10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9"/>
                <w:szCs w:val="9"/>
                <w:color w:val="auto"/>
              </w:rPr>
            </w:pPr>
          </w:p>
        </w:tc>
        <w:tc>
          <w:tcPr>
            <w:tcW w:w="940" w:type="dxa"/>
            <w:vAlign w:val="bottom"/>
          </w:tcPr>
          <w:p>
            <w:pPr>
              <w:jc w:val="center"/>
              <w:ind w:right="18"/>
              <w:spacing w:after="0" w:line="114"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3"/>
        </w:trPr>
        <w:tc>
          <w:tcPr>
            <w:tcW w:w="2380" w:type="dxa"/>
            <w:vAlign w:val="bottom"/>
          </w:tcPr>
          <w:p>
            <w:pPr>
              <w:spacing w:after="0"/>
              <w:rPr>
                <w:sz w:val="11"/>
                <w:szCs w:val="11"/>
                <w:color w:val="auto"/>
              </w:rPr>
            </w:pPr>
          </w:p>
        </w:tc>
        <w:tc>
          <w:tcPr>
            <w:tcW w:w="112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1"/>
                <w:szCs w:val="11"/>
                <w:color w:val="auto"/>
              </w:rPr>
            </w:pPr>
          </w:p>
        </w:tc>
        <w:tc>
          <w:tcPr>
            <w:tcW w:w="92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1"/>
                <w:szCs w:val="11"/>
                <w:color w:val="auto"/>
              </w:rPr>
            </w:pPr>
          </w:p>
        </w:tc>
        <w:tc>
          <w:tcPr>
            <w:tcW w:w="110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1"/>
                <w:szCs w:val="11"/>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Per value</w:t>
            </w:r>
          </w:p>
        </w:tc>
        <w:tc>
          <w:tcPr>
            <w:tcW w:w="112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1"/>
                <w:szCs w:val="11"/>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Per value</w:t>
            </w:r>
          </w:p>
        </w:tc>
        <w:tc>
          <w:tcPr>
            <w:tcW w:w="1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ind w:right="18"/>
              <w:spacing w:after="0" w:line="133" w:lineRule="exact"/>
              <w:rPr>
                <w:sz w:val="20"/>
                <w:szCs w:val="20"/>
                <w:color w:val="auto"/>
              </w:rPr>
            </w:pPr>
            <w:r>
              <w:rPr>
                <w:rFonts w:ascii="Arial" w:cs="Arial" w:eastAsia="Arial" w:hAnsi="Arial"/>
                <w:sz w:val="14"/>
                <w:szCs w:val="14"/>
                <w:b w:val="1"/>
                <w:bCs w:val="1"/>
                <w:color w:val="auto"/>
                <w:w w:val="87"/>
              </w:rPr>
              <w:t>stockholders’</w:t>
            </w:r>
          </w:p>
        </w:tc>
        <w:tc>
          <w:tcPr>
            <w:tcW w:w="0" w:type="dxa"/>
            <w:vAlign w:val="bottom"/>
          </w:tcPr>
          <w:p>
            <w:pPr>
              <w:spacing w:after="0"/>
              <w:rPr>
                <w:sz w:val="1"/>
                <w:szCs w:val="1"/>
                <w:color w:val="auto"/>
              </w:rPr>
            </w:pPr>
          </w:p>
        </w:tc>
      </w:tr>
      <w:tr>
        <w:trPr>
          <w:trHeight w:val="185"/>
        </w:trPr>
        <w:tc>
          <w:tcPr>
            <w:tcW w:w="238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deficit</w:t>
            </w:r>
          </w:p>
        </w:tc>
        <w:tc>
          <w:tcPr>
            <w:tcW w:w="100" w:type="dxa"/>
            <w:vAlign w:val="bottom"/>
          </w:tcPr>
          <w:p>
            <w:pPr>
              <w:spacing w:after="0"/>
              <w:rPr>
                <w:sz w:val="16"/>
                <w:szCs w:val="16"/>
                <w:color w:val="auto"/>
              </w:rPr>
            </w:pPr>
          </w:p>
        </w:tc>
        <w:tc>
          <w:tcPr>
            <w:tcW w:w="940" w:type="dxa"/>
            <w:vAlign w:val="bottom"/>
          </w:tcPr>
          <w:p>
            <w:pPr>
              <w:jc w:val="center"/>
              <w:ind w:right="18"/>
              <w:spacing w:after="0"/>
              <w:rPr>
                <w:sz w:val="20"/>
                <w:szCs w:val="20"/>
                <w:color w:val="auto"/>
              </w:rPr>
            </w:pPr>
            <w:r>
              <w:rPr>
                <w:rFonts w:ascii="Arial" w:cs="Arial" w:eastAsia="Arial" w:hAnsi="Arial"/>
                <w:sz w:val="14"/>
                <w:szCs w:val="14"/>
                <w:b w:val="1"/>
                <w:bCs w:val="1"/>
                <w:color w:val="auto"/>
                <w:w w:val="87"/>
              </w:rPr>
              <w:t>deficit</w:t>
            </w:r>
          </w:p>
        </w:tc>
        <w:tc>
          <w:tcPr>
            <w:tcW w:w="0" w:type="dxa"/>
            <w:vAlign w:val="bottom"/>
          </w:tcPr>
          <w:p>
            <w:pPr>
              <w:spacing w:after="0"/>
              <w:rPr>
                <w:sz w:val="1"/>
                <w:szCs w:val="1"/>
                <w:color w:val="auto"/>
              </w:rPr>
            </w:pPr>
          </w:p>
        </w:tc>
      </w:tr>
      <w:tr>
        <w:trPr>
          <w:trHeight w:val="219"/>
        </w:trPr>
        <w:tc>
          <w:tcPr>
            <w:tcW w:w="2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0"/>
              </w:rPr>
              <w:t>Balance at December 31, 2019</w:t>
            </w:r>
          </w:p>
        </w:tc>
        <w:tc>
          <w:tcPr>
            <w:tcW w:w="104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b w:val="1"/>
                <w:bCs w:val="1"/>
                <w:color w:val="auto"/>
                <w:w w:val="89"/>
              </w:rPr>
              <w:t>1,187,383</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217,115</w:t>
            </w:r>
          </w:p>
        </w:tc>
        <w:tc>
          <w:tcPr>
            <w:tcW w:w="10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(88,711)</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(88,711)</w:t>
            </w:r>
          </w:p>
        </w:tc>
        <w:tc>
          <w:tcPr>
            <w:tcW w:w="0" w:type="dxa"/>
            <w:vAlign w:val="bottom"/>
          </w:tcPr>
          <w:p>
            <w:pPr>
              <w:spacing w:after="0"/>
              <w:rPr>
                <w:sz w:val="1"/>
                <w:szCs w:val="1"/>
                <w:color w:val="auto"/>
              </w:rPr>
            </w:pPr>
          </w:p>
        </w:tc>
      </w:tr>
      <w:tr>
        <w:trPr>
          <w:trHeight w:val="225"/>
        </w:trPr>
        <w:tc>
          <w:tcPr>
            <w:tcW w:w="23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loss</w:t>
            </w:r>
          </w:p>
        </w:tc>
        <w:tc>
          <w:tcPr>
            <w:tcW w:w="10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(26,990)</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(26,990)</w:t>
            </w:r>
          </w:p>
        </w:tc>
        <w:tc>
          <w:tcPr>
            <w:tcW w:w="0" w:type="dxa"/>
            <w:vAlign w:val="bottom"/>
          </w:tcPr>
          <w:p>
            <w:pPr>
              <w:spacing w:after="0"/>
              <w:rPr>
                <w:sz w:val="1"/>
                <w:szCs w:val="1"/>
                <w:color w:val="auto"/>
              </w:rPr>
            </w:pPr>
          </w:p>
        </w:tc>
      </w:tr>
      <w:tr>
        <w:trPr>
          <w:trHeight w:val="244"/>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2020</w:t>
            </w:r>
          </w:p>
        </w:tc>
        <w:tc>
          <w:tcPr>
            <w:tcW w:w="104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b w:val="1"/>
                <w:bCs w:val="1"/>
                <w:color w:val="auto"/>
                <w:w w:val="89"/>
              </w:rPr>
              <w:t>1,187,383</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217,115</w:t>
            </w:r>
          </w:p>
        </w:tc>
        <w:tc>
          <w:tcPr>
            <w:tcW w:w="100" w:type="dxa"/>
            <w:vAlign w:val="bottom"/>
            <w:tcBorders>
              <w:bottom w:val="single" w:sz="8" w:color="CCEEFF"/>
              <w:right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(115,701)</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(115,701)</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0"/>
              </w:rPr>
              <w:t>Balance at December 31, 2020</w:t>
            </w:r>
          </w:p>
        </w:tc>
        <w:tc>
          <w:tcPr>
            <w:tcW w:w="104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9"/>
              </w:rPr>
              <w:t>1,385,204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334,439</w:t>
            </w: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105,429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(330,051)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(330,051)</w:t>
            </w:r>
          </w:p>
        </w:tc>
        <w:tc>
          <w:tcPr>
            <w:tcW w:w="0" w:type="dxa"/>
            <w:vAlign w:val="bottom"/>
          </w:tcPr>
          <w:p>
            <w:pPr>
              <w:spacing w:after="0"/>
              <w:rPr>
                <w:sz w:val="1"/>
                <w:szCs w:val="1"/>
                <w:color w:val="auto"/>
              </w:rPr>
            </w:pPr>
          </w:p>
        </w:tc>
      </w:tr>
      <w:tr>
        <w:trPr>
          <w:trHeight w:val="225"/>
        </w:trPr>
        <w:tc>
          <w:tcPr>
            <w:tcW w:w="238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(190,993)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(190,993)</w:t>
            </w:r>
          </w:p>
        </w:tc>
        <w:tc>
          <w:tcPr>
            <w:tcW w:w="0" w:type="dxa"/>
            <w:vAlign w:val="bottom"/>
          </w:tcPr>
          <w:p>
            <w:pPr>
              <w:spacing w:after="0"/>
              <w:rPr>
                <w:sz w:val="1"/>
                <w:szCs w:val="1"/>
                <w:color w:val="auto"/>
              </w:rPr>
            </w:pPr>
          </w:p>
        </w:tc>
      </w:tr>
      <w:tr>
        <w:trPr>
          <w:trHeight w:val="174"/>
        </w:trPr>
        <w:tc>
          <w:tcPr>
            <w:tcW w:w="2380" w:type="dxa"/>
            <w:vAlign w:val="bottom"/>
            <w:shd w:val="clear" w:color="auto" w:fill="CCEEFF"/>
          </w:tcPr>
          <w:p>
            <w:pPr>
              <w:ind w:left="180"/>
              <w:spacing w:after="0" w:line="174" w:lineRule="exact"/>
              <w:rPr>
                <w:sz w:val="20"/>
                <w:szCs w:val="20"/>
                <w:color w:val="auto"/>
              </w:rPr>
            </w:pPr>
            <w:r>
              <w:rPr>
                <w:rFonts w:ascii="Arial" w:cs="Arial" w:eastAsia="Arial" w:hAnsi="Arial"/>
                <w:sz w:val="18"/>
                <w:szCs w:val="18"/>
                <w:color w:val="auto"/>
                <w:w w:val="90"/>
              </w:rPr>
              <w:t>Common stock class B issued</w:t>
            </w: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499,220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pursuant to stock options</w:t>
            </w:r>
          </w:p>
        </w:tc>
        <w:tc>
          <w:tcPr>
            <w:tcW w:w="10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38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2021</w:t>
            </w:r>
          </w:p>
        </w:tc>
        <w:tc>
          <w:tcPr>
            <w:tcW w:w="104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w w:val="89"/>
              </w:rPr>
              <w:t>1,385,204</w:t>
            </w:r>
          </w:p>
        </w:tc>
        <w:tc>
          <w:tcPr>
            <w:tcW w:w="80" w:type="dxa"/>
            <w:vAlign w:val="bottom"/>
          </w:tcPr>
          <w:p>
            <w:pPr>
              <w:spacing w:after="0"/>
              <w:rPr>
                <w:sz w:val="22"/>
                <w:szCs w:val="22"/>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334,439</w:t>
            </w:r>
          </w:p>
        </w:tc>
        <w:tc>
          <w:tcPr>
            <w:tcW w:w="1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604,649</w:t>
            </w:r>
          </w:p>
        </w:tc>
        <w:tc>
          <w:tcPr>
            <w:tcW w:w="8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tcPr>
          <w:p>
            <w:pPr>
              <w:ind w:left="60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(521,044)</w:t>
            </w:r>
          </w:p>
        </w:tc>
        <w:tc>
          <w:tcPr>
            <w:tcW w:w="8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(521,044)</w:t>
            </w:r>
          </w:p>
        </w:tc>
        <w:tc>
          <w:tcPr>
            <w:tcW w:w="0" w:type="dxa"/>
            <w:vAlign w:val="bottom"/>
          </w:tcPr>
          <w:p>
            <w:pPr>
              <w:spacing w:after="0"/>
              <w:rPr>
                <w:sz w:val="1"/>
                <w:szCs w:val="1"/>
                <w:color w:val="auto"/>
              </w:rPr>
            </w:pP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240"/>
          </w:cols>
          <w:pgMar w:left="320" w:top="121" w:right="339" w:bottom="1440" w:gutter="0" w:footer="0" w:header="0"/>
        </w:sectPr>
      </w:pPr>
    </w:p>
    <w:bookmarkStart w:id="214" w:name="page215"/>
    <w:bookmarkEnd w:id="214"/>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64"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Condensed Statements of Cash Flows</w:t>
      </w:r>
    </w:p>
    <w:p>
      <w:pPr>
        <w:spacing w:after="0" w:line="22"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(in thousands, except share amounts)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4"/>
                <w:szCs w:val="14"/>
                <w:b w:val="1"/>
                <w:bCs w:val="1"/>
                <w:color w:val="auto"/>
              </w:rPr>
              <w:t>Three months ended March 31,</w:t>
            </w:r>
          </w:p>
        </w:tc>
      </w:tr>
      <w:tr>
        <w:trPr>
          <w:trHeight w:val="183"/>
        </w:trPr>
        <w:tc>
          <w:tcPr>
            <w:tcW w:w="80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r>
      <w:tr>
        <w:trPr>
          <w:trHeight w:val="20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(190,993)</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(26,990)</w:t>
            </w:r>
          </w:p>
        </w:tc>
      </w:tr>
      <w:tr>
        <w:trPr>
          <w:trHeight w:val="398"/>
        </w:trPr>
        <w:tc>
          <w:tcPr>
            <w:tcW w:w="80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6"/>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 expense</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2,398</w:t>
            </w:r>
          </w:p>
        </w:tc>
      </w:tr>
      <w:tr>
        <w:trPr>
          <w:trHeight w:val="225"/>
        </w:trPr>
        <w:tc>
          <w:tcPr>
            <w:tcW w:w="802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164,962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815</w:t>
            </w:r>
          </w:p>
        </w:tc>
      </w:tr>
      <w:tr>
        <w:trPr>
          <w:trHeight w:val="239"/>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2B2A29"/>
              </w:rPr>
              <w:t>Provision for excess and obsolete inventory</w:t>
            </w: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020" w:type="dxa"/>
            <w:vAlign w:val="bottom"/>
          </w:tcPr>
          <w:p>
            <w:pPr>
              <w:ind w:left="180"/>
              <w:spacing w:after="0"/>
              <w:rPr>
                <w:sz w:val="20"/>
                <w:szCs w:val="20"/>
                <w:color w:val="auto"/>
              </w:rPr>
            </w:pPr>
            <w:r>
              <w:rPr>
                <w:rFonts w:ascii="Arial" w:cs="Arial" w:eastAsia="Arial" w:hAnsi="Arial"/>
                <w:sz w:val="18"/>
                <w:szCs w:val="18"/>
                <w:color w:val="auto"/>
              </w:rPr>
              <w:t>Non-cash lease expense</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1,052</w:t>
            </w:r>
          </w:p>
        </w:tc>
      </w:tr>
      <w:tr>
        <w:trPr>
          <w:trHeight w:val="226"/>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operating assets and liabilities: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5"/>
        </w:trPr>
        <w:tc>
          <w:tcPr>
            <w:tcW w:w="802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(1,446)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(2,094)</w:t>
            </w:r>
          </w:p>
        </w:tc>
      </w:tr>
      <w:tr>
        <w:trPr>
          <w:trHeight w:val="226"/>
        </w:trPr>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Inventory</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2,675</w:t>
            </w:r>
          </w:p>
        </w:tc>
      </w:tr>
      <w:tr>
        <w:trPr>
          <w:trHeight w:val="225"/>
        </w:trPr>
        <w:tc>
          <w:tcPr>
            <w:tcW w:w="802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(6,466)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(860)</w:t>
            </w:r>
          </w:p>
        </w:tc>
      </w:tr>
      <w:tr>
        <w:trPr>
          <w:trHeight w:val="226"/>
        </w:trPr>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Due to/from related parties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r>
      <w:tr>
        <w:trPr>
          <w:trHeight w:val="225"/>
        </w:trPr>
        <w:tc>
          <w:tcPr>
            <w:tcW w:w="8020" w:type="dxa"/>
            <w:vAlign w:val="bottom"/>
          </w:tcPr>
          <w:p>
            <w:pPr>
              <w:ind w:left="340"/>
              <w:spacing w:after="0"/>
              <w:rPr>
                <w:sz w:val="20"/>
                <w:szCs w:val="20"/>
                <w:color w:val="auto"/>
              </w:rPr>
            </w:pPr>
            <w:r>
              <w:rPr>
                <w:rFonts w:ascii="Arial" w:cs="Arial" w:eastAsia="Arial" w:hAnsi="Arial"/>
                <w:sz w:val="18"/>
                <w:szCs w:val="18"/>
                <w:color w:val="auto"/>
              </w:rPr>
              <w:t>Other assets</w:t>
            </w:r>
          </w:p>
        </w:tc>
        <w:tc>
          <w:tcPr>
            <w:tcW w:w="3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1,174</w:t>
            </w:r>
          </w:p>
        </w:tc>
      </w:tr>
      <w:tr>
        <w:trPr>
          <w:trHeight w:val="226"/>
        </w:trPr>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and accrued expenses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w:t>
            </w:r>
          </w:p>
        </w:tc>
      </w:tr>
      <w:tr>
        <w:trPr>
          <w:trHeight w:val="225"/>
        </w:trPr>
        <w:tc>
          <w:tcPr>
            <w:tcW w:w="8020" w:type="dxa"/>
            <w:vAlign w:val="bottom"/>
          </w:tcPr>
          <w:p>
            <w:pPr>
              <w:ind w:left="340"/>
              <w:spacing w:after="0"/>
              <w:rPr>
                <w:sz w:val="20"/>
                <w:szCs w:val="20"/>
                <w:color w:val="auto"/>
              </w:rPr>
            </w:pPr>
            <w:r>
              <w:rPr>
                <w:rFonts w:ascii="Arial" w:cs="Arial" w:eastAsia="Arial" w:hAnsi="Arial"/>
                <w:sz w:val="18"/>
                <w:szCs w:val="18"/>
                <w:color w:val="auto"/>
              </w:rPr>
              <w:t>Contract liabilities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1,027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(487)</w:t>
            </w:r>
          </w:p>
        </w:tc>
      </w:tr>
      <w:tr>
        <w:trPr>
          <w:trHeight w:val="226"/>
        </w:trPr>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w:t>
            </w:r>
          </w:p>
        </w:tc>
      </w:tr>
      <w:tr>
        <w:trPr>
          <w:trHeight w:val="218"/>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in operating activities</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(42,208)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(22,613)</w:t>
            </w:r>
          </w:p>
        </w:tc>
      </w:tr>
      <w:tr>
        <w:trPr>
          <w:trHeight w:val="378"/>
        </w:trPr>
        <w:tc>
          <w:tcPr>
            <w:tcW w:w="80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property and equipment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(3,907)</w:t>
            </w: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Development of internal-use software assets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(1,414)</w:t>
            </w: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(5,321)</w:t>
            </w:r>
          </w:p>
        </w:tc>
      </w:tr>
      <w:tr>
        <w:trPr>
          <w:trHeight w:val="378"/>
        </w:trPr>
        <w:tc>
          <w:tcPr>
            <w:tcW w:w="8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Proceeds from long-term debt</w:t>
            </w:r>
          </w:p>
        </w:tc>
        <w:tc>
          <w:tcPr>
            <w:tcW w:w="3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6,000</w:t>
            </w: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of stock options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Long-term debt principal payments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lease principal payments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w:t>
            </w: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Payment of deferred transaction costs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4,657</w:t>
            </w:r>
          </w:p>
        </w:tc>
      </w:tr>
      <w:tr>
        <w:trPr>
          <w:trHeight w:val="378"/>
        </w:trPr>
        <w:tc>
          <w:tcPr>
            <w:tcW w:w="8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 cash, cash equivalents and restricted cash</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(49,480)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(23,277)</w:t>
            </w: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118,960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115,006</w:t>
            </w: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69,480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91,729</w:t>
            </w:r>
          </w:p>
        </w:tc>
      </w:tr>
      <w:tr>
        <w:trPr>
          <w:trHeight w:val="378"/>
        </w:trPr>
        <w:tc>
          <w:tcPr>
            <w:tcW w:w="8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Interest expense paid</w:t>
            </w: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723</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629</w:t>
            </w: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property and equipment in accounts payable and accrued expenses</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w:t>
            </w: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Software development costs in accounts payable and accrued expenses</w:t>
            </w: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1,570</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1,023</w:t>
            </w: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acquired under capital leases obligations</w:t>
            </w: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4,340</w:t>
            </w:r>
          </w:p>
        </w:tc>
      </w:tr>
      <w:tr>
        <w:trPr>
          <w:trHeight w:val="219"/>
        </w:trPr>
        <w:tc>
          <w:tcPr>
            <w:tcW w:w="8020" w:type="dxa"/>
            <w:vAlign w:val="bottom"/>
          </w:tcPr>
          <w:p>
            <w:pPr>
              <w:ind w:left="20"/>
              <w:spacing w:after="0"/>
              <w:rPr>
                <w:sz w:val="20"/>
                <w:szCs w:val="20"/>
                <w:color w:val="auto"/>
              </w:rPr>
            </w:pPr>
            <w:r>
              <w:rPr>
                <w:rFonts w:ascii="Arial" w:cs="Arial" w:eastAsia="Arial" w:hAnsi="Arial"/>
                <w:sz w:val="18"/>
                <w:szCs w:val="18"/>
                <w:color w:val="auto"/>
              </w:rPr>
              <w:t>Unpaid deferred transaction costs included in accounts payable and accrued expenses</w:t>
            </w: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F-43</w:t>
      </w:r>
    </w:p>
    <w:p>
      <w:pPr>
        <w:sectPr>
          <w:pgSz w:w="11900" w:h="16838" w:orient="portrait"/>
          <w:cols w:equalWidth="0" w:num="1">
            <w:col w:w="11240"/>
          </w:cols>
          <w:pgMar w:left="320" w:top="121" w:right="339" w:bottom="1440" w:gutter="0" w:footer="0" w:header="0"/>
          <w:type w:val="continuous"/>
        </w:sectPr>
      </w:pPr>
    </w:p>
    <w:bookmarkStart w:id="215" w:name="page216"/>
    <w:bookmarkEnd w:id="215"/>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17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Mount Sinai Genomics, Inc., d/b/a Sema4 (the “Company”) provides genomics-related diagnostic and information services and pursues genomics medical research. The Company utilizes an integrated portfolio of laboratory processes, software tools and informatics capabilities to process DNA-containing samples, analyze information about patient-specific genetic variation and generate test reports for clinicians and their patients. The Company provides a variety of genetic diagnostic tests and information with focus on reproductive health, pediatric, oncology and other conditions. In 2020, the Company began to provide diagnostic testing services in response to the recent novel coronavirus (“COVID-19”) outbreak. The Company serves patients and bills third party payors across the United States, with a substantial portion of its diagnostic testing volume occurring in the states of New York, California, Florida, Connecticut, and New Jersey.</w:t>
      </w:r>
    </w:p>
    <w:p>
      <w:pPr>
        <w:spacing w:after="0" w:line="146"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The Company was incorporated in the State of Delaware as a for-profit corporation on October 16, 2015, with limited operations focused on establishing the Company as a capitalized, standalone entity. On June 1, 2017, the Company signed a contribution and funding agreement and other agreements with Icahn School of Medicine at Mount Sinai (“ISMMS”), whereby ISMMS contributed certain assets and liabilities related to the Company’s operations, provided certain services to the Company, and also committed to fund the Company up to $55.0 million in future capital contributions in exchange for equity in the Company (the “Spin-out”). Following the Spin-out, the Company commenced operations and began providing the services and performing research. The Company continues to be party to a Transition Services Agreement (“TSA”) as well as service agreements (“Service Agreements”) with ISMMS (see Note 6).</w:t>
      </w:r>
    </w:p>
    <w:p>
      <w:pPr>
        <w:spacing w:after="0" w:line="99"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On February 9, 2021, the Company, CM Life Sciences, Inc. (“CMLS”), and S-IV Sub, Inc., a direct and wholly-owned subsidiary of CMLS, entered into an Agreement and Plan of Merger (the “Merger Agreement”), pursuant to which CMLS will acquire the Company through a merger of S-IV Sub, Inc. with and into the Company (the “Merger”), with the Company being the surviving corporation and a wholly-owned subsidiary of CMLS following the Merger. Once effective, all equity securities of the Company will be converted into the right to receive the applicable portion of merger consideration.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accompanying unaudited condensed financial statements have been prepared in conformity with accounting principles generally accepted in the United States of America (“U.S. GAAP”) for interim financial information. Accordingly, they do not include all of the information and footnotes required by U.S. GAAP for complete financial statements. As such, the accompanying unaudited condensed financial statements should be read in conjunction with the Company’s audited financial statements and notes thereto as of and for the years ended December 31, 2020, 2019 and 2018 that are included elsewhere in this proxy statement.</w:t>
      </w:r>
    </w:p>
    <w:p>
      <w:pPr>
        <w:spacing w:after="0" w:line="141"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The accompanying condensed financial statements reflect all normal recurring adjustments that are necessary to state fairly the results for the interim periods presented. Interim results are not necessarily indicative of the results of operations or cash flows for a full year or any subsequent interim period.</w:t>
      </w:r>
    </w:p>
    <w:p>
      <w:pPr>
        <w:spacing w:after="0" w:line="58"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Company’s historical financial information includes costs of certain services historically provided by ISMMS pursuant to the TSA and Service Agreements. The Company’s historical results are not necessarily indicative of what its results of operations, financial position, cash flows, or costs and expenses would have been had the Company been an independent entity during the historical periods presented or what its results of operations, financial position, cash flows, or costs and expenses will be in the future when it is a publicly traded, stand-alone company.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Going Concern</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 has evaluated whether there are certain conditions and events, considered in the aggregate, that raise substantial doubt about the Company’s ability to continue as a going concern within one year after the date that the condensed financial statements are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240"/>
          </w:cols>
          <w:pgMar w:left="320" w:top="121" w:right="339" w:bottom="1440" w:gutter="0" w:footer="0" w:header="0"/>
        </w:sectPr>
      </w:pPr>
    </w:p>
    <w:bookmarkStart w:id="216" w:name="page217"/>
    <w:bookmarkEnd w:id="216"/>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Through March 31, 2021, the Company has funded its operations primarily with proceeds from the issuance of its redeemable convertible preferred stock and the issuance of long-term debt. The Company has incurred recurring losses since its inception, including net losses of $191.0 million and $27.0 million for the three months ended March 31, 2021 and 2020, respectively. As of March 31, 2021, the Company had an accumulated deficit of $521.0 million. The Company expects to continue to generate significant operating losses for the foreseeable future. As of June 10, 2021, the issuance date of the condensed financial statements for the three months ended March 31, 2021, the Company expects that its existing cash and cash equivalents of $58.7 million (excluding restricted cash) will be sufficient to fund its operating expenses and capital expenditure requirements into the third quarter of 2021. The future viability of the Company beyond that point is dependent on its ability to raise additional capital to finance its operations.</w:t>
      </w:r>
    </w:p>
    <w:p>
      <w:pPr>
        <w:spacing w:after="0" w:line="10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Company is seeking to merge with CM Life Sciences, Inc. (see Note 1). In the event the Company does not complete this transaction, the Company expects to seek additional funding through an initial public offering of its common shares, private equity financings, debt financings or other capital sources, including collaborations with other companies or other strategic transactions. The Company may not be able to obtain financing on acceptable terms, or at all. The terms of any financing may adversely affect the holdings or the rights of the Company’s stockholders.</w:t>
      </w:r>
    </w:p>
    <w:p>
      <w:pPr>
        <w:spacing w:after="0" w:line="12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If the Company is unable to obtain funding, the Company will be forced to delay, reduce or eliminate some or all of its research and development programs, product portfolio expansion or commercialization efforts, which could adversely affect its business prospects, or the Company may be unable to continue operations. Although management continues to pursue these plans, there is no assurance that the Company will be successful in obtaining sufficient funding on terms acceptable to the Company to fund continuing operations, if at all.</w:t>
      </w:r>
    </w:p>
    <w:p>
      <w:pPr>
        <w:spacing w:after="0" w:line="13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Based on its recurring losses from operations incurred since inception, expectation of continuing operating losses for the foreseeable future, and the need to raise additional capital to finance its future operations, as of June 10 2021, the issuance date of the accompanying condensed financial statements, the Company has concluded that there is substantial doubt about its ability to continue as a going concern for a period of one year from the date that these condensed financial statements were issued.</w:t>
      </w:r>
    </w:p>
    <w:p>
      <w:pPr>
        <w:spacing w:after="0" w:line="13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accompanying condensed financial statements do not include any adjustments that might result from the outcome of this uncertainty. Accordingly, the condensed financial statements have been prepared on a basis that assumes the Company will continue as a going concern and which contemplates the realization of assets and satisfaction of liabilities and commitments in the ordinary course of business.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64"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The preparation of condensed financial statements in conformity with U.S. GAAP requires management to make certain estimates, judgments and assumptions that affect the reported amounts of assets and liabilities and the related disclosures at the date of the condensed financial statements as well as the reported amounts of revenues and expenses during the periods presented. The Company bases these estimates on current facts, historical and anticipated results, trends and various other assumptions that it believes are reasonable in the circumstances, including assumptions as to future events. These estimates include, but are not limited to, the transaction price for certain contracts with customers, the capitalization of software costs and the valuation of stock-based awards and inventory. Actual results could differ materially from those estimates, judgments and assumptions.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and cash equivalents and accounts receivable.</w:t>
      </w:r>
    </w:p>
    <w:p>
      <w:pPr>
        <w:spacing w:after="0" w:line="12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Company’s cash and cash equivalents are deposited with high-quality financial institutions. The Company has balances in financial institutions that exceed federal depository insurance limits. Management believes these financial institutions are financially sound and, accordingly, that minimal credit risk exists. The Company has not experienced any losses on its deposits of cash and cash equivalents.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240"/>
          </w:cols>
          <w:pgMar w:left="320" w:top="121" w:right="339" w:bottom="1440" w:gutter="0" w:footer="0" w:header="0"/>
        </w:sectPr>
      </w:pPr>
    </w:p>
    <w:bookmarkStart w:id="217" w:name="page218"/>
    <w:bookmarkEnd w:id="217"/>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Company assesses both the customer and, if applicable, the third-party payor that reimburses the Company on the customer’s behalf when evaluating concentration of credit risk. Significant customers and payors are those that represent more than 10% of the Company’s total annual revenues or accounts receivable balance at each respective balance sheet date. The significant concentrations of accounts receivable at March 31, 2021 and December 31, 2020 were primarily from large managed care insurance companies and a reference laboratory. There was no individual customer that accounted for 10% or more of revenue or accounts receivable for any of the years presented. The Company does not require collateral as a means to mitigate customer credit risk.</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For each significant payor, revenue as a percentage of total revenues and accounts receivable as a percentage of total accounts receivable are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797"/>
              <w:spacing w:after="0"/>
              <w:rPr>
                <w:sz w:val="20"/>
                <w:szCs w:val="20"/>
                <w:color w:val="auto"/>
              </w:rPr>
            </w:pPr>
            <w:r>
              <w:rPr>
                <w:rFonts w:ascii="Arial" w:cs="Arial" w:eastAsia="Arial" w:hAnsi="Arial"/>
                <w:sz w:val="14"/>
                <w:szCs w:val="14"/>
                <w:b w:val="1"/>
                <w:bCs w:val="1"/>
                <w:color w:val="auto"/>
              </w:rPr>
              <w:t>Revenue</w:t>
            </w:r>
          </w:p>
        </w:tc>
        <w:tc>
          <w:tcPr>
            <w:tcW w:w="5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400" w:type="dxa"/>
            <w:vAlign w:val="bottom"/>
            <w:tcBorders>
              <w:bottom w:val="single" w:sz="8" w:color="auto"/>
            </w:tcBorders>
            <w:gridSpan w:val="3"/>
          </w:tcPr>
          <w:p>
            <w:pPr>
              <w:jc w:val="right"/>
              <w:ind w:right="998"/>
              <w:spacing w:after="0"/>
              <w:rPr>
                <w:sz w:val="20"/>
                <w:szCs w:val="20"/>
                <w:color w:val="auto"/>
              </w:rPr>
            </w:pPr>
            <w:r>
              <w:rPr>
                <w:rFonts w:ascii="Arial" w:cs="Arial" w:eastAsia="Arial" w:hAnsi="Arial"/>
                <w:sz w:val="14"/>
                <w:szCs w:val="14"/>
                <w:b w:val="1"/>
                <w:bCs w:val="1"/>
                <w:color w:val="auto"/>
              </w:rPr>
              <w:t>Accounts Receivable</w:t>
            </w:r>
          </w:p>
        </w:tc>
        <w:tc>
          <w:tcPr>
            <w:tcW w:w="0" w:type="dxa"/>
            <w:vAlign w:val="bottom"/>
          </w:tcPr>
          <w:p>
            <w:pPr>
              <w:spacing w:after="0"/>
              <w:rPr>
                <w:sz w:val="1"/>
                <w:szCs w:val="1"/>
                <w:color w:val="auto"/>
              </w:rPr>
            </w:pPr>
          </w:p>
        </w:tc>
      </w:tr>
      <w:tr>
        <w:trPr>
          <w:trHeight w:val="131"/>
        </w:trPr>
        <w:tc>
          <w:tcPr>
            <w:tcW w:w="4420" w:type="dxa"/>
            <w:vAlign w:val="bottom"/>
          </w:tcPr>
          <w:p>
            <w:pPr>
              <w:spacing w:after="0"/>
              <w:rPr>
                <w:sz w:val="11"/>
                <w:szCs w:val="11"/>
                <w:color w:val="auto"/>
              </w:rPr>
            </w:pPr>
          </w:p>
        </w:tc>
        <w:tc>
          <w:tcPr>
            <w:tcW w:w="2800" w:type="dxa"/>
            <w:vAlign w:val="bottom"/>
            <w:gridSpan w:val="2"/>
            <w:vMerge w:val="restart"/>
          </w:tcPr>
          <w:p>
            <w:pPr>
              <w:jc w:val="right"/>
              <w:ind w:right="97"/>
              <w:spacing w:after="0"/>
              <w:rPr>
                <w:sz w:val="20"/>
                <w:szCs w:val="20"/>
                <w:color w:val="auto"/>
              </w:rPr>
            </w:pPr>
            <w:r>
              <w:rPr>
                <w:rFonts w:ascii="Arial" w:cs="Arial" w:eastAsia="Arial" w:hAnsi="Arial"/>
                <w:sz w:val="14"/>
                <w:szCs w:val="14"/>
                <w:b w:val="1"/>
                <w:bCs w:val="1"/>
                <w:color w:val="auto"/>
              </w:rPr>
              <w:t>Three months ended March 31,</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40" w:type="dxa"/>
            <w:vAlign w:val="bottom"/>
            <w:gridSpan w:val="2"/>
          </w:tcPr>
          <w:p>
            <w:pPr>
              <w:jc w:val="center"/>
              <w:ind w:right="80"/>
              <w:spacing w:after="0" w:line="131" w:lineRule="exact"/>
              <w:rPr>
                <w:sz w:val="20"/>
                <w:szCs w:val="20"/>
                <w:color w:val="auto"/>
              </w:rPr>
            </w:pPr>
            <w:r>
              <w:rPr>
                <w:rFonts w:ascii="Arial" w:cs="Arial" w:eastAsia="Arial" w:hAnsi="Arial"/>
                <w:sz w:val="14"/>
                <w:szCs w:val="14"/>
                <w:b w:val="1"/>
                <w:bCs w:val="1"/>
                <w:color w:val="auto"/>
                <w:w w:val="85"/>
              </w:rPr>
              <w:t>As of</w:t>
            </w:r>
          </w:p>
        </w:tc>
        <w:tc>
          <w:tcPr>
            <w:tcW w:w="166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85"/>
        </w:trPr>
        <w:tc>
          <w:tcPr>
            <w:tcW w:w="4420" w:type="dxa"/>
            <w:vAlign w:val="bottom"/>
          </w:tcPr>
          <w:p>
            <w:pPr>
              <w:spacing w:after="0"/>
              <w:rPr>
                <w:sz w:val="16"/>
                <w:szCs w:val="16"/>
                <w:color w:val="auto"/>
              </w:rPr>
            </w:pPr>
          </w:p>
        </w:tc>
        <w:tc>
          <w:tcPr>
            <w:tcW w:w="2800" w:type="dxa"/>
            <w:vAlign w:val="bottom"/>
            <w:gridSpan w:val="2"/>
            <w:vMerge w:val="continue"/>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March 31,</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9"/>
        </w:trPr>
        <w:tc>
          <w:tcPr>
            <w:tcW w:w="4420" w:type="dxa"/>
            <w:vAlign w:val="bottom"/>
            <w:tcBorders>
              <w:bottom w:val="single" w:sz="8" w:color="CCEEFF"/>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2021</w:t>
            </w:r>
          </w:p>
        </w:tc>
        <w:tc>
          <w:tcPr>
            <w:tcW w:w="17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top w:val="single" w:sz="8" w:color="auto"/>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Borders>
              <w:bottom w:val="single" w:sz="8" w:color="auto"/>
            </w:tcBorders>
          </w:tcPr>
          <w:p>
            <w:pPr>
              <w:spacing w:after="0"/>
              <w:rPr>
                <w:sz w:val="15"/>
                <w:szCs w:val="15"/>
                <w:color w:val="auto"/>
              </w:rPr>
            </w:pPr>
          </w:p>
        </w:tc>
        <w:tc>
          <w:tcPr>
            <w:tcW w:w="16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19"/>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Payor A</w:t>
            </w:r>
          </w:p>
        </w:tc>
        <w:tc>
          <w:tcPr>
            <w:tcW w:w="1720" w:type="dxa"/>
            <w:vAlign w:val="bottom"/>
            <w:shd w:val="clear" w:color="auto" w:fill="CCEEFF"/>
          </w:tcPr>
          <w:p>
            <w:pPr>
              <w:jc w:val="right"/>
              <w:ind w:right="1117"/>
              <w:spacing w:after="0"/>
              <w:rPr>
                <w:sz w:val="20"/>
                <w:szCs w:val="20"/>
                <w:color w:val="auto"/>
              </w:rPr>
            </w:pPr>
            <w:r>
              <w:rPr>
                <w:rFonts w:ascii="Arial" w:cs="Arial" w:eastAsia="Arial" w:hAnsi="Arial"/>
                <w:sz w:val="18"/>
                <w:szCs w:val="18"/>
                <w:color w:val="auto"/>
              </w:rPr>
              <w:t>14 %</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25"/>
        </w:trPr>
        <w:tc>
          <w:tcPr>
            <w:tcW w:w="5500" w:type="dxa"/>
            <w:vAlign w:val="bottom"/>
            <w:gridSpan w:val="2"/>
          </w:tcPr>
          <w:p>
            <w:pPr>
              <w:ind w:left="20"/>
              <w:spacing w:after="0"/>
              <w:rPr>
                <w:sz w:val="20"/>
                <w:szCs w:val="20"/>
                <w:color w:val="auto"/>
              </w:rPr>
            </w:pPr>
            <w:r>
              <w:rPr>
                <w:rFonts w:ascii="Arial" w:cs="Arial" w:eastAsia="Arial" w:hAnsi="Arial"/>
                <w:sz w:val="18"/>
                <w:szCs w:val="18"/>
                <w:color w:val="auto"/>
              </w:rPr>
              <w:t>Payor B</w:t>
            </w:r>
          </w:p>
        </w:tc>
        <w:tc>
          <w:tcPr>
            <w:tcW w:w="1720" w:type="dxa"/>
            <w:vAlign w:val="bottom"/>
          </w:tcPr>
          <w:p>
            <w:pPr>
              <w:jc w:val="right"/>
              <w:ind w:right="1117"/>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15 %</w:t>
            </w:r>
          </w:p>
        </w:tc>
        <w:tc>
          <w:tcPr>
            <w:tcW w:w="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Payor C</w:t>
            </w:r>
          </w:p>
        </w:tc>
        <w:tc>
          <w:tcPr>
            <w:tcW w:w="1720" w:type="dxa"/>
            <w:vAlign w:val="bottom"/>
            <w:shd w:val="clear" w:color="auto" w:fill="CCEEFF"/>
          </w:tcPr>
          <w:p>
            <w:pPr>
              <w:jc w:val="right"/>
              <w:ind w:right="1117"/>
              <w:spacing w:after="0"/>
              <w:rPr>
                <w:sz w:val="20"/>
                <w:szCs w:val="20"/>
                <w:color w:val="auto"/>
              </w:rPr>
            </w:pPr>
            <w:r>
              <w:rPr>
                <w:rFonts w:ascii="Arial" w:cs="Arial" w:eastAsia="Arial" w:hAnsi="Arial"/>
                <w:sz w:val="18"/>
                <w:szCs w:val="18"/>
                <w:color w:val="auto"/>
              </w:rPr>
              <w:t>12 %</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500" w:type="dxa"/>
            <w:vAlign w:val="bottom"/>
            <w:gridSpan w:val="2"/>
          </w:tcPr>
          <w:p>
            <w:pPr>
              <w:ind w:left="20"/>
              <w:spacing w:after="0"/>
              <w:rPr>
                <w:sz w:val="20"/>
                <w:szCs w:val="20"/>
                <w:color w:val="auto"/>
              </w:rPr>
            </w:pPr>
            <w:r>
              <w:rPr>
                <w:rFonts w:ascii="Arial" w:cs="Arial" w:eastAsia="Arial" w:hAnsi="Arial"/>
                <w:sz w:val="18"/>
                <w:szCs w:val="18"/>
                <w:color w:val="auto"/>
              </w:rPr>
              <w:t>Payor D</w:t>
            </w:r>
          </w:p>
        </w:tc>
        <w:tc>
          <w:tcPr>
            <w:tcW w:w="1720" w:type="dxa"/>
            <w:vAlign w:val="bottom"/>
          </w:tcPr>
          <w:p>
            <w:pPr>
              <w:jc w:val="right"/>
              <w:ind w:right="1117"/>
              <w:spacing w:after="0"/>
              <w:rPr>
                <w:sz w:val="20"/>
                <w:szCs w:val="20"/>
                <w:color w:val="auto"/>
              </w:rPr>
            </w:pPr>
            <w:r>
              <w:rPr>
                <w:rFonts w:ascii="Arial" w:cs="Arial" w:eastAsia="Arial" w:hAnsi="Arial"/>
                <w:sz w:val="18"/>
                <w:szCs w:val="18"/>
                <w:color w:val="auto"/>
              </w:rPr>
              <w:t>12 %</w:t>
            </w:r>
          </w:p>
        </w:tc>
        <w:tc>
          <w:tcPr>
            <w:tcW w:w="540" w:type="dxa"/>
            <w:vAlign w:val="bottom"/>
          </w:tcPr>
          <w:p>
            <w:pPr>
              <w:jc w:val="right"/>
              <w:spacing w:after="0"/>
              <w:rPr>
                <w:sz w:val="20"/>
                <w:szCs w:val="20"/>
                <w:color w:val="auto"/>
              </w:rPr>
            </w:pPr>
            <w:r>
              <w:rPr>
                <w:rFonts w:ascii="Arial" w:cs="Arial" w:eastAsia="Arial" w:hAnsi="Arial"/>
                <w:sz w:val="18"/>
                <w:szCs w:val="18"/>
                <w:color w:val="auto"/>
              </w:rPr>
              <w:t>11 %</w:t>
            </w:r>
          </w:p>
        </w:tc>
        <w:tc>
          <w:tcPr>
            <w:tcW w:w="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17 %</w:t>
            </w:r>
          </w:p>
        </w:tc>
        <w:tc>
          <w:tcPr>
            <w:tcW w:w="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Payor E</w:t>
            </w:r>
          </w:p>
        </w:tc>
        <w:tc>
          <w:tcPr>
            <w:tcW w:w="1720" w:type="dxa"/>
            <w:vAlign w:val="bottom"/>
            <w:shd w:val="clear" w:color="auto" w:fill="CCEEFF"/>
          </w:tcPr>
          <w:p>
            <w:pPr>
              <w:jc w:val="right"/>
              <w:ind w:right="1117"/>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24"/>
        </w:trPr>
        <w:tc>
          <w:tcPr>
            <w:tcW w:w="5500" w:type="dxa"/>
            <w:vAlign w:val="bottom"/>
            <w:gridSpan w:val="2"/>
          </w:tcPr>
          <w:p>
            <w:pPr>
              <w:ind w:left="20"/>
              <w:spacing w:after="0"/>
              <w:rPr>
                <w:sz w:val="20"/>
                <w:szCs w:val="20"/>
                <w:color w:val="auto"/>
              </w:rPr>
            </w:pPr>
            <w:r>
              <w:rPr>
                <w:rFonts w:ascii="Arial" w:cs="Arial" w:eastAsia="Arial" w:hAnsi="Arial"/>
                <w:sz w:val="18"/>
                <w:szCs w:val="18"/>
                <w:color w:val="auto"/>
              </w:rPr>
              <w:t>*less than 10%</w:t>
            </w:r>
          </w:p>
        </w:tc>
        <w:tc>
          <w:tcPr>
            <w:tcW w:w="1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4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 is subject to a concentration of risk from a limited number of suppliers for certain reagents and laboratory supplies. One supplier accounted for approximately 11% and 12% of purchases of lab supplies, reagents and kits for the three months ended March 31, 2021 and 2020, respectively. This risk is managed by maintaining a target quantity of surplus stock.</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March 2020, the World Health Organization declared the COVID-19 outbreak a pandemic. COVID-19 has had, and continues to have, an extensive impact on the global health and economic environments. Many jurisdictions, including those in which the Company has locations, have implemented measures to combat the outbreak, such as travel restrictions and shelter in place orders. In addition, the healthcare sector generally experienced a decline in discretionary care services at the onset of the pandemic.</w:t>
      </w:r>
    </w:p>
    <w:p>
      <w:pPr>
        <w:spacing w:after="0" w:line="138"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Beginning in April 2020, the Company’s diagnostic test volumes decreased significantly as compared to the prior year as a result of COVID-19 and the related limitations and priorities across the healthcare system. In response, beginning in May 2020, the Company entered into several service agreements with state governments and healthcare institutions to provide testing for the presence of COVID-19 infection. While test volumes have since improved, the Company continues to experience changes in the mix of tests due to the impact of COVID-19. COVID-19 could continue to have a material impact on the Company’s results of operations, cash flows and financial condition for the foreseeable future.</w:t>
      </w:r>
    </w:p>
    <w:p>
      <w:pPr>
        <w:spacing w:after="0" w:line="128"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In March 2020, the Coronavirus Aid, Relief and Economic Security Act (“CARES Act”) was signed into law, which was a stimulus bill that, among other things, provided assistance to qualifying businesses and individuals and included funding for the healthcare system. During 2020, as part of the stimulus, the Company received $5.4 million, comprised of $2.6 million received under the Provider Relief Fund (“PRF”) distribution, which was recognized in other income, net in the statements of operations and comprehensive loss, and $2.8 million received under the Employee Retention Credit (“ERC”) distribution, which was recorded in the other liabilities and reflected in this balance as of March 31, 2021 and December 31, 2020.</w:t>
      </w:r>
    </w:p>
    <w:p>
      <w:pPr>
        <w:spacing w:after="0" w:line="12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During 2021, the Company received an additional $5.6 million under the PRF distribution, which was recognized in other income, net in the statements of operations and comprehensive loss. At this time, the Company is not certain of the availability, extent or impact of any future relief provided under the CARES Act or other stimulus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240"/>
          </w:cols>
          <w:pgMar w:left="320" w:top="121" w:right="339" w:bottom="1440" w:gutter="0" w:footer="0" w:header="0"/>
        </w:sectPr>
      </w:pPr>
    </w:p>
    <w:bookmarkStart w:id="218" w:name="page219"/>
    <w:bookmarkEnd w:id="218"/>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Cash equivalents consist of amounts invested in money market funds. Carrying values of cash equivalents approximate fair value due to the short-term nature of these instruments.</w:t>
      </w:r>
    </w:p>
    <w:p>
      <w:pPr>
        <w:spacing w:after="0" w:line="12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on the condensed balance sheets that sum to the total of the same amounts shown on the condensed statements of cash flows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6"/>
                <w:szCs w:val="16"/>
                <w:color w:val="auto"/>
              </w:rPr>
            </w:pPr>
          </w:p>
        </w:tc>
        <w:tc>
          <w:tcPr>
            <w:tcW w:w="1540" w:type="dxa"/>
            <w:vAlign w:val="bottom"/>
            <w:gridSpan w:val="2"/>
          </w:tcPr>
          <w:p>
            <w:pPr>
              <w:ind w:left="20"/>
              <w:spacing w:after="0"/>
              <w:rPr>
                <w:sz w:val="20"/>
                <w:szCs w:val="20"/>
                <w:color w:val="auto"/>
              </w:rPr>
            </w:pPr>
            <w:r>
              <w:rPr>
                <w:rFonts w:ascii="Arial" w:cs="Arial" w:eastAsia="Arial" w:hAnsi="Arial"/>
                <w:sz w:val="14"/>
                <w:szCs w:val="14"/>
                <w:b w:val="1"/>
                <w:bCs w:val="1"/>
                <w:color w:val="auto"/>
              </w:rPr>
              <w:t>As of March 31, 2021</w:t>
            </w:r>
          </w:p>
        </w:tc>
        <w:tc>
          <w:tcPr>
            <w:tcW w:w="156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As of December 31, 2020</w:t>
            </w:r>
          </w:p>
        </w:tc>
      </w:tr>
      <w:tr>
        <w:trPr>
          <w:trHeight w:val="224"/>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58,652</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8"/>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108,132</w:t>
            </w: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10,828</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10,828</w:t>
            </w:r>
          </w:p>
        </w:tc>
      </w:tr>
      <w:tr>
        <w:trPr>
          <w:trHeight w:val="244"/>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69,480</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8"/>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118,960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Restricted cash as of March 31, 2021 consists of money market deposit accounts that secure irrevocable standby letters of credit that serve as collateral for security deposits for financing obligations and operating leases (see Note 7 and Note 8, respectively).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transaction costs</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Company capitalizes deferred transaction costs, which primarily consist of direct, incremental legal, professional, accounting and other third-party fees relating to the anticipated Merger. As of March 31, 2021, the Company has deferred $5.5 million of transaction costs in prepaid expenses and other current assets on the condensed balance sheets that will be reclassified and offset against equity upon consummation of the Merger. Should the planned Merger be abandoned, the deferred offering costs will be expensed immediately as a charge to operating expenses in the condensed statements of operations and comprehensive loss.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As such, the Company is eligible for exemptions from various reporting requirements applicable to other public companies that are not emerging growth companies, including reduced reporting and extended transition periods to comply with new or revised accounting standards for public business entities. The Company has elected to avail itself of this exemption and, therefore, will not be subject to the same new or revised accounting standards as other public companies that are not emerging growth companies.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64"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 xml:space="preserve">Effective January 1, 2021, the Company adopted Accounting Standards Update (“ASU”) 2018-18, </w:t>
      </w:r>
      <w:r>
        <w:rPr>
          <w:rFonts w:ascii="Arial" w:cs="Arial" w:eastAsia="Arial" w:hAnsi="Arial"/>
          <w:sz w:val="15"/>
          <w:szCs w:val="15"/>
          <w:i w:val="1"/>
          <w:iCs w:val="1"/>
          <w:color w:val="auto"/>
        </w:rPr>
        <w:t>Collaborative Arrangements: Clarifying the</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Interaction between Topic 808 and Topic 606 </w:t>
      </w:r>
      <w:r>
        <w:rPr>
          <w:rFonts w:ascii="Arial" w:cs="Arial" w:eastAsia="Arial" w:hAnsi="Arial"/>
          <w:sz w:val="15"/>
          <w:szCs w:val="15"/>
          <w:color w:val="auto"/>
        </w:rPr>
        <w:t>(“ASU 2018-18”), which clarifies that certain transactions between participants in a collaborative arrangement</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should be accounted for under ASC Topic 606 (“ASC 606”),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xml:space="preserve">, when the counterparty is a customer. In addition, ASC Topic 808 (“ASC 808”), </w:t>
      </w:r>
      <w:r>
        <w:rPr>
          <w:rFonts w:ascii="Arial" w:cs="Arial" w:eastAsia="Arial" w:hAnsi="Arial"/>
          <w:sz w:val="15"/>
          <w:szCs w:val="15"/>
          <w:i w:val="1"/>
          <w:iCs w:val="1"/>
          <w:color w:val="auto"/>
        </w:rPr>
        <w:t>Collaborative Arrangements</w:t>
      </w:r>
      <w:r>
        <w:rPr>
          <w:rFonts w:ascii="Arial" w:cs="Arial" w:eastAsia="Arial" w:hAnsi="Arial"/>
          <w:sz w:val="15"/>
          <w:szCs w:val="15"/>
          <w:color w:val="auto"/>
        </w:rPr>
        <w:t xml:space="preserve"> precludes an entity from presenting consideration from a transaction in a collaborative arrangement as revenue from contracts with customers if the counterparty is not a customer for that transaction. Adoption of ASU 2018-18 did not have an impact on the Company’s condensed financial statements as the Company is not currently a participant in any such collaborative arrangements.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6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(“ASU 2016-02”), which requires lessees to recognize right-of-use assets and lease liabilities for most leases on their balance sheets. Expense recognition for lessees under ASU 2016-02 is similar to current lease accounting. ASU 2016-02 will require enhanced disclosures to help the financial statement users better understand the amount, timing, and uncertainty of cash flows arising from leases. The recognition, measurement and presentation of expenses and cash flows arising from a lease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240"/>
          </w:cols>
          <w:pgMar w:left="320" w:top="121" w:right="339" w:bottom="1440" w:gutter="0" w:footer="0" w:header="0"/>
        </w:sectPr>
      </w:pPr>
    </w:p>
    <w:bookmarkStart w:id="219" w:name="page220"/>
    <w:bookmarkEnd w:id="219"/>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primarily depend on its classification as a finance or operating lease. As an emerging growth company, the provisions of ASU 2016-02 are effective for the Company for annual and interim periods beginning after December 15, 2021. Early adoption is permitted. The Company is evaluating the transition options permissible under ASU 2016-02 and plans to adopt through a cumulative adjustment to retained earnings on the date of adoption. Significant implementation matters being addressed by the Company include documenting the new lease accounting process. The Company is evaluating the effect this ASU will have on its financial statements, related disclosures and ongoing financial reporting. The Company expects implementation of this ASU to result in the recognition of right-of-use assets and corresponding lease liabilities in its balance sheets, principally related to office and facility leases.</w:t>
      </w:r>
    </w:p>
    <w:p>
      <w:pPr>
        <w:spacing w:after="0" w:line="99"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 xml:space="preserve">In June 2016, the FASB issued ASU 2016-13, </w:t>
      </w:r>
      <w:r>
        <w:rPr>
          <w:rFonts w:ascii="Arial" w:cs="Arial" w:eastAsia="Arial" w:hAnsi="Arial"/>
          <w:sz w:val="15"/>
          <w:szCs w:val="15"/>
          <w:i w:val="1"/>
          <w:iCs w:val="1"/>
          <w:color w:val="auto"/>
        </w:rPr>
        <w:t>Financial Instruments – Credit Losses (Topic 326): Measurement of Credit Losses on Financial</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Instruments </w:t>
      </w:r>
      <w:r>
        <w:rPr>
          <w:rFonts w:ascii="Arial" w:cs="Arial" w:eastAsia="Arial" w:hAnsi="Arial"/>
          <w:sz w:val="15"/>
          <w:szCs w:val="15"/>
          <w:color w:val="auto"/>
        </w:rPr>
        <w:t>(“ASU 2016-13”). The new credit losses standard changes the impairment model for most financial assets and certain other instruments. For trade</w:t>
      </w:r>
      <w:r>
        <w:rPr>
          <w:rFonts w:ascii="Arial" w:cs="Arial" w:eastAsia="Arial" w:hAnsi="Arial"/>
          <w:sz w:val="15"/>
          <w:szCs w:val="15"/>
          <w:i w:val="1"/>
          <w:iCs w:val="1"/>
          <w:color w:val="auto"/>
        </w:rPr>
        <w:t xml:space="preserve"> </w:t>
      </w:r>
      <w:r>
        <w:rPr>
          <w:rFonts w:ascii="Arial" w:cs="Arial" w:eastAsia="Arial" w:hAnsi="Arial"/>
          <w:sz w:val="15"/>
          <w:szCs w:val="15"/>
          <w:color w:val="auto"/>
        </w:rPr>
        <w:t>and other receivables, contract assets recognized as a result of applying ASC 606, loans and certain other instruments, entities will be required to use a new forward looking “expected loss” model that generally will result in earlier recognition of credit losses than under today’s incurred loss model. As an emerging growth company, ASU 2016-13 is effective for annual periods beginning after December 31, 2022, with early adoption permitted. Application of the amendments is through a cumulative-effect adjustment to the opening retained earnings as of the beginning of the first reporting period in which the guidance is effective. The Company is currently evaluating the impact of the new guidance on its financial statements and related disclosures.</w:t>
      </w:r>
    </w:p>
    <w:p>
      <w:pPr>
        <w:spacing w:after="0" w:line="104"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5"/>
          <w:szCs w:val="15"/>
          <w:color w:val="auto"/>
        </w:rPr>
        <w:t xml:space="preserve">In August 2018, the FASB issued ASU 2018-15, </w:t>
      </w:r>
      <w:r>
        <w:rPr>
          <w:rFonts w:ascii="Arial" w:cs="Arial" w:eastAsia="Arial" w:hAnsi="Arial"/>
          <w:sz w:val="15"/>
          <w:szCs w:val="15"/>
          <w:i w:val="1"/>
          <w:iCs w:val="1"/>
          <w:color w:val="auto"/>
        </w:rPr>
        <w:t>Intangibles – Goodwill and Other – Internal-Use Software (Subtopic 350-40): Customer’s Accounting</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for Implementation Costs Incurred in a Cloud Computing Arrangement That Is a Service Contract </w:t>
      </w:r>
      <w:r>
        <w:rPr>
          <w:rFonts w:ascii="Arial" w:cs="Arial" w:eastAsia="Arial" w:hAnsi="Arial"/>
          <w:sz w:val="15"/>
          <w:szCs w:val="15"/>
          <w:color w:val="auto"/>
        </w:rPr>
        <w:t>(“ASU 2018-15”), which aligns the requirements for</w:t>
      </w:r>
      <w:r>
        <w:rPr>
          <w:rFonts w:ascii="Arial" w:cs="Arial" w:eastAsia="Arial" w:hAnsi="Arial"/>
          <w:sz w:val="15"/>
          <w:szCs w:val="15"/>
          <w:i w:val="1"/>
          <w:iCs w:val="1"/>
          <w:color w:val="auto"/>
        </w:rPr>
        <w:t xml:space="preserve"> </w:t>
      </w:r>
      <w:r>
        <w:rPr>
          <w:rFonts w:ascii="Arial" w:cs="Arial" w:eastAsia="Arial" w:hAnsi="Arial"/>
          <w:sz w:val="15"/>
          <w:szCs w:val="15"/>
          <w:color w:val="auto"/>
        </w:rPr>
        <w:t>capitalizing implementation costs incurred in a hosting arrangement that is a service contract with the requirements for capitalizing implementation costs incurred to develop or obtain internal-use software (and hosting arrangements that include an internal use software license). The accounting for the service element of a hosting arrangement that is a service contract is not affected by the standard. ASU 2018-15 will require an entity (customer) in a hosting arrangement that is a service contract to follow the guidance in Subtopic 350-40 to determine which implementation costs to capitalize as an asset related to the service contract and which costs to expense. ASU 2018-15 also requires the entity (customer) to expense the capitalized implementation costs of a hosting arrangement that is a service contract over the term of the hosting arrangement. ASU 2018-15 also requires the entity to present the expense related to the capitalized implementation costs in the same line item in the statement of income as the fees associated with the hosting element (service) of the arrangement and classify payments for capitalized implementation costs in the statement of cash flows in the same manner as payments made for fees associated with the hosting element. The entity is also required to present the capitalized implementation costs on the balance sheets in the same line item that a prepayment for the fees of the associated hosting arrangement would be presented. The amendments in ASU 2018-15 are effective for the Company in annual reporting periods beginning after December 15, 2020 and interim periods beginning after December 15, 2021. Early adoption is permitted. The Company is evaluating the transition options permissible under ASU 2018-15 of either 1) retrospectively adjusting prior periods presented or 2) prospectively applying amendments to all implementation costs incurred after the date of adoption. The Company is currently evaluating the impact of ASU 2018-15 will have on its financial statements and related disclosures.</w:t>
      </w:r>
    </w:p>
    <w:p>
      <w:pPr>
        <w:spacing w:after="0" w:line="328"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 xml:space="preserve">In December 2019, the FASB issued ASU 2019-12, </w:t>
      </w:r>
      <w:r>
        <w:rPr>
          <w:rFonts w:ascii="Arial" w:cs="Arial" w:eastAsia="Arial" w:hAnsi="Arial"/>
          <w:sz w:val="15"/>
          <w:szCs w:val="15"/>
          <w:i w:val="1"/>
          <w:iCs w:val="1"/>
          <w:color w:val="auto"/>
        </w:rPr>
        <w:t>Income Taxes (Topic 740): Simplifying the Accounting for Income Taxes</w:t>
      </w:r>
      <w:r>
        <w:rPr>
          <w:rFonts w:ascii="Arial" w:cs="Arial" w:eastAsia="Arial" w:hAnsi="Arial"/>
          <w:sz w:val="15"/>
          <w:szCs w:val="15"/>
          <w:color w:val="auto"/>
        </w:rPr>
        <w:t xml:space="preserve"> (“ASU 2019-12”). ASU 2019-12 simplifies the accounting for income taxes by removing certain exceptions to the general principles in ASC 740 and clarifying and amending existing guidance to improve consistent application. ASU 2019-12 is effective for fiscal years beginning after December 15, 2021. Early adoption is permitted. The Company is currently assessing the impact of adopting this new accounting guidance will have on its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240"/>
          </w:cols>
          <w:pgMar w:left="320" w:top="121" w:right="339" w:bottom="1440" w:gutter="0" w:footer="0" w:header="0"/>
        </w:sectPr>
      </w:pPr>
    </w:p>
    <w:bookmarkStart w:id="220" w:name="page221"/>
    <w:bookmarkEnd w:id="220"/>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Diagnostic Revenue</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majority of revenue is generated from diagnostic services provided to three groups of customers: patients with third-party insurance coverage; patients without third-party insurance coverage or those who elect to self-pay; and institutional clients, such as hospitals, clinics and reference laboratories. Revenue from diagnostic testing services is recorded at the estimated transaction price, subject to the constraint for variable consideration, upon transfer of control of the service.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Revenue</w:t>
      </w:r>
    </w:p>
    <w:p>
      <w:pPr>
        <w:spacing w:after="0" w:line="164"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The Company enters into both short-term and long-term project-based collaboration service agreements with third parties, whereby the Company provides diagnostic testing, research and related data aggregation reporting services. The consideration to which the Company is entitled pursuant to its collaboration service agreements generally includes non-refundable upfront payments and variable payments based upon the achievement of certain milestones during the contract term. Non-refundable upfront payments are generally received in advance of performing the services and, therefore, are recorded as a contract liability upon receipt. Milestone payments are included in the transaction price only when it is probable that doing so will not result in a significant reversal of cumulative revenue recognized when the uncertainty associated with the milestone is subsequently resolved. Revenue for such collaboration service agreements is recognized over time using an input measure based on costs incurred to satisfy the performance obligation.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Disaggregated revenue</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the Company’s revenue disaggregated by type of customer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Three months ended March 31,</w:t>
            </w:r>
          </w:p>
        </w:tc>
      </w:tr>
      <w:tr>
        <w:trPr>
          <w:trHeight w:val="18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r>
      <w:tr>
        <w:trPr>
          <w:trHeight w:val="206"/>
        </w:trPr>
        <w:tc>
          <w:tcPr>
            <w:tcW w:w="80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Diagnostic test revenue</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5"/>
        </w:trPr>
        <w:tc>
          <w:tcPr>
            <w:tcW w:w="8020" w:type="dxa"/>
            <w:vAlign w:val="bottom"/>
          </w:tcPr>
          <w:p>
            <w:pPr>
              <w:ind w:left="180"/>
              <w:spacing w:after="0"/>
              <w:rPr>
                <w:sz w:val="20"/>
                <w:szCs w:val="20"/>
                <w:color w:val="auto"/>
              </w:rPr>
            </w:pPr>
            <w:r>
              <w:rPr>
                <w:rFonts w:ascii="Arial" w:cs="Arial" w:eastAsia="Arial" w:hAnsi="Arial"/>
                <w:sz w:val="18"/>
                <w:szCs w:val="18"/>
                <w:color w:val="auto"/>
              </w:rPr>
              <w:t>Patients with third-party insurance</w:t>
            </w: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46,197</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44,396</w:t>
            </w:r>
          </w:p>
        </w:tc>
      </w:tr>
      <w:tr>
        <w:trPr>
          <w:trHeight w:val="226"/>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Institutional customers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w:t>
            </w:r>
          </w:p>
        </w:tc>
      </w:tr>
      <w:tr>
        <w:trPr>
          <w:trHeight w:val="225"/>
        </w:trPr>
        <w:tc>
          <w:tcPr>
            <w:tcW w:w="8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Self-pay patients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w:t>
            </w: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diagnostic test revenue</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46,070</w:t>
            </w: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w:t>
            </w:r>
          </w:p>
        </w:tc>
      </w:tr>
      <w:tr>
        <w:trPr>
          <w:trHeight w:val="244"/>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64,351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46,655</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Reassessment of variable consideration</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Subsequent changes to the estimate of the transaction price, determined on a portfolio basis when applicable, are generally recorded as adjustments to revenue in the period of the change. The Company updates estimated variable consideration quarterly.</w:t>
      </w:r>
    </w:p>
    <w:p>
      <w:pPr>
        <w:spacing w:after="0" w:line="12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For the three months ended March 31, 2021, the quarterly change in estimate resulted in a $3.5 million adjustment for tests in which the performance obligation of delivering the test results was met in prior periods. The change in estimate is a result of changes in the estimated transaction price due to contractual adjustments, obtaining updated information from payors and patients that was unknown at the time the performance obligation was met and settlements with third party payors. For the three months ended March 31, 2020, the quarterly change in estimate did not result in material adjustments to the Company’s previously reported revenue or accounts receivable amounts.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Due to the long-term nature of some collaboration service agreements, the Company’s obligations pursuant to such agreements represent partially unsatisfied performance obligations as of March 31, 2021. The revenues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240"/>
          </w:cols>
          <w:pgMar w:left="320" w:top="121" w:right="339" w:bottom="1440" w:gutter="0" w:footer="0" w:header="0"/>
        </w:sectPr>
      </w:pPr>
    </w:p>
    <w:bookmarkStart w:id="221" w:name="page222"/>
    <w:bookmarkEnd w:id="221"/>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existing collaboration service agreements with original expected durations of more than one year are estimated to be approximately $11.8 million. The Company expects to recognize the majority of this revenue over the next 4 years.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 and liabilities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Contract assets consist of the Company’s right to consideration that is conditional upon its future performance. Contract assets arise in collaboration service agreements for which revenue is recognized over time but the Company’s right to bill the customer is contingent upon the achievement of contractually-defined milestones.</w:t>
      </w:r>
    </w:p>
    <w:p>
      <w:pPr>
        <w:spacing w:after="0" w:line="13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Contract liabilities consist of customer payments in excess of revenues recognized. For collaboration service agreements, the Company assesses the performance obligations and recognizes contract liabilities as current or non-current based upon forecasted performance.</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 reconciliation of the beginning and ending balances of contract assets and contract liabilities is shown in the table below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Contract</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jc w:val="right"/>
              <w:ind w:right="417"/>
              <w:spacing w:after="0"/>
              <w:rPr>
                <w:sz w:val="20"/>
                <w:szCs w:val="20"/>
                <w:color w:val="auto"/>
              </w:rPr>
            </w:pPr>
            <w:r>
              <w:rPr>
                <w:rFonts w:ascii="Arial" w:cs="Arial" w:eastAsia="Arial" w:hAnsi="Arial"/>
                <w:sz w:val="14"/>
                <w:szCs w:val="14"/>
                <w:b w:val="1"/>
                <w:bCs w:val="1"/>
                <w:color w:val="auto"/>
              </w:rPr>
              <w:t>Contract</w:t>
            </w:r>
          </w:p>
        </w:tc>
        <w:tc>
          <w:tcPr>
            <w:tcW w:w="0" w:type="dxa"/>
            <w:vAlign w:val="bottom"/>
          </w:tcPr>
          <w:p>
            <w:pPr>
              <w:spacing w:after="0"/>
              <w:rPr>
                <w:sz w:val="1"/>
                <w:szCs w:val="1"/>
                <w:color w:val="auto"/>
              </w:rPr>
            </w:pPr>
          </w:p>
        </w:tc>
      </w:tr>
      <w:tr>
        <w:trPr>
          <w:trHeight w:val="185"/>
        </w:trPr>
        <w:tc>
          <w:tcPr>
            <w:tcW w:w="8020" w:type="dxa"/>
            <w:vAlign w:val="bottom"/>
            <w:tcBorders>
              <w:bottom w:val="single" w:sz="8" w:color="CCEEFF"/>
            </w:tcBorders>
            <w:vMerge w:val="continue"/>
          </w:tcPr>
          <w:p>
            <w:pPr>
              <w:spacing w:after="0"/>
              <w:rPr>
                <w:sz w:val="16"/>
                <w:szCs w:val="16"/>
                <w:color w:val="auto"/>
              </w:rPr>
            </w:pP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Assets</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2020</w:t>
            </w:r>
          </w:p>
        </w:tc>
        <w:tc>
          <w:tcPr>
            <w:tcW w:w="1080" w:type="dxa"/>
            <w:vAlign w:val="bottom"/>
            <w:shd w:val="clear" w:color="auto" w:fill="CCEEFF"/>
          </w:tcPr>
          <w:p>
            <w:pPr>
              <w:jc w:val="right"/>
              <w:ind w:right="901"/>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3,811</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Contract asset additions</w:t>
            </w: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prepayments</w:t>
            </w:r>
          </w:p>
        </w:tc>
        <w:tc>
          <w:tcPr>
            <w:tcW w:w="10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Revenue recognized</w:t>
            </w:r>
          </w:p>
        </w:tc>
        <w:tc>
          <w:tcPr>
            <w:tcW w:w="10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44"/>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March 31, 2021</w:t>
            </w:r>
          </w:p>
        </w:tc>
        <w:tc>
          <w:tcPr>
            <w:tcW w:w="1080" w:type="dxa"/>
            <w:vAlign w:val="bottom"/>
            <w:tcBorders>
              <w:bottom w:val="single" w:sz="8" w:color="auto"/>
            </w:tcBorders>
            <w:shd w:val="clear" w:color="auto" w:fill="CCEEFF"/>
          </w:tcPr>
          <w:p>
            <w:pPr>
              <w:jc w:val="right"/>
              <w:ind w:right="901"/>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2,184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4,994</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The increase in contract liabilities as of March 31, 2021 is primarily due to the execution of a collaboration service agreement with a customer. The Company presents contracts assets and contract liabilities arising from another customer contract on a net basis on its condensed balance sheets. As of March 31, 2021 and December 31, 2020, $2.8 million and $1.8 million is recorded as current contract liabilities, respectively.</w:t>
      </w:r>
    </w:p>
    <w:p>
      <w:pPr>
        <w:spacing w:after="0" w:line="11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Revenues recognized for the three months ended March 31, 2021 and March 31, 2020 that were included in the contract liability balance at the beginning of each period were $0.5 million and $0.1 million, respectively.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to fulfill contracts</w:t>
      </w:r>
    </w:p>
    <w:p>
      <w:pPr>
        <w:spacing w:after="0" w:line="16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Costs associated with fulfilling the Company’s performance obligations pursuant to its collaboration service agreements include costs for services that are subcontracted to ISMMS. Amounts are generally prepaid and then expensed in line with the pattern of revenue recognition. Prepayment of amounts prior to the costs being incurred are recognized on the condensed balance sheets as current or non-current based upon forecasted performance.</w:t>
      </w:r>
    </w:p>
    <w:p>
      <w:pPr>
        <w:spacing w:after="0" w:line="84" w:lineRule="exact"/>
        <w:rPr>
          <w:sz w:val="20"/>
          <w:szCs w:val="20"/>
          <w:color w:val="auto"/>
        </w:rPr>
      </w:pPr>
    </w:p>
    <w:p>
      <w:pPr>
        <w:jc w:val="both"/>
        <w:ind w:right="20" w:firstLine="318"/>
        <w:spacing w:after="0" w:line="365" w:lineRule="auto"/>
        <w:rPr>
          <w:sz w:val="20"/>
          <w:szCs w:val="20"/>
          <w:color w:val="auto"/>
        </w:rPr>
      </w:pPr>
      <w:r>
        <w:rPr>
          <w:rFonts w:ascii="Arial" w:cs="Arial" w:eastAsia="Arial" w:hAnsi="Arial"/>
          <w:sz w:val="15"/>
          <w:szCs w:val="15"/>
          <w:color w:val="auto"/>
        </w:rPr>
        <w:t>As of March 31, 2021 and December 31, 2020, the Company had outstanding deferred costs to fulfill contracts of $2.8 million and $3.0 million, respectively. As of March 31, 2021 and December 31, 2020, all outstanding deferred costs were recorded as prepaid expenses and other current assets.</w:t>
      </w:r>
    </w:p>
    <w:p>
      <w:pPr>
        <w:spacing w:after="0" w:line="58"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Amortization of deferred costs was $0.3 million and $0.3 million for the three months ended March 31, 2021and 2020, respectively. The amortization of these costs is recorded in cost of services on the condensed statements of operations and comprehensive loss.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Company’s financial assets and liabilities consist of cash and cash equivalents, restricted cash, accounts receivable, accounts payable, accrued liabilities, capital leases and long-term debt. The Company’s cash and cash equivalents, restricted cash, accounts receivable, accounts payable and accrued liabilities approximate their fair value due to the relatively short-term nature of these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240"/>
          </w:cols>
          <w:pgMar w:left="320" w:top="121" w:right="339" w:bottom="1440" w:gutter="0" w:footer="0" w:header="0"/>
        </w:sectPr>
      </w:pPr>
    </w:p>
    <w:bookmarkStart w:id="222" w:name="page223"/>
    <w:bookmarkEnd w:id="222"/>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318"/>
        <w:spacing w:after="0" w:line="365" w:lineRule="auto"/>
        <w:rPr>
          <w:sz w:val="20"/>
          <w:szCs w:val="20"/>
          <w:color w:val="auto"/>
        </w:rPr>
      </w:pPr>
      <w:r>
        <w:rPr>
          <w:rFonts w:ascii="Arial" w:cs="Arial" w:eastAsia="Arial" w:hAnsi="Arial"/>
          <w:sz w:val="15"/>
          <w:szCs w:val="15"/>
          <w:color w:val="auto"/>
        </w:rPr>
        <w:t>The Company’s capital leases and long-term debt are classified within level 1 of the fair value hierarchy because such long-term debt and capital lease agreements bear interest at rates for instruments with similar characteristics; accordingly, the carrying value of these liabilities approximate their fair values.</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tables set forth the fair value of financial instruments that were measured at fair value on a recurring basis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4"/>
                <w:szCs w:val="14"/>
                <w:b w:val="1"/>
                <w:bCs w:val="1"/>
                <w:color w:val="auto"/>
                <w:w w:val="92"/>
              </w:rPr>
              <w:t>As of March 31, 2021</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85"/>
        </w:trPr>
        <w:tc>
          <w:tcPr>
            <w:tcW w:w="51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6"/>
                <w:szCs w:val="16"/>
                <w:color w:val="auto"/>
              </w:rPr>
            </w:pPr>
          </w:p>
        </w:tc>
        <w:tc>
          <w:tcPr>
            <w:tcW w:w="120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6"/>
                <w:szCs w:val="16"/>
                <w:color w:val="auto"/>
              </w:rPr>
            </w:pPr>
          </w:p>
        </w:tc>
        <w:tc>
          <w:tcPr>
            <w:tcW w:w="1140" w:type="dxa"/>
            <w:vAlign w:val="bottom"/>
          </w:tcPr>
          <w:p>
            <w:pPr>
              <w:ind w:left="200"/>
              <w:spacing w:after="0"/>
              <w:rPr>
                <w:sz w:val="20"/>
                <w:szCs w:val="20"/>
                <w:color w:val="auto"/>
              </w:rPr>
            </w:pPr>
            <w:r>
              <w:rPr>
                <w:rFonts w:ascii="Arial" w:cs="Arial" w:eastAsia="Arial" w:hAnsi="Arial"/>
                <w:sz w:val="14"/>
                <w:szCs w:val="14"/>
                <w:b w:val="1"/>
                <w:bCs w:val="1"/>
                <w:color w:val="auto"/>
              </w:rPr>
              <w:t>Level 3</w:t>
            </w:r>
          </w:p>
        </w:tc>
      </w:tr>
      <w:tr>
        <w:trPr>
          <w:trHeight w:val="206"/>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3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r>
      <w:tr>
        <w:trPr>
          <w:trHeight w:val="225"/>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Money market funds</w:t>
            </w: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50,919</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50,919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w:t>
            </w:r>
          </w:p>
        </w:tc>
      </w:tr>
      <w:tr>
        <w:trPr>
          <w:trHeight w:val="239"/>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financial assets</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50,919</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50,919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r>
      <w:tr>
        <w:trPr>
          <w:trHeight w:val="20"/>
        </w:trPr>
        <w:tc>
          <w:tcPr>
            <w:tcW w:w="5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30"/>
        </w:trPr>
        <w:tc>
          <w:tcPr>
            <w:tcW w:w="51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4"/>
                <w:szCs w:val="14"/>
                <w:b w:val="1"/>
                <w:bCs w:val="1"/>
                <w:color w:val="auto"/>
                <w:w w:val="89"/>
              </w:rPr>
              <w:t>As of December 31, 2020</w:t>
            </w: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85"/>
        </w:trPr>
        <w:tc>
          <w:tcPr>
            <w:tcW w:w="51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6"/>
                <w:szCs w:val="16"/>
                <w:color w:val="auto"/>
              </w:rPr>
            </w:pPr>
          </w:p>
        </w:tc>
        <w:tc>
          <w:tcPr>
            <w:tcW w:w="120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6"/>
                <w:szCs w:val="16"/>
                <w:color w:val="auto"/>
              </w:rPr>
            </w:pPr>
          </w:p>
        </w:tc>
        <w:tc>
          <w:tcPr>
            <w:tcW w:w="1140" w:type="dxa"/>
            <w:vAlign w:val="bottom"/>
          </w:tcPr>
          <w:p>
            <w:pPr>
              <w:ind w:left="200"/>
              <w:spacing w:after="0"/>
              <w:rPr>
                <w:sz w:val="20"/>
                <w:szCs w:val="20"/>
                <w:color w:val="auto"/>
              </w:rPr>
            </w:pPr>
            <w:r>
              <w:rPr>
                <w:rFonts w:ascii="Arial" w:cs="Arial" w:eastAsia="Arial" w:hAnsi="Arial"/>
                <w:sz w:val="14"/>
                <w:szCs w:val="14"/>
                <w:b w:val="1"/>
                <w:bCs w:val="1"/>
                <w:color w:val="auto"/>
              </w:rPr>
              <w:t>Level 3</w:t>
            </w:r>
          </w:p>
        </w:tc>
      </w:tr>
      <w:tr>
        <w:trPr>
          <w:trHeight w:val="206"/>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3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r>
      <w:tr>
        <w:trPr>
          <w:trHeight w:val="225"/>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Money market funds</w:t>
            </w: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92,940</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92,940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w:t>
            </w:r>
          </w:p>
        </w:tc>
      </w:tr>
      <w:tr>
        <w:trPr>
          <w:trHeight w:val="23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financial assets</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92,940</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92,940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Money market funds are classified within Level 1 of the fair value hierarchy as the fair value is based on quoted prices in active markets.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There were no transfers between Level 1, Level 2 and Level 3 during the periods presented.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Property and equipment consisted of the following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As of</w:t>
            </w:r>
          </w:p>
        </w:tc>
        <w:tc>
          <w:tcPr>
            <w:tcW w:w="240" w:type="dxa"/>
            <w:vAlign w:val="bottom"/>
          </w:tcPr>
          <w:p>
            <w:pPr>
              <w:spacing w:after="0"/>
              <w:rPr>
                <w:sz w:val="14"/>
                <w:szCs w:val="14"/>
                <w:color w:val="auto"/>
              </w:rPr>
            </w:pPr>
          </w:p>
        </w:tc>
        <w:tc>
          <w:tcPr>
            <w:tcW w:w="1320" w:type="dxa"/>
            <w:vAlign w:val="bottom"/>
          </w:tcPr>
          <w:p>
            <w:pPr>
              <w:jc w:val="center"/>
              <w:ind w:right="155"/>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33"/>
        </w:trPr>
        <w:tc>
          <w:tcPr>
            <w:tcW w:w="8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1"/>
                <w:szCs w:val="11"/>
                <w:color w:val="auto"/>
              </w:rPr>
            </w:pPr>
          </w:p>
        </w:tc>
        <w:tc>
          <w:tcPr>
            <w:tcW w:w="136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5"/>
              </w:rPr>
              <w:t>March 31,</w:t>
            </w:r>
          </w:p>
        </w:tc>
        <w:tc>
          <w:tcPr>
            <w:tcW w:w="240" w:type="dxa"/>
            <w:vAlign w:val="bottom"/>
          </w:tcPr>
          <w:p>
            <w:pPr>
              <w:spacing w:after="0"/>
              <w:rPr>
                <w:sz w:val="11"/>
                <w:szCs w:val="11"/>
                <w:color w:val="auto"/>
              </w:rPr>
            </w:pPr>
          </w:p>
        </w:tc>
        <w:tc>
          <w:tcPr>
            <w:tcW w:w="1320" w:type="dxa"/>
            <w:vAlign w:val="bottom"/>
          </w:tcPr>
          <w:p>
            <w:pPr>
              <w:jc w:val="center"/>
              <w:ind w:right="155"/>
              <w:spacing w:after="0" w:line="133"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80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Laboratory equipment</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22,818</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Equipment under capital leases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21,358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20,743</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 under capital lease</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6,276</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Construction in-progress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4,673</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software</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14,631</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Computer equipment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4,118</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Furnitures, fixtures and other equipment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3,214</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Leasehold improvements</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16,802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16,736</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property and equipment</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99,633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93,209</w:t>
            </w:r>
          </w:p>
        </w:tc>
        <w:tc>
          <w:tcPr>
            <w:tcW w:w="0" w:type="dxa"/>
            <w:vAlign w:val="bottom"/>
          </w:tcPr>
          <w:p>
            <w:pPr>
              <w:spacing w:after="0"/>
              <w:rPr>
                <w:sz w:val="1"/>
                <w:szCs w:val="1"/>
                <w:color w:val="auto"/>
              </w:rPr>
            </w:pPr>
          </w:p>
        </w:tc>
      </w:tr>
      <w:tr>
        <w:trPr>
          <w:trHeight w:val="218"/>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(30,099)</w:t>
            </w:r>
          </w:p>
        </w:tc>
        <w:tc>
          <w:tcPr>
            <w:tcW w:w="0" w:type="dxa"/>
            <w:vAlign w:val="bottom"/>
          </w:tcPr>
          <w:p>
            <w:pPr>
              <w:spacing w:after="0"/>
              <w:rPr>
                <w:sz w:val="1"/>
                <w:szCs w:val="1"/>
                <w:color w:val="auto"/>
              </w:rPr>
            </w:pPr>
          </w:p>
        </w:tc>
      </w:tr>
      <w:tr>
        <w:trPr>
          <w:trHeight w:val="244"/>
        </w:trPr>
        <w:tc>
          <w:tcPr>
            <w:tcW w:w="8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64,632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63,110</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For the three months ended March 31, 2021 and 2020, depreciation and amortization expense was $4.9 million and $2.4 million, respectively, which included software amortization expense of $1.2 million and $0.5 million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240"/>
          </w:cols>
          <w:pgMar w:left="320" w:top="121" w:right="339" w:bottom="1440" w:gutter="0" w:footer="0" w:header="0"/>
        </w:sectPr>
      </w:pPr>
    </w:p>
    <w:bookmarkStart w:id="223" w:name="page224"/>
    <w:bookmarkEnd w:id="223"/>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three months ended March 31, 2021 and 2020, respectively. Depreciation and amortization expense is included within the condensed statements of operations and comprehensive loss as follows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575"/>
              <w:spacing w:after="0"/>
              <w:rPr>
                <w:sz w:val="20"/>
                <w:szCs w:val="20"/>
                <w:color w:val="auto"/>
              </w:rPr>
            </w:pPr>
            <w:r>
              <w:rPr>
                <w:rFonts w:ascii="Arial" w:cs="Arial" w:eastAsia="Arial" w:hAnsi="Arial"/>
                <w:sz w:val="14"/>
                <w:szCs w:val="14"/>
                <w:b w:val="1"/>
                <w:bCs w:val="1"/>
                <w:color w:val="auto"/>
              </w:rPr>
              <w:t>Three months ended March 31,</w:t>
            </w:r>
          </w:p>
        </w:tc>
      </w:tr>
      <w:tr>
        <w:trPr>
          <w:trHeight w:val="18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w:t>
            </w: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1,251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249</w:t>
            </w: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3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r>
      <w:tr>
        <w:trPr>
          <w:trHeight w:val="244"/>
        </w:trPr>
        <w:tc>
          <w:tcPr>
            <w:tcW w:w="8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depreciation and amortization expenses</w:t>
            </w: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2,398</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During the three months ended March 31, 2021 and 2020, there were no sales of property and equipment made by the Company.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Related Party Transactions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revenues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Related party revenue with Mount Sinai Health Network for diagnostic testing revenues were nominal for the three months ended March 31, 2021 and totaled $0.1 million for the three months ended March 31, 2020. Related party revenues from collaborative service agreements were nominal for the three months ended March 31, 2021, while there were none for the three months ended March 31, 2020.</w:t>
      </w:r>
    </w:p>
    <w:p>
      <w:pPr>
        <w:spacing w:after="0" w:line="13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 had amounts due from ISMMS and other entities within the Mount Sinai Health Network for revenues earned of $0.3 million and $0.3 million as of March 31, 2021 and December 31, 2020, respectively. These amounts are presented as due from related parties on the Company’s condensed balance sheets.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costs</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Expenses recognized under the TSA totaled $1.4 million and $1.9 million for the three months ended March 31, 2021 and 2020, respectively, and are presented within related party expenses in the condensed statements of operations and comprehensive loss. The Company had TSA payables due to ISMMS of $0.7 million and $0.6 million at March 31, 2021 and December 31, 2020, respectively. These amounts are included within due to related parties on the Company’s condensed balance sheets.</w:t>
      </w:r>
    </w:p>
    <w:p>
      <w:pPr>
        <w:spacing w:after="0" w:line="13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Expenses recognized pursuant to the Service Agreements and other service arrangements with ISMMS totaled $0.7 million and $0.9 million for the three months ended March 31, 2021 and 2020, respectively. These amounts are included in either cost of services or related party expenses on the condensed statements of operations and comprehensive loss depending on the particular activity to which the costs relate. Payables due to ISMMS for the Service Agreements and other service arrangements were nominal at March 31, 2021 and totaled $0.8 million at December 31, 2020. These amounts are included within due to related parties on the Company’s condensed balance sheets.</w:t>
      </w:r>
    </w:p>
    <w:p>
      <w:pPr>
        <w:spacing w:after="0" w:line="14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Total related party costs are included within cost of services and related party expenses in the condensed statements of operations and comprehensive loss as follows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576"/>
              <w:spacing w:after="0"/>
              <w:rPr>
                <w:sz w:val="20"/>
                <w:szCs w:val="20"/>
                <w:color w:val="auto"/>
              </w:rPr>
            </w:pPr>
            <w:r>
              <w:rPr>
                <w:rFonts w:ascii="Arial" w:cs="Arial" w:eastAsia="Arial" w:hAnsi="Arial"/>
                <w:sz w:val="14"/>
                <w:szCs w:val="14"/>
                <w:b w:val="1"/>
                <w:bCs w:val="1"/>
                <w:color w:val="auto"/>
              </w:rPr>
              <w:t>Three months ended March 31,</w:t>
            </w:r>
          </w:p>
        </w:tc>
      </w:tr>
      <w:tr>
        <w:trPr>
          <w:trHeight w:val="18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Related party expenses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2,195</w:t>
            </w:r>
          </w:p>
        </w:tc>
      </w:tr>
      <w:tr>
        <w:trPr>
          <w:trHeight w:val="244"/>
        </w:trPr>
        <w:tc>
          <w:tcPr>
            <w:tcW w:w="8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related party costs</w:t>
            </w: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2,769</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240"/>
          </w:cols>
          <w:pgMar w:left="320" w:top="121" w:right="339" w:bottom="1440" w:gutter="0" w:footer="0" w:header="0"/>
        </w:sectPr>
      </w:pPr>
    </w:p>
    <w:bookmarkStart w:id="224" w:name="page225"/>
    <w:bookmarkEnd w:id="224"/>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Funding Commitment</w:t>
      </w:r>
    </w:p>
    <w:p>
      <w:pPr>
        <w:spacing w:after="0" w:line="16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In June 2017, ISMMS assigned a loan funding commitment from the Connecticut Department of Economic and Community Development (“DECD”) to the Company. The DECD loan agreement, as amended, provides for a total loan commitment of $15.5 million at a fixed annual interest rate of 2.0% for a term of 10 years. The Company is required to make interest-only payments through July 2023 and principal and interest payments commencing in August 2023. The final payment of principal and interest is due in July 2028. This commitment is collateralized by providing a security interest in certain machinery and equipment the Company acquired from ISMMS, as defined in a separate security agreement. ISMMS also guarantees the Company’s obligation to repay the DECD.</w:t>
      </w:r>
    </w:p>
    <w:p>
      <w:pPr>
        <w:spacing w:after="0" w:line="14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outstanding loan balance from the DECD was $11.0 million and $11.0 million at March 31, 2021 and December 31, 2020,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Master Loan Agreement</w:t>
      </w:r>
    </w:p>
    <w:p>
      <w:pPr>
        <w:spacing w:after="0" w:line="16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In August 2020, the Company entered into a loan and security agreement with a bank, in which the Company received a loan of $6.3 million and deposited the proceeds into a deposit account held by the bank. The Company is required to make sixty consecutive monthly payments of principal and interest at a fixed monthly amount of $0.1 million beginning in November 2020. Interest payments are fixed at an annual interest rate of 4.75%.</w:t>
      </w:r>
    </w:p>
    <w:p>
      <w:pPr>
        <w:spacing w:after="0" w:line="11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 recorded the $6.3 million proceeds as restricted cash on the condensed balance sheets at March 31, 2021 and December 31, 2020. The outstanding loan balance was $5.8 million and $6.1 million at March 31, 2021 and December 31, 2020, respectively.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Master Lease Agreement</w:t>
      </w:r>
    </w:p>
    <w:p>
      <w:pPr>
        <w:spacing w:after="0" w:line="16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In December 2020, the Company entered into a lease agreement with a lender whereby the Company agreed to sell certain equipment and immediately leaseback the equipment, resulting in proceeds of $3.6 million. Per the terms of the agreement, a financial institution issued an irrevocable standby letter of credit to the lender for $3.6 million. The Company is required to make sixty consecutive monthly payments of principal and interest at a fixed monthly amount of $0.1 million beginning in February 2021. Interest payments are fixed at an annual interest rate of 3.54%.</w:t>
      </w:r>
    </w:p>
    <w:p>
      <w:pPr>
        <w:spacing w:after="0" w:line="12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Company must maintain an aggregate amount on deposit equal to at least 105% of the value of any outstanding letters of credit issued by the financial institution on the Company’s behalf. The letter of credit must be in place until all obligations have been paid in full. Further, the Company must furnish annual audited financial statements and other financial information to the lender on a regular basis. The Company was in compliance with the covenants as of March 31, 2021</w:t>
      </w:r>
    </w:p>
    <w:p>
      <w:pPr>
        <w:spacing w:after="0" w:line="13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 recorded the $3.6 million proceeds as restricted cash on the condensed balance sheets at March 31, 2021 and December 31, 2020. The outstanding loan balance was $3.5 million and $3.6 million at March 31, 2021 and December 31,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240"/>
          </w:cols>
          <w:pgMar w:left="320" w:top="121" w:right="339" w:bottom="1440" w:gutter="0" w:footer="0" w:header="0"/>
        </w:sectPr>
      </w:pPr>
    </w:p>
    <w:bookmarkStart w:id="225" w:name="page226"/>
    <w:bookmarkEnd w:id="225"/>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Maturities of Long-Term Debt</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March 31, 2021, long-term debt matures as 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6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1"/>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 (remainder of year)</w:t>
            </w:r>
          </w:p>
        </w:tc>
        <w:tc>
          <w:tcPr>
            <w:tcW w:w="5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w:t>
            </w:r>
          </w:p>
        </w:tc>
      </w:tr>
      <w:tr>
        <w:trPr>
          <w:trHeight w:val="225"/>
        </w:trPr>
        <w:tc>
          <w:tcPr>
            <w:tcW w:w="9680" w:type="dxa"/>
            <w:vAlign w:val="bottom"/>
          </w:tcPr>
          <w:p>
            <w:pPr>
              <w:ind w:left="20"/>
              <w:spacing w:after="0"/>
              <w:rPr>
                <w:sz w:val="20"/>
                <w:szCs w:val="20"/>
                <w:color w:val="auto"/>
              </w:rPr>
            </w:pPr>
            <w:r>
              <w:rPr>
                <w:rFonts w:ascii="Arial" w:cs="Arial" w:eastAsia="Arial" w:hAnsi="Arial"/>
                <w:sz w:val="18"/>
                <w:szCs w:val="18"/>
                <w:color w:val="auto"/>
              </w:rPr>
              <w:t>2022</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1,906</w:t>
            </w:r>
          </w:p>
        </w:tc>
      </w:tr>
      <w:tr>
        <w:trPr>
          <w:trHeight w:val="226"/>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w:t>
            </w:r>
          </w:p>
        </w:tc>
      </w:tr>
      <w:tr>
        <w:trPr>
          <w:trHeight w:val="225"/>
        </w:trPr>
        <w:tc>
          <w:tcPr>
            <w:tcW w:w="9680" w:type="dxa"/>
            <w:vAlign w:val="bottom"/>
          </w:tcPr>
          <w:p>
            <w:pPr>
              <w:ind w:left="20"/>
              <w:spacing w:after="0"/>
              <w:rPr>
                <w:sz w:val="20"/>
                <w:szCs w:val="20"/>
                <w:color w:val="auto"/>
              </w:rPr>
            </w:pPr>
            <w:r>
              <w:rPr>
                <w:rFonts w:ascii="Arial" w:cs="Arial" w:eastAsia="Arial" w:hAnsi="Arial"/>
                <w:sz w:val="18"/>
                <w:szCs w:val="18"/>
                <w:color w:val="auto"/>
              </w:rPr>
              <w:t>2024</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4,208</w:t>
            </w:r>
          </w:p>
        </w:tc>
      </w:tr>
      <w:tr>
        <w:trPr>
          <w:trHeight w:val="226"/>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4,106</w:t>
            </w:r>
          </w:p>
        </w:tc>
      </w:tr>
      <w:tr>
        <w:trPr>
          <w:trHeight w:val="225"/>
        </w:trPr>
        <w:tc>
          <w:tcPr>
            <w:tcW w:w="96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5,886</w:t>
            </w:r>
          </w:p>
        </w:tc>
      </w:tr>
      <w:tr>
        <w:trPr>
          <w:trHeight w:val="226"/>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maturities of long-term debt</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20,348</w:t>
            </w:r>
          </w:p>
        </w:tc>
      </w:tr>
      <w:tr>
        <w:trPr>
          <w:trHeight w:val="225"/>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 of long-term debt</w:t>
            </w: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(1,846)</w:t>
            </w:r>
          </w:p>
        </w:tc>
      </w:tr>
      <w:tr>
        <w:trPr>
          <w:trHeight w:val="244"/>
        </w:trPr>
        <w:tc>
          <w:tcPr>
            <w:tcW w:w="9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long-term debt, net of current maturities</w:t>
            </w:r>
          </w:p>
        </w:tc>
        <w:tc>
          <w:tcPr>
            <w:tcW w:w="56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18,502</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6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Company’s operating leases consist of office and lab space leases and a ground lease associated with a building under capital lease. The Company has entered into leases of office and lab space with ISMSS, including month-to-month leases in place during the three months ended March 31, 2021 and 2020. Pursuant to the terms of a lease agreement, the Company was required to have issued an irrevocable standby letter of credit to the lessor for $0.9 million, which was included in restricted cash on the condensed balance sheets as of March 31, 2021 and December 31, 2020.</w:t>
      </w:r>
    </w:p>
    <w:p>
      <w:pPr>
        <w:spacing w:after="0" w:line="9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Future minimum payments under non-cancelable operating leases as of March 31, 2021 are as 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6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1"/>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 (remainder of year)</w:t>
            </w:r>
          </w:p>
        </w:tc>
        <w:tc>
          <w:tcPr>
            <w:tcW w:w="5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3,315</w:t>
            </w:r>
          </w:p>
        </w:tc>
      </w:tr>
      <w:tr>
        <w:trPr>
          <w:trHeight w:val="225"/>
        </w:trPr>
        <w:tc>
          <w:tcPr>
            <w:tcW w:w="9680" w:type="dxa"/>
            <w:vAlign w:val="bottom"/>
          </w:tcPr>
          <w:p>
            <w:pPr>
              <w:ind w:left="20"/>
              <w:spacing w:after="0"/>
              <w:rPr>
                <w:sz w:val="20"/>
                <w:szCs w:val="20"/>
                <w:color w:val="auto"/>
              </w:rPr>
            </w:pPr>
            <w:r>
              <w:rPr>
                <w:rFonts w:ascii="Arial" w:cs="Arial" w:eastAsia="Arial" w:hAnsi="Arial"/>
                <w:sz w:val="18"/>
                <w:szCs w:val="18"/>
                <w:color w:val="auto"/>
              </w:rPr>
              <w:t>2022</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4,386</w:t>
            </w:r>
          </w:p>
        </w:tc>
      </w:tr>
      <w:tr>
        <w:trPr>
          <w:trHeight w:val="226"/>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4,474</w:t>
            </w:r>
          </w:p>
        </w:tc>
      </w:tr>
      <w:tr>
        <w:trPr>
          <w:trHeight w:val="225"/>
        </w:trPr>
        <w:tc>
          <w:tcPr>
            <w:tcW w:w="9680" w:type="dxa"/>
            <w:vAlign w:val="bottom"/>
          </w:tcPr>
          <w:p>
            <w:pPr>
              <w:ind w:left="20"/>
              <w:spacing w:after="0"/>
              <w:rPr>
                <w:sz w:val="20"/>
                <w:szCs w:val="20"/>
                <w:color w:val="auto"/>
              </w:rPr>
            </w:pPr>
            <w:r>
              <w:rPr>
                <w:rFonts w:ascii="Arial" w:cs="Arial" w:eastAsia="Arial" w:hAnsi="Arial"/>
                <w:sz w:val="18"/>
                <w:szCs w:val="18"/>
                <w:color w:val="auto"/>
              </w:rPr>
              <w:t>2024</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4,568</w:t>
            </w:r>
          </w:p>
        </w:tc>
      </w:tr>
      <w:tr>
        <w:trPr>
          <w:trHeight w:val="226"/>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4,687</w:t>
            </w:r>
          </w:p>
        </w:tc>
      </w:tr>
      <w:tr>
        <w:trPr>
          <w:trHeight w:val="225"/>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50,111</w:t>
            </w:r>
          </w:p>
        </w:tc>
      </w:tr>
      <w:tr>
        <w:trPr>
          <w:trHeight w:val="244"/>
        </w:trPr>
        <w:tc>
          <w:tcPr>
            <w:tcW w:w="9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lease obligations</w:t>
            </w:r>
          </w:p>
        </w:tc>
        <w:tc>
          <w:tcPr>
            <w:tcW w:w="56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71,541</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Rent expense related to non-cancelable operating leases was $1.4 million and $1.3 million for the three months ended March 31, 2021 and 2020, respectively. Rent expense related to month-to-month operating leases was $0.3 million and $0.8 million for the three months ended March 31, 2021 and 2020, respectively.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Leases</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Company entered into various capital lease agreements to obtain laboratory equipment which contain bargain purchase commitments at the end of the lease term. The terms of the capital leases range from 3 to 5 years with interest rates ranging from 1.9% to 12.0%. The leases are secured by the underlying equipment. The Company also leases a building used for office and laboratory space in which the building is accounted for as a capital lease and the land is as an operating lease.</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Property and equipment under capital leases was $27.6 million and $27.0 million as of March 31, 2021 and December 31, 2020, respectively.</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Accumulated amortization on capital lease assets was $10.7 million and $9.7 million at March 31, 2021 and December 31,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240"/>
          </w:cols>
          <w:pgMar w:left="320" w:top="121" w:right="339" w:bottom="1440" w:gutter="0" w:footer="0" w:header="0"/>
        </w:sectPr>
      </w:pPr>
    </w:p>
    <w:bookmarkStart w:id="226" w:name="page227"/>
    <w:bookmarkEnd w:id="226"/>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For all capital leases, the portion of the future payments designated as principal repayment is recorded as a capital lease obligation on the Company’s condensed balance sheets in accordance with repayment terms. Future payments under capital leases at March 31, 2021, are as follows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6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1"/>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 (remainder of year)</w:t>
            </w:r>
          </w:p>
        </w:tc>
        <w:tc>
          <w:tcPr>
            <w:tcW w:w="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3,761</w:t>
            </w:r>
          </w:p>
        </w:tc>
      </w:tr>
      <w:tr>
        <w:trPr>
          <w:trHeight w:val="225"/>
        </w:trPr>
        <w:tc>
          <w:tcPr>
            <w:tcW w:w="9680" w:type="dxa"/>
            <w:vAlign w:val="bottom"/>
          </w:tcPr>
          <w:p>
            <w:pPr>
              <w:ind w:left="20"/>
              <w:spacing w:after="0"/>
              <w:rPr>
                <w:sz w:val="20"/>
                <w:szCs w:val="20"/>
                <w:color w:val="auto"/>
              </w:rPr>
            </w:pPr>
            <w:r>
              <w:rPr>
                <w:rFonts w:ascii="Arial" w:cs="Arial" w:eastAsia="Arial" w:hAnsi="Arial"/>
                <w:sz w:val="18"/>
                <w:szCs w:val="18"/>
                <w:color w:val="auto"/>
              </w:rPr>
              <w:t>2022</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4,794</w:t>
            </w:r>
          </w:p>
        </w:tc>
      </w:tr>
      <w:tr>
        <w:trPr>
          <w:trHeight w:val="226"/>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w:t>
            </w:r>
          </w:p>
        </w:tc>
      </w:tr>
      <w:tr>
        <w:trPr>
          <w:trHeight w:val="225"/>
        </w:trPr>
        <w:tc>
          <w:tcPr>
            <w:tcW w:w="9680" w:type="dxa"/>
            <w:vAlign w:val="bottom"/>
          </w:tcPr>
          <w:p>
            <w:pPr>
              <w:ind w:left="20"/>
              <w:spacing w:after="0"/>
              <w:rPr>
                <w:sz w:val="20"/>
                <w:szCs w:val="20"/>
                <w:color w:val="auto"/>
              </w:rPr>
            </w:pPr>
            <w:r>
              <w:rPr>
                <w:rFonts w:ascii="Arial" w:cs="Arial" w:eastAsia="Arial" w:hAnsi="Arial"/>
                <w:sz w:val="18"/>
                <w:szCs w:val="18"/>
                <w:color w:val="auto"/>
              </w:rPr>
              <w:t>2024</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2,749</w:t>
            </w:r>
          </w:p>
        </w:tc>
      </w:tr>
      <w:tr>
        <w:trPr>
          <w:trHeight w:val="226"/>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w:t>
            </w:r>
          </w:p>
        </w:tc>
      </w:tr>
      <w:tr>
        <w:trPr>
          <w:trHeight w:val="225"/>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51,882</w:t>
            </w:r>
          </w:p>
        </w:tc>
      </w:tr>
      <w:tr>
        <w:trPr>
          <w:trHeight w:val="21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capital lease obligations</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69,193</w:t>
            </w:r>
          </w:p>
        </w:tc>
      </w:tr>
      <w:tr>
        <w:trPr>
          <w:trHeight w:val="225"/>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amounts representing interest</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(45,407)</w:t>
            </w:r>
          </w:p>
        </w:tc>
      </w:tr>
      <w:tr>
        <w:trPr>
          <w:trHeight w:val="21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Present value of net minimum capital lease payments</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23,786</w:t>
            </w:r>
          </w:p>
        </w:tc>
      </w:tr>
      <w:tr>
        <w:trPr>
          <w:trHeight w:val="225"/>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 current portion</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(3,504)</w:t>
            </w:r>
          </w:p>
        </w:tc>
      </w:tr>
      <w:tr>
        <w:trPr>
          <w:trHeight w:val="244"/>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lease obligations, net of current portion</w:t>
            </w:r>
          </w:p>
        </w:tc>
        <w:tc>
          <w:tcPr>
            <w:tcW w:w="52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20,282</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right="880" w:firstLine="318"/>
        <w:spacing w:after="0" w:line="430" w:lineRule="auto"/>
        <w:rPr>
          <w:sz w:val="20"/>
          <w:szCs w:val="20"/>
          <w:color w:val="auto"/>
        </w:rPr>
      </w:pPr>
      <w:r>
        <w:rPr>
          <w:rFonts w:ascii="Arial" w:cs="Arial" w:eastAsia="Arial" w:hAnsi="Arial"/>
          <w:sz w:val="18"/>
          <w:szCs w:val="18"/>
          <w:color w:val="auto"/>
        </w:rPr>
        <w:t xml:space="preserve">Interest expense related to capital leases was $0.6 million and $0.5 million for the three months ended March 31, 2021 and 2020, respectively. </w:t>
      </w:r>
      <w:r>
        <w:rPr>
          <w:rFonts w:ascii="Arial" w:cs="Arial" w:eastAsia="Arial" w:hAnsi="Arial"/>
          <w:sz w:val="18"/>
          <w:szCs w:val="18"/>
          <w:b w:val="1"/>
          <w:bCs w:val="1"/>
          <w:i w:val="1"/>
          <w:iCs w:val="1"/>
          <w:color w:val="auto"/>
        </w:rPr>
        <w:t>Contingencies</w:t>
      </w:r>
    </w:p>
    <w:p>
      <w:pPr>
        <w:jc w:val="both"/>
        <w:ind w:firstLine="318"/>
        <w:spacing w:after="0" w:line="305" w:lineRule="auto"/>
        <w:rPr>
          <w:sz w:val="20"/>
          <w:szCs w:val="20"/>
          <w:color w:val="auto"/>
        </w:rPr>
      </w:pPr>
      <w:r>
        <w:rPr>
          <w:rFonts w:ascii="Arial" w:cs="Arial" w:eastAsia="Arial" w:hAnsi="Arial"/>
          <w:sz w:val="15"/>
          <w:szCs w:val="15"/>
          <w:color w:val="auto"/>
        </w:rPr>
        <w:t>The Company may, from time to time, become involved in legal proceedings arising out of the normal course of its operations. For instance, the Company may be subject to lawsuits alleging negligence or other similar legal claims related to its provision of genetic testing and/or information services. The Company establishes reserves for specific legal matters when it determines that the likelihood of an unfavorable outcome is probable and the loss is reasonably estimable. The Company has also identified certain other legal matters where it believes an unfavorable outcome is not probable and, therefore, no reserve is established. Although management currently believes that resolving claims against the Company, including claims where an unfavorable outcome is reasonably possible, will not have a material impact on the liquidity, results of operations, or financial condition of the Company, these matters are subject to inherent uncertainties and management's view of these matters may change in the future. It is possible that an unfavorable outcome of one or more of these lawsuits or other contingencies could have a material impact on the liquidity, results of operations, or financial condition of the Company.</w:t>
      </w:r>
    </w:p>
    <w:p>
      <w:pPr>
        <w:spacing w:after="0" w:line="10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Significant judgment is required in both the determination of probability of loss and the determination as to whether the amount can be reasonably estimated. Accruals are based only on information available at the time of the assessment, due to the uncertain nature of such matters. As additional information becomes available, management reassesses potential liabilities related to pending claims and litigation and may revise its previous estimates, which could materially affect the Company’s results of operations in a given period.</w:t>
      </w:r>
    </w:p>
    <w:p>
      <w:pPr>
        <w:spacing w:after="0" w:line="13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Company maintains various liability insurance coverages for, among other things, claims that could result from providing, or failing to provide diagnostic testing services, including inaccurate testing results, and other exposures. The Company’s insurance coverage limits its maximum exposure on claims; however, the Company is responsible for any uninsured portion of losses. Management believes that present insurance coverage is sufficient to cover potential exposures.</w:t>
      </w:r>
    </w:p>
    <w:p>
      <w:pPr>
        <w:spacing w:after="0" w:line="13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 was not a party to any material legal proceedings at March 31, 2021, nor is it a party to any legal proceedings as of the date of issuance of these condensed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17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 adopted the 2017 Stock Incentive Plan (the 2017 Plan) in April of 2017. The 2017 Plan was amended in February 2018, offering total aggregate shares of up to 279,192 shares of Class A common stock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240"/>
          </w:cols>
          <w:pgMar w:left="320" w:top="121" w:right="339" w:bottom="1440" w:gutter="0" w:footer="0" w:header="0"/>
        </w:sectPr>
      </w:pPr>
    </w:p>
    <w:bookmarkStart w:id="227" w:name="page228"/>
    <w:bookmarkEnd w:id="227"/>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Class B common stock, collectively, on an as-converted to Class A common stock basis. Following the amendment to the 2017 Plan, the Company intends to use available shares to grant Class B common stock awards.</w:t>
      </w:r>
    </w:p>
    <w:p>
      <w:pPr>
        <w:spacing w:after="0" w:line="128"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Under the 2017 Plan, the Company has a call option to repurchase awards for cash from the plan participants upon termination of the participant’s employment or consulting agreement. The Company concludes that it is probable it will exercise its call option prior to the award holder being subject to the risks and rewards of equity ownership. As a result, the Company’s stock-based compensation awards are classified as a liability. Shares of common stock issued upon settlement of an award continue to be classified as a liability and remeasured to fair value each reporting period until the stockholder bears the risks and rewards of equity ownership for a reasonable period of time, which the Company concludes is a period of at least six months.</w:t>
      </w:r>
    </w:p>
    <w:p>
      <w:pPr>
        <w:spacing w:after="0" w:line="9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Company historically granted stock appreciation rights (“SAR”) to one employee and one consultant. The SAR can only be exercised upon a liquidation event, which the Company concludes is not probable of occurring as of March 31, 2021. As a result, no expense related to the SAR was recognized by the Company during the three months ended March 31, 2021 and 2020. The Company did not grant SARs to any employees or consultants during the three months ended March 31, 2021.</w:t>
      </w:r>
    </w:p>
    <w:p>
      <w:pPr>
        <w:spacing w:after="0" w:line="138"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At March 31, 2021 and December 31, 2020, stock-based compensation liabilities were $297.0 million and $132.0 million, respectively. Stock-based compensation expense is included within the condensed statements of operations and comprehensive loss as follows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575"/>
              <w:spacing w:after="0"/>
              <w:rPr>
                <w:sz w:val="20"/>
                <w:szCs w:val="20"/>
                <w:color w:val="auto"/>
              </w:rPr>
            </w:pPr>
            <w:r>
              <w:rPr>
                <w:rFonts w:ascii="Arial" w:cs="Arial" w:eastAsia="Arial" w:hAnsi="Arial"/>
                <w:sz w:val="14"/>
                <w:szCs w:val="14"/>
                <w:b w:val="1"/>
                <w:bCs w:val="1"/>
                <w:color w:val="auto"/>
              </w:rPr>
              <w:t>Three months ended March 31,</w:t>
            </w:r>
          </w:p>
        </w:tc>
      </w:tr>
      <w:tr>
        <w:trPr>
          <w:trHeight w:val="18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38,187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234</w:t>
            </w: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89,612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r>
      <w:tr>
        <w:trPr>
          <w:trHeight w:val="244"/>
        </w:trPr>
        <w:tc>
          <w:tcPr>
            <w:tcW w:w="8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Stock-based compensation expense</w:t>
            </w: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164,962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summarizes the activity under the 2017 Plan for Class A and Class B common stock options (in thousands, except share and per share amounts):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48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80"/>
              <w:spacing w:after="0" w:line="143" w:lineRule="exact"/>
              <w:rPr>
                <w:sz w:val="20"/>
                <w:szCs w:val="20"/>
                <w:color w:val="auto"/>
              </w:rPr>
            </w:pPr>
            <w:r>
              <w:rPr>
                <w:rFonts w:ascii="Arial" w:cs="Arial" w:eastAsia="Arial" w:hAnsi="Arial"/>
                <w:sz w:val="14"/>
                <w:szCs w:val="14"/>
                <w:b w:val="1"/>
                <w:bCs w:val="1"/>
                <w:color w:val="auto"/>
                <w:w w:val="90"/>
              </w:rPr>
              <w:t>Weighted Average</w:t>
            </w: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840" w:type="dxa"/>
            <w:vAlign w:val="bottom"/>
          </w:tcPr>
          <w:p>
            <w:pPr>
              <w:spacing w:after="0"/>
              <w:rPr>
                <w:sz w:val="11"/>
                <w:szCs w:val="11"/>
                <w:color w:val="auto"/>
              </w:rPr>
            </w:pPr>
          </w:p>
        </w:tc>
        <w:tc>
          <w:tcPr>
            <w:tcW w:w="13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Shares Available</w:t>
            </w:r>
          </w:p>
        </w:tc>
        <w:tc>
          <w:tcPr>
            <w:tcW w:w="13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Stock Options</w:t>
            </w:r>
          </w:p>
        </w:tc>
        <w:tc>
          <w:tcPr>
            <w:tcW w:w="13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w w:val="99"/>
              </w:rPr>
              <w:t>Weighted Average</w:t>
            </w:r>
          </w:p>
        </w:tc>
        <w:tc>
          <w:tcPr>
            <w:tcW w:w="1300" w:type="dxa"/>
            <w:vAlign w:val="bottom"/>
            <w:gridSpan w:val="2"/>
          </w:tcPr>
          <w:p>
            <w:pPr>
              <w:jc w:val="center"/>
              <w:ind w:right="80"/>
              <w:spacing w:after="0" w:line="133" w:lineRule="exact"/>
              <w:rPr>
                <w:sz w:val="20"/>
                <w:szCs w:val="20"/>
                <w:color w:val="auto"/>
              </w:rPr>
            </w:pPr>
            <w:r>
              <w:rPr>
                <w:rFonts w:ascii="Arial" w:cs="Arial" w:eastAsia="Arial" w:hAnsi="Arial"/>
                <w:sz w:val="14"/>
                <w:szCs w:val="14"/>
                <w:b w:val="1"/>
                <w:bCs w:val="1"/>
                <w:color w:val="auto"/>
                <w:w w:val="92"/>
              </w:rPr>
              <w:t>Remaining</w:t>
            </w: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Aggregate Intrinsic</w:t>
            </w:r>
          </w:p>
        </w:tc>
        <w:tc>
          <w:tcPr>
            <w:tcW w:w="0" w:type="dxa"/>
            <w:vAlign w:val="bottom"/>
          </w:tcPr>
          <w:p>
            <w:pPr>
              <w:spacing w:after="0"/>
              <w:rPr>
                <w:sz w:val="1"/>
                <w:szCs w:val="1"/>
                <w:color w:val="auto"/>
              </w:rPr>
            </w:pPr>
          </w:p>
        </w:tc>
      </w:tr>
      <w:tr>
        <w:trPr>
          <w:trHeight w:val="133"/>
        </w:trPr>
        <w:tc>
          <w:tcPr>
            <w:tcW w:w="4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Class A Common Stock</w:t>
            </w:r>
          </w:p>
        </w:tc>
        <w:tc>
          <w:tcPr>
            <w:tcW w:w="1300" w:type="dxa"/>
            <w:vAlign w:val="bottom"/>
            <w:gridSpan w:val="2"/>
            <w:vMerge w:val="continue"/>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130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3"/>
              </w:rPr>
              <w:t>Contractual Life</w:t>
            </w:r>
          </w:p>
        </w:tc>
        <w:tc>
          <w:tcPr>
            <w:tcW w:w="12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840" w:type="dxa"/>
            <w:vAlign w:val="bottom"/>
            <w:tcBorders>
              <w:bottom w:val="single" w:sz="8" w:color="CCEEFF"/>
            </w:tcBorders>
            <w:vMerge w:val="continue"/>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for Grant</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1"/>
              </w:rPr>
              <w:t>Exercise Price</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(years)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Balances at December 31, 2020</w:t>
            </w: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80,565</w:t>
            </w:r>
          </w:p>
        </w:tc>
        <w:tc>
          <w:tcPr>
            <w:tcW w:w="0" w:type="dxa"/>
            <w:vAlign w:val="bottom"/>
          </w:tcPr>
          <w:p>
            <w:pPr>
              <w:spacing w:after="0"/>
              <w:rPr>
                <w:sz w:val="1"/>
                <w:szCs w:val="1"/>
                <w:color w:val="auto"/>
              </w:rPr>
            </w:pPr>
          </w:p>
        </w:tc>
      </w:tr>
      <w:tr>
        <w:trPr>
          <w:trHeight w:val="225"/>
        </w:trPr>
        <w:tc>
          <w:tcPr>
            <w:tcW w:w="4840" w:type="dxa"/>
            <w:vAlign w:val="bottom"/>
          </w:tcPr>
          <w:p>
            <w:pPr>
              <w:ind w:left="180"/>
              <w:spacing w:after="0"/>
              <w:rPr>
                <w:sz w:val="20"/>
                <w:szCs w:val="20"/>
                <w:color w:val="auto"/>
              </w:rPr>
            </w:pPr>
            <w:r>
              <w:rPr>
                <w:rFonts w:ascii="Arial" w:cs="Arial" w:eastAsia="Arial" w:hAnsi="Arial"/>
                <w:sz w:val="18"/>
                <w:szCs w:val="18"/>
                <w:color w:val="auto"/>
              </w:rPr>
              <w:t>Options forfeited and cancelled</w:t>
            </w:r>
          </w:p>
        </w:tc>
        <w:tc>
          <w:tcPr>
            <w:tcW w:w="13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Balances at March 31, 2021</w:t>
            </w: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174,739</w:t>
            </w:r>
          </w:p>
        </w:tc>
        <w:tc>
          <w:tcPr>
            <w:tcW w:w="0" w:type="dxa"/>
            <w:vAlign w:val="bottom"/>
          </w:tcPr>
          <w:p>
            <w:pPr>
              <w:spacing w:after="0"/>
              <w:rPr>
                <w:sz w:val="1"/>
                <w:szCs w:val="1"/>
                <w:color w:val="auto"/>
              </w:rPr>
            </w:pPr>
          </w:p>
        </w:tc>
      </w:tr>
      <w:tr>
        <w:trPr>
          <w:trHeight w:val="219"/>
        </w:trPr>
        <w:tc>
          <w:tcPr>
            <w:tcW w:w="4840" w:type="dxa"/>
            <w:vAlign w:val="bottom"/>
          </w:tcPr>
          <w:p>
            <w:pPr>
              <w:ind w:left="180"/>
              <w:spacing w:after="0"/>
              <w:rPr>
                <w:sz w:val="20"/>
                <w:szCs w:val="20"/>
                <w:color w:val="auto"/>
              </w:rPr>
            </w:pPr>
            <w:r>
              <w:rPr>
                <w:rFonts w:ascii="Arial" w:cs="Arial" w:eastAsia="Arial" w:hAnsi="Arial"/>
                <w:sz w:val="18"/>
                <w:szCs w:val="18"/>
                <w:color w:val="auto"/>
              </w:rPr>
              <w:t>Options exercisable at March 31, 2021</w:t>
            </w:r>
          </w:p>
        </w:tc>
        <w:tc>
          <w:tcPr>
            <w:tcW w:w="120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117,816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18.94</w:t>
            </w:r>
          </w:p>
        </w:tc>
        <w:tc>
          <w:tcPr>
            <w:tcW w:w="10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168,747</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240"/>
          </w:cols>
          <w:pgMar w:left="320" w:top="121" w:right="339" w:bottom="1440" w:gutter="0" w:footer="0" w:header="0"/>
        </w:sectPr>
      </w:pPr>
    </w:p>
    <w:bookmarkStart w:id="228" w:name="page229"/>
    <w:bookmarkEnd w:id="228"/>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All outstanding stock options for Class A common stock have an exercise price of $18.94.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40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tcPr>
          <w:p>
            <w:pPr>
              <w:jc w:val="center"/>
              <w:ind w:right="80"/>
              <w:spacing w:after="0" w:line="143" w:lineRule="exact"/>
              <w:rPr>
                <w:sz w:val="20"/>
                <w:szCs w:val="20"/>
                <w:color w:val="auto"/>
              </w:rPr>
            </w:pPr>
            <w:r>
              <w:rPr>
                <w:rFonts w:ascii="Arial" w:cs="Arial" w:eastAsia="Arial" w:hAnsi="Arial"/>
                <w:sz w:val="14"/>
                <w:szCs w:val="14"/>
                <w:b w:val="1"/>
                <w:bCs w:val="1"/>
                <w:color w:val="auto"/>
                <w:w w:val="90"/>
              </w:rPr>
              <w:t>Weighted Average</w:t>
            </w:r>
          </w:p>
        </w:tc>
        <w:tc>
          <w:tcPr>
            <w:tcW w:w="100" w:type="dxa"/>
            <w:vAlign w:val="bottom"/>
          </w:tcPr>
          <w:p>
            <w:pPr>
              <w:spacing w:after="0"/>
              <w:rPr>
                <w:sz w:val="12"/>
                <w:szCs w:val="12"/>
                <w:color w:val="auto"/>
              </w:rPr>
            </w:pPr>
          </w:p>
        </w:tc>
        <w:tc>
          <w:tcPr>
            <w:tcW w:w="132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2"/>
              </w:rPr>
              <w:t>Aggregate Intrinsic</w:t>
            </w:r>
          </w:p>
        </w:tc>
        <w:tc>
          <w:tcPr>
            <w:tcW w:w="0" w:type="dxa"/>
            <w:vAlign w:val="bottom"/>
          </w:tcPr>
          <w:p>
            <w:pPr>
              <w:spacing w:after="0"/>
              <w:rPr>
                <w:sz w:val="1"/>
                <w:szCs w:val="1"/>
                <w:color w:val="auto"/>
              </w:rPr>
            </w:pPr>
          </w:p>
        </w:tc>
      </w:tr>
      <w:tr>
        <w:trPr>
          <w:trHeight w:val="83"/>
        </w:trPr>
        <w:tc>
          <w:tcPr>
            <w:tcW w:w="40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60" w:type="dxa"/>
            <w:vAlign w:val="bottom"/>
            <w:gridSpan w:val="2"/>
            <w:vMerge w:val="restart"/>
          </w:tcPr>
          <w:p>
            <w:pPr>
              <w:jc w:val="center"/>
              <w:ind w:right="80"/>
              <w:spacing w:after="0" w:line="133" w:lineRule="exact"/>
              <w:rPr>
                <w:sz w:val="20"/>
                <w:szCs w:val="20"/>
                <w:color w:val="auto"/>
              </w:rPr>
            </w:pPr>
            <w:r>
              <w:rPr>
                <w:rFonts w:ascii="Arial" w:cs="Arial" w:eastAsia="Arial" w:hAnsi="Arial"/>
                <w:sz w:val="14"/>
                <w:szCs w:val="14"/>
                <w:b w:val="1"/>
                <w:bCs w:val="1"/>
                <w:color w:val="auto"/>
                <w:w w:val="92"/>
              </w:rPr>
              <w:t>Remaining</w:t>
            </w:r>
          </w:p>
        </w:tc>
        <w:tc>
          <w:tcPr>
            <w:tcW w:w="100" w:type="dxa"/>
            <w:vAlign w:val="bottom"/>
          </w:tcPr>
          <w:p>
            <w:pPr>
              <w:spacing w:after="0"/>
              <w:rPr>
                <w:sz w:val="7"/>
                <w:szCs w:val="7"/>
                <w:color w:val="auto"/>
              </w:rPr>
            </w:pPr>
          </w:p>
        </w:tc>
        <w:tc>
          <w:tcPr>
            <w:tcW w:w="1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4040" w:type="dxa"/>
            <w:vAlign w:val="bottom"/>
          </w:tcPr>
          <w:p>
            <w:pPr>
              <w:spacing w:after="0"/>
              <w:rPr>
                <w:sz w:val="4"/>
                <w:szCs w:val="4"/>
                <w:color w:val="auto"/>
              </w:rPr>
            </w:pPr>
          </w:p>
        </w:tc>
        <w:tc>
          <w:tcPr>
            <w:tcW w:w="14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Shares Available for</w:t>
            </w:r>
          </w:p>
        </w:tc>
        <w:tc>
          <w:tcPr>
            <w:tcW w:w="14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Stock Options</w:t>
            </w:r>
          </w:p>
        </w:tc>
        <w:tc>
          <w:tcPr>
            <w:tcW w:w="120" w:type="dxa"/>
            <w:vAlign w:val="bottom"/>
          </w:tcPr>
          <w:p>
            <w:pPr>
              <w:spacing w:after="0"/>
              <w:rPr>
                <w:sz w:val="4"/>
                <w:szCs w:val="4"/>
                <w:color w:val="auto"/>
              </w:rPr>
            </w:pPr>
          </w:p>
        </w:tc>
        <w:tc>
          <w:tcPr>
            <w:tcW w:w="13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Weighted Average</w:t>
            </w:r>
          </w:p>
        </w:tc>
        <w:tc>
          <w:tcPr>
            <w:tcW w:w="14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vMerge w:val="restart"/>
          </w:tcPr>
          <w:p>
            <w:pPr>
              <w:jc w:val="right"/>
              <w:ind w:right="456"/>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33"/>
        </w:trPr>
        <w:tc>
          <w:tcPr>
            <w:tcW w:w="4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Class B Common Stock</w:t>
            </w:r>
          </w:p>
        </w:tc>
        <w:tc>
          <w:tcPr>
            <w:tcW w:w="1440" w:type="dxa"/>
            <w:vAlign w:val="bottom"/>
            <w:gridSpan w:val="2"/>
            <w:vMerge w:val="continue"/>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46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3"/>
              </w:rPr>
              <w:t>Contractual Life</w:t>
            </w:r>
          </w:p>
        </w:tc>
        <w:tc>
          <w:tcPr>
            <w:tcW w:w="10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040" w:type="dxa"/>
            <w:vAlign w:val="bottom"/>
            <w:vMerge w:val="continue"/>
          </w:tcPr>
          <w:p>
            <w:pPr>
              <w:spacing w:after="0"/>
              <w:rPr>
                <w:sz w:val="16"/>
                <w:szCs w:val="16"/>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Grant</w:t>
            </w:r>
          </w:p>
        </w:tc>
        <w:tc>
          <w:tcPr>
            <w:tcW w:w="14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6"/>
                <w:szCs w:val="16"/>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Exercise Price</w:t>
            </w:r>
          </w:p>
        </w:tc>
        <w:tc>
          <w:tcPr>
            <w:tcW w:w="14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(years)</w:t>
            </w: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at December 31, 2020</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1,308,167</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13,915,604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79,334</w:t>
            </w:r>
          </w:p>
        </w:tc>
        <w:tc>
          <w:tcPr>
            <w:tcW w:w="0" w:type="dxa"/>
            <w:vAlign w:val="bottom"/>
          </w:tcPr>
          <w:p>
            <w:pPr>
              <w:spacing w:after="0"/>
              <w:rPr>
                <w:sz w:val="1"/>
                <w:szCs w:val="1"/>
                <w:color w:val="auto"/>
              </w:rPr>
            </w:pPr>
          </w:p>
        </w:tc>
      </w:tr>
      <w:tr>
        <w:trPr>
          <w:trHeight w:val="225"/>
        </w:trPr>
        <w:tc>
          <w:tcPr>
            <w:tcW w:w="4040" w:type="dxa"/>
            <w:vAlign w:val="bottom"/>
          </w:tcPr>
          <w:p>
            <w:pPr>
              <w:ind w:left="180"/>
              <w:spacing w:after="0"/>
              <w:rPr>
                <w:sz w:val="20"/>
                <w:szCs w:val="20"/>
                <w:color w:val="auto"/>
              </w:rPr>
            </w:pPr>
            <w:r>
              <w:rPr>
                <w:rFonts w:ascii="Arial" w:cs="Arial" w:eastAsia="Arial" w:hAnsi="Arial"/>
                <w:sz w:val="18"/>
                <w:szCs w:val="18"/>
                <w:color w:val="auto"/>
              </w:rPr>
              <w:t>Option granted</w:t>
            </w:r>
          </w:p>
        </w:tc>
        <w:tc>
          <w:tcPr>
            <w:tcW w:w="1340" w:type="dxa"/>
            <w:vAlign w:val="bottom"/>
          </w:tcPr>
          <w:p>
            <w:pPr>
              <w:jc w:val="right"/>
              <w:spacing w:after="0"/>
              <w:rPr>
                <w:sz w:val="20"/>
                <w:szCs w:val="20"/>
                <w:color w:val="auto"/>
              </w:rPr>
            </w:pPr>
            <w:r>
              <w:rPr>
                <w:rFonts w:ascii="Arial" w:cs="Arial" w:eastAsia="Arial" w:hAnsi="Arial"/>
                <w:sz w:val="18"/>
                <w:szCs w:val="18"/>
                <w:color w:val="auto"/>
              </w:rPr>
              <w:t>(194,706)</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194,706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2.36</w:t>
            </w: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Options forfeited and cancelled</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1,901,065</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(1,901,065)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040" w:type="dxa"/>
            <w:vAlign w:val="bottom"/>
          </w:tcPr>
          <w:p>
            <w:pPr>
              <w:ind w:left="180"/>
              <w:spacing w:after="0"/>
              <w:rPr>
                <w:sz w:val="20"/>
                <w:szCs w:val="20"/>
                <w:color w:val="auto"/>
              </w:rPr>
            </w:pPr>
            <w:r>
              <w:rPr>
                <w:rFonts w:ascii="Arial" w:cs="Arial" w:eastAsia="Arial" w:hAnsi="Arial"/>
                <w:sz w:val="18"/>
                <w:szCs w:val="18"/>
                <w:color w:val="auto"/>
              </w:rPr>
              <w:t>Options exercised</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(499,220)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0.95</w:t>
            </w: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at March 31, 2021</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3,014,526</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11,710,025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157,455</w:t>
            </w:r>
          </w:p>
        </w:tc>
        <w:tc>
          <w:tcPr>
            <w:tcW w:w="0" w:type="dxa"/>
            <w:vAlign w:val="bottom"/>
          </w:tcPr>
          <w:p>
            <w:pPr>
              <w:spacing w:after="0"/>
              <w:rPr>
                <w:sz w:val="1"/>
                <w:szCs w:val="1"/>
                <w:color w:val="auto"/>
              </w:rPr>
            </w:pPr>
          </w:p>
        </w:tc>
      </w:tr>
      <w:tr>
        <w:trPr>
          <w:trHeight w:val="219"/>
        </w:trPr>
        <w:tc>
          <w:tcPr>
            <w:tcW w:w="4040" w:type="dxa"/>
            <w:vAlign w:val="bottom"/>
          </w:tcPr>
          <w:p>
            <w:pPr>
              <w:ind w:left="180"/>
              <w:spacing w:after="0"/>
              <w:rPr>
                <w:sz w:val="20"/>
                <w:szCs w:val="20"/>
                <w:color w:val="auto"/>
              </w:rPr>
            </w:pPr>
            <w:r>
              <w:rPr>
                <w:rFonts w:ascii="Arial" w:cs="Arial" w:eastAsia="Arial" w:hAnsi="Arial"/>
                <w:sz w:val="18"/>
                <w:szCs w:val="18"/>
                <w:color w:val="auto"/>
              </w:rPr>
              <w:t>Options exercisable at March 31, 2021</w:t>
            </w:r>
          </w:p>
        </w:tc>
        <w:tc>
          <w:tcPr>
            <w:tcW w:w="1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5,552,271</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0.80</w:t>
            </w:r>
          </w:p>
        </w:tc>
        <w:tc>
          <w:tcPr>
            <w:tcW w:w="8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76,135</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aggregate intrinsic value in the tables above calculates the difference between the exercise price of the underlying stock options and the fair value of the Company’s common stock for stock options that were in-the-money and represents the value that would have been received by the option holders had all option holders exercised their options on March 31, 2021.</w:t>
      </w:r>
    </w:p>
    <w:p>
      <w:pPr>
        <w:spacing w:after="0" w:line="13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estimated fair value of the stock option awards as of March 31, 2021 and March 31, 2020, was estimated using the Black-Scholes option pricing model with the following assumptions: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820" w:type="dxa"/>
            <w:vAlign w:val="bottom"/>
          </w:tcPr>
          <w:p>
            <w:pPr>
              <w:spacing w:after="0"/>
              <w:rPr>
                <w:sz w:val="16"/>
                <w:szCs w:val="16"/>
                <w:color w:val="auto"/>
              </w:rPr>
            </w:pPr>
          </w:p>
        </w:tc>
        <w:tc>
          <w:tcPr>
            <w:tcW w:w="3180" w:type="dxa"/>
            <w:vAlign w:val="bottom"/>
            <w:tcBorders>
              <w:bottom w:val="single" w:sz="8" w:color="auto"/>
            </w:tcBorders>
            <w:gridSpan w:val="3"/>
          </w:tcPr>
          <w:p>
            <w:pPr>
              <w:ind w:left="1260"/>
              <w:spacing w:after="0"/>
              <w:rPr>
                <w:sz w:val="20"/>
                <w:szCs w:val="20"/>
                <w:color w:val="auto"/>
              </w:rPr>
            </w:pPr>
            <w:r>
              <w:rPr>
                <w:rFonts w:ascii="Arial" w:cs="Arial" w:eastAsia="Arial" w:hAnsi="Arial"/>
                <w:sz w:val="14"/>
                <w:szCs w:val="14"/>
                <w:b w:val="1"/>
                <w:bCs w:val="1"/>
                <w:color w:val="auto"/>
                <w:w w:val="92"/>
              </w:rPr>
              <w:t>Three Months ended March 31,</w:t>
            </w:r>
          </w:p>
        </w:tc>
        <w:tc>
          <w:tcPr>
            <w:tcW w:w="1240" w:type="dxa"/>
            <w:vAlign w:val="bottom"/>
            <w:tcBorders>
              <w:bottom w:val="single" w:sz="8" w:color="auto"/>
            </w:tcBorders>
          </w:tcPr>
          <w:p>
            <w:pPr>
              <w:spacing w:after="0"/>
              <w:rPr>
                <w:sz w:val="16"/>
                <w:szCs w:val="16"/>
                <w:color w:val="auto"/>
              </w:rPr>
            </w:pPr>
          </w:p>
        </w:tc>
      </w:tr>
      <w:tr>
        <w:trPr>
          <w:trHeight w:val="185"/>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160" w:type="dxa"/>
            <w:vAlign w:val="bottom"/>
            <w:tcBorders>
              <w:bottom w:val="single" w:sz="8" w:color="auto"/>
            </w:tcBorders>
          </w:tcPr>
          <w:p>
            <w:pPr>
              <w:jc w:val="right"/>
              <w:ind w:right="8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854"/>
              <w:spacing w:after="0"/>
              <w:rPr>
                <w:sz w:val="20"/>
                <w:szCs w:val="20"/>
                <w:color w:val="auto"/>
              </w:rPr>
            </w:pPr>
            <w:r>
              <w:rPr>
                <w:rFonts w:ascii="Arial" w:cs="Arial" w:eastAsia="Arial" w:hAnsi="Arial"/>
                <w:sz w:val="14"/>
                <w:szCs w:val="14"/>
                <w:b w:val="1"/>
                <w:bCs w:val="1"/>
                <w:color w:val="auto"/>
                <w:w w:val="89"/>
              </w:rPr>
              <w:t>2020</w:t>
            </w:r>
          </w:p>
        </w:tc>
      </w:tr>
      <w:tr>
        <w:trPr>
          <w:trHeight w:val="219"/>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68.50%- 75.60%</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68.30%-73.30%</w:t>
            </w:r>
          </w:p>
        </w:tc>
      </w:tr>
      <w:tr>
        <w:trPr>
          <w:trHeight w:val="225"/>
        </w:trPr>
        <w:tc>
          <w:tcPr>
            <w:tcW w:w="682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2160" w:type="dxa"/>
            <w:vAlign w:val="bottom"/>
          </w:tcPr>
          <w:p>
            <w:pPr>
              <w:jc w:val="right"/>
              <w:spacing w:after="0"/>
              <w:rPr>
                <w:sz w:val="20"/>
                <w:szCs w:val="20"/>
                <w:color w:val="auto"/>
              </w:rPr>
            </w:pPr>
            <w:r>
              <w:rPr>
                <w:rFonts w:ascii="Arial" w:cs="Arial" w:eastAsia="Arial" w:hAnsi="Arial"/>
                <w:sz w:val="18"/>
                <w:szCs w:val="18"/>
                <w:color w:val="auto"/>
              </w:rPr>
              <w:t>0.50- 1.75</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3.00-5.00</w:t>
            </w:r>
          </w:p>
        </w:tc>
      </w:tr>
      <w:tr>
        <w:trPr>
          <w:trHeight w:val="22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0.05%- 0.16%</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0.29%-0.37%</w:t>
            </w:r>
          </w:p>
        </w:tc>
      </w:tr>
      <w:tr>
        <w:trPr>
          <w:trHeight w:val="225"/>
        </w:trPr>
        <w:tc>
          <w:tcPr>
            <w:tcW w:w="682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2160" w:type="dxa"/>
            <w:vAlign w:val="bottom"/>
          </w:tcPr>
          <w:p>
            <w:pPr>
              <w:jc w:val="right"/>
              <w:spacing w:after="0"/>
              <w:rPr>
                <w:sz w:val="20"/>
                <w:szCs w:val="20"/>
                <w:color w:val="auto"/>
              </w:rPr>
            </w:pPr>
            <w:r>
              <w:rPr>
                <w:rFonts w:ascii="Arial" w:cs="Arial" w:eastAsia="Arial" w:hAnsi="Arial"/>
                <w:sz w:val="18"/>
                <w:szCs w:val="18"/>
                <w:color w:val="auto"/>
              </w:rPr>
              <w:t>0.00 %</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0.00 %</w:t>
            </w:r>
          </w:p>
        </w:tc>
      </w:tr>
      <w:tr>
        <w:trPr>
          <w:trHeight w:val="22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Class A common stock</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$565.85-$1,549.43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$85.42-$97.58</w:t>
            </w:r>
          </w:p>
        </w:tc>
      </w:tr>
      <w:tr>
        <w:trPr>
          <w:trHeight w:val="224"/>
        </w:trPr>
        <w:tc>
          <w:tcPr>
            <w:tcW w:w="6820" w:type="dxa"/>
            <w:vAlign w:val="bottom"/>
          </w:tcPr>
          <w:p>
            <w:pPr>
              <w:ind w:left="20"/>
              <w:spacing w:after="0"/>
              <w:rPr>
                <w:sz w:val="20"/>
                <w:szCs w:val="20"/>
                <w:color w:val="auto"/>
              </w:rPr>
            </w:pPr>
            <w:r>
              <w:rPr>
                <w:rFonts w:ascii="Arial" w:cs="Arial" w:eastAsia="Arial" w:hAnsi="Arial"/>
                <w:sz w:val="18"/>
                <w:szCs w:val="18"/>
                <w:color w:val="auto"/>
              </w:rPr>
              <w:t>Fair value of Class B common stock</w:t>
            </w:r>
          </w:p>
        </w:tc>
        <w:tc>
          <w:tcPr>
            <w:tcW w:w="2160" w:type="dxa"/>
            <w:vAlign w:val="bottom"/>
          </w:tcPr>
          <w:p>
            <w:pPr>
              <w:jc w:val="right"/>
              <w:spacing w:after="0"/>
              <w:rPr>
                <w:sz w:val="20"/>
                <w:szCs w:val="20"/>
                <w:color w:val="auto"/>
              </w:rPr>
            </w:pPr>
            <w:r>
              <w:rPr>
                <w:rFonts w:ascii="Arial" w:cs="Arial" w:eastAsia="Arial" w:hAnsi="Arial"/>
                <w:sz w:val="18"/>
                <w:szCs w:val="18"/>
                <w:color w:val="auto"/>
              </w:rPr>
              <w:t>$5.66-$15.49</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$0.85-$0.98</w:t>
            </w:r>
          </w:p>
        </w:tc>
      </w:tr>
    </w:tbl>
    <w:p>
      <w:pPr>
        <w:spacing w:after="0" w:line="22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As of March 31, 2021, the fair value associated with the Company’s stock options totaled $340.5 million. The vested portion of this fair value at March 31, 2021 was $174.2 million and $122.8 million for Class A and Class B stock options, respectively, and is included in stock-based compensation liabilities on the Company’s condensed balance sheets. As of March 31, 2021, unrecognized stock-based compensation cost related to the unvested portion of the Company’s stock options were $0.6 million and $42.9 million for Class A and Class B stock options, respectively. The Company expects to recognize the unrecognized compensation cost on a graded-vesting basis over a weighted-average period of 0.3 and 0.9 years for Class A and Class B stock options, respectively. Cash received from stock option exercise for the three months ended March 31, 2021 was $0.4 million. No cash was received from stock option exercise for the three months ended March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240"/>
          </w:cols>
          <w:pgMar w:left="320" w:top="121" w:right="339" w:bottom="1440" w:gutter="0" w:footer="0" w:header="0"/>
        </w:sectPr>
      </w:pPr>
    </w:p>
    <w:bookmarkStart w:id="229" w:name="page230"/>
    <w:bookmarkEnd w:id="229"/>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Redeemable Convertible Preferred Stock</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Redeemable Convertible Preferred Stock at March 31, 2021 and December 31, 2020 consists of the following (in thousands, except share data):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5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Redeemable Convertible Preferred Stock</w:t>
            </w:r>
          </w:p>
        </w:tc>
        <w:tc>
          <w:tcPr>
            <w:tcW w:w="15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Shares Authorized</w:t>
            </w:r>
          </w:p>
        </w:tc>
        <w:tc>
          <w:tcPr>
            <w:tcW w:w="1540" w:type="dxa"/>
            <w:vAlign w:val="bottom"/>
            <w:gridSpan w:val="2"/>
          </w:tcPr>
          <w:p>
            <w:pPr>
              <w:jc w:val="center"/>
              <w:ind w:right="80"/>
              <w:spacing w:after="0" w:line="143" w:lineRule="exact"/>
              <w:rPr>
                <w:sz w:val="20"/>
                <w:szCs w:val="20"/>
                <w:color w:val="auto"/>
              </w:rPr>
            </w:pPr>
            <w:r>
              <w:rPr>
                <w:rFonts w:ascii="Arial" w:cs="Arial" w:eastAsia="Arial" w:hAnsi="Arial"/>
                <w:sz w:val="14"/>
                <w:szCs w:val="14"/>
                <w:b w:val="1"/>
                <w:bCs w:val="1"/>
                <w:color w:val="auto"/>
                <w:w w:val="88"/>
              </w:rPr>
              <w:t>Shares Issued and</w:t>
            </w:r>
          </w:p>
        </w:tc>
        <w:tc>
          <w:tcPr>
            <w:tcW w:w="300" w:type="dxa"/>
            <w:vAlign w:val="bottom"/>
          </w:tcPr>
          <w:p>
            <w:pPr>
              <w:spacing w:after="0"/>
              <w:rPr>
                <w:sz w:val="12"/>
                <w:szCs w:val="12"/>
                <w:color w:val="auto"/>
              </w:rPr>
            </w:pPr>
          </w:p>
        </w:tc>
        <w:tc>
          <w:tcPr>
            <w:tcW w:w="12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Amount</w:t>
            </w:r>
          </w:p>
        </w:tc>
        <w:tc>
          <w:tcPr>
            <w:tcW w:w="144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w w:val="92"/>
              </w:rPr>
              <w:t>Aggregate Liquidation</w:t>
            </w:r>
          </w:p>
        </w:tc>
        <w:tc>
          <w:tcPr>
            <w:tcW w:w="0" w:type="dxa"/>
            <w:vAlign w:val="bottom"/>
          </w:tcPr>
          <w:p>
            <w:pPr>
              <w:spacing w:after="0"/>
              <w:rPr>
                <w:sz w:val="1"/>
                <w:szCs w:val="1"/>
                <w:color w:val="auto"/>
              </w:rPr>
            </w:pPr>
          </w:p>
        </w:tc>
      </w:tr>
      <w:tr>
        <w:trPr>
          <w:trHeight w:val="185"/>
        </w:trPr>
        <w:tc>
          <w:tcPr>
            <w:tcW w:w="5180" w:type="dxa"/>
            <w:vAlign w:val="bottom"/>
            <w:tcBorders>
              <w:bottom w:val="single" w:sz="8" w:color="CCEEFF"/>
            </w:tcBorders>
            <w:vMerge w:val="continue"/>
          </w:tcPr>
          <w:p>
            <w:pPr>
              <w:spacing w:after="0"/>
              <w:rPr>
                <w:sz w:val="16"/>
                <w:szCs w:val="16"/>
                <w:color w:val="auto"/>
              </w:rPr>
            </w:pPr>
          </w:p>
        </w:tc>
        <w:tc>
          <w:tcPr>
            <w:tcW w:w="1540" w:type="dxa"/>
            <w:vAlign w:val="bottom"/>
            <w:tcBorders>
              <w:bottom w:val="single" w:sz="8" w:color="auto"/>
            </w:tcBorders>
            <w:gridSpan w:val="2"/>
            <w:vMerge w:val="continue"/>
          </w:tcPr>
          <w:p>
            <w:pPr>
              <w:spacing w:after="0"/>
              <w:rPr>
                <w:sz w:val="16"/>
                <w:szCs w:val="16"/>
                <w:color w:val="auto"/>
              </w:rPr>
            </w:pPr>
          </w:p>
        </w:tc>
        <w:tc>
          <w:tcPr>
            <w:tcW w:w="15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2"/>
              </w:rPr>
              <w:t>Outstanding</w:t>
            </w: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Preference</w:t>
            </w:r>
          </w:p>
        </w:tc>
        <w:tc>
          <w:tcPr>
            <w:tcW w:w="0" w:type="dxa"/>
            <w:vAlign w:val="bottom"/>
          </w:tcPr>
          <w:p>
            <w:pPr>
              <w:spacing w:after="0"/>
              <w:rPr>
                <w:sz w:val="1"/>
                <w:szCs w:val="1"/>
                <w:color w:val="auto"/>
              </w:rPr>
            </w:pPr>
          </w:p>
        </w:tc>
      </w:tr>
      <w:tr>
        <w:trPr>
          <w:trHeight w:val="21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A-1</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447,373</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447,373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w:t>
            </w:r>
          </w:p>
        </w:tc>
        <w:tc>
          <w:tcPr>
            <w:tcW w:w="0" w:type="dxa"/>
            <w:vAlign w:val="bottom"/>
          </w:tcPr>
          <w:p>
            <w:pPr>
              <w:spacing w:after="0"/>
              <w:rPr>
                <w:sz w:val="1"/>
                <w:szCs w:val="1"/>
                <w:color w:val="auto"/>
              </w:rPr>
            </w:pPr>
          </w:p>
        </w:tc>
      </w:tr>
      <w:tr>
        <w:trPr>
          <w:trHeight w:val="225"/>
        </w:trPr>
        <w:tc>
          <w:tcPr>
            <w:tcW w:w="5180" w:type="dxa"/>
            <w:vAlign w:val="bottom"/>
          </w:tcPr>
          <w:p>
            <w:pPr>
              <w:ind w:left="20"/>
              <w:spacing w:after="0"/>
              <w:rPr>
                <w:sz w:val="20"/>
                <w:szCs w:val="20"/>
                <w:color w:val="auto"/>
              </w:rPr>
            </w:pPr>
            <w:r>
              <w:rPr>
                <w:rFonts w:ascii="Arial" w:cs="Arial" w:eastAsia="Arial" w:hAnsi="Arial"/>
                <w:sz w:val="18"/>
                <w:szCs w:val="18"/>
                <w:color w:val="auto"/>
              </w:rPr>
              <w:t>Series A-2</w:t>
            </w:r>
          </w:p>
        </w:tc>
        <w:tc>
          <w:tcPr>
            <w:tcW w:w="1460" w:type="dxa"/>
            <w:vAlign w:val="bottom"/>
          </w:tcPr>
          <w:p>
            <w:pPr>
              <w:jc w:val="right"/>
              <w:spacing w:after="0"/>
              <w:rPr>
                <w:sz w:val="20"/>
                <w:szCs w:val="20"/>
                <w:color w:val="auto"/>
              </w:rPr>
            </w:pPr>
            <w:r>
              <w:rPr>
                <w:rFonts w:ascii="Arial" w:cs="Arial" w:eastAsia="Arial" w:hAnsi="Arial"/>
                <w:sz w:val="18"/>
                <w:szCs w:val="18"/>
                <w:color w:val="auto"/>
              </w:rPr>
              <w:t>522,627</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401,347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46,480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49,342</w:t>
            </w:r>
          </w:p>
        </w:tc>
        <w:tc>
          <w:tcPr>
            <w:tcW w:w="0" w:type="dxa"/>
            <w:vAlign w:val="bottom"/>
          </w:tcPr>
          <w:p>
            <w:pPr>
              <w:spacing w:after="0"/>
              <w:rPr>
                <w:sz w:val="1"/>
                <w:szCs w:val="1"/>
                <w:color w:val="auto"/>
              </w:rPr>
            </w:pPr>
          </w:p>
        </w:tc>
      </w:tr>
      <w:tr>
        <w:trPr>
          <w:trHeight w:val="226"/>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B</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338,663</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338,663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204,302</w:t>
            </w:r>
          </w:p>
        </w:tc>
        <w:tc>
          <w:tcPr>
            <w:tcW w:w="0" w:type="dxa"/>
            <w:vAlign w:val="bottom"/>
          </w:tcPr>
          <w:p>
            <w:pPr>
              <w:spacing w:after="0"/>
              <w:rPr>
                <w:sz w:val="1"/>
                <w:szCs w:val="1"/>
                <w:color w:val="auto"/>
              </w:rPr>
            </w:pPr>
          </w:p>
        </w:tc>
      </w:tr>
      <w:tr>
        <w:trPr>
          <w:trHeight w:val="225"/>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Series C</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197,824</w:t>
            </w:r>
          </w:p>
        </w:tc>
        <w:tc>
          <w:tcPr>
            <w:tcW w:w="8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197,821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117,324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121,397</w:t>
            </w:r>
          </w:p>
        </w:tc>
        <w:tc>
          <w:tcPr>
            <w:tcW w:w="0" w:type="dxa"/>
            <w:vAlign w:val="bottom"/>
          </w:tcPr>
          <w:p>
            <w:pPr>
              <w:spacing w:after="0"/>
              <w:rPr>
                <w:sz w:val="1"/>
                <w:szCs w:val="1"/>
                <w:color w:val="auto"/>
              </w:rPr>
            </w:pPr>
          </w:p>
        </w:tc>
      </w:tr>
      <w:tr>
        <w:trPr>
          <w:trHeight w:val="244"/>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Redeemable Convertible Preferred Stock</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1,506,487</w:t>
            </w:r>
          </w:p>
        </w:tc>
        <w:tc>
          <w:tcPr>
            <w:tcW w:w="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1,385,204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334,439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430,041</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Holders of the Redeemable Convertible Preferred Stock are entitled to a number of votes equal to the number of whole shares of Class A common stock into which it is convertible.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Holders of the Redeemable Convertible Preferred Stock are entitled to receive or participate in dividends to the extent that dividends are declared for holders of Class A common stock and Class B common stock, at which point the holders of the Redeemable Convertible Preferred Stock are entitled to participate on an as-converted to Class A common stock basis.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has not declared any cash or other dividends through March 31, 2021.</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Rights</w:t>
      </w:r>
    </w:p>
    <w:p>
      <w:pPr>
        <w:spacing w:after="0" w:line="16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Redeemable Convertible Preferred Stock is convertible into Class A common stock at the option of the holder at any time and without the payment of additional consideration and is mandatorily convertible upon the occurrence of certain events. The conversion ratio could be adjusted upon the Company’s issuance of shares of common stock below the original issue prices of the Redeemable Convertible Preferred Stock; the issuance of certain options or securities convertible into common stock of the Company; the issuance of certain dividends; and events such as stock splits, merger and reorganization.</w:t>
      </w:r>
    </w:p>
    <w:p>
      <w:pPr>
        <w:spacing w:after="0" w:line="9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There were no conversions of Redeemable Convertible Preferred Stock into Class A common stock during the three months ended March 31, 2021. As of March 31, 2021 and December 31, 2020, all shares of Redeemable Convertible Preferred Stock were convertible into shares of Class A common stock at a 1:1 ratio.</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Classification of Redeemable Convertible Preferred Stock</w:t>
      </w:r>
    </w:p>
    <w:p>
      <w:pPr>
        <w:spacing w:after="0" w:line="16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Redeemable Convertible Preferred Stock has deemed liquidation provisions which provide the holders the option to redeem the shares upon a change in control or other deemed liquidation event. The deemed liquidation preference provisions of the Redeemable Convertible Preferred Stock are considered contingent redemption provisions that are not solely within the Company’s control. Accordingly, the Redeemable Convertible Preferred Stock is presented outside of permanent equity in the mezzanine portion of the Company’s condensed balance sheets. No accretion was recorded during the three months ended March 31, 2021 and 2020, as a deemed liquidation event was not considered probable.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Common Stock</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There was one share of Class A common stock issued and outstanding at March 31, 2021 and December 31, 2020. There were 604,649 and 105,429 shares of Class B common stock issued and outstanding at March 31, 2021 and December 31, 2020, respectively. The shares of Class B common stock issued and outstanding at March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240"/>
          </w:cols>
          <w:pgMar w:left="320" w:top="121" w:right="339" w:bottom="1440" w:gutter="0" w:footer="0" w:header="0"/>
        </w:sectPr>
      </w:pPr>
    </w:p>
    <w:bookmarkStart w:id="230" w:name="page231"/>
    <w:bookmarkEnd w:id="230"/>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2021 remained liability-classified since the Company concluded that the stockholder did not yet bear the risks and rewards of equity ownership for a reasonable period of time.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70"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Income taxes for the three months ended March 31, 2021 and March 31, 2020 are recorded at the Company’s estimated annual effective income tax rate, subject to adjustments for discrete events, should they occur. The Company’s estimated annual effective tax rate was 0.0% for the three months ended March 31, 2021 and March 31, 2020. The primary reconciling items between the federal statutory rate of 21.0% for these periods and the Company’s overall effective tax rate of 0.0% were related to the effects of deferred state income taxes, stock-based compensation, research and development credits, nondeductible transaction costs and the valuation allowance recorded against the full amount of its net deferred tax assets.</w:t>
      </w:r>
    </w:p>
    <w:p>
      <w:pPr>
        <w:spacing w:after="0" w:line="12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A valuation allowance is required when it is more likely than not that some portion or all of the Company’s deferred tax assets will not be realized. The realization of deferred tax assets depends on the generation of sufficient future taxable income during the period in which the Company’s related temporary differences become deductible. The Company has recorded a full valuation allowance against its net deferred tax assets as of March 31, 2021 and March 31, 2020 since management believes that based on the earnings history of the Company, it is more likely than not that the benefits of these assets will not be realized.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Loss per Share</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For the three months ended March 31, 2021 and 2020, basic and diluted net loss per share attributable to common stockholders is presented in conformity with the two-class method. Net loss attributable to common stockholders was not allocated to the redeemable convertible preferred stock, as holders of the redeemable convertible preferred stock did not have a contractual obligation to share in losses.</w:t>
      </w:r>
    </w:p>
    <w:p>
      <w:pPr>
        <w:spacing w:after="0" w:line="13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Basic net loss per share is computed by dividing the net loss attributable to common stockholders by the weighted-average number of shares of common stock outstanding for the period. During the three months ended March 31, 2021 and 2020, the net loss attributable to common stockholders was equivalent to the Company’s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240"/>
          </w:cols>
          <w:pgMar w:left="320" w:top="121" w:right="339" w:bottom="1440" w:gutter="0" w:footer="0" w:header="0"/>
        </w:sectPr>
      </w:pPr>
    </w:p>
    <w:bookmarkStart w:id="231" w:name="page232"/>
    <w:bookmarkEnd w:id="231"/>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loss and comprehensive loss. The following table sets forth the computation of basic net loss per share attributable to common stockholders (in thousands, except for share amounts):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(190,993)</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(26,990)</w:t>
            </w:r>
          </w:p>
        </w:tc>
        <w:tc>
          <w:tcPr>
            <w:tcW w:w="0" w:type="dxa"/>
            <w:vAlign w:val="bottom"/>
          </w:tcPr>
          <w:p>
            <w:pPr>
              <w:spacing w:after="0"/>
              <w:rPr>
                <w:sz w:val="1"/>
                <w:szCs w:val="1"/>
                <w:color w:val="auto"/>
              </w:rPr>
            </w:pPr>
          </w:p>
        </w:tc>
      </w:tr>
      <w:tr>
        <w:trPr>
          <w:trHeight w:val="398"/>
        </w:trPr>
        <w:tc>
          <w:tcPr>
            <w:tcW w:w="80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8020" w:type="dxa"/>
            <w:vAlign w:val="bottom"/>
          </w:tcPr>
          <w:p>
            <w:pPr>
              <w:ind w:left="20"/>
              <w:spacing w:after="0" w:line="173" w:lineRule="exact"/>
              <w:rPr>
                <w:sz w:val="20"/>
                <w:szCs w:val="20"/>
                <w:color w:val="auto"/>
              </w:rPr>
            </w:pPr>
            <w:r>
              <w:rPr>
                <w:rFonts w:ascii="Arial" w:cs="Arial" w:eastAsia="Arial" w:hAnsi="Arial"/>
                <w:sz w:val="18"/>
                <w:szCs w:val="18"/>
                <w:color w:val="auto"/>
                <w:w w:val="90"/>
              </w:rPr>
              <w:t>Weighted average Class A shares outstanding used in computing allocation of net loss attributable to common</w:t>
            </w:r>
          </w:p>
        </w:tc>
        <w:tc>
          <w:tcPr>
            <w:tcW w:w="38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4"/>
        </w:trPr>
        <w:tc>
          <w:tcPr>
            <w:tcW w:w="8020" w:type="dxa"/>
            <w:vAlign w:val="bottom"/>
          </w:tcPr>
          <w:p>
            <w:pPr>
              <w:ind w:left="180"/>
              <w:spacing w:after="0"/>
              <w:rPr>
                <w:sz w:val="20"/>
                <w:szCs w:val="20"/>
                <w:color w:val="auto"/>
              </w:rPr>
            </w:pPr>
            <w:r>
              <w:rPr>
                <w:rFonts w:ascii="Arial" w:cs="Arial" w:eastAsia="Arial" w:hAnsi="Arial"/>
                <w:sz w:val="18"/>
                <w:szCs w:val="18"/>
                <w:color w:val="auto"/>
              </w:rPr>
              <w:t>stockholders</w:t>
            </w:r>
          </w:p>
        </w:tc>
        <w:tc>
          <w:tcPr>
            <w:tcW w:w="38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80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0"/>
              </w:rPr>
              <w:t>Weighted average Class B shares on an as converted to Class A basis used in computing allocation of net loss</w:t>
            </w:r>
          </w:p>
        </w:tc>
        <w:tc>
          <w:tcPr>
            <w:tcW w:w="3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4,439</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attributable to common stockholders</w:t>
            </w:r>
          </w:p>
        </w:tc>
        <w:tc>
          <w:tcPr>
            <w:tcW w:w="38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98"/>
        </w:trPr>
        <w:tc>
          <w:tcPr>
            <w:tcW w:w="8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Allocation of net loss attributable to common stockholders for basic:</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Class A common stock</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(26,990)</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B common stock</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8"/>
        </w:trPr>
        <w:tc>
          <w:tcPr>
            <w:tcW w:w="8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w w:val="92"/>
              </w:rPr>
              <w:t>Weighted average shares used in computing net loss per share attributable to Class A common stockholders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Weighted average shares used in computing net loss per share attributable to Class B common stockholders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443,864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7"/>
        </w:trPr>
        <w:tc>
          <w:tcPr>
            <w:tcW w:w="8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net loss per share attributable to Class A</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(26,990)</w:t>
            </w:r>
          </w:p>
        </w:tc>
        <w:tc>
          <w:tcPr>
            <w:tcW w:w="0" w:type="dxa"/>
            <w:vAlign w:val="bottom"/>
          </w:tcPr>
          <w:p>
            <w:pPr>
              <w:spacing w:after="0"/>
              <w:rPr>
                <w:sz w:val="1"/>
                <w:szCs w:val="1"/>
                <w:color w:val="auto"/>
              </w:rPr>
            </w:pPr>
          </w:p>
        </w:tc>
      </w:tr>
      <w:tr>
        <w:trPr>
          <w:trHeight w:val="224"/>
        </w:trPr>
        <w:tc>
          <w:tcPr>
            <w:tcW w:w="8020" w:type="dxa"/>
            <w:vAlign w:val="bottom"/>
          </w:tcPr>
          <w:p>
            <w:pPr>
              <w:ind w:left="20"/>
              <w:spacing w:after="0"/>
              <w:rPr>
                <w:sz w:val="20"/>
                <w:szCs w:val="20"/>
                <w:color w:val="auto"/>
              </w:rPr>
            </w:pPr>
            <w:r>
              <w:rPr>
                <w:rFonts w:ascii="Arial" w:cs="Arial" w:eastAsia="Arial" w:hAnsi="Arial"/>
                <w:sz w:val="18"/>
                <w:szCs w:val="18"/>
                <w:color w:val="auto"/>
              </w:rPr>
              <w:t>Basic net loss per share attributable to Class B</w:t>
            </w:r>
          </w:p>
        </w:tc>
        <w:tc>
          <w:tcPr>
            <w:tcW w:w="3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4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Diluted net loss per share is computed based on the weighted-average number of shares of common stock, including the dilutive effect of common stock equivalents, outstanding. Basic net loss per share is the same as diluted net loss per share for the three months ended March 31, 2020 as the inclusion of potentially dilutive shares would have been anti-dilutive.</w:t>
      </w:r>
    </w:p>
    <w:p>
      <w:pPr>
        <w:spacing w:after="0" w:line="13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For the three months ended March 31, 2021, the Company’s diluted net loss per share of Class A common stock assumed the conversion of all Class B common stock into Class A common stock in accordance with the if-converted method. For the three months ended March 31, 2021 the calculation of diluted net loss per share of Class B common stock did not differ from the calculation of basic net loss per share as the inclusion of potentially dilutive shares would have been anti-dilutive. The following table sets forth the computation of diluted net loss per share of Class A common stock for the three months ended March 31, 2021 (in thousands, except for share amounts):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48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5"/>
          </w:tcPr>
          <w:p>
            <w:pPr>
              <w:jc w:val="center"/>
              <w:ind w:left="716"/>
              <w:spacing w:after="0"/>
              <w:rPr>
                <w:sz w:val="20"/>
                <w:szCs w:val="20"/>
                <w:color w:val="auto"/>
              </w:rPr>
            </w:pPr>
            <w:r>
              <w:rPr>
                <w:rFonts w:ascii="Arial" w:cs="Arial" w:eastAsia="Arial" w:hAnsi="Arial"/>
                <w:sz w:val="14"/>
                <w:szCs w:val="14"/>
                <w:b w:val="1"/>
                <w:bCs w:val="1"/>
                <w:color w:val="auto"/>
                <w:w w:val="91"/>
              </w:rPr>
              <w:t>Three months ended March 31, 2021</w:t>
            </w: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6360" w:type="dxa"/>
            <w:vAlign w:val="bottom"/>
          </w:tcPr>
          <w:p>
            <w:pPr>
              <w:spacing w:after="0"/>
              <w:rPr>
                <w:sz w:val="11"/>
                <w:szCs w:val="11"/>
                <w:color w:val="auto"/>
              </w:rPr>
            </w:pPr>
          </w:p>
        </w:tc>
        <w:tc>
          <w:tcPr>
            <w:tcW w:w="1660" w:type="dxa"/>
            <w:vAlign w:val="bottom"/>
            <w:gridSpan w:val="3"/>
          </w:tcPr>
          <w:p>
            <w:pPr>
              <w:ind w:left="100"/>
              <w:spacing w:after="0" w:line="131" w:lineRule="exact"/>
              <w:rPr>
                <w:sz w:val="20"/>
                <w:szCs w:val="20"/>
                <w:color w:val="auto"/>
              </w:rPr>
            </w:pPr>
            <w:r>
              <w:rPr>
                <w:rFonts w:ascii="Arial" w:cs="Arial" w:eastAsia="Arial" w:hAnsi="Arial"/>
                <w:sz w:val="14"/>
                <w:szCs w:val="14"/>
                <w:b w:val="1"/>
                <w:bCs w:val="1"/>
                <w:color w:val="auto"/>
              </w:rPr>
              <w:t>Net loss attributable to</w:t>
            </w:r>
          </w:p>
        </w:tc>
        <w:tc>
          <w:tcPr>
            <w:tcW w:w="1660" w:type="dxa"/>
            <w:vAlign w:val="bottom"/>
            <w:gridSpan w:val="2"/>
          </w:tcPr>
          <w:p>
            <w:pPr>
              <w:jc w:val="center"/>
              <w:ind w:right="80"/>
              <w:spacing w:after="0" w:line="131" w:lineRule="exact"/>
              <w:rPr>
                <w:sz w:val="20"/>
                <w:szCs w:val="20"/>
                <w:color w:val="auto"/>
              </w:rPr>
            </w:pPr>
            <w:r>
              <w:rPr>
                <w:rFonts w:ascii="Arial" w:cs="Arial" w:eastAsia="Arial" w:hAnsi="Arial"/>
                <w:sz w:val="14"/>
                <w:szCs w:val="14"/>
                <w:b w:val="1"/>
                <w:bCs w:val="1"/>
                <w:color w:val="auto"/>
                <w:w w:val="88"/>
              </w:rPr>
              <w:t>Weighted average shares</w:t>
            </w:r>
          </w:p>
        </w:tc>
        <w:tc>
          <w:tcPr>
            <w:tcW w:w="280" w:type="dxa"/>
            <w:vAlign w:val="bottom"/>
          </w:tcPr>
          <w:p>
            <w:pPr>
              <w:spacing w:after="0"/>
              <w:rPr>
                <w:sz w:val="11"/>
                <w:szCs w:val="11"/>
                <w:color w:val="auto"/>
              </w:rPr>
            </w:pPr>
          </w:p>
        </w:tc>
        <w:tc>
          <w:tcPr>
            <w:tcW w:w="1280" w:type="dxa"/>
            <w:vAlign w:val="bottom"/>
            <w:vMerge w:val="restart"/>
          </w:tcPr>
          <w:p>
            <w:pPr>
              <w:jc w:val="right"/>
              <w:ind w:right="258"/>
              <w:spacing w:after="0"/>
              <w:rPr>
                <w:sz w:val="20"/>
                <w:szCs w:val="20"/>
                <w:color w:val="auto"/>
              </w:rPr>
            </w:pPr>
            <w:r>
              <w:rPr>
                <w:rFonts w:ascii="Arial" w:cs="Arial" w:eastAsia="Arial" w:hAnsi="Arial"/>
                <w:sz w:val="14"/>
                <w:szCs w:val="14"/>
                <w:b w:val="1"/>
                <w:bCs w:val="1"/>
                <w:color w:val="auto"/>
                <w:w w:val="92"/>
              </w:rPr>
              <w:t>Loss per share</w:t>
            </w:r>
          </w:p>
        </w:tc>
        <w:tc>
          <w:tcPr>
            <w:tcW w:w="0" w:type="dxa"/>
            <w:vAlign w:val="bottom"/>
          </w:tcPr>
          <w:p>
            <w:pPr>
              <w:spacing w:after="0"/>
              <w:rPr>
                <w:sz w:val="1"/>
                <w:szCs w:val="1"/>
                <w:color w:val="auto"/>
              </w:rPr>
            </w:pPr>
          </w:p>
        </w:tc>
      </w:tr>
      <w:tr>
        <w:trPr>
          <w:trHeight w:val="185"/>
        </w:trPr>
        <w:tc>
          <w:tcPr>
            <w:tcW w:w="636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9"/>
              </w:rPr>
              <w:t>Class A common stock</w:t>
            </w:r>
          </w:p>
        </w:tc>
        <w:tc>
          <w:tcPr>
            <w:tcW w:w="16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9"/>
              </w:rPr>
              <w:t>outstanding</w:t>
            </w: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net loss per share</w:t>
            </w:r>
          </w:p>
        </w:tc>
        <w:tc>
          <w:tcPr>
            <w:tcW w:w="480" w:type="dxa"/>
            <w:vAlign w:val="bottom"/>
            <w:shd w:val="clear" w:color="auto" w:fill="CCEEFF"/>
          </w:tcPr>
          <w:p>
            <w:pPr>
              <w:jc w:val="right"/>
              <w:ind w:right="281"/>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color w:val="auto"/>
              </w:rPr>
              <w:t>Add: The effect of dilutive potential Class A common stock</w:t>
            </w: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B common stock</w:t>
            </w: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(190,950)</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360" w:type="dxa"/>
            <w:vAlign w:val="bottom"/>
          </w:tcPr>
          <w:p>
            <w:pPr>
              <w:ind w:left="20"/>
              <w:spacing w:after="0"/>
              <w:rPr>
                <w:sz w:val="20"/>
                <w:szCs w:val="20"/>
                <w:color w:val="auto"/>
              </w:rPr>
            </w:pPr>
            <w:r>
              <w:rPr>
                <w:rFonts w:ascii="Arial" w:cs="Arial" w:eastAsia="Arial" w:hAnsi="Arial"/>
                <w:sz w:val="18"/>
                <w:szCs w:val="18"/>
                <w:color w:val="auto"/>
              </w:rPr>
              <w:t>Diluted net loss per share attributable to Class A common stock</w:t>
            </w:r>
          </w:p>
        </w:tc>
        <w:tc>
          <w:tcPr>
            <w:tcW w:w="480" w:type="dxa"/>
            <w:vAlign w:val="bottom"/>
          </w:tcPr>
          <w:p>
            <w:pPr>
              <w:jc w:val="right"/>
              <w:ind w:right="281"/>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(190,993)</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4,440</w:t>
            </w:r>
          </w:p>
        </w:tc>
        <w:tc>
          <w:tcPr>
            <w:tcW w:w="100" w:type="dxa"/>
            <w:vAlign w:val="bottom"/>
          </w:tcPr>
          <w:p>
            <w:pPr>
              <w:spacing w:after="0"/>
              <w:rPr>
                <w:sz w:val="18"/>
                <w:szCs w:val="18"/>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240"/>
          </w:cols>
          <w:pgMar w:left="320" w:top="121" w:right="339" w:bottom="1440" w:gutter="0" w:footer="0" w:header="0"/>
        </w:sectPr>
      </w:pPr>
    </w:p>
    <w:bookmarkStart w:id="232" w:name="page233"/>
    <w:bookmarkEnd w:id="232"/>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318"/>
        <w:spacing w:after="0" w:line="294" w:lineRule="auto"/>
        <w:rPr>
          <w:sz w:val="20"/>
          <w:szCs w:val="20"/>
          <w:color w:val="auto"/>
        </w:rPr>
      </w:pPr>
      <w:r>
        <w:rPr>
          <w:rFonts w:ascii="Arial" w:cs="Arial" w:eastAsia="Arial" w:hAnsi="Arial"/>
          <w:sz w:val="17"/>
          <w:szCs w:val="17"/>
          <w:color w:val="auto"/>
        </w:rPr>
        <w:t>The following table summarizes the outstanding shares of potentially dilutive securities that were excluded from the computation of diluted net loss per share attributable to common stockholders for the period presented because including them would have been anti-dilutive: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20" w:type="dxa"/>
            <w:vAlign w:val="bottom"/>
          </w:tcPr>
          <w:p>
            <w:pPr>
              <w:spacing w:after="0"/>
              <w:rPr>
                <w:sz w:val="16"/>
                <w:szCs w:val="16"/>
                <w:color w:val="auto"/>
              </w:rPr>
            </w:pPr>
          </w:p>
        </w:tc>
        <w:tc>
          <w:tcPr>
            <w:tcW w:w="3220" w:type="dxa"/>
            <w:vAlign w:val="bottom"/>
            <w:tcBorders>
              <w:bottom w:val="single" w:sz="8" w:color="auto"/>
            </w:tcBorders>
            <w:gridSpan w:val="3"/>
          </w:tcPr>
          <w:p>
            <w:pPr>
              <w:jc w:val="right"/>
              <w:ind w:right="575"/>
              <w:spacing w:after="0"/>
              <w:rPr>
                <w:sz w:val="20"/>
                <w:szCs w:val="20"/>
                <w:color w:val="auto"/>
              </w:rPr>
            </w:pPr>
            <w:r>
              <w:rPr>
                <w:rFonts w:ascii="Arial" w:cs="Arial" w:eastAsia="Arial" w:hAnsi="Arial"/>
                <w:sz w:val="14"/>
                <w:szCs w:val="14"/>
                <w:b w:val="1"/>
                <w:bCs w:val="1"/>
                <w:color w:val="auto"/>
              </w:rPr>
              <w:t>Three months ended March 31,</w:t>
            </w:r>
          </w:p>
        </w:tc>
      </w:tr>
      <w:tr>
        <w:trPr>
          <w:trHeight w:val="18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56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options to purchase Class A common stock</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122,000</w:t>
            </w: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Outstanding options to purchase Class B common stock</w:t>
            </w:r>
          </w:p>
        </w:tc>
        <w:tc>
          <w:tcPr>
            <w:tcW w:w="1560" w:type="dxa"/>
            <w:vAlign w:val="bottom"/>
          </w:tcPr>
          <w:p>
            <w:pPr>
              <w:jc w:val="right"/>
              <w:spacing w:after="0"/>
              <w:rPr>
                <w:sz w:val="20"/>
                <w:szCs w:val="20"/>
                <w:color w:val="auto"/>
              </w:rPr>
            </w:pPr>
            <w:r>
              <w:rPr>
                <w:rFonts w:ascii="Arial" w:cs="Arial" w:eastAsia="Arial" w:hAnsi="Arial"/>
                <w:sz w:val="18"/>
                <w:szCs w:val="18"/>
                <w:color w:val="auto"/>
              </w:rPr>
              <w:t>11,710,025</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12,073,090</w:t>
            </w: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 (on an if-converted basis)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1,385,204</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1,187,383</w:t>
            </w:r>
          </w:p>
        </w:tc>
      </w:tr>
      <w:tr>
        <w:trPr>
          <w:trHeight w:val="219"/>
        </w:trPr>
        <w:tc>
          <w:tcPr>
            <w:tcW w:w="8020" w:type="dxa"/>
            <w:vAlign w:val="bottom"/>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13,217,229</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13,382,473</w:t>
            </w:r>
          </w:p>
        </w:tc>
      </w:tr>
      <w:tr>
        <w:trPr>
          <w:trHeight w:val="20"/>
        </w:trPr>
        <w:tc>
          <w:tcPr>
            <w:tcW w:w="80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Company has evaluated subsequent events through June 10, 2021, the date the condensed financial statements were available to be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240"/>
          </w:cols>
          <w:pgMar w:left="320" w:top="121" w:right="339" w:bottom="1440" w:gutter="0" w:footer="0" w:header="0"/>
        </w:sectPr>
      </w:pPr>
    </w:p>
    <w:bookmarkStart w:id="233" w:name="page234"/>
    <w:bookmarkEnd w:id="233"/>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Unaudited Condensed Financial Statement as of March 31, 2021:</w:t>
      </w:r>
    </w:p>
    <w:p>
      <w:pPr>
        <w:spacing w:after="0" w:line="204" w:lineRule="exact"/>
        <w:rPr>
          <w:sz w:val="20"/>
          <w:szCs w:val="20"/>
          <w:color w:val="auto"/>
        </w:rPr>
      </w:pPr>
    </w:p>
    <w:p>
      <w:pPr>
        <w:ind w:left="10880"/>
        <w:spacing w:after="0"/>
        <w:rPr>
          <w:rFonts w:ascii="Arial" w:cs="Arial" w:eastAsia="Arial" w:hAnsi="Arial"/>
          <w:sz w:val="15"/>
          <w:szCs w:val="15"/>
          <w:u w:val="single" w:color="auto"/>
          <w:color w:val="0000FF"/>
        </w:rPr>
      </w:pPr>
      <w:hyperlink w:anchor="page254">
        <w:r>
          <w:rPr>
            <w:rFonts w:ascii="Arial" w:cs="Arial" w:eastAsia="Arial" w:hAnsi="Arial"/>
            <w:sz w:val="15"/>
            <w:szCs w:val="15"/>
            <w:u w:val="single" w:color="auto"/>
            <w:color w:val="0000FF"/>
          </w:rPr>
          <w:t>F-</w:t>
        </w:r>
      </w:hyperlink>
      <w:hyperlink w:anchor="page235">
        <w:r>
          <w:rPr>
            <w:rFonts w:ascii="Arial" w:cs="Arial" w:eastAsia="Arial" w:hAnsi="Arial"/>
            <w:sz w:val="15"/>
            <w:szCs w:val="15"/>
            <w:u w:val="single" w:color="auto"/>
            <w:color w:val="0000FF"/>
          </w:rPr>
          <w:t>63</w:t>
        </w:r>
      </w:hyperlink>
    </w:p>
    <w:p>
      <w:pPr>
        <w:spacing w:after="0" w:line="27" w:lineRule="exact"/>
        <w:rPr>
          <w:sz w:val="20"/>
          <w:szCs w:val="20"/>
          <w:color w:val="auto"/>
        </w:rPr>
      </w:pPr>
    </w:p>
    <w:p>
      <w:pPr>
        <w:ind w:left="100"/>
        <w:spacing w:after="0"/>
        <w:rPr>
          <w:rFonts w:ascii="Arial" w:cs="Arial" w:eastAsia="Arial" w:hAnsi="Arial"/>
          <w:sz w:val="18"/>
          <w:szCs w:val="18"/>
          <w:u w:val="single" w:color="auto"/>
          <w:color w:val="0000FF"/>
        </w:rPr>
      </w:pPr>
      <w:hyperlink w:anchor="page235">
        <w:r>
          <w:rPr>
            <w:rFonts w:ascii="Arial" w:cs="Arial" w:eastAsia="Arial" w:hAnsi="Arial"/>
            <w:sz w:val="18"/>
            <w:szCs w:val="18"/>
            <w:u w:val="single" w:color="auto"/>
            <w:color w:val="0000FF"/>
          </w:rPr>
          <w:t>Condensed Balance Sheet (Unaudited)</w:t>
        </w:r>
      </w:hyperlink>
    </w:p>
    <w:p>
      <w:pPr>
        <w:spacing w:after="0" w:line="18" w:lineRule="exact"/>
        <w:rPr>
          <w:sz w:val="20"/>
          <w:szCs w:val="20"/>
          <w:color w:val="auto"/>
        </w:rPr>
      </w:pPr>
    </w:p>
    <w:p>
      <w:pPr>
        <w:ind w:left="10880"/>
        <w:spacing w:after="0"/>
        <w:rPr>
          <w:rFonts w:ascii="Arial" w:cs="Arial" w:eastAsia="Arial" w:hAnsi="Arial"/>
          <w:sz w:val="15"/>
          <w:szCs w:val="15"/>
          <w:u w:val="single" w:color="auto"/>
          <w:color w:val="0000FF"/>
        </w:rPr>
      </w:pPr>
      <w:hyperlink w:anchor="page235">
        <w:r>
          <w:rPr>
            <w:rFonts w:ascii="Arial" w:cs="Arial" w:eastAsia="Arial" w:hAnsi="Arial"/>
            <w:sz w:val="15"/>
            <w:szCs w:val="15"/>
            <w:u w:val="single" w:color="auto"/>
            <w:color w:val="0000FF"/>
          </w:rPr>
          <w:t>F-64</w:t>
        </w:r>
      </w:hyperlink>
    </w:p>
    <w:p>
      <w:pPr>
        <w:spacing w:after="0" w:line="27" w:lineRule="exact"/>
        <w:rPr>
          <w:sz w:val="20"/>
          <w:szCs w:val="20"/>
          <w:color w:val="auto"/>
        </w:rPr>
      </w:pPr>
    </w:p>
    <w:p>
      <w:pPr>
        <w:ind w:left="100"/>
        <w:spacing w:after="0"/>
        <w:rPr>
          <w:rFonts w:ascii="Arial" w:cs="Arial" w:eastAsia="Arial" w:hAnsi="Arial"/>
          <w:sz w:val="18"/>
          <w:szCs w:val="18"/>
          <w:u w:val="single" w:color="auto"/>
          <w:color w:val="0000FF"/>
        </w:rPr>
      </w:pPr>
      <w:hyperlink w:anchor="page235">
        <w:r>
          <w:rPr>
            <w:rFonts w:ascii="Arial" w:cs="Arial" w:eastAsia="Arial" w:hAnsi="Arial"/>
            <w:sz w:val="18"/>
            <w:szCs w:val="18"/>
            <w:u w:val="single" w:color="auto"/>
            <w:color w:val="0000FF"/>
          </w:rPr>
          <w:t>Condensed Statement of Operations (Unaudited)</w:t>
        </w:r>
      </w:hyperlink>
    </w:p>
    <w:p>
      <w:pPr>
        <w:spacing w:after="0" w:line="18" w:lineRule="exact"/>
        <w:rPr>
          <w:sz w:val="20"/>
          <w:szCs w:val="20"/>
          <w:color w:val="auto"/>
        </w:rPr>
      </w:pPr>
    </w:p>
    <w:p>
      <w:pPr>
        <w:ind w:left="10880"/>
        <w:spacing w:after="0"/>
        <w:rPr>
          <w:rFonts w:ascii="Arial" w:cs="Arial" w:eastAsia="Arial" w:hAnsi="Arial"/>
          <w:sz w:val="15"/>
          <w:szCs w:val="15"/>
          <w:u w:val="single" w:color="auto"/>
          <w:color w:val="0000FF"/>
        </w:rPr>
      </w:pPr>
      <w:hyperlink w:anchor="page236">
        <w:r>
          <w:rPr>
            <w:rFonts w:ascii="Arial" w:cs="Arial" w:eastAsia="Arial" w:hAnsi="Arial"/>
            <w:sz w:val="15"/>
            <w:szCs w:val="15"/>
            <w:u w:val="single" w:color="auto"/>
            <w:color w:val="0000FF"/>
          </w:rPr>
          <w:t>F-65</w:t>
        </w:r>
      </w:hyperlink>
    </w:p>
    <w:p>
      <w:pPr>
        <w:spacing w:after="0" w:line="27" w:lineRule="exact"/>
        <w:rPr>
          <w:sz w:val="20"/>
          <w:szCs w:val="20"/>
          <w:color w:val="auto"/>
        </w:rPr>
      </w:pPr>
    </w:p>
    <w:p>
      <w:pPr>
        <w:ind w:left="100"/>
        <w:spacing w:after="0"/>
        <w:rPr>
          <w:rFonts w:ascii="Arial" w:cs="Arial" w:eastAsia="Arial" w:hAnsi="Arial"/>
          <w:sz w:val="18"/>
          <w:szCs w:val="18"/>
          <w:u w:val="single" w:color="auto"/>
          <w:color w:val="0000FF"/>
        </w:rPr>
      </w:pPr>
      <w:hyperlink w:anchor="page236">
        <w:r>
          <w:rPr>
            <w:rFonts w:ascii="Arial" w:cs="Arial" w:eastAsia="Arial" w:hAnsi="Arial"/>
            <w:sz w:val="18"/>
            <w:szCs w:val="18"/>
            <w:u w:val="single" w:color="auto"/>
            <w:color w:val="0000FF"/>
          </w:rPr>
          <w:t>Condensed Statement of Changes in Stockholders’ Equity (Unaudited)</w:t>
        </w:r>
      </w:hyperlink>
    </w:p>
    <w:tbl>
      <w:tblPr>
        <w:tblLayout w:type="fixed"/>
        <w:tblInd w:w="0" w:type="dxa"/>
        <w:tblCellMar>
          <w:top w:w="0" w:type="dxa"/>
          <w:left w:w="0" w:type="dxa"/>
          <w:bottom w:w="0" w:type="dxa"/>
          <w:right w:w="0" w:type="dxa"/>
        </w:tblCellMar>
      </w:tblPr>
      <w:tr>
        <w:trPr>
          <w:trHeight w:val="202"/>
        </w:trPr>
        <w:tc>
          <w:tcPr>
            <w:tcW w:w="100" w:type="dxa"/>
            <w:vAlign w:val="bottom"/>
          </w:tcPr>
          <w:p>
            <w:pPr>
              <w:spacing w:after="0"/>
              <w:rPr>
                <w:sz w:val="17"/>
                <w:szCs w:val="17"/>
                <w:color w:val="auto"/>
              </w:rPr>
            </w:pPr>
          </w:p>
        </w:tc>
        <w:tc>
          <w:tcPr>
            <w:tcW w:w="9740" w:type="dxa"/>
            <w:vAlign w:val="bottom"/>
            <w:gridSpan w:val="9"/>
            <w:vMerge w:val="restart"/>
          </w:tcPr>
          <w:p>
            <w:pPr>
              <w:spacing w:after="0"/>
              <w:rPr>
                <w:rFonts w:ascii="Arial" w:cs="Arial" w:eastAsia="Arial" w:hAnsi="Arial"/>
                <w:sz w:val="18"/>
                <w:szCs w:val="18"/>
                <w:color w:val="0000FF"/>
              </w:rPr>
            </w:pPr>
            <w:hyperlink w:anchor="page237">
              <w:r>
                <w:rPr>
                  <w:rFonts w:ascii="Arial" w:cs="Arial" w:eastAsia="Arial" w:hAnsi="Arial"/>
                  <w:sz w:val="18"/>
                  <w:szCs w:val="18"/>
                  <w:color w:val="0000FF"/>
                </w:rPr>
                <w:t>Condensed Statement of Cash Flows (Unaudited)</w:t>
              </w:r>
            </w:hyperlink>
          </w:p>
        </w:tc>
        <w:tc>
          <w:tcPr>
            <w:tcW w:w="1360" w:type="dxa"/>
            <w:vAlign w:val="bottom"/>
            <w:gridSpan w:val="2"/>
          </w:tcPr>
          <w:p>
            <w:pPr>
              <w:ind w:left="1040"/>
              <w:spacing w:after="0" w:line="202" w:lineRule="exact"/>
              <w:rPr>
                <w:rFonts w:ascii="Arial" w:cs="Arial" w:eastAsia="Arial" w:hAnsi="Arial"/>
                <w:sz w:val="18"/>
                <w:szCs w:val="18"/>
                <w:color w:val="0000FF"/>
                <w:w w:val="80"/>
              </w:rPr>
            </w:pPr>
            <w:hyperlink w:anchor="page237">
              <w:r>
                <w:rPr>
                  <w:rFonts w:ascii="Arial" w:cs="Arial" w:eastAsia="Arial" w:hAnsi="Arial"/>
                  <w:sz w:val="18"/>
                  <w:szCs w:val="18"/>
                  <w:color w:val="0000FF"/>
                  <w:w w:val="80"/>
                </w:rPr>
                <w:t>F-66</w:t>
              </w:r>
            </w:hyperlink>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9740" w:type="dxa"/>
            <w:vAlign w:val="bottom"/>
            <w:gridSpan w:val="9"/>
            <w:vMerge w:val="continu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00" w:type="dxa"/>
            <w:vAlign w:val="bottom"/>
          </w:tcPr>
          <w:p>
            <w:pPr>
              <w:spacing w:after="0"/>
              <w:rPr>
                <w:sz w:val="14"/>
                <w:szCs w:val="14"/>
                <w:color w:val="auto"/>
              </w:rPr>
            </w:pPr>
          </w:p>
        </w:tc>
        <w:tc>
          <w:tcPr>
            <w:tcW w:w="9740" w:type="dxa"/>
            <w:vAlign w:val="bottom"/>
            <w:gridSpan w:val="9"/>
            <w:vMerge w:val="continue"/>
          </w:tcPr>
          <w:p>
            <w:pPr>
              <w:spacing w:after="0"/>
              <w:rPr>
                <w:sz w:val="14"/>
                <w:szCs w:val="14"/>
                <w:color w:val="auto"/>
              </w:rPr>
            </w:pPr>
          </w:p>
        </w:tc>
        <w:tc>
          <w:tcPr>
            <w:tcW w:w="1360" w:type="dxa"/>
            <w:vAlign w:val="bottom"/>
            <w:gridSpan w:val="2"/>
            <w:vMerge w:val="restart"/>
          </w:tcPr>
          <w:p>
            <w:pPr>
              <w:ind w:left="1040"/>
              <w:spacing w:after="0"/>
              <w:rPr>
                <w:rFonts w:ascii="Arial" w:cs="Arial" w:eastAsia="Arial" w:hAnsi="Arial"/>
                <w:sz w:val="18"/>
                <w:szCs w:val="18"/>
                <w:color w:val="0000FF"/>
                <w:w w:val="80"/>
              </w:rPr>
            </w:pPr>
            <w:hyperlink w:anchor="page238">
              <w:r>
                <w:rPr>
                  <w:rFonts w:ascii="Arial" w:cs="Arial" w:eastAsia="Arial" w:hAnsi="Arial"/>
                  <w:sz w:val="18"/>
                  <w:szCs w:val="18"/>
                  <w:color w:val="0000FF"/>
                  <w:w w:val="80"/>
                </w:rPr>
                <w:t>F-67</w:t>
              </w:r>
            </w:hyperlink>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3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00" w:type="dxa"/>
            <w:vAlign w:val="bottom"/>
          </w:tcPr>
          <w:p>
            <w:pPr>
              <w:spacing w:after="0"/>
              <w:rPr>
                <w:sz w:val="19"/>
                <w:szCs w:val="19"/>
                <w:color w:val="auto"/>
              </w:rPr>
            </w:pPr>
          </w:p>
        </w:tc>
        <w:tc>
          <w:tcPr>
            <w:tcW w:w="9740" w:type="dxa"/>
            <w:vAlign w:val="bottom"/>
            <w:gridSpan w:val="9"/>
            <w:vMerge w:val="restart"/>
          </w:tcPr>
          <w:p>
            <w:pPr>
              <w:spacing w:after="0"/>
              <w:rPr>
                <w:rFonts w:ascii="Arial" w:cs="Arial" w:eastAsia="Arial" w:hAnsi="Arial"/>
                <w:sz w:val="18"/>
                <w:szCs w:val="18"/>
                <w:color w:val="0000FF"/>
              </w:rPr>
            </w:pPr>
            <w:hyperlink w:anchor="page238">
              <w:r>
                <w:rPr>
                  <w:rFonts w:ascii="Arial" w:cs="Arial" w:eastAsia="Arial" w:hAnsi="Arial"/>
                  <w:sz w:val="18"/>
                  <w:szCs w:val="18"/>
                  <w:color w:val="0000FF"/>
                </w:rPr>
                <w:t>Notes to Condensed Financial Statements (Unaudited)</w:t>
              </w:r>
            </w:hyperlink>
          </w:p>
        </w:tc>
        <w:tc>
          <w:tcPr>
            <w:tcW w:w="13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100" w:type="dxa"/>
            <w:vAlign w:val="bottom"/>
          </w:tcPr>
          <w:p>
            <w:pPr>
              <w:spacing w:after="0"/>
              <w:rPr>
                <w:sz w:val="14"/>
                <w:szCs w:val="14"/>
                <w:color w:val="auto"/>
              </w:rPr>
            </w:pPr>
          </w:p>
        </w:tc>
        <w:tc>
          <w:tcPr>
            <w:tcW w:w="9740" w:type="dxa"/>
            <w:vAlign w:val="bottom"/>
            <w:gridSpan w:val="9"/>
            <w:vMerge w:val="continue"/>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2"/>
        </w:trPr>
        <w:tc>
          <w:tcPr>
            <w:tcW w:w="9840" w:type="dxa"/>
            <w:vAlign w:val="bottom"/>
            <w:gridSpan w:val="10"/>
          </w:tcPr>
          <w:p>
            <w:pPr>
              <w:spacing w:after="0"/>
              <w:rPr>
                <w:sz w:val="20"/>
                <w:szCs w:val="20"/>
                <w:color w:val="auto"/>
              </w:rPr>
            </w:pPr>
            <w:r>
              <w:rPr>
                <w:rFonts w:ascii="Arial" w:cs="Arial" w:eastAsia="Arial" w:hAnsi="Arial"/>
                <w:sz w:val="18"/>
                <w:szCs w:val="18"/>
                <w:color w:val="auto"/>
                <w:w w:val="99"/>
              </w:rPr>
              <w:t>Financial Statement as of December 31, 2020 and for the period from July 10, 2020 (inception) through December 21, 2020:</w:t>
            </w: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840" w:type="dxa"/>
            <w:vAlign w:val="bottom"/>
            <w:gridSpan w:val="10"/>
          </w:tcPr>
          <w:p>
            <w:pPr>
              <w:spacing w:after="0"/>
              <w:rPr>
                <w:rFonts w:ascii="Arial" w:cs="Arial" w:eastAsia="Arial" w:hAnsi="Arial"/>
                <w:sz w:val="18"/>
                <w:szCs w:val="18"/>
                <w:color w:val="0000FF"/>
              </w:rPr>
            </w:pPr>
            <w:hyperlink w:anchor="page252">
              <w:r>
                <w:rPr>
                  <w:rFonts w:ascii="Arial" w:cs="Arial" w:eastAsia="Arial" w:hAnsi="Arial"/>
                  <w:sz w:val="18"/>
                  <w:szCs w:val="18"/>
                  <w:color w:val="0000FF"/>
                </w:rPr>
                <w:t>Report of Independent Registered Public Accounting Firm</w:t>
              </w:r>
            </w:hyperlink>
          </w:p>
        </w:tc>
        <w:tc>
          <w:tcPr>
            <w:tcW w:w="1360" w:type="dxa"/>
            <w:vAlign w:val="bottom"/>
            <w:gridSpan w:val="2"/>
          </w:tcPr>
          <w:p>
            <w:pPr>
              <w:ind w:left="1040"/>
              <w:spacing w:after="0"/>
              <w:rPr>
                <w:rFonts w:ascii="Arial" w:cs="Arial" w:eastAsia="Arial" w:hAnsi="Arial"/>
                <w:sz w:val="18"/>
                <w:szCs w:val="18"/>
                <w:color w:val="0000FF"/>
                <w:w w:val="80"/>
              </w:rPr>
            </w:pPr>
            <w:hyperlink w:anchor="page252">
              <w:r>
                <w:rPr>
                  <w:rFonts w:ascii="Arial" w:cs="Arial" w:eastAsia="Arial" w:hAnsi="Arial"/>
                  <w:sz w:val="18"/>
                  <w:szCs w:val="18"/>
                  <w:color w:val="0000FF"/>
                  <w:w w:val="80"/>
                </w:rPr>
                <w:t>F-81</w:t>
              </w:r>
            </w:hyperlink>
          </w:p>
        </w:tc>
        <w:tc>
          <w:tcPr>
            <w:tcW w:w="0" w:type="dxa"/>
            <w:vAlign w:val="bottom"/>
          </w:tcPr>
          <w:p>
            <w:pPr>
              <w:spacing w:after="0"/>
              <w:rPr>
                <w:sz w:val="1"/>
                <w:szCs w:val="1"/>
                <w:color w:val="auto"/>
              </w:rPr>
            </w:pPr>
          </w:p>
        </w:tc>
      </w:tr>
      <w:tr>
        <w:trPr>
          <w:trHeight w:val="20"/>
        </w:trPr>
        <w:tc>
          <w:tcPr>
            <w:tcW w:w="1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100" w:type="dxa"/>
            <w:vAlign w:val="bottom"/>
          </w:tcPr>
          <w:p>
            <w:pPr>
              <w:spacing w:after="0"/>
              <w:rPr>
                <w:sz w:val="24"/>
                <w:szCs w:val="24"/>
                <w:color w:val="auto"/>
              </w:rPr>
            </w:pPr>
          </w:p>
        </w:tc>
        <w:tc>
          <w:tcPr>
            <w:tcW w:w="4040" w:type="dxa"/>
            <w:vAlign w:val="bottom"/>
            <w:gridSpan w:val="8"/>
          </w:tcPr>
          <w:p>
            <w:pPr>
              <w:spacing w:after="0"/>
              <w:rPr>
                <w:rFonts w:ascii="Arial" w:cs="Arial" w:eastAsia="Arial" w:hAnsi="Arial"/>
                <w:sz w:val="18"/>
                <w:szCs w:val="18"/>
                <w:color w:val="0000FF"/>
              </w:rPr>
            </w:pPr>
            <w:hyperlink w:anchor="page254">
              <w:r>
                <w:rPr>
                  <w:rFonts w:ascii="Arial" w:cs="Arial" w:eastAsia="Arial" w:hAnsi="Arial"/>
                  <w:sz w:val="18"/>
                  <w:szCs w:val="18"/>
                  <w:color w:val="0000FF"/>
                </w:rPr>
                <w:t xml:space="preserve">Balance Sheet </w:t>
              </w:r>
            </w:hyperlink>
            <w:r>
              <w:rPr>
                <w:rFonts w:ascii="Arial" w:cs="Arial" w:eastAsia="Arial" w:hAnsi="Arial"/>
                <w:sz w:val="18"/>
                <w:szCs w:val="18"/>
                <w:color w:val="000000"/>
              </w:rPr>
              <w:t>(As</w:t>
            </w:r>
            <w:r>
              <w:rPr>
                <w:rFonts w:ascii="Arial" w:cs="Arial" w:eastAsia="Arial" w:hAnsi="Arial"/>
                <w:sz w:val="18"/>
                <w:szCs w:val="18"/>
                <w:color w:val="0000FF"/>
              </w:rPr>
              <w:t xml:space="preserve"> </w:t>
            </w:r>
            <w:r>
              <w:rPr>
                <w:rFonts w:ascii="Arial" w:cs="Arial" w:eastAsia="Arial" w:hAnsi="Arial"/>
                <w:sz w:val="18"/>
                <w:szCs w:val="18"/>
                <w:color w:val="000000"/>
              </w:rPr>
              <w:t>Restated)</w:t>
            </w:r>
          </w:p>
        </w:tc>
        <w:tc>
          <w:tcPr>
            <w:tcW w:w="5700" w:type="dxa"/>
            <w:vAlign w:val="bottom"/>
          </w:tcPr>
          <w:p>
            <w:pPr>
              <w:spacing w:after="0"/>
              <w:rPr>
                <w:sz w:val="24"/>
                <w:szCs w:val="24"/>
                <w:color w:val="auto"/>
              </w:rPr>
            </w:pPr>
          </w:p>
        </w:tc>
        <w:tc>
          <w:tcPr>
            <w:tcW w:w="1360" w:type="dxa"/>
            <w:vAlign w:val="bottom"/>
            <w:gridSpan w:val="2"/>
          </w:tcPr>
          <w:p>
            <w:pPr>
              <w:ind w:left="1040"/>
              <w:spacing w:after="0"/>
              <w:rPr>
                <w:rFonts w:ascii="Arial" w:cs="Arial" w:eastAsia="Arial" w:hAnsi="Arial"/>
                <w:sz w:val="18"/>
                <w:szCs w:val="18"/>
                <w:color w:val="0000FF"/>
                <w:w w:val="80"/>
              </w:rPr>
            </w:pPr>
            <w:hyperlink w:anchor="page254">
              <w:r>
                <w:rPr>
                  <w:rFonts w:ascii="Arial" w:cs="Arial" w:eastAsia="Arial" w:hAnsi="Arial"/>
                  <w:sz w:val="18"/>
                  <w:szCs w:val="18"/>
                  <w:color w:val="0000FF"/>
                  <w:w w:val="80"/>
                </w:rPr>
                <w:t>F-82</w:t>
              </w:r>
            </w:hyperlink>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46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100" w:type="dxa"/>
            <w:vAlign w:val="bottom"/>
          </w:tcPr>
          <w:p>
            <w:pPr>
              <w:spacing w:after="0"/>
              <w:rPr>
                <w:sz w:val="24"/>
                <w:szCs w:val="24"/>
                <w:color w:val="auto"/>
              </w:rPr>
            </w:pPr>
          </w:p>
        </w:tc>
        <w:tc>
          <w:tcPr>
            <w:tcW w:w="9740" w:type="dxa"/>
            <w:vAlign w:val="bottom"/>
            <w:gridSpan w:val="9"/>
          </w:tcPr>
          <w:p>
            <w:pPr>
              <w:spacing w:after="0"/>
              <w:rPr>
                <w:rFonts w:ascii="Arial" w:cs="Arial" w:eastAsia="Arial" w:hAnsi="Arial"/>
                <w:sz w:val="18"/>
                <w:szCs w:val="18"/>
                <w:color w:val="0000FF"/>
              </w:rPr>
            </w:pPr>
            <w:hyperlink w:anchor="page254">
              <w:r>
                <w:rPr>
                  <w:rFonts w:ascii="Arial" w:cs="Arial" w:eastAsia="Arial" w:hAnsi="Arial"/>
                  <w:sz w:val="18"/>
                  <w:szCs w:val="18"/>
                  <w:color w:val="0000FF"/>
                </w:rPr>
                <w:t xml:space="preserve">Statement of Operations </w:t>
              </w:r>
            </w:hyperlink>
            <w:r>
              <w:rPr>
                <w:rFonts w:ascii="Arial" w:cs="Arial" w:eastAsia="Arial" w:hAnsi="Arial"/>
                <w:sz w:val="18"/>
                <w:szCs w:val="18"/>
                <w:color w:val="000000"/>
              </w:rPr>
              <w:t>(As</w:t>
            </w:r>
            <w:r>
              <w:rPr>
                <w:rFonts w:ascii="Arial" w:cs="Arial" w:eastAsia="Arial" w:hAnsi="Arial"/>
                <w:sz w:val="18"/>
                <w:szCs w:val="18"/>
                <w:color w:val="0000FF"/>
              </w:rPr>
              <w:t xml:space="preserve"> </w:t>
            </w:r>
            <w:r>
              <w:rPr>
                <w:rFonts w:ascii="Arial" w:cs="Arial" w:eastAsia="Arial" w:hAnsi="Arial"/>
                <w:sz w:val="18"/>
                <w:szCs w:val="18"/>
                <w:color w:val="000000"/>
              </w:rPr>
              <w:t>Restated)</w:t>
            </w:r>
          </w:p>
        </w:tc>
        <w:tc>
          <w:tcPr>
            <w:tcW w:w="1360" w:type="dxa"/>
            <w:vAlign w:val="bottom"/>
            <w:gridSpan w:val="2"/>
          </w:tcPr>
          <w:p>
            <w:pPr>
              <w:ind w:left="1040"/>
              <w:spacing w:after="0"/>
              <w:rPr>
                <w:rFonts w:ascii="Arial" w:cs="Arial" w:eastAsia="Arial" w:hAnsi="Arial"/>
                <w:sz w:val="18"/>
                <w:szCs w:val="18"/>
                <w:color w:val="0000FF"/>
                <w:w w:val="80"/>
              </w:rPr>
            </w:pPr>
            <w:hyperlink w:anchor="page254">
              <w:r>
                <w:rPr>
                  <w:rFonts w:ascii="Arial" w:cs="Arial" w:eastAsia="Arial" w:hAnsi="Arial"/>
                  <w:sz w:val="18"/>
                  <w:szCs w:val="18"/>
                  <w:color w:val="0000FF"/>
                  <w:w w:val="80"/>
                </w:rPr>
                <w:t>F-83</w:t>
              </w:r>
            </w:hyperlink>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46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100" w:type="dxa"/>
            <w:vAlign w:val="bottom"/>
          </w:tcPr>
          <w:p>
            <w:pPr>
              <w:spacing w:after="0"/>
              <w:rPr>
                <w:sz w:val="24"/>
                <w:szCs w:val="24"/>
                <w:color w:val="auto"/>
              </w:rPr>
            </w:pPr>
          </w:p>
        </w:tc>
        <w:tc>
          <w:tcPr>
            <w:tcW w:w="9740" w:type="dxa"/>
            <w:vAlign w:val="bottom"/>
            <w:gridSpan w:val="9"/>
          </w:tcPr>
          <w:p>
            <w:pPr>
              <w:spacing w:after="0"/>
              <w:rPr>
                <w:rFonts w:ascii="Arial" w:cs="Arial" w:eastAsia="Arial" w:hAnsi="Arial"/>
                <w:sz w:val="18"/>
                <w:szCs w:val="18"/>
                <w:color w:val="0000FF"/>
              </w:rPr>
            </w:pPr>
            <w:hyperlink w:anchor="page255">
              <w:r>
                <w:rPr>
                  <w:rFonts w:ascii="Arial" w:cs="Arial" w:eastAsia="Arial" w:hAnsi="Arial"/>
                  <w:sz w:val="18"/>
                  <w:szCs w:val="18"/>
                  <w:color w:val="0000FF"/>
                </w:rPr>
                <w:t xml:space="preserve">Statement of Changes in Stockholders’ Equity </w:t>
              </w:r>
            </w:hyperlink>
            <w:r>
              <w:rPr>
                <w:rFonts w:ascii="Arial" w:cs="Arial" w:eastAsia="Arial" w:hAnsi="Arial"/>
                <w:sz w:val="18"/>
                <w:szCs w:val="18"/>
                <w:color w:val="000000"/>
              </w:rPr>
              <w:t>(As</w:t>
            </w:r>
            <w:r>
              <w:rPr>
                <w:rFonts w:ascii="Arial" w:cs="Arial" w:eastAsia="Arial" w:hAnsi="Arial"/>
                <w:sz w:val="18"/>
                <w:szCs w:val="18"/>
                <w:color w:val="0000FF"/>
              </w:rPr>
              <w:t xml:space="preserve"> </w:t>
            </w:r>
            <w:r>
              <w:rPr>
                <w:rFonts w:ascii="Arial" w:cs="Arial" w:eastAsia="Arial" w:hAnsi="Arial"/>
                <w:sz w:val="18"/>
                <w:szCs w:val="18"/>
                <w:color w:val="000000"/>
              </w:rPr>
              <w:t>Restated)</w:t>
            </w:r>
          </w:p>
        </w:tc>
        <w:tc>
          <w:tcPr>
            <w:tcW w:w="1360" w:type="dxa"/>
            <w:vAlign w:val="bottom"/>
            <w:gridSpan w:val="2"/>
          </w:tcPr>
          <w:p>
            <w:pPr>
              <w:ind w:left="1040"/>
              <w:spacing w:after="0"/>
              <w:rPr>
                <w:rFonts w:ascii="Arial" w:cs="Arial" w:eastAsia="Arial" w:hAnsi="Arial"/>
                <w:sz w:val="18"/>
                <w:szCs w:val="18"/>
                <w:color w:val="0000FF"/>
                <w:w w:val="80"/>
              </w:rPr>
            </w:pPr>
            <w:hyperlink w:anchor="page255">
              <w:r>
                <w:rPr>
                  <w:rFonts w:ascii="Arial" w:cs="Arial" w:eastAsia="Arial" w:hAnsi="Arial"/>
                  <w:sz w:val="18"/>
                  <w:szCs w:val="18"/>
                  <w:color w:val="0000FF"/>
                  <w:w w:val="80"/>
                </w:rPr>
                <w:t>F-84</w:t>
              </w:r>
            </w:hyperlink>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78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646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100" w:type="dxa"/>
            <w:vAlign w:val="bottom"/>
          </w:tcPr>
          <w:p>
            <w:pPr>
              <w:spacing w:after="0"/>
              <w:rPr>
                <w:sz w:val="24"/>
                <w:szCs w:val="24"/>
                <w:color w:val="auto"/>
              </w:rPr>
            </w:pPr>
          </w:p>
        </w:tc>
        <w:tc>
          <w:tcPr>
            <w:tcW w:w="3280" w:type="dxa"/>
            <w:vAlign w:val="bottom"/>
            <w:gridSpan w:val="5"/>
          </w:tcPr>
          <w:p>
            <w:pPr>
              <w:spacing w:after="0"/>
              <w:rPr>
                <w:rFonts w:ascii="Arial" w:cs="Arial" w:eastAsia="Arial" w:hAnsi="Arial"/>
                <w:sz w:val="18"/>
                <w:szCs w:val="18"/>
                <w:color w:val="0000FF"/>
              </w:rPr>
            </w:pPr>
            <w:hyperlink w:anchor="page256">
              <w:r>
                <w:rPr>
                  <w:rFonts w:ascii="Arial" w:cs="Arial" w:eastAsia="Arial" w:hAnsi="Arial"/>
                  <w:sz w:val="18"/>
                  <w:szCs w:val="18"/>
                  <w:color w:val="0000FF"/>
                </w:rPr>
                <w:t xml:space="preserve">Statement of Cash Flows </w:t>
              </w:r>
            </w:hyperlink>
            <w:r>
              <w:rPr>
                <w:rFonts w:ascii="Arial" w:cs="Arial" w:eastAsia="Arial" w:hAnsi="Arial"/>
                <w:sz w:val="18"/>
                <w:szCs w:val="18"/>
                <w:color w:val="000000"/>
              </w:rPr>
              <w:t>(As</w:t>
            </w:r>
            <w:r>
              <w:rPr>
                <w:rFonts w:ascii="Arial" w:cs="Arial" w:eastAsia="Arial" w:hAnsi="Arial"/>
                <w:sz w:val="18"/>
                <w:szCs w:val="18"/>
                <w:color w:val="0000FF"/>
              </w:rPr>
              <w:t xml:space="preserve"> </w:t>
            </w:r>
            <w:r>
              <w:rPr>
                <w:rFonts w:ascii="Arial" w:cs="Arial" w:eastAsia="Arial" w:hAnsi="Arial"/>
                <w:sz w:val="18"/>
                <w:szCs w:val="18"/>
                <w:color w:val="000000"/>
              </w:rPr>
              <w:t>Restated)</w:t>
            </w:r>
          </w:p>
        </w:tc>
        <w:tc>
          <w:tcPr>
            <w:tcW w:w="6460" w:type="dxa"/>
            <w:vAlign w:val="bottom"/>
            <w:gridSpan w:val="4"/>
          </w:tcPr>
          <w:p>
            <w:pPr>
              <w:spacing w:after="0"/>
              <w:rPr>
                <w:sz w:val="24"/>
                <w:szCs w:val="24"/>
                <w:color w:val="auto"/>
              </w:rPr>
            </w:pPr>
          </w:p>
        </w:tc>
        <w:tc>
          <w:tcPr>
            <w:tcW w:w="1360" w:type="dxa"/>
            <w:vAlign w:val="bottom"/>
            <w:gridSpan w:val="2"/>
          </w:tcPr>
          <w:p>
            <w:pPr>
              <w:ind w:left="1040"/>
              <w:spacing w:after="0"/>
              <w:rPr>
                <w:rFonts w:ascii="Arial" w:cs="Arial" w:eastAsia="Arial" w:hAnsi="Arial"/>
                <w:sz w:val="18"/>
                <w:szCs w:val="18"/>
                <w:color w:val="0000FF"/>
                <w:w w:val="80"/>
              </w:rPr>
            </w:pPr>
            <w:hyperlink w:anchor="page256">
              <w:r>
                <w:rPr>
                  <w:rFonts w:ascii="Arial" w:cs="Arial" w:eastAsia="Arial" w:hAnsi="Arial"/>
                  <w:sz w:val="18"/>
                  <w:szCs w:val="18"/>
                  <w:color w:val="0000FF"/>
                  <w:w w:val="80"/>
                </w:rPr>
                <w:t>F-85</w:t>
              </w:r>
            </w:hyperlink>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78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20" w:type="dxa"/>
            <w:vAlign w:val="bottom"/>
            <w:gridSpan w:val="5"/>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100" w:type="dxa"/>
            <w:vAlign w:val="bottom"/>
          </w:tcPr>
          <w:p>
            <w:pPr>
              <w:spacing w:after="0"/>
              <w:rPr>
                <w:sz w:val="24"/>
                <w:szCs w:val="24"/>
                <w:color w:val="auto"/>
              </w:rPr>
            </w:pPr>
          </w:p>
        </w:tc>
        <w:tc>
          <w:tcPr>
            <w:tcW w:w="9740" w:type="dxa"/>
            <w:vAlign w:val="bottom"/>
            <w:gridSpan w:val="9"/>
          </w:tcPr>
          <w:p>
            <w:pPr>
              <w:spacing w:after="0"/>
              <w:rPr>
                <w:rFonts w:ascii="Arial" w:cs="Arial" w:eastAsia="Arial" w:hAnsi="Arial"/>
                <w:sz w:val="18"/>
                <w:szCs w:val="18"/>
                <w:color w:val="0000FF"/>
              </w:rPr>
            </w:pPr>
            <w:hyperlink w:anchor="page257">
              <w:r>
                <w:rPr>
                  <w:rFonts w:ascii="Arial" w:cs="Arial" w:eastAsia="Arial" w:hAnsi="Arial"/>
                  <w:sz w:val="18"/>
                  <w:szCs w:val="18"/>
                  <w:color w:val="0000FF"/>
                </w:rPr>
                <w:t>Notes to Financial Statements</w:t>
              </w:r>
            </w:hyperlink>
          </w:p>
        </w:tc>
        <w:tc>
          <w:tcPr>
            <w:tcW w:w="1360" w:type="dxa"/>
            <w:vAlign w:val="bottom"/>
            <w:gridSpan w:val="2"/>
          </w:tcPr>
          <w:p>
            <w:pPr>
              <w:ind w:left="1040"/>
              <w:spacing w:after="0"/>
              <w:rPr>
                <w:rFonts w:ascii="Arial" w:cs="Arial" w:eastAsia="Arial" w:hAnsi="Arial"/>
                <w:sz w:val="18"/>
                <w:szCs w:val="18"/>
                <w:color w:val="0000FF"/>
                <w:w w:val="80"/>
              </w:rPr>
            </w:pPr>
            <w:hyperlink w:anchor="page257">
              <w:r>
                <w:rPr>
                  <w:rFonts w:ascii="Arial" w:cs="Arial" w:eastAsia="Arial" w:hAnsi="Arial"/>
                  <w:sz w:val="18"/>
                  <w:szCs w:val="18"/>
                  <w:color w:val="0000FF"/>
                  <w:w w:val="80"/>
                </w:rPr>
                <w:t>F-86</w:t>
              </w:r>
            </w:hyperlink>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200"/>
          </w:cols>
          <w:pgMar w:left="340" w:top="1440" w:right="359" w:bottom="1440" w:gutter="0" w:footer="0" w:header="0"/>
        </w:sectPr>
      </w:pPr>
    </w:p>
    <w:bookmarkStart w:id="234" w:name="page235"/>
    <w:bookmarkEnd w:id="234"/>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March 31,</w:t>
            </w:r>
          </w:p>
        </w:tc>
        <w:tc>
          <w:tcPr>
            <w:tcW w:w="240" w:type="dxa"/>
            <w:vAlign w:val="bottom"/>
          </w:tcPr>
          <w:p>
            <w:pPr>
              <w:spacing w:after="0"/>
              <w:rPr>
                <w:sz w:val="14"/>
                <w:szCs w:val="14"/>
                <w:color w:val="auto"/>
              </w:rPr>
            </w:pPr>
          </w:p>
        </w:tc>
        <w:tc>
          <w:tcPr>
            <w:tcW w:w="1320" w:type="dxa"/>
            <w:vAlign w:val="bottom"/>
          </w:tcPr>
          <w:p>
            <w:pPr>
              <w:jc w:val="right"/>
              <w:ind w:right="27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80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9"/>
        </w:trPr>
        <w:tc>
          <w:tcPr>
            <w:tcW w:w="8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center"/>
              <w:ind w:right="174"/>
              <w:spacing w:after="0"/>
              <w:rPr>
                <w:sz w:val="20"/>
                <w:szCs w:val="20"/>
                <w:color w:val="auto"/>
              </w:rPr>
            </w:pPr>
            <w:r>
              <w:rPr>
                <w:rFonts w:ascii="Arial" w:cs="Arial" w:eastAsia="Arial" w:hAnsi="Arial"/>
                <w:sz w:val="14"/>
                <w:szCs w:val="14"/>
                <w:b w:val="1"/>
                <w:bCs w:val="1"/>
                <w:color w:val="auto"/>
                <w:w w:val="92"/>
              </w:rPr>
              <w:t>(Unaudited)</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627,415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1,094,681</w:t>
            </w:r>
          </w:p>
        </w:tc>
        <w:tc>
          <w:tcPr>
            <w:tcW w:w="0" w:type="dxa"/>
            <w:vAlign w:val="bottom"/>
          </w:tcPr>
          <w:p>
            <w:pPr>
              <w:spacing w:after="0"/>
              <w:rPr>
                <w:sz w:val="1"/>
                <w:szCs w:val="1"/>
                <w:color w:val="auto"/>
              </w:rPr>
            </w:pPr>
          </w:p>
        </w:tc>
      </w:tr>
      <w:tr>
        <w:trPr>
          <w:trHeight w:val="225"/>
        </w:trPr>
        <w:tc>
          <w:tcPr>
            <w:tcW w:w="80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Prepaid expenses</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293,754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277,031</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921,169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1,371,712</w:t>
            </w:r>
          </w:p>
        </w:tc>
        <w:tc>
          <w:tcPr>
            <w:tcW w:w="0" w:type="dxa"/>
            <w:vAlign w:val="bottom"/>
          </w:tcPr>
          <w:p>
            <w:pPr>
              <w:spacing w:after="0"/>
              <w:rPr>
                <w:sz w:val="1"/>
                <w:szCs w:val="1"/>
                <w:color w:val="auto"/>
              </w:rPr>
            </w:pPr>
          </w:p>
        </w:tc>
      </w:tr>
      <w:tr>
        <w:trPr>
          <w:trHeight w:val="265"/>
        </w:trPr>
        <w:tc>
          <w:tcPr>
            <w:tcW w:w="8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marketable securities held in trust account</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442,774,870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442,763,951</w:t>
            </w:r>
          </w:p>
        </w:tc>
        <w:tc>
          <w:tcPr>
            <w:tcW w:w="0" w:type="dxa"/>
            <w:vAlign w:val="bottom"/>
          </w:tcPr>
          <w:p>
            <w:pPr>
              <w:spacing w:after="0"/>
              <w:rPr>
                <w:sz w:val="1"/>
                <w:szCs w:val="1"/>
                <w:color w:val="auto"/>
              </w:rPr>
            </w:pPr>
          </w:p>
        </w:tc>
      </w:tr>
      <w:tr>
        <w:trPr>
          <w:trHeight w:val="219"/>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443,696,039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444,135,663</w:t>
            </w:r>
          </w:p>
        </w:tc>
        <w:tc>
          <w:tcPr>
            <w:tcW w:w="0" w:type="dxa"/>
            <w:vAlign w:val="bottom"/>
          </w:tcPr>
          <w:p>
            <w:pPr>
              <w:spacing w:after="0"/>
              <w:rPr>
                <w:sz w:val="1"/>
                <w:szCs w:val="1"/>
                <w:color w:val="auto"/>
              </w:rPr>
            </w:pP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80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1,491,735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97,120</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Liabilities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1,491,735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97,120</w:t>
            </w:r>
          </w:p>
        </w:tc>
        <w:tc>
          <w:tcPr>
            <w:tcW w:w="0" w:type="dxa"/>
            <w:vAlign w:val="bottom"/>
          </w:tcPr>
          <w:p>
            <w:pPr>
              <w:spacing w:after="0"/>
              <w:rPr>
                <w:sz w:val="1"/>
                <w:szCs w:val="1"/>
                <w:color w:val="auto"/>
              </w:rPr>
            </w:pPr>
          </w:p>
        </w:tc>
      </w:tr>
      <w:tr>
        <w:trPr>
          <w:trHeight w:val="265"/>
        </w:trPr>
        <w:tc>
          <w:tcPr>
            <w:tcW w:w="8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 liability</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126,960,100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70,322,418</w:t>
            </w:r>
          </w:p>
        </w:tc>
        <w:tc>
          <w:tcPr>
            <w:tcW w:w="0" w:type="dxa"/>
            <w:vAlign w:val="bottom"/>
          </w:tcPr>
          <w:p>
            <w:pPr>
              <w:spacing w:after="0"/>
              <w:rPr>
                <w:sz w:val="1"/>
                <w:szCs w:val="1"/>
                <w:color w:val="auto"/>
              </w:rPr>
            </w:pPr>
          </w:p>
        </w:tc>
      </w:tr>
      <w:tr>
        <w:trPr>
          <w:trHeight w:val="225"/>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underwriting fee payable</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15,496,250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15,496,250</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143,948,085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85,915,788</w:t>
            </w:r>
          </w:p>
        </w:tc>
        <w:tc>
          <w:tcPr>
            <w:tcW w:w="0" w:type="dxa"/>
            <w:vAlign w:val="bottom"/>
          </w:tcPr>
          <w:p>
            <w:pPr>
              <w:spacing w:after="0"/>
              <w:rPr>
                <w:sz w:val="1"/>
                <w:szCs w:val="1"/>
                <w:color w:val="auto"/>
              </w:rPr>
            </w:pPr>
          </w:p>
        </w:tc>
      </w:tr>
      <w:tr>
        <w:trPr>
          <w:trHeight w:val="205"/>
        </w:trPr>
        <w:tc>
          <w:tcPr>
            <w:tcW w:w="8000" w:type="dxa"/>
            <w:vAlign w:val="bottom"/>
          </w:tcPr>
          <w:p>
            <w:pPr>
              <w:ind w:left="20"/>
              <w:spacing w:after="0" w:line="205" w:lineRule="exact"/>
              <w:rPr>
                <w:sz w:val="20"/>
                <w:szCs w:val="20"/>
                <w:color w:val="auto"/>
              </w:rPr>
            </w:pPr>
            <w:r>
              <w:rPr>
                <w:rFonts w:ascii="Arial" w:cs="Arial" w:eastAsia="Arial" w:hAnsi="Arial"/>
                <w:sz w:val="18"/>
                <w:szCs w:val="18"/>
                <w:b w:val="1"/>
                <w:bCs w:val="1"/>
                <w:color w:val="auto"/>
              </w:rPr>
              <w:t>Commitments and Contingencies</w:t>
            </w: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8000" w:type="dxa"/>
            <w:vAlign w:val="bottom"/>
            <w:shd w:val="clear" w:color="auto" w:fill="CCEEFF"/>
          </w:tcPr>
          <w:p>
            <w:pPr>
              <w:ind w:left="20"/>
              <w:spacing w:after="0" w:line="173" w:lineRule="exact"/>
              <w:rPr>
                <w:sz w:val="20"/>
                <w:szCs w:val="20"/>
                <w:color w:val="auto"/>
              </w:rPr>
            </w:pPr>
            <w:r>
              <w:rPr>
                <w:rFonts w:ascii="Arial" w:cs="Arial" w:eastAsia="Arial" w:hAnsi="Arial"/>
                <w:sz w:val="18"/>
                <w:szCs w:val="18"/>
                <w:color w:val="auto"/>
                <w:w w:val="87"/>
              </w:rPr>
              <w:t>Class A common stock subject to possible redemption, 29,474,795 and 35,321,987 shares at $10.00 per share as</w:t>
            </w:r>
          </w:p>
        </w:tc>
        <w:tc>
          <w:tcPr>
            <w:tcW w:w="26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294,747,950</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353,219,870</w:t>
            </w:r>
          </w:p>
        </w:tc>
        <w:tc>
          <w:tcPr>
            <w:tcW w:w="0" w:type="dxa"/>
            <w:vAlign w:val="bottom"/>
          </w:tcPr>
          <w:p>
            <w:pPr>
              <w:spacing w:after="0"/>
              <w:rPr>
                <w:sz w:val="1"/>
                <w:szCs w:val="1"/>
                <w:color w:val="auto"/>
              </w:rPr>
            </w:pPr>
          </w:p>
        </w:tc>
      </w:tr>
      <w:tr>
        <w:trPr>
          <w:trHeight w:val="224"/>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March 31, 2021 and December 31, 2020, respectively</w:t>
            </w:r>
          </w:p>
        </w:tc>
        <w:tc>
          <w:tcPr>
            <w:tcW w:w="26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8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Preferred stock, $0.0001 par value; 1,000,000 shares authorized; none issued or outstanding</w:t>
            </w:r>
          </w:p>
        </w:tc>
        <w:tc>
          <w:tcPr>
            <w:tcW w:w="26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4"/>
        </w:trPr>
        <w:tc>
          <w:tcPr>
            <w:tcW w:w="800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1"/>
              </w:rPr>
              <w:t>Class A common stock, $0.0001 par value; 380,000,000 shares authorized; 14,800,205 and 8,953,013 shares</w:t>
            </w: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8000" w:type="dxa"/>
            <w:vAlign w:val="bottom"/>
            <w:shd w:val="clear" w:color="auto" w:fill="CCEEFF"/>
          </w:tcPr>
          <w:p>
            <w:pPr>
              <w:ind w:left="180"/>
              <w:spacing w:after="0" w:line="172" w:lineRule="exact"/>
              <w:rPr>
                <w:sz w:val="20"/>
                <w:szCs w:val="20"/>
                <w:color w:val="auto"/>
              </w:rPr>
            </w:pPr>
            <w:r>
              <w:rPr>
                <w:rFonts w:ascii="Arial" w:cs="Arial" w:eastAsia="Arial" w:hAnsi="Arial"/>
                <w:sz w:val="18"/>
                <w:szCs w:val="18"/>
                <w:color w:val="auto"/>
                <w:w w:val="91"/>
              </w:rPr>
              <w:t>issued and outstanding (excluding 29,474,795 and 35,321,987 shares subject to possible redemption) as of</w:t>
            </w:r>
          </w:p>
        </w:tc>
        <w:tc>
          <w:tcPr>
            <w:tcW w:w="26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24"/>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March 31, 2021 and December 31, 2020, respectively</w:t>
            </w:r>
          </w:p>
        </w:tc>
        <w:tc>
          <w:tcPr>
            <w:tcW w:w="26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8000" w:type="dxa"/>
            <w:vAlign w:val="bottom"/>
          </w:tcPr>
          <w:p>
            <w:pPr>
              <w:ind w:left="20"/>
              <w:spacing w:after="0" w:line="173" w:lineRule="exact"/>
              <w:rPr>
                <w:sz w:val="20"/>
                <w:szCs w:val="20"/>
                <w:color w:val="auto"/>
              </w:rPr>
            </w:pPr>
            <w:r>
              <w:rPr>
                <w:rFonts w:ascii="Arial" w:cs="Arial" w:eastAsia="Arial" w:hAnsi="Arial"/>
                <w:sz w:val="18"/>
                <w:szCs w:val="18"/>
                <w:color w:val="auto"/>
                <w:w w:val="95"/>
              </w:rPr>
              <w:t>Class B common stock, $0.0001 par value; 20,000,000 shares authorized; 11,068,750 shares issued and</w:t>
            </w:r>
          </w:p>
        </w:tc>
        <w:tc>
          <w:tcPr>
            <w:tcW w:w="26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1,107</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24"/>
        </w:trPr>
        <w:tc>
          <w:tcPr>
            <w:tcW w:w="8000" w:type="dxa"/>
            <w:vAlign w:val="bottom"/>
          </w:tcPr>
          <w:p>
            <w:pPr>
              <w:ind w:left="180"/>
              <w:spacing w:after="0"/>
              <w:rPr>
                <w:sz w:val="20"/>
                <w:szCs w:val="20"/>
                <w:color w:val="auto"/>
              </w:rPr>
            </w:pPr>
            <w:r>
              <w:rPr>
                <w:rFonts w:ascii="Arial" w:cs="Arial" w:eastAsia="Arial" w:hAnsi="Arial"/>
                <w:sz w:val="18"/>
                <w:szCs w:val="18"/>
                <w:color w:val="auto"/>
              </w:rPr>
              <w:t>outstanding as of March 31, 2021 and December 31, 2020</w:t>
            </w:r>
          </w:p>
        </w:tc>
        <w:tc>
          <w:tcPr>
            <w:tcW w:w="26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103,376,938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44,905,602</w:t>
            </w:r>
          </w:p>
        </w:tc>
        <w:tc>
          <w:tcPr>
            <w:tcW w:w="0" w:type="dxa"/>
            <w:vAlign w:val="bottom"/>
          </w:tcPr>
          <w:p>
            <w:pPr>
              <w:spacing w:after="0"/>
              <w:rPr>
                <w:sz w:val="1"/>
                <w:szCs w:val="1"/>
                <w:color w:val="auto"/>
              </w:rPr>
            </w:pPr>
          </w:p>
        </w:tc>
      </w:tr>
      <w:tr>
        <w:trPr>
          <w:trHeight w:val="225"/>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deficit</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(98,379,521)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(39,907,599)</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5,000,004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5,000,005</w:t>
            </w:r>
          </w:p>
        </w:tc>
        <w:tc>
          <w:tcPr>
            <w:tcW w:w="0" w:type="dxa"/>
            <w:vAlign w:val="bottom"/>
          </w:tcPr>
          <w:p>
            <w:pPr>
              <w:spacing w:after="0"/>
              <w:rPr>
                <w:sz w:val="1"/>
                <w:szCs w:val="1"/>
                <w:color w:val="auto"/>
              </w:rPr>
            </w:pPr>
          </w:p>
        </w:tc>
      </w:tr>
      <w:tr>
        <w:trPr>
          <w:trHeight w:val="218"/>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443,696,039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444,135,663</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240"/>
          </w:cols>
          <w:pgMar w:left="320" w:top="1440" w:right="339" w:bottom="1440" w:gutter="0" w:footer="0" w:header="0"/>
        </w:sectPr>
      </w:pPr>
    </w:p>
    <w:bookmarkStart w:id="235" w:name="page236"/>
    <w:bookmarkEnd w:id="235"/>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700" w:type="dxa"/>
            <w:vAlign w:val="bottom"/>
          </w:tcPr>
          <w:p>
            <w:pPr>
              <w:jc w:val="center"/>
              <w:ind w:left="1472"/>
              <w:spacing w:after="0"/>
              <w:rPr>
                <w:sz w:val="20"/>
                <w:szCs w:val="20"/>
                <w:color w:val="auto"/>
              </w:rPr>
            </w:pPr>
            <w:r>
              <w:rPr>
                <w:rFonts w:ascii="Arial" w:cs="Arial" w:eastAsia="Arial" w:hAnsi="Arial"/>
                <w:sz w:val="18"/>
                <w:szCs w:val="18"/>
                <w:b w:val="1"/>
                <w:bCs w:val="1"/>
                <w:color w:val="auto"/>
                <w:w w:val="99"/>
              </w:rPr>
              <w:t>CM LIFE SCIENCES, INC.</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9700" w:type="dxa"/>
            <w:vAlign w:val="bottom"/>
          </w:tcPr>
          <w:p>
            <w:pPr>
              <w:jc w:val="center"/>
              <w:ind w:left="1452"/>
              <w:spacing w:after="0"/>
              <w:rPr>
                <w:sz w:val="20"/>
                <w:szCs w:val="20"/>
                <w:color w:val="auto"/>
              </w:rPr>
            </w:pPr>
            <w:r>
              <w:rPr>
                <w:rFonts w:ascii="Arial" w:cs="Arial" w:eastAsia="Arial" w:hAnsi="Arial"/>
                <w:sz w:val="18"/>
                <w:szCs w:val="18"/>
                <w:b w:val="1"/>
                <w:bCs w:val="1"/>
                <w:color w:val="auto"/>
                <w:w w:val="96"/>
              </w:rPr>
              <w:t>CONDENSED STATEMENT OF OPERATIONS</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9700" w:type="dxa"/>
            <w:vAlign w:val="bottom"/>
          </w:tcPr>
          <w:p>
            <w:pPr>
              <w:jc w:val="center"/>
              <w:ind w:left="1472"/>
              <w:spacing w:after="0"/>
              <w:rPr>
                <w:sz w:val="20"/>
                <w:szCs w:val="20"/>
                <w:color w:val="auto"/>
              </w:rPr>
            </w:pPr>
            <w:r>
              <w:rPr>
                <w:rFonts w:ascii="Arial" w:cs="Arial" w:eastAsia="Arial" w:hAnsi="Arial"/>
                <w:sz w:val="18"/>
                <w:szCs w:val="18"/>
                <w:b w:val="1"/>
                <w:bCs w:val="1"/>
                <w:color w:val="auto"/>
                <w:w w:val="97"/>
              </w:rPr>
              <w:t>THREE MONTHS ENDED MARCH 31, 2021</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700" w:type="dxa"/>
            <w:vAlign w:val="bottom"/>
          </w:tcPr>
          <w:p>
            <w:pPr>
              <w:jc w:val="center"/>
              <w:ind w:left="1452"/>
              <w:spacing w:after="0"/>
              <w:rPr>
                <w:sz w:val="20"/>
                <w:szCs w:val="20"/>
                <w:color w:val="auto"/>
              </w:rPr>
            </w:pPr>
            <w:r>
              <w:rPr>
                <w:rFonts w:ascii="Arial" w:cs="Arial" w:eastAsia="Arial" w:hAnsi="Arial"/>
                <w:sz w:val="18"/>
                <w:szCs w:val="18"/>
                <w:b w:val="1"/>
                <w:bCs w:val="1"/>
                <w:color w:val="auto"/>
                <w:w w:val="91"/>
              </w:rPr>
              <w:t>(Unaudited)</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9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jc w:val="right"/>
              <w:ind w:right="34"/>
              <w:spacing w:after="0"/>
              <w:rPr>
                <w:sz w:val="20"/>
                <w:szCs w:val="20"/>
                <w:color w:val="auto"/>
              </w:rPr>
            </w:pPr>
            <w:r>
              <w:rPr>
                <w:rFonts w:ascii="Arial" w:cs="Arial" w:eastAsia="Arial" w:hAnsi="Arial"/>
                <w:sz w:val="14"/>
                <w:szCs w:val="14"/>
                <w:b w:val="1"/>
                <w:bCs w:val="1"/>
                <w:color w:val="auto"/>
                <w:w w:val="92"/>
              </w:rPr>
              <w:t>Three Months Ended</w:t>
            </w:r>
          </w:p>
        </w:tc>
        <w:tc>
          <w:tcPr>
            <w:tcW w:w="0" w:type="dxa"/>
            <w:vAlign w:val="bottom"/>
          </w:tcPr>
          <w:p>
            <w:pPr>
              <w:spacing w:after="0"/>
              <w:rPr>
                <w:sz w:val="1"/>
                <w:szCs w:val="1"/>
                <w:color w:val="auto"/>
              </w:rPr>
            </w:pPr>
          </w:p>
        </w:tc>
      </w:tr>
      <w:tr>
        <w:trPr>
          <w:trHeight w:val="185"/>
        </w:trPr>
        <w:tc>
          <w:tcPr>
            <w:tcW w:w="97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219"/>
        </w:trPr>
        <w:tc>
          <w:tcPr>
            <w:tcW w:w="9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1,845,158</w:t>
            </w:r>
          </w:p>
        </w:tc>
        <w:tc>
          <w:tcPr>
            <w:tcW w:w="0" w:type="dxa"/>
            <w:vAlign w:val="bottom"/>
          </w:tcPr>
          <w:p>
            <w:pPr>
              <w:spacing w:after="0"/>
              <w:rPr>
                <w:sz w:val="1"/>
                <w:szCs w:val="1"/>
                <w:color w:val="auto"/>
              </w:rPr>
            </w:pPr>
          </w:p>
        </w:tc>
      </w:tr>
      <w:tr>
        <w:trPr>
          <w:trHeight w:val="219"/>
        </w:trPr>
        <w:tc>
          <w:tcPr>
            <w:tcW w:w="9700" w:type="dxa"/>
            <w:vAlign w:val="bottom"/>
          </w:tcPr>
          <w:p>
            <w:pPr>
              <w:ind w:left="240"/>
              <w:spacing w:after="0"/>
              <w:rPr>
                <w:sz w:val="20"/>
                <w:szCs w:val="20"/>
                <w:color w:val="auto"/>
              </w:rPr>
            </w:pPr>
            <w:r>
              <w:rPr>
                <w:rFonts w:ascii="Arial" w:cs="Arial" w:eastAsia="Arial" w:hAnsi="Arial"/>
                <w:sz w:val="18"/>
                <w:szCs w:val="18"/>
                <w:b w:val="1"/>
                <w:bCs w:val="1"/>
                <w:color w:val="auto"/>
              </w:rPr>
              <w:t>Loss from operations</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(1,845,158)</w:t>
            </w:r>
          </w:p>
        </w:tc>
        <w:tc>
          <w:tcPr>
            <w:tcW w:w="0" w:type="dxa"/>
            <w:vAlign w:val="bottom"/>
          </w:tcPr>
          <w:p>
            <w:pPr>
              <w:spacing w:after="0"/>
              <w:rPr>
                <w:sz w:val="1"/>
                <w:szCs w:val="1"/>
                <w:color w:val="auto"/>
              </w:rPr>
            </w:pPr>
          </w:p>
        </w:tc>
      </w:tr>
      <w:tr>
        <w:trPr>
          <w:trHeight w:val="252"/>
        </w:trPr>
        <w:tc>
          <w:tcPr>
            <w:tcW w:w="9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970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9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earned on marketable securities held in Trust Account</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10,919</w:t>
            </w:r>
          </w:p>
        </w:tc>
        <w:tc>
          <w:tcPr>
            <w:tcW w:w="0" w:type="dxa"/>
            <w:vAlign w:val="bottom"/>
          </w:tcPr>
          <w:p>
            <w:pPr>
              <w:spacing w:after="0"/>
              <w:rPr>
                <w:sz w:val="1"/>
                <w:szCs w:val="1"/>
                <w:color w:val="auto"/>
              </w:rPr>
            </w:pPr>
          </w:p>
        </w:tc>
      </w:tr>
      <w:tr>
        <w:trPr>
          <w:trHeight w:val="225"/>
        </w:trPr>
        <w:tc>
          <w:tcPr>
            <w:tcW w:w="97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Change in fair value of warrants</w:t>
            </w: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(56,637,684)</w:t>
            </w:r>
          </w:p>
        </w:tc>
        <w:tc>
          <w:tcPr>
            <w:tcW w:w="0" w:type="dxa"/>
            <w:vAlign w:val="bottom"/>
          </w:tcPr>
          <w:p>
            <w:pPr>
              <w:spacing w:after="0"/>
              <w:rPr>
                <w:sz w:val="1"/>
                <w:szCs w:val="1"/>
                <w:color w:val="auto"/>
              </w:rPr>
            </w:pPr>
          </w:p>
        </w:tc>
      </w:tr>
      <w:tr>
        <w:trPr>
          <w:trHeight w:val="232"/>
        </w:trPr>
        <w:tc>
          <w:tcPr>
            <w:tcW w:w="9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9700" w:type="dxa"/>
            <w:vAlign w:val="bottom"/>
          </w:tcPr>
          <w:p>
            <w:pPr>
              <w:ind w:left="20"/>
              <w:spacing w:after="0"/>
              <w:rPr>
                <w:sz w:val="20"/>
                <w:szCs w:val="20"/>
                <w:color w:val="auto"/>
              </w:rPr>
            </w:pPr>
            <w:r>
              <w:rPr>
                <w:rFonts w:ascii="Arial" w:cs="Arial" w:eastAsia="Arial" w:hAnsi="Arial"/>
                <w:sz w:val="18"/>
                <w:szCs w:val="18"/>
                <w:color w:val="auto"/>
              </w:rPr>
              <w:t>Loss before provision for income taxes</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(58,471,923)</w:t>
            </w:r>
          </w:p>
        </w:tc>
        <w:tc>
          <w:tcPr>
            <w:tcW w:w="0" w:type="dxa"/>
            <w:vAlign w:val="bottom"/>
          </w:tcPr>
          <w:p>
            <w:pPr>
              <w:spacing w:after="0"/>
              <w:rPr>
                <w:sz w:val="1"/>
                <w:szCs w:val="1"/>
                <w:color w:val="auto"/>
              </w:rPr>
            </w:pPr>
          </w:p>
        </w:tc>
      </w:tr>
      <w:tr>
        <w:trPr>
          <w:trHeight w:val="225"/>
        </w:trPr>
        <w:tc>
          <w:tcPr>
            <w:tcW w:w="9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from (Provision for) income taxes</w:t>
            </w: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9700" w:type="dxa"/>
            <w:vAlign w:val="bottom"/>
          </w:tcPr>
          <w:p>
            <w:pPr>
              <w:ind w:left="240"/>
              <w:spacing w:after="0"/>
              <w:rPr>
                <w:sz w:val="20"/>
                <w:szCs w:val="20"/>
                <w:color w:val="auto"/>
              </w:rPr>
            </w:pPr>
            <w:r>
              <w:rPr>
                <w:rFonts w:ascii="Arial" w:cs="Arial" w:eastAsia="Arial" w:hAnsi="Arial"/>
                <w:sz w:val="18"/>
                <w:szCs w:val="18"/>
                <w:b w:val="1"/>
                <w:bCs w:val="1"/>
                <w:color w:val="auto"/>
              </w:rPr>
              <w:t>Net Loss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(58,471,923)</w:t>
            </w:r>
          </w:p>
        </w:tc>
        <w:tc>
          <w:tcPr>
            <w:tcW w:w="0" w:type="dxa"/>
            <w:vAlign w:val="bottom"/>
          </w:tcPr>
          <w:p>
            <w:pPr>
              <w:spacing w:after="0"/>
              <w:rPr>
                <w:sz w:val="1"/>
                <w:szCs w:val="1"/>
                <w:color w:val="auto"/>
              </w:rPr>
            </w:pPr>
          </w:p>
        </w:tc>
      </w:tr>
      <w:tr>
        <w:trPr>
          <w:trHeight w:val="20"/>
        </w:trPr>
        <w:tc>
          <w:tcPr>
            <w:tcW w:w="97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9700" w:type="dxa"/>
            <w:vAlign w:val="bottom"/>
          </w:tcPr>
          <w:p>
            <w:pPr>
              <w:ind w:left="20"/>
              <w:spacing w:after="0"/>
              <w:rPr>
                <w:sz w:val="20"/>
                <w:szCs w:val="20"/>
                <w:color w:val="auto"/>
              </w:rPr>
            </w:pPr>
            <w:r>
              <w:rPr>
                <w:rFonts w:ascii="Arial" w:cs="Arial" w:eastAsia="Arial" w:hAnsi="Arial"/>
                <w:sz w:val="18"/>
                <w:szCs w:val="18"/>
                <w:color w:val="auto"/>
              </w:rPr>
              <w:t>Weighted average shares outstanding of Class A common stock</w:t>
            </w: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44,275,000</w:t>
            </w:r>
          </w:p>
        </w:tc>
        <w:tc>
          <w:tcPr>
            <w:tcW w:w="0" w:type="dxa"/>
            <w:vAlign w:val="bottom"/>
          </w:tcPr>
          <w:p>
            <w:pPr>
              <w:spacing w:after="0"/>
              <w:rPr>
                <w:sz w:val="1"/>
                <w:szCs w:val="1"/>
                <w:color w:val="auto"/>
              </w:rPr>
            </w:pPr>
          </w:p>
        </w:tc>
      </w:tr>
      <w:tr>
        <w:trPr>
          <w:trHeight w:val="20"/>
        </w:trPr>
        <w:tc>
          <w:tcPr>
            <w:tcW w:w="97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9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 net income per share, Class A common stock</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9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of Class B common stock</w:t>
            </w:r>
          </w:p>
        </w:tc>
        <w:tc>
          <w:tcPr>
            <w:tcW w:w="12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11,068,750</w:t>
            </w:r>
          </w:p>
        </w:tc>
        <w:tc>
          <w:tcPr>
            <w:tcW w:w="0" w:type="dxa"/>
            <w:vAlign w:val="bottom"/>
          </w:tcPr>
          <w:p>
            <w:pPr>
              <w:spacing w:after="0"/>
              <w:rPr>
                <w:sz w:val="1"/>
                <w:szCs w:val="1"/>
                <w:color w:val="auto"/>
              </w:rPr>
            </w:pPr>
          </w:p>
        </w:tc>
      </w:tr>
      <w:tr>
        <w:trPr>
          <w:trHeight w:val="20"/>
        </w:trPr>
        <w:tc>
          <w:tcPr>
            <w:tcW w:w="9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Basic and diluted net loss per share, Class B common stock</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9700" w:type="dxa"/>
            <w:vAlign w:val="bottom"/>
            <w:vMerge w:val="continue"/>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99"/>
              </w:rPr>
              <w:t>$</w:t>
            </w:r>
          </w:p>
        </w:tc>
        <w:tc>
          <w:tcPr>
            <w:tcW w:w="14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(5.28)</w:t>
            </w:r>
          </w:p>
        </w:tc>
        <w:tc>
          <w:tcPr>
            <w:tcW w:w="0" w:type="dxa"/>
            <w:vAlign w:val="bottom"/>
          </w:tcPr>
          <w:p>
            <w:pPr>
              <w:spacing w:after="0"/>
              <w:rPr>
                <w:sz w:val="1"/>
                <w:szCs w:val="1"/>
                <w:color w:val="auto"/>
              </w:rPr>
            </w:pP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240"/>
          </w:cols>
          <w:pgMar w:left="320" w:top="1440" w:right="339" w:bottom="1440" w:gutter="0" w:footer="0" w:header="0"/>
        </w:sectPr>
      </w:pPr>
    </w:p>
    <w:bookmarkStart w:id="236" w:name="page237"/>
    <w:bookmarkEnd w:id="236"/>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 OF CHANGES IN STOCKHOLDERS’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1440" w:type="dxa"/>
            <w:vAlign w:val="bottom"/>
            <w:gridSpan w:val="3"/>
          </w:tcPr>
          <w:p>
            <w:pPr>
              <w:jc w:val="center"/>
              <w:ind w:left="784"/>
              <w:spacing w:after="0"/>
              <w:rPr>
                <w:sz w:val="20"/>
                <w:szCs w:val="20"/>
                <w:color w:val="auto"/>
              </w:rPr>
            </w:pPr>
            <w:r>
              <w:rPr>
                <w:rFonts w:ascii="Arial" w:cs="Arial" w:eastAsia="Arial" w:hAnsi="Arial"/>
                <w:sz w:val="14"/>
                <w:szCs w:val="14"/>
                <w:b w:val="1"/>
                <w:bCs w:val="1"/>
                <w:color w:val="auto"/>
                <w:w w:val="89"/>
              </w:rPr>
              <w:t>Class A</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3"/>
          </w:tcPr>
          <w:p>
            <w:pPr>
              <w:jc w:val="center"/>
              <w:ind w:left="784"/>
              <w:spacing w:after="0"/>
              <w:rPr>
                <w:sz w:val="20"/>
                <w:szCs w:val="20"/>
                <w:color w:val="auto"/>
              </w:rPr>
            </w:pPr>
            <w:r>
              <w:rPr>
                <w:rFonts w:ascii="Arial" w:cs="Arial" w:eastAsia="Arial" w:hAnsi="Arial"/>
                <w:sz w:val="14"/>
                <w:szCs w:val="14"/>
                <w:b w:val="1"/>
                <w:bCs w:val="1"/>
                <w:color w:val="auto"/>
                <w:w w:val="85"/>
              </w:rPr>
              <w:t>Class B</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14"/>
                <w:szCs w:val="14"/>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1120" w:type="dxa"/>
            <w:vAlign w:val="bottom"/>
          </w:tcPr>
          <w:p>
            <w:pPr>
              <w:jc w:val="center"/>
              <w:ind w:right="64"/>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85"/>
        </w:trPr>
        <w:tc>
          <w:tcPr>
            <w:tcW w:w="2240" w:type="dxa"/>
            <w:vAlign w:val="bottom"/>
          </w:tcPr>
          <w:p>
            <w:pPr>
              <w:spacing w:after="0"/>
              <w:rPr>
                <w:sz w:val="16"/>
                <w:szCs w:val="16"/>
                <w:color w:val="auto"/>
              </w:rPr>
            </w:pPr>
          </w:p>
        </w:tc>
        <w:tc>
          <w:tcPr>
            <w:tcW w:w="24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9"/>
              </w:rPr>
              <w:t>Common Stock</w:t>
            </w:r>
          </w:p>
        </w:tc>
        <w:tc>
          <w:tcPr>
            <w:tcW w:w="24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9"/>
              </w:rPr>
              <w:t>Common Stock</w:t>
            </w:r>
          </w:p>
        </w:tc>
        <w:tc>
          <w:tcPr>
            <w:tcW w:w="22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Paid-in</w:t>
            </w:r>
          </w:p>
        </w:tc>
        <w:tc>
          <w:tcPr>
            <w:tcW w:w="16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center"/>
              <w:ind w:right="64"/>
              <w:spacing w:after="0"/>
              <w:rPr>
                <w:sz w:val="20"/>
                <w:szCs w:val="20"/>
                <w:color w:val="auto"/>
              </w:rPr>
            </w:pPr>
            <w:r>
              <w:rPr>
                <w:rFonts w:ascii="Arial" w:cs="Arial" w:eastAsia="Arial" w:hAnsi="Arial"/>
                <w:sz w:val="14"/>
                <w:szCs w:val="14"/>
                <w:b w:val="1"/>
                <w:bCs w:val="1"/>
                <w:color w:val="auto"/>
                <w:w w:val="88"/>
              </w:rPr>
              <w:t>Stockholders’</w:t>
            </w:r>
          </w:p>
        </w:tc>
        <w:tc>
          <w:tcPr>
            <w:tcW w:w="0" w:type="dxa"/>
            <w:vAlign w:val="bottom"/>
          </w:tcPr>
          <w:p>
            <w:pPr>
              <w:spacing w:after="0"/>
              <w:rPr>
                <w:sz w:val="1"/>
                <w:szCs w:val="1"/>
                <w:color w:val="auto"/>
              </w:rPr>
            </w:pPr>
          </w:p>
        </w:tc>
      </w:tr>
      <w:tr>
        <w:trPr>
          <w:trHeight w:val="179"/>
        </w:trPr>
        <w:tc>
          <w:tcPr>
            <w:tcW w:w="2240" w:type="dxa"/>
            <w:vAlign w:val="bottom"/>
          </w:tcPr>
          <w:p>
            <w:pPr>
              <w:spacing w:after="0"/>
              <w:rPr>
                <w:sz w:val="15"/>
                <w:szCs w:val="15"/>
                <w:color w:val="auto"/>
              </w:rPr>
            </w:pPr>
          </w:p>
        </w:tc>
        <w:tc>
          <w:tcPr>
            <w:tcW w:w="1220" w:type="dxa"/>
            <w:vAlign w:val="bottom"/>
            <w:tcBorders>
              <w:top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5"/>
                <w:szCs w:val="15"/>
                <w:color w:val="auto"/>
              </w:rPr>
            </w:pPr>
          </w:p>
        </w:tc>
        <w:tc>
          <w:tcPr>
            <w:tcW w:w="1240" w:type="dxa"/>
            <w:vAlign w:val="bottom"/>
            <w:tcBorders>
              <w:top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center"/>
              <w:ind w:right="144"/>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ind w:left="28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06"/>
        </w:trPr>
        <w:tc>
          <w:tcPr>
            <w:tcW w:w="2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 January 1, 2021</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8,953,013</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895</w:t>
            </w: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11,068,750</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1,107</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44,905,602</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w w:val="92"/>
              </w:rPr>
              <w:t>(39,907,599)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5,000,005</w:t>
            </w:r>
          </w:p>
        </w:tc>
        <w:tc>
          <w:tcPr>
            <w:tcW w:w="0" w:type="dxa"/>
            <w:vAlign w:val="bottom"/>
          </w:tcPr>
          <w:p>
            <w:pPr>
              <w:spacing w:after="0"/>
              <w:rPr>
                <w:sz w:val="1"/>
                <w:szCs w:val="1"/>
                <w:color w:val="auto"/>
              </w:rPr>
            </w:pPr>
          </w:p>
        </w:tc>
      </w:tr>
      <w:tr>
        <w:trPr>
          <w:trHeight w:val="265"/>
        </w:trPr>
        <w:tc>
          <w:tcPr>
            <w:tcW w:w="2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224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Change in value of Common</w:t>
            </w: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240" w:type="dxa"/>
            <w:vAlign w:val="bottom"/>
            <w:shd w:val="clear" w:color="auto" w:fill="CCEEFF"/>
          </w:tcPr>
          <w:p>
            <w:pPr>
              <w:ind w:left="180"/>
              <w:spacing w:after="0" w:line="159" w:lineRule="exact"/>
              <w:rPr>
                <w:sz w:val="20"/>
                <w:szCs w:val="20"/>
                <w:color w:val="auto"/>
              </w:rPr>
            </w:pPr>
            <w:r>
              <w:rPr>
                <w:rFonts w:ascii="Arial" w:cs="Arial" w:eastAsia="Arial" w:hAnsi="Arial"/>
                <w:sz w:val="16"/>
                <w:szCs w:val="16"/>
                <w:color w:val="auto"/>
              </w:rPr>
              <w:t>stock subject to possible</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5,847,192</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585</w:t>
            </w:r>
          </w:p>
        </w:tc>
        <w:tc>
          <w:tcPr>
            <w:tcW w:w="120" w:type="dxa"/>
            <w:vAlign w:val="bottom"/>
            <w:shd w:val="clear" w:color="auto" w:fill="CCEEFF"/>
          </w:tcPr>
          <w:p>
            <w:pPr>
              <w:spacing w:after="0"/>
              <w:rPr>
                <w:sz w:val="13"/>
                <w:szCs w:val="13"/>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4"/>
              <w:spacing w:after="0"/>
              <w:rPr>
                <w:sz w:val="20"/>
                <w:szCs w:val="20"/>
                <w:color w:val="auto"/>
              </w:rPr>
            </w:pPr>
            <w:r>
              <w:rPr>
                <w:rFonts w:ascii="Arial" w:cs="Arial" w:eastAsia="Arial" w:hAnsi="Arial"/>
                <w:sz w:val="16"/>
                <w:szCs w:val="16"/>
                <w:color w:val="auto"/>
              </w:rPr>
              <w:t>58,471,335</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gridSpan w:val="2"/>
            <w:vMerge w:val="restart"/>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58,471,920</w:t>
            </w:r>
          </w:p>
        </w:tc>
        <w:tc>
          <w:tcPr>
            <w:tcW w:w="0" w:type="dxa"/>
            <w:vAlign w:val="bottom"/>
          </w:tcPr>
          <w:p>
            <w:pPr>
              <w:spacing w:after="0"/>
              <w:rPr>
                <w:sz w:val="1"/>
                <w:szCs w:val="1"/>
                <w:color w:val="auto"/>
              </w:rPr>
            </w:pPr>
          </w:p>
        </w:tc>
      </w:tr>
      <w:tr>
        <w:trPr>
          <w:trHeight w:val="209"/>
        </w:trPr>
        <w:tc>
          <w:tcPr>
            <w:tcW w:w="22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redemption</w:t>
            </w: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2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2"/>
              </w:rPr>
              <w:t>(58,471,923)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(58,471,923)</w:t>
            </w:r>
          </w:p>
        </w:tc>
        <w:tc>
          <w:tcPr>
            <w:tcW w:w="0" w:type="dxa"/>
            <w:vAlign w:val="bottom"/>
          </w:tcPr>
          <w:p>
            <w:pPr>
              <w:spacing w:after="0"/>
              <w:rPr>
                <w:sz w:val="1"/>
                <w:szCs w:val="1"/>
                <w:color w:val="auto"/>
              </w:rPr>
            </w:pPr>
          </w:p>
        </w:tc>
      </w:tr>
      <w:tr>
        <w:trPr>
          <w:trHeight w:val="248"/>
        </w:trPr>
        <w:tc>
          <w:tcPr>
            <w:tcW w:w="224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 March 31, 2021</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14,800,205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1,480</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11,068,750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1,107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b w:val="1"/>
                <w:bCs w:val="1"/>
                <w:color w:val="auto"/>
              </w:rPr>
              <w:t>103,376,937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6"/>
                <w:szCs w:val="16"/>
                <w:b w:val="1"/>
                <w:bCs w:val="1"/>
                <w:color w:val="auto"/>
                <w:w w:val="92"/>
              </w:rPr>
              <w:t>(98,379,522)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5,000,002</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240"/>
          </w:cols>
          <w:pgMar w:left="320" w:top="1440" w:right="339" w:bottom="1440" w:gutter="0" w:footer="0" w:header="0"/>
        </w:sectPr>
      </w:pPr>
    </w:p>
    <w:bookmarkStart w:id="237" w:name="page238"/>
    <w:bookmarkEnd w:id="237"/>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5"/>
        </w:trPr>
        <w:tc>
          <w:tcPr>
            <w:tcW w:w="9680" w:type="dxa"/>
            <w:vAlign w:val="bottom"/>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(58,471,923)</w:t>
            </w:r>
          </w:p>
        </w:tc>
      </w:tr>
      <w:tr>
        <w:trPr>
          <w:trHeight w:val="226"/>
        </w:trPr>
        <w:tc>
          <w:tcPr>
            <w:tcW w:w="9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5"/>
        </w:trPr>
        <w:tc>
          <w:tcPr>
            <w:tcW w:w="9680" w:type="dxa"/>
            <w:vAlign w:val="bottom"/>
          </w:tcPr>
          <w:p>
            <w:pPr>
              <w:ind w:left="240"/>
              <w:spacing w:after="0"/>
              <w:rPr>
                <w:sz w:val="20"/>
                <w:szCs w:val="20"/>
                <w:color w:val="auto"/>
              </w:rPr>
            </w:pPr>
            <w:r>
              <w:rPr>
                <w:rFonts w:ascii="Arial" w:cs="Arial" w:eastAsia="Arial" w:hAnsi="Arial"/>
                <w:sz w:val="18"/>
                <w:szCs w:val="18"/>
                <w:color w:val="auto"/>
              </w:rPr>
              <w:t>Change in fair value of warrant liability</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56,637,684</w:t>
            </w:r>
          </w:p>
        </w:tc>
      </w:tr>
      <w:tr>
        <w:trPr>
          <w:trHeight w:val="226"/>
        </w:trPr>
        <w:tc>
          <w:tcPr>
            <w:tcW w:w="9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earned on marketable securities held in trust account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(10,919)</w:t>
            </w:r>
          </w:p>
        </w:tc>
      </w:tr>
      <w:tr>
        <w:trPr>
          <w:trHeight w:val="225"/>
        </w:trPr>
        <w:tc>
          <w:tcPr>
            <w:tcW w:w="9680" w:type="dxa"/>
            <w:vAlign w:val="bottom"/>
          </w:tcPr>
          <w:p>
            <w:pPr>
              <w:ind w:left="24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6"/>
        </w:trPr>
        <w:tc>
          <w:tcPr>
            <w:tcW w:w="9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Prepaid expenses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(16,723)</w:t>
            </w:r>
          </w:p>
        </w:tc>
      </w:tr>
      <w:tr>
        <w:trPr>
          <w:trHeight w:val="225"/>
        </w:trPr>
        <w:tc>
          <w:tcPr>
            <w:tcW w:w="968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Accrued expenses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1,394,615</w:t>
            </w:r>
          </w:p>
        </w:tc>
      </w:tr>
      <w:tr>
        <w:trPr>
          <w:trHeight w:val="219"/>
        </w:trPr>
        <w:tc>
          <w:tcPr>
            <w:tcW w:w="968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Net cash used in operating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(467,266)</w:t>
            </w:r>
          </w:p>
        </w:tc>
      </w:tr>
      <w:tr>
        <w:trPr>
          <w:trHeight w:val="245"/>
        </w:trPr>
        <w:tc>
          <w:tcPr>
            <w:tcW w:w="9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25"/>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Change in Cash</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(467,266)</w:t>
            </w:r>
          </w:p>
        </w:tc>
      </w:tr>
      <w:tr>
        <w:trPr>
          <w:trHeight w:val="225"/>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 Beginning of period</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1,094,681</w:t>
            </w:r>
          </w:p>
        </w:tc>
      </w:tr>
      <w:tr>
        <w:trPr>
          <w:trHeight w:val="244"/>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 End of period</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627,415</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9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5"/>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Non-Cash financing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5"/>
        </w:trPr>
        <w:tc>
          <w:tcPr>
            <w:tcW w:w="9680" w:type="dxa"/>
            <w:vAlign w:val="bottom"/>
          </w:tcPr>
          <w:p>
            <w:pPr>
              <w:ind w:left="20"/>
              <w:spacing w:after="0"/>
              <w:rPr>
                <w:sz w:val="20"/>
                <w:szCs w:val="20"/>
                <w:color w:val="auto"/>
              </w:rPr>
            </w:pPr>
            <w:r>
              <w:rPr>
                <w:rFonts w:ascii="Arial" w:cs="Arial" w:eastAsia="Arial" w:hAnsi="Arial"/>
                <w:sz w:val="18"/>
                <w:szCs w:val="18"/>
                <w:color w:val="auto"/>
              </w:rPr>
              <w:t>Change in value of common stock subject to possible redemption</w:t>
            </w: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(58,471,923)</w:t>
            </w:r>
          </w:p>
        </w:tc>
      </w:tr>
      <w:tr>
        <w:trPr>
          <w:trHeight w:val="20"/>
        </w:trPr>
        <w:tc>
          <w:tcPr>
            <w:tcW w:w="9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240"/>
          </w:cols>
          <w:pgMar w:left="320" w:top="1440" w:right="339" w:bottom="1440" w:gutter="0" w:footer="0" w:header="0"/>
        </w:sectPr>
      </w:pPr>
    </w:p>
    <w:bookmarkStart w:id="238" w:name="page239"/>
    <w:bookmarkEnd w:id="238"/>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170"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CM Life Sciences, Inc. (the “Company”) was incorporated in Delaware on July 10, 2020. The Company was formed for the purpose of effecting a merger, capital stock exchange, asset acquisition, stock purchase, reorganization or similar business combination with one or more businesses (the “Business Combination”). The Company is not limited to a particular industry or sector for purposes of consummating a Business Combination. The Company is an early stage and emerging growth company and, as such, the Company is subject to all of the risks associated with early stage and emerging growth companies.</w:t>
      </w:r>
    </w:p>
    <w:p>
      <w:pPr>
        <w:spacing w:after="0" w:line="9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As of March 31, 2021, the Company had not commenced any operations. All activity for the period from July 10, 2020 (inception) through March 31, 2021 relates to the Company’s formation, the initial public offering (“Initial Public Offering”), which is described below, and, subsequent to the Initial Public Offering, identifying a target company for a Business Combination. The Company will not generate any operating revenues until after the completion of its initial Business Combination, at the earliest. The Company will generate non-operating income in the form of interest income from the proceeds derived from the Initial Public Offering.</w:t>
      </w:r>
    </w:p>
    <w:p>
      <w:pPr>
        <w:spacing w:after="0" w:line="14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registration statement for the Company’s Initial Public Offering was declared effective on September 1, 2020. On September 4, 2020 the Company consummated the Initial Public Offering of 44,275,000 units (the “Units” and, with respect to the Class A common stock included in the Units sold, the “Public Shares”), which includes the full exercise by the underwriter of its over-allotment option in the amount of 5,775,000 Units, at $10.00 per Unit, generating gross proceeds of $442,750,000 which is described in Note 3.</w:t>
      </w:r>
    </w:p>
    <w:p>
      <w:pPr>
        <w:spacing w:after="0" w:line="13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Simultaneously with the closing of the Initial Public Offering, the Company consummated the sale of 7,236,667 warrants (the “Private Placement Warrants”) at a price of $1.50 per Private Placement Warrant in a private placement to CMLS Holdings LLC (the “Sponsor”) and certain of the Company’s independent directors, generating gross proceeds of $10,855,000, which is described in Note 4.</w:t>
      </w:r>
    </w:p>
    <w:p>
      <w:pPr>
        <w:spacing w:after="0" w:line="13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Transaction costs amounted to $24,895,463, consisting of $8,855,000 in cash underwriting fees, $15,496,250 of deferred underwriting fees and $544,213 of other offering costs.</w:t>
      </w:r>
    </w:p>
    <w:p>
      <w:pPr>
        <w:spacing w:after="0" w:line="128"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Following the closing of the Initial Public Offering on September 4, 2020, an amount of $442,750,000 ($10.00 per Unit) from the net proceeds of the sale of the Units in the Initial Public Offering and the sale of the Private Placement Warrants was placed in a trust account (the “Trust Account”) located in the United States and will be invested only in U.S. government securities, within the meaning set forth in Section 2(a)(16) of the Investment Company Act of 1940, as amended (the “Investment Company Act”), with a maturity of 185 days or less or in any open-ended investment company that holds itself out as a money market fund selected by the Company meeting certain conditions of Rule 2a-7 of the Investment Company Act, as determined by the Company, until the earlier of: (i) the completion of a Business Combination and (ii) the distribution of the funds held in the Trust Account, as described below.</w:t>
      </w:r>
    </w:p>
    <w:p>
      <w:pPr>
        <w:spacing w:after="0" w:line="99"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The Company’s management has broad discretion with respect to the specific application of the net proceeds of the Initial Public Offering and the sale of Private Placement Warrants,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with one or more operating businesses or assets with a fair market value equal to at least 80% of the net assets held in the Trust Account (excluding the deferred underwriting commissions and taxes payable on the interest earned on the Trust Account). The Company will only complete a Business Combination if the post-transaction company owns or acquires 50% or more of the outstanding voting securities of the target or otherwise acquires a controlling interest in the target business sufficient for it not to be required to register as an investment company under the Investment Company Act.</w:t>
      </w:r>
    </w:p>
    <w:p>
      <w:pPr>
        <w:spacing w:after="0" w:line="10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 will provide the holders of the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240"/>
          </w:cols>
          <w:pgMar w:left="320" w:top="121" w:right="339" w:bottom="1440" w:gutter="0" w:footer="0" w:header="0"/>
        </w:sectPr>
      </w:pPr>
    </w:p>
    <w:bookmarkStart w:id="239" w:name="page240"/>
    <w:bookmarkEnd w:id="239"/>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offer. The decision as to whether the Company will seek stockholder approval of a Business Combination or conduct a tender offer will be made by the Company. The Public Stockholders will be entitled to redeem their Public Shares for a pro rata portion of the amount then in the Trust Account (initially $10.00 per Public Share, plus any pro rata interest then in the Trust Account, net of taxes payable). There will be no redemption rights upon the completion of a Business Combination with respect to the Company’s warrants.</w:t>
      </w:r>
    </w:p>
    <w:p>
      <w:pPr>
        <w:spacing w:after="0" w:line="138"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The Company will only proceed with a Business Combination if the Company has net tangible assets of at least $5,000,001 following any related redemptions and, if the Company seeks stockholder approval, a majority of the shares voted are voted in favor of the Business Combination. If a stockholder vote is not required by applicable law or stock exchange listing requirements and the Company does not decide to hold a stockholder vote for business or other reasons, the Company will, pursuant to its Second Amended and Restated Certificate of Incorporation (the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applicable law or stock exchange listing requirements, or the Company decides to obtain stockholder approval for business or other reasons, the Company will offer to redeem shares in conjunction with a proxy solicitation pursuant to the proxy rules and not pursuant to the tender offer rules. If the Company seeks stockholder approval in connection with a Business Combination, the Company’s Sponsor and any other holders of the Company’s common stock prior to the Initial Public Offering (the “initial stockholders”) have agreed to vote their Founder Shares (as defined in Note 5) and any Public Shares purchased during or after the Initial Public Offering in favor of approving a Business Combination. Additionally, each Public Stockholder may elect to redeem their Public Shares without voting, and if they do vote, irrespective of whether they vote for or against the proposed transaction.</w:t>
      </w:r>
    </w:p>
    <w:p>
      <w:pPr>
        <w:spacing w:after="0" w:line="32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Notwithstanding the foregoing, if the Company seeks stockholder approval of a Business Combination and it does not conduct redemptions pursuant to the tender offer rules, the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20% of the Public Shares, without the prior consent of the Company.</w:t>
      </w:r>
    </w:p>
    <w:p>
      <w:pPr>
        <w:spacing w:after="0" w:line="141"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Sponsor has agreed (a) to waive its redemption rights with respect to the Founder Shares and Public Shares held by it in connection with the completion of a Business Combination and (b) not to propose an amendment to the Certificate of Incorporation (i) to modify the substance or timing of the Company’s obligation to redeem 100% of its Public Shares if the Company does not complete a Business Combination within the Combination Period (as defined below) or (ii) with respect to any other material provision relating to stockholders’ rights or pre-business combination activity, unless the Company provides the Public Stockholders with the opportunity to redeem their Public Shares in conjunction with any such amendment.</w:t>
      </w:r>
    </w:p>
    <w:p>
      <w:pPr>
        <w:spacing w:after="0" w:line="128"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If the Company has not completed a Business Combination by September 4, 2022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pay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the Company’s remaining stockholders and the Company’s board of directors, dissolve and liquidate, subject in each case to the Company’s obligations under Delaware law to provide for claims of creditors and the requirements of other applicable law. There will be no redemption rights or liquidating distributions with respect to the Company’s warrants, which will expire worthless if the Company fails to complete a Business Combination within the Combination Period.</w:t>
      </w:r>
    </w:p>
    <w:p>
      <w:pPr>
        <w:spacing w:after="0" w:line="10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Sponsor has agreed to waive its liquidation rights with respect to the Founder Shares if the Company fails to complete a Business Combination within the Combination Period. However, if the Sponsor acquires Public Shares in or after the Initial Public Offering, such Public Shares will be entitled to liquidating distributions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240"/>
          </w:cols>
          <w:pgMar w:left="320" w:top="121" w:right="339" w:bottom="1440" w:gutter="0" w:footer="0" w:header="0"/>
        </w:sectPr>
      </w:pPr>
    </w:p>
    <w:bookmarkStart w:id="240" w:name="page241"/>
    <w:bookmarkEnd w:id="240"/>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Trust Account if the Company fails to complete a Business Combination within the Combination Period. The underwriter has agreed to waive its rights to its deferred underwriting commission (see Note 6)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will be less than the Initial Public Offering price per Unit ($10.00).</w:t>
      </w:r>
    </w:p>
    <w:p>
      <w:pPr>
        <w:spacing w:after="0" w:line="141"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In order to protect the amounts held in the Trust Account, the Sponsor has agreed to be liable to the Company if and to the extent any claims by a third party for services rendered or products sold to the Company, or a prospective target business with which the Company has discussed entering into a transaction agreement,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less taxes payable, provided that such liability will not apply to any claims by a third party or prospective target business who executed a waiver of any and all rights to monies held in the Trust Account nor will it apply to any claims under the Company’s indemnity of the underwriter of the Initial Public Offering against certain liabilities, including liabilities under the Securities Act of 1933, as amended (the “Securities Act”). Moreover,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(except for the Company’s independent registered public accounting firm), prospective target businesses and other entities with which the Company does business, execute agreements with the Company waiving any right, title, interest or claim of any kind in or to monies held in the Trust Account.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Basis of Presentation</w:t>
      </w:r>
    </w:p>
    <w:p>
      <w:pPr>
        <w:spacing w:after="0" w:line="170"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accompanying unaudited condensed financial statements have been prepared in accordance with accounting principles generally accepted in the United States of America (“GAAP”) for interim financial information and in accordance with the instructions to Form 10-Q and Article 8 of Regulation S-X of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 operations, or cash flows. In the opinion of management, the accompanying unaudited condensed financial statements include all adjustments, consisting of a normal recurring nature, which are necessary for a fair presentation of the financial position, operating results and cash flows for the periods presented.</w:t>
      </w:r>
    </w:p>
    <w:p>
      <w:pPr>
        <w:spacing w:after="0" w:line="13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accompanying unaudited condensed financial statements should be read in conjunction with the Company’s Annual Report on 10-K/A as filed with the SEC on May 5, 2021. The interim results for the three months ended March 31, 2021 are not necessarily indicative of the results to be expected for the year ending December 31, 2021 or for any future interim periods.</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Emerging Growth Company</w:t>
      </w:r>
    </w:p>
    <w:p>
      <w:pPr>
        <w:spacing w:after="0" w:line="170"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2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Further, Section 102(b)(1) of the JOBS Act exempts emerging growth companies from being required to comply with new or revised financial accounting standards until private companies (that is, those that have not had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240"/>
          </w:cols>
          <w:pgMar w:left="320" w:top="121" w:right="339" w:bottom="1440" w:gutter="0" w:footer="0" w:header="0"/>
        </w:sectPr>
      </w:pPr>
    </w:p>
    <w:bookmarkStart w:id="241" w:name="page242"/>
    <w:bookmarkEnd w:id="241"/>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8"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Use of Estimates</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preparation of condensed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135"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events. Accordingly, the actual results could differ significantly from those estimates.</w:t>
      </w:r>
    </w:p>
    <w:p>
      <w:pPr>
        <w:spacing w:after="0" w:line="7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Cash and Cash Equivalents</w:t>
      </w:r>
    </w:p>
    <w:p>
      <w:pPr>
        <w:spacing w:after="0" w:line="17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did not have any cash equivalents as of March 31, 2021 and December 31, 2020.</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Class A common stock subject to possible redemption</w:t>
      </w:r>
    </w:p>
    <w:p>
      <w:pPr>
        <w:spacing w:after="0" w:line="17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Company accounts for its Class A common stock subject to possible redemption in accordance with the guidance in Accounting Standards Codification (“ASC”) Topic 480 “Distinguishing Liabilities from Equity.” Class A Common stock subject to mandatory redemption is classified as a liability instrument and is measured at fair value. Conditionally redeemable common stock (including common stock that features redemption rights that is either within the control of the holder or subject to redemption upon the occurrence of uncertain events not solely within the Company’s control) is classified as temporary equity. At all other times, common stock is classified as stockholders’ equity. The Company’s common stock features certain redemption rights that are considered to be outside of the Company’s control and subject to occurrence of uncertain future events. Accordingly, at March 31, 2021 and December 31, 2020, Class A common stock subject to possible redemption is presented as temporary equity, outside of the stockholders’ equity section of the Company’s condensed balance sheets.</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Offering Costs</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Offering costs consist of underwriting, legal, accounting and other expenses incurred through the Initial Public Offering that are directly related to the Initial Public Offering. Offering costs amounting to $23,690,692 were charged to stockholders’ equity upon the completion of the Initial Public Offering, and $1,204,771 of offering costs were related to the warrant liability and charged to the statement of operations.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Warrant Liability</w:t>
      </w:r>
    </w:p>
    <w:p>
      <w:pPr>
        <w:spacing w:after="0" w:line="16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Company accounts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240"/>
          </w:cols>
          <w:pgMar w:left="320" w:top="121" w:right="339" w:bottom="1440" w:gutter="0" w:footer="0" w:header="0"/>
        </w:sectPr>
      </w:pPr>
    </w:p>
    <w:bookmarkStart w:id="242" w:name="page243"/>
    <w:bookmarkEnd w:id="242"/>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whether the warrants meet all of the requirements for equity classification under ASC 815, including whether the warrants are indexed to the Company’s own ordinary shares,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1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Changes in the estimated fair value of the warrants are recognized as a non-cash gain or loss on the statements of operations. The fair value of the warrants was estimated using a Monte Carlo simulation approach (see Note 9).</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Income Taxes</w:t>
      </w:r>
    </w:p>
    <w:p>
      <w:pPr>
        <w:spacing w:after="0" w:line="170"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 As of March 31, 2021 and December 31, 2020, the Company had a deferred tax asset of approximately $426,000 and $40,400, which had a full valuation allowance recorded against it of approximately $426,000 and $40,400, respectively.</w:t>
      </w:r>
    </w:p>
    <w:p>
      <w:pPr>
        <w:spacing w:after="0" w:line="10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Company’s currently taxable income primarily consists of interest income on the Trust Account. The Company’s general and administrative costs are generally considered start-up costs and are not currently deductible. During the three months ended March 31, 2021, the Company recorded no income tax expense. The Company’s effective tax rate for the three months ended March 31, 2021 was approximately 0%, which differs from the expected income tax rate due to the start-up costs (discussed above) which are not currently deductible.</w:t>
      </w:r>
    </w:p>
    <w:p>
      <w:pPr>
        <w:spacing w:after="0" w:line="12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March 31, 2021 and December 31, 2020.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2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Net Income (Loss) per Common Share</w:t>
      </w:r>
    </w:p>
    <w:p>
      <w:pPr>
        <w:spacing w:after="0" w:line="17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Net income (loss) per common share is computed by dividing net income by the weighted average number of common shares outstanding for the period. The Company has not considered the effect of warrants sold in the Initial Public Offering and private placement to purchase 21,995,000 shares of Class A common stock in the calculation of diluted income per share, since the exercise of the warrants are contingent upon the occurrence of future events and the inclusion of such warrants would be anti-dilutive.</w:t>
      </w:r>
    </w:p>
    <w:p>
      <w:pPr>
        <w:spacing w:after="0" w:line="138"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The Company’s statement of operations includes a presentation of income (loss) per share for common shares similar to the two-class method of income (loss) per share. Net income per common share, basic and diluted, for Class A common stock is calculated by dividing the interest income earned on the Trust Account less income and franchise taxes, by the weighted average number of Class A common stock outstanding since original issuance. Net loss per share, basic and diluted, for Class B common stock is calculated by dividing the net loss, adjusted for income attributable to Class A common stock, net of applicable franchise and income taxes, by the weighted average number of Class B common stock outstanding for the period. Class B common stock includes the Founder Shares as these shares do not have any redemption features and do not participate in the income earned on the Trust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240"/>
          </w:cols>
          <w:pgMar w:left="320" w:top="121" w:right="339" w:bottom="1440" w:gutter="0" w:footer="0" w:header="0"/>
        </w:sectPr>
      </w:pPr>
    </w:p>
    <w:bookmarkStart w:id="243" w:name="page244"/>
    <w:bookmarkEnd w:id="243"/>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reflects the calculation of basic and diluted net income (loss) per common share (in dollars, except per share amounts):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tcPr>
          <w:p>
            <w:pPr>
              <w:spacing w:after="0"/>
              <w:rPr>
                <w:sz w:val="14"/>
                <w:szCs w:val="14"/>
                <w:color w:val="auto"/>
              </w:rPr>
            </w:pP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Three Months Ended</w:t>
            </w:r>
          </w:p>
        </w:tc>
      </w:tr>
      <w:tr>
        <w:trPr>
          <w:trHeight w:val="185"/>
        </w:trPr>
        <w:tc>
          <w:tcPr>
            <w:tcW w:w="98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8"/>
              </w:rPr>
              <w:t>March 31, 2021</w:t>
            </w:r>
          </w:p>
        </w:tc>
      </w:tr>
      <w:tr>
        <w:trPr>
          <w:trHeight w:val="206"/>
        </w:trPr>
        <w:tc>
          <w:tcPr>
            <w:tcW w:w="980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Class A Common Stock</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25"/>
        </w:trPr>
        <w:tc>
          <w:tcPr>
            <w:tcW w:w="9800" w:type="dxa"/>
            <w:vAlign w:val="bottom"/>
          </w:tcPr>
          <w:p>
            <w:pPr>
              <w:ind w:left="240"/>
              <w:spacing w:after="0"/>
              <w:rPr>
                <w:sz w:val="20"/>
                <w:szCs w:val="20"/>
                <w:color w:val="auto"/>
              </w:rPr>
            </w:pPr>
            <w:r>
              <w:rPr>
                <w:rFonts w:ascii="Arial" w:cs="Arial" w:eastAsia="Arial" w:hAnsi="Arial"/>
                <w:sz w:val="18"/>
                <w:szCs w:val="18"/>
                <w:color w:val="auto"/>
              </w:rPr>
              <w:t>Numerator: Earnings allocable to Class A Common Stock</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6"/>
        </w:trPr>
        <w:tc>
          <w:tcPr>
            <w:tcW w:w="9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10,919</w:t>
            </w:r>
          </w:p>
        </w:tc>
      </w:tr>
      <w:tr>
        <w:trPr>
          <w:trHeight w:val="225"/>
        </w:trPr>
        <w:tc>
          <w:tcPr>
            <w:tcW w:w="98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Income and Franchise Tax</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(10,919)</w:t>
            </w:r>
          </w:p>
        </w:tc>
      </w:tr>
      <w:tr>
        <w:trPr>
          <w:trHeight w:val="219"/>
        </w:trPr>
        <w:tc>
          <w:tcPr>
            <w:tcW w:w="98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Earnings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9800" w:type="dxa"/>
            <w:vAlign w:val="bottom"/>
          </w:tcPr>
          <w:p>
            <w:pPr>
              <w:ind w:left="240"/>
              <w:spacing w:after="0"/>
              <w:rPr>
                <w:sz w:val="20"/>
                <w:szCs w:val="20"/>
                <w:color w:val="auto"/>
              </w:rPr>
            </w:pPr>
            <w:r>
              <w:rPr>
                <w:rFonts w:ascii="Arial" w:cs="Arial" w:eastAsia="Arial" w:hAnsi="Arial"/>
                <w:sz w:val="18"/>
                <w:szCs w:val="18"/>
                <w:color w:val="auto"/>
              </w:rPr>
              <w:t>Denominator: Weighted Average Class A Common Stock</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6"/>
        </w:trPr>
        <w:tc>
          <w:tcPr>
            <w:tcW w:w="9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Class A Common Stock, Basic and Diluted</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44,275,000</w:t>
            </w:r>
          </w:p>
        </w:tc>
      </w:tr>
      <w:tr>
        <w:trPr>
          <w:trHeight w:val="225"/>
        </w:trPr>
        <w:tc>
          <w:tcPr>
            <w:tcW w:w="9800" w:type="dxa"/>
            <w:vAlign w:val="bottom"/>
          </w:tcPr>
          <w:p>
            <w:pPr>
              <w:ind w:left="240"/>
              <w:spacing w:after="0"/>
              <w:rPr>
                <w:sz w:val="20"/>
                <w:szCs w:val="20"/>
                <w:color w:val="auto"/>
              </w:rPr>
            </w:pPr>
            <w:r>
              <w:rPr>
                <w:rFonts w:ascii="Arial" w:cs="Arial" w:eastAsia="Arial" w:hAnsi="Arial"/>
                <w:sz w:val="18"/>
                <w:szCs w:val="18"/>
                <w:color w:val="auto"/>
              </w:rPr>
              <w:t>Earnings/Basic and Diluted Class A Common Stock</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213"/>
        </w:trPr>
        <w:tc>
          <w:tcPr>
            <w:tcW w:w="9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5"/>
        </w:trPr>
        <w:tc>
          <w:tcPr>
            <w:tcW w:w="9800" w:type="dxa"/>
            <w:vAlign w:val="bottom"/>
          </w:tcPr>
          <w:p>
            <w:pPr>
              <w:ind w:left="20"/>
              <w:spacing w:after="0"/>
              <w:rPr>
                <w:sz w:val="20"/>
                <w:szCs w:val="20"/>
                <w:color w:val="auto"/>
              </w:rPr>
            </w:pPr>
            <w:r>
              <w:rPr>
                <w:rFonts w:ascii="Arial" w:cs="Arial" w:eastAsia="Arial" w:hAnsi="Arial"/>
                <w:sz w:val="18"/>
                <w:szCs w:val="18"/>
                <w:color w:val="auto"/>
              </w:rPr>
              <w:t>Class A and B Common Stock</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6"/>
        </w:trPr>
        <w:tc>
          <w:tcPr>
            <w:tcW w:w="9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Numerator: Net Loss minus Net Earnings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5"/>
        </w:trPr>
        <w:tc>
          <w:tcPr>
            <w:tcW w:w="9800" w:type="dxa"/>
            <w:vAlign w:val="bottom"/>
          </w:tcPr>
          <w:p>
            <w:pPr>
              <w:ind w:left="440"/>
              <w:spacing w:after="0"/>
              <w:rPr>
                <w:sz w:val="20"/>
                <w:szCs w:val="20"/>
                <w:color w:val="auto"/>
              </w:rPr>
            </w:pPr>
            <w:r>
              <w:rPr>
                <w:rFonts w:ascii="Arial" w:cs="Arial" w:eastAsia="Arial" w:hAnsi="Arial"/>
                <w:sz w:val="18"/>
                <w:szCs w:val="18"/>
                <w:color w:val="auto"/>
              </w:rPr>
              <w:t>Net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(58,471,923)</w:t>
            </w:r>
          </w:p>
        </w:tc>
      </w:tr>
      <w:tr>
        <w:trPr>
          <w:trHeight w:val="226"/>
        </w:trPr>
        <w:tc>
          <w:tcPr>
            <w:tcW w:w="9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Earnings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9800" w:type="dxa"/>
            <w:vAlign w:val="bottom"/>
          </w:tcPr>
          <w:p>
            <w:pPr>
              <w:ind w:left="660"/>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(58,471,923)</w:t>
            </w:r>
          </w:p>
        </w:tc>
      </w:tr>
      <w:tr>
        <w:trPr>
          <w:trHeight w:val="226"/>
        </w:trPr>
        <w:tc>
          <w:tcPr>
            <w:tcW w:w="9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Denominator: Weighted Average Class A and B Common Stock</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5"/>
        </w:trPr>
        <w:tc>
          <w:tcPr>
            <w:tcW w:w="9800" w:type="dxa"/>
            <w:vAlign w:val="bottom"/>
          </w:tcPr>
          <w:p>
            <w:pPr>
              <w:ind w:left="440"/>
              <w:spacing w:after="0"/>
              <w:rPr>
                <w:sz w:val="20"/>
                <w:szCs w:val="20"/>
                <w:color w:val="auto"/>
              </w:rPr>
            </w:pPr>
            <w:r>
              <w:rPr>
                <w:rFonts w:ascii="Arial" w:cs="Arial" w:eastAsia="Arial" w:hAnsi="Arial"/>
                <w:sz w:val="18"/>
                <w:szCs w:val="18"/>
                <w:color w:val="auto"/>
              </w:rPr>
              <w:t>Class A and B Common Stock, Basic and Diluted</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11,068,750</w:t>
            </w:r>
          </w:p>
        </w:tc>
      </w:tr>
      <w:tr>
        <w:trPr>
          <w:trHeight w:val="226"/>
        </w:trPr>
        <w:tc>
          <w:tcPr>
            <w:tcW w:w="9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Loss/Basic and Diluted Class A and B Common Stock</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r>
    </w:tbl>
    <w:p>
      <w:pPr>
        <w:spacing w:after="0" w:line="23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Concentration of Credit Risk</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a cash account in a financial institution, which, at times, may exceed the Federal Depository Insurance Coverage of $250,000. The Company has not experienced losses on this account and management believes the Company is not exposed to significant risks on such account.</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Fair Value of Financial Instruments</w:t>
      </w:r>
    </w:p>
    <w:p>
      <w:pPr>
        <w:spacing w:after="0" w:line="170"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The fair value of the Company’s assets and liabilities, which qualify as financial instruments under ASC Topic 820, “Fair Value Measurement,” approximates the carrying amounts represented in the accompanying condensed balance sheets, primarily due to their short-term nature.</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Liquidity and Capital Resources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March 31, 2021, the Company had $627,415 in its operating bank accounts and a working capital deficit of $570,566.</w:t>
      </w:r>
    </w:p>
    <w:p>
      <w:pPr>
        <w:spacing w:after="0" w:line="16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Prior to the completion of the Initial Public Offering, the Company’s liquidity needs had been satisfied through a contribution of $25,000 from Sponsor to cover for certain offering costs in exchange for the issuance of the Founder Shares, the loan of up to $300,000 from the Sponsor pursuant to the Note (see Note 5), and the proceeds from the consummation of the Private Placement not held in the Trust Account. The Note was repaid on September 4, 2020. In addition, in order to finance transaction costs in connection with a Business Combination, the Sponsor or an affiliate of the Sponsor, or certain of the Company’s officers and directors may, but are not obligated to, provide the Company Working Capital Loans up to $1,500,000 (see Note 6). As of March 31, 2021, there were no amounts outstanding under any Working Capital Loan.</w:t>
      </w:r>
    </w:p>
    <w:p>
      <w:pPr>
        <w:spacing w:after="0" w:line="12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Based on the foregoing, management believes that the Company will have sufficient working capital and borrowing capacity to meet its needs through the earlier of the consummation of a Business Combination or one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F-72</w:t>
      </w:r>
    </w:p>
    <w:p>
      <w:pPr>
        <w:sectPr>
          <w:pgSz w:w="11900" w:h="16838" w:orient="portrait"/>
          <w:cols w:equalWidth="0" w:num="1">
            <w:col w:w="11240"/>
          </w:cols>
          <w:pgMar w:left="320" w:top="121" w:right="339" w:bottom="1440" w:gutter="0" w:footer="0" w:header="0"/>
        </w:sectPr>
      </w:pPr>
    </w:p>
    <w:bookmarkStart w:id="244" w:name="page245"/>
    <w:bookmarkEnd w:id="244"/>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from this filing. Over this time period, the Company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70"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Company’s condensed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INITIAL PUBLIC OFFERING</w:t>
      </w:r>
    </w:p>
    <w:p>
      <w:pPr>
        <w:spacing w:after="0" w:line="17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Pursuant to the Initial Public Offering, the Company sold 44,275,000 Units, which includes the full exercise by the underwriter of its over-allotment option in the amount of 5,775,000 Units, at a purchase price of $10.00 per Unit. Each Unit consists of one share of Class A common stock and one-third of one redeemable warrant (“Public Warrant”). Each whole Public Warrant entitles the holder to purchase one share of Class A common stock at a price of $11.50 per share, subject to adjustment (see Note 7).</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PRIVATE PLACEMENT</w:t>
      </w:r>
    </w:p>
    <w:p>
      <w:pPr>
        <w:spacing w:after="0" w:line="170"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Simultaneously with the closing of the Initial Public Offering, the Sponsor and certain of the Company’s independent directors purchased an aggregate of 7,236,667 Private Placement Warrants, at a price of $1.50 per Private Placement Warrant, for an aggregate purchase price of $10,855,000. The Sponsor purchased 6,903,335 Private Placement Warrants, and each of Mr. Islam and Dr. Leproust (and/or one or more entities controlled by them) purchased 166,666 Private Placement Warrants. Each Private Placement Warrant is exercisable to purchase one share of Class A common stock at a price of $11.50 per share, subject to adjustment (see Note 7). Proceeds from the sale of the Private Placement Warrants were added to the net proceeds from the Initial Public Offering held in the Trust Account. If the Company does not complete a Business Combination within the Combination Period, the proceeds from the sale of the Private Placement Warrants held in the Trust Account will be used to fund the redemption of the Public Shares (subject to the requirements of applicable law) and the Private Placement Warrants will expire worthless.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RELATED PARTY TRANSACTIONS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Founder Shares</w:t>
      </w:r>
    </w:p>
    <w:p>
      <w:pPr>
        <w:spacing w:after="0" w:line="170"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In July 2020, the Sponsor paid $25,000 to cover certain offering costs of the Company in consideration for 10,062,500 shares of the Company’s Class B common stock (the “Founder Shares”). In August 2020, the Sponsor transferred 25,000 Founder Shares to each of Munib Islam, Emily Leproust and Nat Turner, certain of the Company's independent directors, at their original per-share purchase price, for an aggregate of 75,000 Founder Shares transferred. On September 1, 2020, the Company effected a 1:1.1 stock split of its Class B common stock, resulting in the Sponsor holding an aggregate of 10,993,750 Founder Shares and there being an aggregate of 11,068,750 Founder Shares outstanding. All share and per-share amounts have been retroactively restated to reflect the stock split, The Founder Shares included an aggregate of up to 1,443,750 shares subject to forfeiture by the Sponsor to the extent that the underwriter’s over-allotment was not exercised in full or in part, so that the number of Founder Shares would equal, on an as-converted basis, approximately 20% of the Company’s issued and outstanding shares of common stock after the Initial Public Offering. As a result of the underwriter’s election to fully exercise its over-allotment option, 1,443,750 Founder Shares are no longer subject to forfeiture.</w:t>
      </w:r>
    </w:p>
    <w:p>
      <w:pPr>
        <w:spacing w:after="0" w:line="10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Sponsor has agreed, subject to limited exceptions, not to transfer, assign or sell any of the Founder Shares until the earlier to occur of: (A) one year after the completion of a Business Combination and (B) subsequent to a Business Combination, (x) if the last reported sale price of the Class A common stock equals or exceeds $12.00 per share (as adjusted for stock splits, stock capitalizations, reorganizations, recapitalizations and the like) for any 20 trading days within any 30-trading day period commencing at least 150 days after a Business Combination, or (y) the date on which the Company completes a liquidation, merger, capital stock exchange or other similar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F-73</w:t>
      </w:r>
    </w:p>
    <w:p>
      <w:pPr>
        <w:sectPr>
          <w:pgSz w:w="11900" w:h="16838" w:orient="portrait"/>
          <w:cols w:equalWidth="0" w:num="1">
            <w:col w:w="11240"/>
          </w:cols>
          <w:pgMar w:left="320" w:top="121" w:right="339" w:bottom="1440" w:gutter="0" w:footer="0" w:header="0"/>
        </w:sectPr>
      </w:pPr>
    </w:p>
    <w:bookmarkStart w:id="245" w:name="page246"/>
    <w:bookmarkEnd w:id="245"/>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that results in all of the Public Stockholders having the right to exchange their shares of common stock for cash, securities or other property.</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Promissory Note – Related Party</w:t>
      </w:r>
    </w:p>
    <w:p>
      <w:pPr>
        <w:spacing w:after="0" w:line="17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On July 16, 2020, the Sponsor issued an unsecured promissory note to the Company (the “Promissory Note”), pursuant to which the Company could borrow up to an aggregate principal amount of $300,000. The Promissory Note was non-interest bearing and payable on the earlier of (i) December 31, 2020 or (ii) the consummation of the Initial Public Offering. The outstanding balance under the Promissory Note of $165,081 was repaid at the closing of the Initial Public Offering on September 4, 2020.</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Related Party Loans</w:t>
      </w:r>
    </w:p>
    <w:p>
      <w:pPr>
        <w:spacing w:after="0" w:line="170"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In order to finance transaction costs in connection with a Business Combination, the Sponsor or an affiliate of the Sponsor, or certain of the Company’s officers and directors may, but are not obligated to, loan the Company funds as may be required (“Working Capital Loans”). Such Working Capital Loans would be evidenced by promissory notes. The notes may be repaid upon completion of a Business Combination, without interest, or, at the lender's discretion, up to $1,500,000 of the notes may be converted upon completion of a Business Combination into warrants at a price of $1.50 per warrant. Such warrants would be identical to the Private Placement Warrants. In the event that a Business Combination does not close, the Company may use a portion of proceeds held outside the Trust Account to repay the Working Capital Loans but no proceeds held in the Trust Account would be used to repay the Working Capital Loans. As of March 31, 2021, there were no amounts outstanding under the Working Capital Loans.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Risks and Uncertainties</w:t>
      </w:r>
    </w:p>
    <w:p>
      <w:pPr>
        <w:spacing w:after="0" w:line="17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Management continues to evaluate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Registration Rights</w:t>
      </w:r>
    </w:p>
    <w:p>
      <w:pPr>
        <w:spacing w:after="0" w:line="170"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Pursuant to a registration rights agreement entered into on September 1, 2020, the holders of the Founder Shares, Private Placement Warrants and securities that may be issued upon conversion of Working Capital Loans and forward purchase shares are entitled to registration rights. The holders of these securities will be entitled to make up to three demands, excluding short form demands, that the Company register such securities. In addition, the holders have certain “piggy-back” registration rights with respect to registration statements filed subsequent to the completion of a Business Combination. The Company will bear the expenses incurred in connection with the filing of any such registration statements.</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Underwriting Agreement</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underwriter is entitled to a deferred fee of $0.35 per Unit, or $15,496,250 in the aggregate. The deferred fee will become payable to the underwriter from the amounts held in the Trust Account solely in the event that the Company completes a Business Combination, subject to the terms of the underwriting agreement.</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Forward Purchase Agreement</w:t>
      </w:r>
    </w:p>
    <w:p>
      <w:pPr>
        <w:spacing w:after="0" w:line="170"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Company entered into separate forward purchase agreements with affiliates of the Sponsor, Casdin Capital, LLC ("Casdin") and Corvex Management LP ("Corvex"), in their capacities as investment advisors on behalf of one or more investment funds, clients or accounts managed by each of Casdin and Corvex, respectively (collectively, their "Clients"), pursuant to which, subject to the conditions described below, they will cause the Clients to purchase from the Company up to an aggregate amount of 15,000,000 shares of Class A common stock, or the forward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F-74</w:t>
      </w:r>
    </w:p>
    <w:p>
      <w:pPr>
        <w:sectPr>
          <w:pgSz w:w="11900" w:h="16838" w:orient="portrait"/>
          <w:cols w:equalWidth="0" w:num="1">
            <w:col w:w="11240"/>
          </w:cols>
          <w:pgMar w:left="320" w:top="121" w:right="339" w:bottom="1440" w:gutter="0" w:footer="0" w:header="0"/>
        </w:sectPr>
      </w:pPr>
    </w:p>
    <w:bookmarkStart w:id="246" w:name="page247"/>
    <w:bookmarkEnd w:id="246"/>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8"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purchase shares, for $10.00 per forward purchase share, or an aggregate amount of up to $150,000,000, in a private placement that will close concurrently with the closing of a Business Combination. The amount of forward purchase shares sold pursuant to the forward purchase agreements will be determined in the Company’s discretion based on the Company’s need for additional capital to consummate a Business Combination. Under each forward purchase agreement, the Company is required to approach Casdin and Corvex if it proposes to raise additional capital by issuing any equity, or securities convertible into, exchangeable or exercisable for equity securities in connection with a Business Combination. The respective obligations of Casdin and Corvex to purchase forward purchase shares will, among other things, be conditioned on the Company completing a Business Combination with a company engaged in a business that is within the investment objectives of the Clients purchasing forward purchase shares and on the Business Combination (including the target assets or business, and the terms of the Business Combination) being reasonably acceptable to such Clients as determined by Casdin or Corvex, as relevant, as investment advisors on behalf of such Clients. Each of Casdin and Corvex will have the right to transfer a portion of its purchase obligation under the forward purchase agreement to third parties, subject to compliance with applicable securities laws. To the extent that the Company obtains alternative financing to fund the initial Business Combination and the Clients participate in such financing, the aggregate commitment under the forward purchase agreement will be reduced by the amount of such alternative financing.</w:t>
      </w:r>
    </w:p>
    <w:p>
      <w:pPr>
        <w:spacing w:after="0" w:line="31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Business Combination Agreement</w:t>
      </w:r>
    </w:p>
    <w:p>
      <w:pPr>
        <w:spacing w:after="0" w:line="170"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On February 10, 2021, the Company announced that it executed an Agreement and Plan of Merger (the “Merger Agreement”) with Mount Sinai Genomics, Inc., a Delaware corporation, d/b/a Sema4 (“Sema4”) and the other parties thereto (the transactions contemplated by the Merger Agreement, including the Merger (as defined below), the “Business Combination”). Specifically, the Company entered into the Merger Agreement with Sema4 and S-IV Sub, Inc., a Delaware corporation incorporated on February 1, 2021 and a direct, wholly-owned subsidiary of the Company (“Merger Sub”). Pursuant to the terms of the Merger Agreement, the Company will acquire Sema4through the merger of Merger Sub with and into Sema4, with Sema4 surviving as a wholly-owned subsidiary of the Company (the “Merger”)</w:t>
      </w:r>
    </w:p>
    <w:p>
      <w:pPr>
        <w:spacing w:after="0" w:line="14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Business Combination is expected to close in the second quarter of 2021, following the receipt of the required approval by the Company’s stockholders and the satisfaction of certain other customary closing conditions.</w:t>
      </w:r>
    </w:p>
    <w:p>
      <w:pPr>
        <w:spacing w:after="0" w:line="12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At the effective time of the Merger (the “Effective Time”), each share of Sema4 class B common stock, par value $0.00001 per share (“Sema4 Class B Common Stock”) issued and outstanding as of immediately prior to the Effective Time will be converted into 1/100th of a share of Sema4 class A common stock, par value $0.00001 per share (“Sema4 Class A Common Stock”, together with Sema4 Class B Common Stock, “Sema4 Common Stock”) in accordance with Sema4’s organizational documents.</w:t>
      </w:r>
    </w:p>
    <w:p>
      <w:pPr>
        <w:spacing w:after="0" w:line="13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Immediately thereafter, each share of Sema4 Common Stock and Sema4’s series A-1 preferred stock, series A-2 preferred stock, series B preferred stock and series C preferred stock (collectively, “Sema4 Capital Stock”) issued and outstanding immediately prior to the Effective Time (other than Excluded Shares and Dissenting Shares (each as defined in the Merger Agreement)) will be converted into the right to receive a portion of the total closing merger consideration, with each Sema4 stockholder being entitled to receive the following:</w:t>
      </w:r>
    </w:p>
    <w:p>
      <w:pPr>
        <w:spacing w:after="0" w:line="138" w:lineRule="exact"/>
        <w:rPr>
          <w:sz w:val="20"/>
          <w:szCs w:val="20"/>
          <w:color w:val="auto"/>
        </w:rPr>
      </w:pPr>
    </w:p>
    <w:p>
      <w:pPr>
        <w:jc w:val="both"/>
        <w:ind w:firstLine="324"/>
        <w:spacing w:after="0" w:line="255" w:lineRule="auto"/>
        <w:tabs>
          <w:tab w:leader="none" w:pos="633"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if such stockholder has made a cash election as set forth and in accordance with the terms of the Merger Agreement, a portion of the specified aggregate amount of cash consideration payable under the terms of the Merger Agreement (such aggregate amount not to exceed $343,000,000) and pursuant to the terms of such stockholder’s cash election; and</w:t>
      </w:r>
    </w:p>
    <w:p>
      <w:pPr>
        <w:spacing w:after="0" w:line="135" w:lineRule="exact"/>
        <w:rPr>
          <w:rFonts w:ascii="Arial" w:cs="Arial" w:eastAsia="Arial" w:hAnsi="Arial"/>
          <w:sz w:val="18"/>
          <w:szCs w:val="18"/>
          <w:color w:val="auto"/>
        </w:rPr>
      </w:pPr>
    </w:p>
    <w:p>
      <w:pPr>
        <w:jc w:val="both"/>
        <w:ind w:firstLine="324"/>
        <w:spacing w:after="0" w:line="277" w:lineRule="auto"/>
        <w:tabs>
          <w:tab w:leader="none" w:pos="63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 xml:space="preserve">a number of shares of common stock, par value $0.0001 per share, of the Company (the “Common Stock”) equal to the quotient of: (i) (A) the product of (x) such stockholder's total shares of Sema4 Capital Stock multiplied by (y) the per share amount calculated in accordance with the Merger Agreement </w:t>
      </w:r>
      <w:r>
        <w:rPr>
          <w:rFonts w:ascii="Arial" w:cs="Arial" w:eastAsia="Arial" w:hAnsi="Arial"/>
          <w:sz w:val="17"/>
          <w:szCs w:val="17"/>
          <w:i w:val="1"/>
          <w:iCs w:val="1"/>
          <w:color w:val="auto"/>
        </w:rPr>
        <w:t>minus</w:t>
      </w:r>
      <w:r>
        <w:rPr>
          <w:rFonts w:ascii="Arial" w:cs="Arial" w:eastAsia="Arial" w:hAnsi="Arial"/>
          <w:sz w:val="17"/>
          <w:szCs w:val="17"/>
          <w:color w:val="auto"/>
        </w:rPr>
        <w:t xml:space="preserve"> (B) the amount of cash payable to such stockholder pursuant to its cash election, if any, divided by (ii) $10.</w:t>
      </w:r>
    </w:p>
    <w:p>
      <w:pPr>
        <w:spacing w:after="0" w:line="11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addition, at the Effective Time, each outstanding option to purchase Sema4 Capital Stock, each outstanding and unsettled restricted stock unit in respect of shares of Sema4 Capital Stock and each outstanding stock appreciation right will be rolled over into options to purchase Common Stock, restricted stock units in respect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F-75</w:t>
      </w:r>
    </w:p>
    <w:p>
      <w:pPr>
        <w:sectPr>
          <w:pgSz w:w="11900" w:h="16838" w:orient="portrait"/>
          <w:cols w:equalWidth="0" w:num="1">
            <w:col w:w="11240"/>
          </w:cols>
          <w:pgMar w:left="320" w:top="121" w:right="339" w:bottom="1440" w:gutter="0" w:footer="0" w:header="0"/>
        </w:sectPr>
      </w:pPr>
    </w:p>
    <w:bookmarkStart w:id="247" w:name="page248"/>
    <w:bookmarkEnd w:id="247"/>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Common Stock and stock appreciation rights in respect of Common Stock, all as further set forth in and in accordance with the terms of the Merger Agreement.</w:t>
      </w:r>
    </w:p>
    <w:p>
      <w:pPr>
        <w:spacing w:after="0" w:line="12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In addition to the payment of cash, issuance of Common Stock and rollover of other Sema4 equity awards described above as of the Effective Time, in the event that the closing sale price of Common Stock exceeds certain price thresholds for 20 out of any 30 consecutive trading days during the period of time commencing upon the expiration of the lock-up period applicable to the Sponsor under the Letter Agreement, dated as of August 27, 2021, by and among the Company, Sponsor and each of the executive officers and directors of the Company and ending on the second anniversary of the closing of the Merger, an additional number of shares equal to an amount up to an aggregate of 11% of the shares of Common Stock that would have been issuable upon closing of the Merger to the stockholders of the Company if no cash elections were made and the closing cash payment amount under the Merger Agreement was $0.00 (the "Earn-Out Shares") shall become issuable, in accordance with the terms of the Merger Agreement following the achievement of those certain price thresholds, to the stockholders of Sema4 as of immediately prior to the closing of the Merger; provided that the board of directors of Sema4 (or a duly authorized committee thereof) may, prior to the closing of the Merger, allocate a portion of such Earn-Out Shares to be issued to service providers of Sema4 in the form of restricted stock units of the Company.</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Sponsor Support Agreement</w:t>
      </w:r>
    </w:p>
    <w:p>
      <w:pPr>
        <w:spacing w:after="0" w:line="170"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On February 10, 2021, the Company entered into a Sponsor Support Agreement with the Sponsor and Sema4, whereby Sponsor has agreed to, among other things, (a) vote at any meeting of the stockholders of the Company all of their shares of capital stock of the Company held of record or thereafter acquired in favor of the Stockholder Approvals (as defined in the Merger Agreement), (b) be bound by certain other covenants and agreements related to the Business Combination and (c) be bound by certain transfer restrictions with respect to such securities, prior to the closing of the Business Combination, in each case, on the terms and subject to the conditions set forth in the Sponsor Support Agreement. On February 10, 2021, concurrently with the execution of the Merger Agreement, the Company entered into subscription agreements (collectively, the “Subscription Agreements”) with certain investors (collectively, the “PIPE Investors” which include certain existing equity holders of Sema4), pursuant to, and on the terms and subject to the conditions of which, the PIPE Investors have collectively subscribed for 35,000,000 shares of our common stock for an aggregate purchase price equal to $350,000,000 (the “PIPE Investment”). The PIPE Investment will be consummated immediately prior to the closing of the Sema4Business Combination. The Subscription Agreements provide for certain customary registration rights for the PIPE Investors. The Subscription Agreements will terminate with no further force and effect upon the earliest to occur of: (a) such date and time as the Merger Agreement is terminated in accordance with its terms; (b) the mutual written agreement of the parties to such Subscription Agreement; and (c) November 9, 2021.</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STOCKHOLDERS’ EQUITY</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b w:val="1"/>
          <w:bCs w:val="1"/>
          <w:i w:val="1"/>
          <w:iCs w:val="1"/>
          <w:color w:val="auto"/>
        </w:rPr>
        <w:t xml:space="preserve">Preferred Stock </w:t>
      </w:r>
      <w:r>
        <w:rPr>
          <w:rFonts w:ascii="Arial" w:cs="Arial" w:eastAsia="Arial" w:hAnsi="Arial"/>
          <w:sz w:val="18"/>
          <w:szCs w:val="18"/>
          <w:color w:val="auto"/>
        </w:rPr>
        <w:t>— The Company is authorized to issue 1,000,000 shares of preferred stock with a par value of $0.0001 per share with such designations,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voting and other rights and preferences as may be determined from time to time by the Company’s board of directors. At March 31, 2021 and December 31, 2020, there were no shares of preferred stock issued or outstanding.</w:t>
      </w:r>
    </w:p>
    <w:p>
      <w:pPr>
        <w:spacing w:after="0" w:line="13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b w:val="1"/>
          <w:bCs w:val="1"/>
          <w:i w:val="1"/>
          <w:iCs w:val="1"/>
          <w:color w:val="auto"/>
        </w:rPr>
        <w:t xml:space="preserve">Class A Common Stock </w:t>
      </w:r>
      <w:r>
        <w:rPr>
          <w:rFonts w:ascii="Arial" w:cs="Arial" w:eastAsia="Arial" w:hAnsi="Arial"/>
          <w:sz w:val="18"/>
          <w:szCs w:val="18"/>
          <w:color w:val="auto"/>
        </w:rPr>
        <w:t>— The Company is authorized to issue 380,000,000 shares of Class A common stock with a par value of $0.0001 per share.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Class A common stock are entitled to one vote for each share. At March 31, 2021 and December 31, 2020, there were 14,800,205 and 8,953,013 shares of Class A common stock issued or outstanding, excluding 29,474,795 and 35,321,987 shares of Class A common stock subject to possible redemption, respectively.</w:t>
      </w:r>
    </w:p>
    <w:p>
      <w:pPr>
        <w:spacing w:after="0" w:line="13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b w:val="1"/>
          <w:bCs w:val="1"/>
          <w:i w:val="1"/>
          <w:iCs w:val="1"/>
          <w:color w:val="auto"/>
        </w:rPr>
        <w:t xml:space="preserve">Class B Common Stock </w:t>
      </w:r>
      <w:r>
        <w:rPr>
          <w:rFonts w:ascii="Arial" w:cs="Arial" w:eastAsia="Arial" w:hAnsi="Arial"/>
          <w:sz w:val="18"/>
          <w:szCs w:val="18"/>
          <w:color w:val="auto"/>
        </w:rPr>
        <w:t>— The Company is authorized to issue 20,000,000 shares of Class B common stock with a par value of $0.0001 per share.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Class B common stock are entitled to one vote for each share. At March 31, 2021 and December 31, 2020, there were 11,068,750 shares of Class B common stock issued and outstanding.</w:t>
      </w:r>
    </w:p>
    <w:p>
      <w:pPr>
        <w:spacing w:after="0" w:line="13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shares of Class B common stock will automatically convert into Class A common stock concurrently with or immediately following the consummation of the Business Combination, on a one-for-one basis,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F-76</w:t>
      </w:r>
    </w:p>
    <w:p>
      <w:pPr>
        <w:sectPr>
          <w:pgSz w:w="11900" w:h="16838" w:orient="portrait"/>
          <w:cols w:equalWidth="0" w:num="1">
            <w:col w:w="11240"/>
          </w:cols>
          <w:pgMar w:left="320" w:top="121" w:right="339" w:bottom="1440" w:gutter="0" w:footer="0" w:header="0"/>
        </w:sectPr>
      </w:pPr>
    </w:p>
    <w:bookmarkStart w:id="248" w:name="page249"/>
    <w:bookmarkEnd w:id="248"/>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8"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adjustment. In the case that additional shares of Class A common stock, or equity-linked securities, are issued or deemed issued in connection with a Business Combination, the number of shares of Class A common stock issuable upon conversion of all Founder Shares will equal, in the aggregate, on an as-converted basis, 20% of the total number of shares of Class A common stock outstanding after such conversion (after giving effect to any redemptions of shares of Class A common stock by public stockholders), including the total number of shares of Class A common stock issued, or deemed issued or issuable upon conversion or exercise of any equity-linked securities or rights issued or deemed issued, by the Company in connection with or in relation to the consummation of a Business Combination (including the forward purchase shares), excluding any shares of Class A common stock or equity-linked securities or rights exercisable for or convertible into shares of Class A common stock issued, or to be issued, to any seller in a Business Combination and any Private Placement Warrants issued to the Sponsor, officers or directors upon conversion of Working Capital Loans, provided that such conversion of Founder Shares will never occur on a less than one-for-one basis.</w:t>
      </w:r>
    </w:p>
    <w:p>
      <w:pPr>
        <w:spacing w:after="0" w:line="13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b w:val="1"/>
          <w:bCs w:val="1"/>
          <w:i w:val="1"/>
          <w:iCs w:val="1"/>
          <w:color w:val="auto"/>
        </w:rPr>
        <w:t xml:space="preserve">Warrants </w:t>
      </w:r>
      <w:r>
        <w:rPr>
          <w:rFonts w:ascii="Arial" w:cs="Arial" w:eastAsia="Arial" w:hAnsi="Arial"/>
          <w:sz w:val="18"/>
          <w:szCs w:val="18"/>
          <w:color w:val="auto"/>
        </w:rPr>
        <w:t>— Public Warrants may only be exercised for a whole number of shares. No fractional warrants will be issued upon separation of the Units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only whole warrants will trade. The Public Warrants will become exercisable on the later of (a) 30 days after the completion of a Business Combination and (b)</w:t>
      </w:r>
    </w:p>
    <w:p>
      <w:pPr>
        <w:spacing w:after="0" w:line="13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12 months from the closing of the Initial Public Offering. The Public Warrants will expire five years after the completion of a Business Combination or earlier upon redemption or liquidation.</w:t>
      </w:r>
    </w:p>
    <w:p>
      <w:pPr>
        <w:spacing w:after="0" w:line="128"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Company will not be obligated to deliver any shares of Class A common stock pursuant to the exercise of a warrant and will have no obligation to settle such warrant exercise unless a registration statement under the Securities Act with respect to the Class A common stock underlying the warrants is then effective and a prospectus relating thereto is current, subject to the Company satisfying its obligations with respect to registration. No warrant will be exercisable and the Company will not be obligated to issue shares of Class A common stock upon exercise of a warrant unless the share of Class A common stock issuable upon such warrant exercise has been registered, qualified or deemed to be exempt under the securities laws of the state of residence of the registered holder of the warrants.</w:t>
      </w:r>
    </w:p>
    <w:p>
      <w:pPr>
        <w:spacing w:after="0" w:line="143"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The Company has agreed that as soon as practicable, but in no event later than 15 business days, after the closing of a Business Combination, it will use its best efforts to file with the SEC a registration statement for the registration, under the Securities Act, of the Class A common stock issuable upon exercise of the Public Warrants. The Company will use its best efforts to cause the same to become effective and to maintain the effectiveness of such registration statement, and a current prospectus relating thereto, until the expiration of the Public Warrants in accordance with the provisions of the warrant agreement. If a registration statement covering the shares of Class A common stock issuable upon exercise of the warrants is not effective by the sixtieth (60th) business day after the closing of a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common stock are, at the time of any exercise of a Public Warrant, not listed on a national securities exchange such that they satisfy the definition of a “covered security” under Section 18(b)(1) of the Securities Act, the Company may, at its option, require holders of Public Warrants who exercise their Public Warrants to do so on a “cashless basis” in accordance with Section 3(a)(9) of the Securities Act and, in the event the Company so elects, the Company will not be required to file or maintain in effect a registration statement, and in the event the Company does not so elect, it will use its best efforts to register or qualify the shares under applicable blue sky laws to the extent an exemption is not available.</w:t>
      </w:r>
    </w:p>
    <w:p>
      <w:pPr>
        <w:spacing w:after="0" w:line="130" w:lineRule="exact"/>
        <w:rPr>
          <w:sz w:val="20"/>
          <w:szCs w:val="20"/>
          <w:color w:val="auto"/>
        </w:rPr>
      </w:pPr>
    </w:p>
    <w:p>
      <w:pPr>
        <w:ind w:left="320"/>
        <w:spacing w:after="0"/>
        <w:rPr>
          <w:sz w:val="20"/>
          <w:szCs w:val="20"/>
          <w:color w:val="auto"/>
        </w:rPr>
      </w:pPr>
      <w:r>
        <w:rPr>
          <w:rFonts w:ascii="Arial" w:cs="Arial" w:eastAsia="Arial" w:hAnsi="Arial"/>
          <w:sz w:val="15"/>
          <w:szCs w:val="15"/>
          <w:i w:val="1"/>
          <w:iCs w:val="1"/>
          <w:color w:val="auto"/>
        </w:rPr>
        <w:t xml:space="preserve">Redemption of Warrants When the Price per Share of Class A Common Stock Equals or Exceeds $18.00 — </w:t>
      </w:r>
      <w:r>
        <w:rPr>
          <w:rFonts w:ascii="Arial" w:cs="Arial" w:eastAsia="Arial" w:hAnsi="Arial"/>
          <w:sz w:val="15"/>
          <w:szCs w:val="15"/>
          <w:color w:val="auto"/>
        </w:rPr>
        <w:t>Once the warrants become exercisable, the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Company may redeem the outstanding Public Warrants:</w:t>
      </w:r>
    </w:p>
    <w:p>
      <w:pPr>
        <w:spacing w:after="0" w:line="153" w:lineRule="exact"/>
        <w:rPr>
          <w:sz w:val="20"/>
          <w:szCs w:val="20"/>
          <w:color w:val="auto"/>
        </w:rPr>
      </w:pPr>
    </w:p>
    <w:p>
      <w:pPr>
        <w:ind w:left="640" w:hanging="316"/>
        <w:spacing w:after="0"/>
        <w:tabs>
          <w:tab w:leader="none" w:pos="6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at a price of $0.01 per Public Warrant;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F-77</w:t>
      </w:r>
    </w:p>
    <w:p>
      <w:pPr>
        <w:sectPr>
          <w:pgSz w:w="11900" w:h="16838" w:orient="portrait"/>
          <w:cols w:equalWidth="0" w:num="1">
            <w:col w:w="11240"/>
          </w:cols>
          <w:pgMar w:left="320" w:top="121" w:right="339" w:bottom="1440" w:gutter="0" w:footer="0" w:header="0"/>
        </w:sectPr>
      </w:pPr>
    </w:p>
    <w:bookmarkStart w:id="249" w:name="page250"/>
    <w:bookmarkEnd w:id="249"/>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8" w:lineRule="exact"/>
        <w:rPr>
          <w:sz w:val="20"/>
          <w:szCs w:val="20"/>
          <w:color w:val="auto"/>
        </w:rPr>
      </w:pPr>
    </w:p>
    <w:p>
      <w:pPr>
        <w:jc w:val="both"/>
        <w:ind w:left="640" w:hanging="316"/>
        <w:spacing w:after="0" w:line="255" w:lineRule="auto"/>
        <w:tabs>
          <w:tab w:leader="none" w:pos="63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if, and only if, the reported last sale price of the Company’s Class A common stock equals or exceeds $18.00 per share (as adjusted for stock splits, stock dividends, reorganizations, recapitalizations and the like) for any 20 trading days within a 30-trading day period ending on the third trading day prior to the date on which the Company sends the notice of redemption to the warrant holders.</w:t>
      </w:r>
    </w:p>
    <w:p>
      <w:pPr>
        <w:spacing w:after="0" w:line="135"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5"/>
          <w:szCs w:val="15"/>
          <w:i w:val="1"/>
          <w:iCs w:val="1"/>
          <w:color w:val="auto"/>
        </w:rPr>
        <w:t xml:space="preserve">Redemption of Warrants When the Price per Share of Class A Common Stock Equals or Exceeds $10.00 — </w:t>
      </w:r>
      <w:r>
        <w:rPr>
          <w:rFonts w:ascii="Arial" w:cs="Arial" w:eastAsia="Arial" w:hAnsi="Arial"/>
          <w:sz w:val="15"/>
          <w:szCs w:val="15"/>
          <w:color w:val="auto"/>
        </w:rPr>
        <w:t>Once the warrants become exercisable, the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Company may redeem the outstanding warrants:</w:t>
      </w:r>
    </w:p>
    <w:p>
      <w:pPr>
        <w:spacing w:after="0" w:line="153" w:lineRule="exact"/>
        <w:rPr>
          <w:sz w:val="20"/>
          <w:szCs w:val="20"/>
          <w:color w:val="auto"/>
        </w:rPr>
      </w:pPr>
    </w:p>
    <w:p>
      <w:pPr>
        <w:ind w:left="640" w:hanging="316"/>
        <w:spacing w:after="0"/>
        <w:tabs>
          <w:tab w:leader="none" w:pos="6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64" w:lineRule="exact"/>
        <w:rPr>
          <w:rFonts w:ascii="Arial" w:cs="Arial" w:eastAsia="Arial" w:hAnsi="Arial"/>
          <w:sz w:val="18"/>
          <w:szCs w:val="18"/>
          <w:color w:val="auto"/>
        </w:rPr>
      </w:pPr>
    </w:p>
    <w:p>
      <w:pPr>
        <w:ind w:left="640" w:hanging="316"/>
        <w:spacing w:after="0" w:line="365" w:lineRule="auto"/>
        <w:tabs>
          <w:tab w:leader="none" w:pos="635" w:val="left"/>
        </w:tabs>
        <w:numPr>
          <w:ilvl w:val="0"/>
          <w:numId w:val="108"/>
        </w:numPr>
        <w:rPr>
          <w:rFonts w:ascii="Arial" w:cs="Arial" w:eastAsia="Arial" w:hAnsi="Arial"/>
          <w:sz w:val="15"/>
          <w:szCs w:val="15"/>
          <w:color w:val="auto"/>
        </w:rPr>
      </w:pPr>
      <w:r>
        <w:rPr>
          <w:rFonts w:ascii="Arial" w:cs="Arial" w:eastAsia="Arial" w:hAnsi="Arial"/>
          <w:sz w:val="15"/>
          <w:szCs w:val="15"/>
          <w:color w:val="auto"/>
        </w:rPr>
        <w:t>at a price of $0.10 per warrant provided that holders will be able to exercise their warrants prior to redemption and receive that number of shares of Class A common stock determined based on the redemption date and the “fair market value” of the Company’s Class A common stock;</w:t>
      </w:r>
    </w:p>
    <w:p>
      <w:pPr>
        <w:spacing w:after="0" w:line="58" w:lineRule="exact"/>
        <w:rPr>
          <w:rFonts w:ascii="Arial" w:cs="Arial" w:eastAsia="Arial" w:hAnsi="Arial"/>
          <w:sz w:val="15"/>
          <w:szCs w:val="15"/>
          <w:color w:val="auto"/>
        </w:rPr>
      </w:pPr>
    </w:p>
    <w:p>
      <w:pPr>
        <w:ind w:left="640" w:hanging="316"/>
        <w:spacing w:after="0"/>
        <w:tabs>
          <w:tab w:leader="none" w:pos="6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w:t>
      </w:r>
    </w:p>
    <w:p>
      <w:pPr>
        <w:spacing w:after="0" w:line="164"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if, and only if, the last reported sale price of the Company’s Class A common stock equals or exceeds $10.00 per share (as adjusted for stock splits, stock dividends, reorganizations, recapitalizations and the like) on the trading day prior to the date on which the Company sends the notice of redemption to the warrant holders;</w:t>
      </w:r>
    </w:p>
    <w:p>
      <w:pPr>
        <w:spacing w:after="0" w:line="135" w:lineRule="exact"/>
        <w:rPr>
          <w:rFonts w:ascii="Arial" w:cs="Arial" w:eastAsia="Arial" w:hAnsi="Arial"/>
          <w:sz w:val="18"/>
          <w:szCs w:val="18"/>
          <w:color w:val="auto"/>
        </w:rPr>
      </w:pPr>
    </w:p>
    <w:p>
      <w:pPr>
        <w:ind w:left="640" w:hanging="316"/>
        <w:spacing w:after="0" w:line="365" w:lineRule="auto"/>
        <w:tabs>
          <w:tab w:leader="none" w:pos="635" w:val="left"/>
        </w:tabs>
        <w:numPr>
          <w:ilvl w:val="0"/>
          <w:numId w:val="108"/>
        </w:numPr>
        <w:rPr>
          <w:rFonts w:ascii="Arial" w:cs="Arial" w:eastAsia="Arial" w:hAnsi="Arial"/>
          <w:sz w:val="15"/>
          <w:szCs w:val="15"/>
          <w:color w:val="auto"/>
        </w:rPr>
      </w:pPr>
      <w:r>
        <w:rPr>
          <w:rFonts w:ascii="Arial" w:cs="Arial" w:eastAsia="Arial" w:hAnsi="Arial"/>
          <w:sz w:val="15"/>
          <w:szCs w:val="15"/>
          <w:color w:val="auto"/>
        </w:rPr>
        <w:t>if, and only if, there is an effective registration statement covering the issuance of the shares of Class A common stock issuable upon exercise of the warrants and a current prospectus relating thereto is available throughout the 30-day period after the written notice of redemption is given.</w:t>
      </w:r>
    </w:p>
    <w:p>
      <w:pPr>
        <w:spacing w:after="0" w:line="58"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In addition, if (x) the Company issues additional shares of Class A common stock or equity-linked securities for capital raising purposes in connection with the closing of a Business Combination at an issue price or effective issue price of less than $9.20 per share of Class A common stock (with such issue price or effective issue price to be determined in good faith by the Company's board of directors, and, in the case of any such issuance to the Sponsor or its affiliates, without taking into account any Founder Shares held by the Sponsor or its affiliates, as applicable, prior to such issuance) (the "Newly Issued Price"), (y) the aggregate gross proceeds from such issuances represent more than 60% of the total equity proceeds, and interest thereon, available for the funding of a Business Combination on the date of the completion of a Business Combination (net of redemptions), and (z) the volume weighted average trading price of the Company's Class A common stock during the 20 trading day period starting on the trading day after the day on which the Company completes a Business Combination (such price, the "Market Value") is below $9.20 per share, the exercise price of the warrants will be adjusted (to the nearest cent) to be equal to 115% of the higher of the Market Value and the Newly Issued Price, the $18.00 per share redemption trigger price will be adjusted (to the nearest cent) to be equal to 180% of the higher of the Market Value and the Newly Issued Price, and the $10.00 per share redemption trigger price will be adjusted (to the nearest cent) to be equal to the higher of the Market Value and the Newly Issued Price.</w:t>
      </w:r>
    </w:p>
    <w:p>
      <w:pPr>
        <w:spacing w:after="0" w:line="321"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The Private Placement Warrants are identical to the Public Warrants underlying the Units sold in the Initial Public Offering, except that (1) the Private Placement Warrants and the Class A common stock issuable upon the exercise of the Private Placement Warrants will not be transferable, assignable or saleable until 30 days after the completion of a Business Combination, subject to certain limited exceptions, (2) the Private Placement Warrants will be exercisable on a cashless basis, (3) the Private Placement Warrants will be non-redeemable (except as described above in "Redemption of Warrants When the Price per Share of Class A Common Stock Equals or Exceeds $10.00") so long as they are held by the initial purchasers or their permitted transferees, and (4) the holders of the Private Placement Warrants and the Class A common stock issuable upon the exercise of the Private Placement Warrants will have certain registration rights.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F-78</w:t>
      </w:r>
    </w:p>
    <w:p>
      <w:pPr>
        <w:sectPr>
          <w:pgSz w:w="11900" w:h="16838" w:orient="portrait"/>
          <w:cols w:equalWidth="0" w:num="1">
            <w:col w:w="11240"/>
          </w:cols>
          <w:pgMar w:left="320" w:top="121" w:right="339" w:bottom="1440" w:gutter="0" w:footer="0" w:header="0"/>
        </w:sectPr>
      </w:pPr>
    </w:p>
    <w:bookmarkStart w:id="250" w:name="page251"/>
    <w:bookmarkEnd w:id="250"/>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FAIR VALUE MEASUREMENTS</w:t>
      </w:r>
    </w:p>
    <w:p>
      <w:pPr>
        <w:spacing w:after="0" w:line="170"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143" w:lineRule="exact"/>
        <w:rPr>
          <w:sz w:val="20"/>
          <w:szCs w:val="20"/>
          <w:color w:val="auto"/>
        </w:rPr>
      </w:pPr>
    </w:p>
    <w:p>
      <w:pPr>
        <w:ind w:left="960" w:hanging="635"/>
        <w:spacing w:after="0" w:line="294" w:lineRule="auto"/>
        <w:rPr>
          <w:sz w:val="20"/>
          <w:szCs w:val="20"/>
          <w:color w:val="auto"/>
        </w:rPr>
      </w:pPr>
      <w:r>
        <w:rPr>
          <w:rFonts w:ascii="Arial" w:cs="Arial" w:eastAsia="Arial" w:hAnsi="Arial"/>
          <w:sz w:val="17"/>
          <w:szCs w:val="17"/>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04" w:lineRule="exact"/>
        <w:rPr>
          <w:sz w:val="20"/>
          <w:szCs w:val="20"/>
          <w:color w:val="auto"/>
        </w:rPr>
      </w:pPr>
    </w:p>
    <w:p>
      <w:pPr>
        <w:ind w:left="960" w:hanging="635"/>
        <w:spacing w:after="0" w:line="264" w:lineRule="auto"/>
        <w:rPr>
          <w:sz w:val="20"/>
          <w:szCs w:val="20"/>
          <w:color w:val="auto"/>
        </w:rPr>
      </w:pPr>
      <w:r>
        <w:rPr>
          <w:rFonts w:ascii="Arial" w:cs="Arial" w:eastAsia="Arial" w:hAnsi="Arial"/>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Level 3: Unobservable inputs based on our assessment of the assumptions that market participants would use in pricing the asset or liability.</w:t>
      </w:r>
    </w:p>
    <w:p>
      <w:pPr>
        <w:spacing w:after="0" w:line="17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At March 31, 2021 and December 31, 2020, assets held in the Trust Account were comprised of $442,774,870 and $442,763,951 in money market funds which are invested primarily in U.S. Treasury Securities, respectively. During the three months ended March 31, 2021 and the year ended December 31, 2020, the Company did not withdraw any interest income from the Trust Account.</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presents information about the Company’s assets that are measured at fair value on a recurring basis at March 31, 2021 and</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and indicates the fair value hierarchy of the valuation inputs the Company utilized to determine such fair value: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vMerge w:val="restart"/>
          </w:tcPr>
          <w:p>
            <w:pPr>
              <w:ind w:left="2760"/>
              <w:spacing w:after="0"/>
              <w:rPr>
                <w:sz w:val="20"/>
                <w:szCs w:val="20"/>
                <w:color w:val="auto"/>
              </w:rPr>
            </w:pPr>
            <w:r>
              <w:rPr>
                <w:rFonts w:ascii="Arial" w:cs="Arial" w:eastAsia="Arial" w:hAnsi="Arial"/>
                <w:sz w:val="14"/>
                <w:szCs w:val="14"/>
                <w:b w:val="1"/>
                <w:bCs w:val="1"/>
                <w:color w:val="auto"/>
              </w:rPr>
              <w:t>Description</w:t>
            </w:r>
          </w:p>
        </w:tc>
        <w:tc>
          <w:tcPr>
            <w:tcW w:w="120" w:type="dxa"/>
            <w:vAlign w:val="bottom"/>
            <w:vMerge w:val="restart"/>
          </w:tcPr>
          <w:p>
            <w:pPr>
              <w:spacing w:after="0"/>
              <w:rPr>
                <w:sz w:val="14"/>
                <w:szCs w:val="14"/>
                <w:color w:val="auto"/>
              </w:rPr>
            </w:pPr>
          </w:p>
        </w:tc>
        <w:tc>
          <w:tcPr>
            <w:tcW w:w="1560" w:type="dxa"/>
            <w:vAlign w:val="bottom"/>
            <w:vMerge w:val="restart"/>
          </w:tcPr>
          <w:p>
            <w:pPr>
              <w:jc w:val="right"/>
              <w:ind w:right="541"/>
              <w:spacing w:after="0"/>
              <w:rPr>
                <w:sz w:val="20"/>
                <w:szCs w:val="20"/>
                <w:color w:val="auto"/>
              </w:rPr>
            </w:pPr>
            <w:r>
              <w:rPr>
                <w:rFonts w:ascii="Arial" w:cs="Arial" w:eastAsia="Arial" w:hAnsi="Arial"/>
                <w:sz w:val="14"/>
                <w:szCs w:val="14"/>
                <w:b w:val="1"/>
                <w:bCs w:val="1"/>
                <w:color w:val="auto"/>
              </w:rPr>
              <w:t>Level</w:t>
            </w:r>
          </w:p>
        </w:tc>
        <w:tc>
          <w:tcPr>
            <w:tcW w:w="120" w:type="dxa"/>
            <w:vAlign w:val="bottom"/>
            <w:vMerge w:val="restart"/>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March 31,</w:t>
            </w:r>
          </w:p>
        </w:tc>
        <w:tc>
          <w:tcPr>
            <w:tcW w:w="240" w:type="dxa"/>
            <w:vAlign w:val="bottom"/>
          </w:tcPr>
          <w:p>
            <w:pPr>
              <w:spacing w:after="0"/>
              <w:rPr>
                <w:sz w:val="14"/>
                <w:szCs w:val="14"/>
                <w:color w:val="auto"/>
              </w:rPr>
            </w:pPr>
          </w:p>
        </w:tc>
        <w:tc>
          <w:tcPr>
            <w:tcW w:w="1320" w:type="dxa"/>
            <w:vAlign w:val="bottom"/>
          </w:tcPr>
          <w:p>
            <w:pPr>
              <w:jc w:val="center"/>
              <w:ind w:right="163"/>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6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9"/>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320" w:type="dxa"/>
            <w:vAlign w:val="bottom"/>
            <w:gridSpan w:val="2"/>
          </w:tcPr>
          <w:p>
            <w:pPr>
              <w:ind w:left="20"/>
              <w:spacing w:after="0"/>
              <w:rPr>
                <w:sz w:val="20"/>
                <w:szCs w:val="20"/>
                <w:color w:val="auto"/>
              </w:rPr>
            </w:pPr>
            <w:r>
              <w:rPr>
                <w:rFonts w:ascii="Arial" w:cs="Arial" w:eastAsia="Arial" w:hAnsi="Arial"/>
                <w:sz w:val="18"/>
                <w:szCs w:val="18"/>
                <w:color w:val="auto"/>
                <w:w w:val="96"/>
              </w:rPr>
              <w:t>Investments held in Trust Account – U.S. Treasury Securities Money Market Fund</w:t>
            </w:r>
          </w:p>
        </w:tc>
        <w:tc>
          <w:tcPr>
            <w:tcW w:w="15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
              <w:spacing w:after="0"/>
              <w:rPr>
                <w:sz w:val="20"/>
                <w:szCs w:val="20"/>
                <w:color w:val="auto"/>
              </w:rPr>
            </w:pPr>
            <w:r>
              <w:rPr>
                <w:rFonts w:ascii="Arial" w:cs="Arial" w:eastAsia="Arial" w:hAnsi="Arial"/>
                <w:sz w:val="18"/>
                <w:szCs w:val="18"/>
                <w:color w:val="auto"/>
              </w:rPr>
              <w:t>442,774,870</w:t>
            </w:r>
          </w:p>
        </w:tc>
        <w:tc>
          <w:tcPr>
            <w:tcW w:w="12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442,763,951</w:t>
            </w:r>
          </w:p>
        </w:tc>
        <w:tc>
          <w:tcPr>
            <w:tcW w:w="0" w:type="dxa"/>
            <w:vAlign w:val="bottom"/>
          </w:tcPr>
          <w:p>
            <w:pPr>
              <w:spacing w:after="0"/>
              <w:rPr>
                <w:sz w:val="1"/>
                <w:szCs w:val="1"/>
                <w:color w:val="auto"/>
              </w:rPr>
            </w:pPr>
          </w:p>
        </w:tc>
      </w:tr>
    </w:tbl>
    <w:p>
      <w:pPr>
        <w:spacing w:after="0" w:line="24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presents information about the Company’s liabilities that are measured at fair value on a recurring basis at March 31, 2021 and</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and indicates the fair value hierarchy of the valuation inputs the Company utilized to determine such fair value: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vMerge w:val="restart"/>
          </w:tcPr>
          <w:p>
            <w:pPr>
              <w:ind w:left="2800"/>
              <w:spacing w:after="0"/>
              <w:rPr>
                <w:sz w:val="20"/>
                <w:szCs w:val="20"/>
                <w:color w:val="auto"/>
              </w:rPr>
            </w:pPr>
            <w:r>
              <w:rPr>
                <w:rFonts w:ascii="Arial" w:cs="Arial" w:eastAsia="Arial" w:hAnsi="Arial"/>
                <w:sz w:val="14"/>
                <w:szCs w:val="14"/>
                <w:b w:val="1"/>
                <w:bCs w:val="1"/>
                <w:color w:val="auto"/>
              </w:rPr>
              <w:t>Description</w:t>
            </w:r>
          </w:p>
        </w:tc>
        <w:tc>
          <w:tcPr>
            <w:tcW w:w="80" w:type="dxa"/>
            <w:vAlign w:val="bottom"/>
            <w:vMerge w:val="restart"/>
          </w:tcPr>
          <w:p>
            <w:pPr>
              <w:spacing w:after="0"/>
              <w:rPr>
                <w:sz w:val="14"/>
                <w:szCs w:val="14"/>
                <w:color w:val="auto"/>
              </w:rPr>
            </w:pPr>
          </w:p>
        </w:tc>
        <w:tc>
          <w:tcPr>
            <w:tcW w:w="1560" w:type="dxa"/>
            <w:vAlign w:val="bottom"/>
            <w:vMerge w:val="restart"/>
          </w:tcPr>
          <w:p>
            <w:pPr>
              <w:jc w:val="right"/>
              <w:ind w:right="518"/>
              <w:spacing w:after="0"/>
              <w:rPr>
                <w:sz w:val="20"/>
                <w:szCs w:val="20"/>
                <w:color w:val="auto"/>
              </w:rPr>
            </w:pPr>
            <w:r>
              <w:rPr>
                <w:rFonts w:ascii="Arial" w:cs="Arial" w:eastAsia="Arial" w:hAnsi="Arial"/>
                <w:sz w:val="14"/>
                <w:szCs w:val="14"/>
                <w:b w:val="1"/>
                <w:bCs w:val="1"/>
                <w:color w:val="auto"/>
              </w:rPr>
              <w:t>Level</w:t>
            </w:r>
          </w:p>
        </w:tc>
        <w:tc>
          <w:tcPr>
            <w:tcW w:w="10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1320" w:type="dxa"/>
            <w:vAlign w:val="bottom"/>
          </w:tcPr>
          <w:p>
            <w:pPr>
              <w:jc w:val="right"/>
              <w:ind w:right="28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62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9"/>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Warrant Liability – Public Warrants</w:t>
            </w:r>
          </w:p>
        </w:tc>
        <w:tc>
          <w:tcPr>
            <w:tcW w:w="15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76,448,164</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40,290,250</w:t>
            </w:r>
          </w:p>
        </w:tc>
        <w:tc>
          <w:tcPr>
            <w:tcW w:w="0" w:type="dxa"/>
            <w:vAlign w:val="bottom"/>
          </w:tcPr>
          <w:p>
            <w:pPr>
              <w:spacing w:after="0"/>
              <w:rPr>
                <w:sz w:val="1"/>
                <w:szCs w:val="1"/>
                <w:color w:val="auto"/>
              </w:rPr>
            </w:pPr>
          </w:p>
        </w:tc>
      </w:tr>
      <w:tr>
        <w:trPr>
          <w:trHeight w:val="226"/>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Warrant Liability – Private Placement Warrants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50,511,936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30,032,168</w:t>
            </w:r>
          </w:p>
        </w:tc>
        <w:tc>
          <w:tcPr>
            <w:tcW w:w="0" w:type="dxa"/>
            <w:vAlign w:val="bottom"/>
          </w:tcPr>
          <w:p>
            <w:pPr>
              <w:spacing w:after="0"/>
              <w:rPr>
                <w:sz w:val="1"/>
                <w:szCs w:val="1"/>
                <w:color w:val="auto"/>
              </w:rPr>
            </w:pPr>
          </w:p>
        </w:tc>
      </w:tr>
    </w:tbl>
    <w:p>
      <w:pPr>
        <w:spacing w:after="0" w:line="226"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Warrants were accounted for as liabilities in accordance with ASC 815-40 and are presented within warrant liabilities on the accompanying balance sheets. The warrant liabilities are measured at fair value at inception and on a recurring basis, with changes in fair value presented within the change in fair value of warrant liabilities in the statement of operations. There were no transfers between levels for the three months ended March 31, 2021.</w:t>
      </w:r>
    </w:p>
    <w:p>
      <w:pPr>
        <w:spacing w:after="0" w:line="8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Level 3 financial liabilities consist of the Private Placement Warrant liability for which there is no current market for these securities such that the determination of fair value requires significant judgment or estimation.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F-79</w:t>
      </w:r>
    </w:p>
    <w:p>
      <w:pPr>
        <w:sectPr>
          <w:pgSz w:w="11900" w:h="16838" w:orient="portrait"/>
          <w:cols w:equalWidth="0" w:num="1">
            <w:col w:w="11240"/>
          </w:cols>
          <w:pgMar w:left="320" w:top="121" w:right="339" w:bottom="1440" w:gutter="0" w:footer="0" w:header="0"/>
        </w:sectPr>
      </w:pPr>
    </w:p>
    <w:bookmarkStart w:id="251" w:name="page252"/>
    <w:bookmarkEnd w:id="251"/>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Changes in fair value measurements categorized within Level 3 of the fair value hierarchy are analyzed each period based on changes in estimates or assumptions and recorded as appropriate.</w:t>
      </w:r>
    </w:p>
    <w:p>
      <w:pPr>
        <w:spacing w:after="0" w:line="12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fair value of the Private Placement Warrants was estimated at March 31, 2021 and December 31, 2020 to be $2.29 and $4.24, respectively, using the modified Black-Scholes option pricing model and the following assumptions: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right"/>
              <w:ind w:right="33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636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2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1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Price</w:t>
            </w: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14.89</w:t>
            </w:r>
          </w:p>
        </w:tc>
        <w:tc>
          <w:tcPr>
            <w:tcW w:w="10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42.5 %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42.8 %</w:t>
            </w:r>
          </w:p>
        </w:tc>
        <w:tc>
          <w:tcPr>
            <w:tcW w:w="0" w:type="dxa"/>
            <w:vAlign w:val="bottom"/>
          </w:tcPr>
          <w:p>
            <w:pPr>
              <w:spacing w:after="0"/>
              <w:rPr>
                <w:sz w:val="1"/>
                <w:szCs w:val="1"/>
                <w:color w:val="auto"/>
              </w:rPr>
            </w:pPr>
          </w:p>
        </w:tc>
      </w:tr>
      <w:tr>
        <w:trPr>
          <w:trHeight w:val="22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0.96 %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0.42 %</w:t>
            </w:r>
          </w:p>
        </w:tc>
        <w:tc>
          <w:tcPr>
            <w:tcW w:w="0" w:type="dxa"/>
            <w:vAlign w:val="bottom"/>
          </w:tcPr>
          <w:p>
            <w:pPr>
              <w:spacing w:after="0"/>
              <w:rPr>
                <w:sz w:val="1"/>
                <w:szCs w:val="1"/>
                <w:color w:val="auto"/>
              </w:rPr>
            </w:pP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color w:val="auto"/>
              </w:rPr>
              <w:t>Remaining term</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2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Price</w:t>
            </w: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11.50</w:t>
            </w:r>
          </w:p>
        </w:tc>
        <w:tc>
          <w:tcPr>
            <w:tcW w:w="10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463"/>
        </w:trPr>
        <w:tc>
          <w:tcPr>
            <w:tcW w:w="6360" w:type="dxa"/>
            <w:vAlign w:val="bottom"/>
          </w:tcPr>
          <w:p>
            <w:pPr>
              <w:ind w:left="320"/>
              <w:spacing w:after="0"/>
              <w:rPr>
                <w:sz w:val="20"/>
                <w:szCs w:val="20"/>
                <w:color w:val="auto"/>
              </w:rPr>
            </w:pPr>
            <w:r>
              <w:rPr>
                <w:rFonts w:ascii="Arial" w:cs="Arial" w:eastAsia="Arial" w:hAnsi="Arial"/>
                <w:sz w:val="18"/>
                <w:szCs w:val="18"/>
                <w:color w:val="auto"/>
                <w:w w:val="97"/>
              </w:rPr>
              <w:t>The following table presents the changes in the fair value of warrant liabilities:</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6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4"/>
              </w:rPr>
              <w:t>Private Placement</w:t>
            </w:r>
          </w:p>
        </w:tc>
        <w:tc>
          <w:tcPr>
            <w:tcW w:w="100" w:type="dxa"/>
            <w:vAlign w:val="bottom"/>
            <w:vMerge w:val="restart"/>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Public</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jc w:val="right"/>
              <w:ind w:right="438"/>
              <w:spacing w:after="0"/>
              <w:rPr>
                <w:sz w:val="20"/>
                <w:szCs w:val="20"/>
                <w:color w:val="auto"/>
              </w:rPr>
            </w:pPr>
            <w:r>
              <w:rPr>
                <w:rFonts w:ascii="Arial" w:cs="Arial" w:eastAsia="Arial" w:hAnsi="Arial"/>
                <w:sz w:val="14"/>
                <w:szCs w:val="14"/>
                <w:b w:val="1"/>
                <w:bCs w:val="1"/>
                <w:color w:val="auto"/>
              </w:rPr>
              <w:t>Warrant</w:t>
            </w:r>
          </w:p>
        </w:tc>
        <w:tc>
          <w:tcPr>
            <w:tcW w:w="0" w:type="dxa"/>
            <w:vAlign w:val="bottom"/>
          </w:tcPr>
          <w:p>
            <w:pPr>
              <w:spacing w:after="0"/>
              <w:rPr>
                <w:sz w:val="1"/>
                <w:szCs w:val="1"/>
                <w:color w:val="auto"/>
              </w:rPr>
            </w:pPr>
          </w:p>
        </w:tc>
      </w:tr>
      <w:tr>
        <w:trPr>
          <w:trHeight w:val="185"/>
        </w:trPr>
        <w:tc>
          <w:tcPr>
            <w:tcW w:w="63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as of January 1, 2021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30,032,168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40,290,250</w:t>
            </w:r>
          </w:p>
        </w:tc>
        <w:tc>
          <w:tcPr>
            <w:tcW w:w="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70,322,418</w:t>
            </w:r>
          </w:p>
        </w:tc>
        <w:tc>
          <w:tcPr>
            <w:tcW w:w="0" w:type="dxa"/>
            <w:vAlign w:val="bottom"/>
          </w:tcPr>
          <w:p>
            <w:pPr>
              <w:spacing w:after="0"/>
              <w:rPr>
                <w:sz w:val="1"/>
                <w:szCs w:val="1"/>
                <w:color w:val="auto"/>
              </w:rPr>
            </w:pPr>
          </w:p>
        </w:tc>
      </w:tr>
      <w:tr>
        <w:trPr>
          <w:trHeight w:val="225"/>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valuation inputs or other assumptions</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20,479,768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36,157,914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56,637,682</w:t>
            </w:r>
          </w:p>
        </w:tc>
        <w:tc>
          <w:tcPr>
            <w:tcW w:w="0" w:type="dxa"/>
            <w:vAlign w:val="bottom"/>
          </w:tcPr>
          <w:p>
            <w:pPr>
              <w:spacing w:after="0"/>
              <w:rPr>
                <w:sz w:val="1"/>
                <w:szCs w:val="1"/>
                <w:color w:val="auto"/>
              </w:rPr>
            </w:pPr>
          </w:p>
        </w:tc>
      </w:tr>
      <w:tr>
        <w:trPr>
          <w:trHeight w:val="23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as of March 31, 2021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50,511,936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76,448,164</w:t>
            </w:r>
          </w:p>
        </w:tc>
        <w:tc>
          <w:tcPr>
            <w:tcW w:w="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126,960,100</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right="1300" w:firstLine="318"/>
        <w:spacing w:after="0" w:line="430" w:lineRule="auto"/>
        <w:rPr>
          <w:sz w:val="20"/>
          <w:szCs w:val="20"/>
          <w:color w:val="auto"/>
        </w:rPr>
      </w:pPr>
      <w:r>
        <w:rPr>
          <w:rFonts w:ascii="Arial" w:cs="Arial" w:eastAsia="Arial" w:hAnsi="Arial"/>
          <w:sz w:val="18"/>
          <w:szCs w:val="18"/>
          <w:color w:val="auto"/>
        </w:rPr>
        <w:t xml:space="preserve">There were no transfers in or out of Level 3 from other levels in the fair value hierarchy during the three months ended March 31, 2021. </w:t>
      </w:r>
      <w:r>
        <w:rPr>
          <w:rFonts w:ascii="Arial" w:cs="Arial" w:eastAsia="Arial" w:hAnsi="Arial"/>
          <w:sz w:val="18"/>
          <w:szCs w:val="18"/>
          <w:b w:val="1"/>
          <w:bCs w:val="1"/>
          <w:color w:val="auto"/>
        </w:rPr>
        <w:t>NOTE 10. SUBSEQUENT EVENTS</w:t>
      </w:r>
    </w:p>
    <w:p>
      <w:pPr>
        <w:jc w:val="both"/>
        <w:ind w:firstLine="318"/>
        <w:spacing w:after="0" w:line="255"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financial statements were issued. Based upon this review, other than as described below, the Company did not identify any subsequent events that would have required adjustment or disclosure in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F-80</w:t>
      </w:r>
    </w:p>
    <w:p>
      <w:pPr>
        <w:sectPr>
          <w:pgSz w:w="11900" w:h="16838" w:orient="portrait"/>
          <w:cols w:equalWidth="0" w:num="1">
            <w:col w:w="11240"/>
          </w:cols>
          <w:pgMar w:left="320" w:top="121" w:right="339" w:bottom="1440" w:gutter="0" w:footer="0" w:header="0"/>
        </w:sectPr>
      </w:pPr>
    </w:p>
    <w:bookmarkStart w:id="252" w:name="page253"/>
    <w:bookmarkEnd w:id="252"/>
    <w:p>
      <w:pPr>
        <w:spacing w:after="0" w:line="113"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CM Life Sciences, Inc.</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Opinion on the Financial Statements</w:t>
      </w:r>
    </w:p>
    <w:p>
      <w:pPr>
        <w:spacing w:after="0" w:line="16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have audited the accompanying balance sheet of CM Life Sciences, Inc. (the “Company”) as of December 31, 2020, the related statements of operations, changes in stockholders’ equity and cash flows for the period from July 10, 2020 (inception) through December 31, 2020, and the related notes (collectively referred to as the “financial statements”). In our opinion, the financial statements present fairly, in all material respects, the financial position of the Company as of December 31, 2020, and the results of its operations and its cash flows for the period from July 10, 2020 (inception) through December 31, 2020, in conformity with accounting principles generally accepted in the United States of America.</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Restatement of Financial Statements</w:t>
      </w:r>
    </w:p>
    <w:p>
      <w:pPr>
        <w:spacing w:after="0" w:line="16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As discussed in Note 2 to the financial statements, the Securities and Exchange Commission issued a public statement entitled Staff Statement on Accounting and Reporting Considerations for Warrants Issued by Special Purpose Acquisition Companies (“SPACs”) (the “Public Statement”) on April 12, 2021, which discusses the accounting for certain warrants as liabilities. The Company previously accounted for its warrants as equity instruments. Management evaluated its warrants against the Public Statement, and determined that the warrants should be accounted for as liabilities. Accordingly, the 2020 financial statements have been restated to correct the accounting and related disclosure for the warrants.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Basis for Opinion</w:t>
      </w:r>
    </w:p>
    <w:p>
      <w:pPr>
        <w:spacing w:after="0" w:line="16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1"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/s/ WithumSmith+Brown, PC</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May 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F-81</w:t>
      </w:r>
    </w:p>
    <w:p>
      <w:pPr>
        <w:sectPr>
          <w:pgSz w:w="11900" w:h="16838" w:orient="portrait"/>
          <w:cols w:equalWidth="0" w:num="1">
            <w:col w:w="11240"/>
          </w:cols>
          <w:pgMar w:left="320" w:top="1440" w:right="339" w:bottom="1440" w:gutter="0" w:footer="0" w:header="0"/>
        </w:sectPr>
      </w:pPr>
    </w:p>
    <w:bookmarkStart w:id="253" w:name="page254"/>
    <w:bookmarkEnd w:id="253"/>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560" w:type="dxa"/>
            <w:vAlign w:val="bottom"/>
          </w:tcPr>
          <w:p>
            <w:pPr>
              <w:jc w:val="center"/>
              <w:ind w:left="1612"/>
              <w:spacing w:after="0"/>
              <w:rPr>
                <w:sz w:val="20"/>
                <w:szCs w:val="20"/>
                <w:color w:val="auto"/>
              </w:rPr>
            </w:pPr>
            <w:r>
              <w:rPr>
                <w:rFonts w:ascii="Arial" w:cs="Arial" w:eastAsia="Arial" w:hAnsi="Arial"/>
                <w:sz w:val="18"/>
                <w:szCs w:val="18"/>
                <w:b w:val="1"/>
                <w:bCs w:val="1"/>
                <w:color w:val="auto"/>
                <w:w w:val="99"/>
              </w:rPr>
              <w:t>CM LIFE SCIENCES, INC.</w:t>
            </w: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9560" w:type="dxa"/>
            <w:vAlign w:val="bottom"/>
          </w:tcPr>
          <w:p>
            <w:pPr>
              <w:jc w:val="center"/>
              <w:ind w:left="1612"/>
              <w:spacing w:after="0"/>
              <w:rPr>
                <w:sz w:val="20"/>
                <w:szCs w:val="20"/>
                <w:color w:val="auto"/>
              </w:rPr>
            </w:pPr>
            <w:r>
              <w:rPr>
                <w:rFonts w:ascii="Arial" w:cs="Arial" w:eastAsia="Arial" w:hAnsi="Arial"/>
                <w:sz w:val="18"/>
                <w:szCs w:val="18"/>
                <w:b w:val="1"/>
                <w:bCs w:val="1"/>
                <w:color w:val="auto"/>
                <w:w w:val="98"/>
              </w:rPr>
              <w:t>BALANCE SHEET</w:t>
            </w: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560" w:type="dxa"/>
            <w:vAlign w:val="bottom"/>
          </w:tcPr>
          <w:p>
            <w:pPr>
              <w:jc w:val="center"/>
              <w:ind w:left="1612"/>
              <w:spacing w:after="0"/>
              <w:rPr>
                <w:sz w:val="20"/>
                <w:szCs w:val="20"/>
                <w:color w:val="auto"/>
              </w:rPr>
            </w:pPr>
            <w:r>
              <w:rPr>
                <w:rFonts w:ascii="Arial" w:cs="Arial" w:eastAsia="Arial" w:hAnsi="Arial"/>
                <w:sz w:val="18"/>
                <w:szCs w:val="18"/>
                <w:b w:val="1"/>
                <w:bCs w:val="1"/>
                <w:color w:val="auto"/>
                <w:w w:val="91"/>
              </w:rPr>
              <w:t>DECEMBER 31, 2020 (As Restated)</w:t>
            </w:r>
          </w:p>
        </w:tc>
        <w:tc>
          <w:tcPr>
            <w:tcW w:w="4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1"/>
        </w:trPr>
        <w:tc>
          <w:tcPr>
            <w:tcW w:w="956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9560" w:type="dxa"/>
            <w:vAlign w:val="bottom"/>
          </w:tcPr>
          <w:p>
            <w:pPr>
              <w:ind w:left="240"/>
              <w:spacing w:after="0"/>
              <w:rPr>
                <w:sz w:val="20"/>
                <w:szCs w:val="20"/>
                <w:color w:val="auto"/>
              </w:rPr>
            </w:pPr>
            <w:r>
              <w:rPr>
                <w:rFonts w:ascii="Arial" w:cs="Arial" w:eastAsia="Arial" w:hAnsi="Arial"/>
                <w:sz w:val="18"/>
                <w:szCs w:val="18"/>
                <w:color w:val="auto"/>
              </w:rPr>
              <w:t>Cash</w:t>
            </w: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1,094,681</w:t>
            </w:r>
          </w:p>
        </w:tc>
        <w:tc>
          <w:tcPr>
            <w:tcW w:w="0" w:type="dxa"/>
            <w:vAlign w:val="bottom"/>
          </w:tcPr>
          <w:p>
            <w:pPr>
              <w:spacing w:after="0"/>
              <w:rPr>
                <w:sz w:val="1"/>
                <w:szCs w:val="1"/>
                <w:color w:val="auto"/>
              </w:rPr>
            </w:pPr>
          </w:p>
        </w:tc>
      </w:tr>
      <w:tr>
        <w:trPr>
          <w:trHeight w:val="226"/>
        </w:trPr>
        <w:tc>
          <w:tcPr>
            <w:tcW w:w="9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Prepaid expenses</w:t>
            </w:r>
          </w:p>
        </w:tc>
        <w:tc>
          <w:tcPr>
            <w:tcW w:w="4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277,031</w:t>
            </w:r>
          </w:p>
        </w:tc>
        <w:tc>
          <w:tcPr>
            <w:tcW w:w="0" w:type="dxa"/>
            <w:vAlign w:val="bottom"/>
          </w:tcPr>
          <w:p>
            <w:pPr>
              <w:spacing w:after="0"/>
              <w:rPr>
                <w:sz w:val="1"/>
                <w:szCs w:val="1"/>
                <w:color w:val="auto"/>
              </w:rPr>
            </w:pPr>
          </w:p>
        </w:tc>
      </w:tr>
      <w:tr>
        <w:trPr>
          <w:trHeight w:val="218"/>
        </w:trPr>
        <w:tc>
          <w:tcPr>
            <w:tcW w:w="9560" w:type="dxa"/>
            <w:vAlign w:val="bottom"/>
          </w:tcPr>
          <w:p>
            <w:pPr>
              <w:ind w:left="440"/>
              <w:spacing w:after="0"/>
              <w:rPr>
                <w:sz w:val="20"/>
                <w:szCs w:val="20"/>
                <w:color w:val="auto"/>
              </w:rPr>
            </w:pPr>
            <w:r>
              <w:rPr>
                <w:rFonts w:ascii="Arial" w:cs="Arial" w:eastAsia="Arial" w:hAnsi="Arial"/>
                <w:sz w:val="18"/>
                <w:szCs w:val="18"/>
                <w:color w:val="auto"/>
              </w:rPr>
              <w:t>Total Current Assets</w:t>
            </w:r>
          </w:p>
        </w:tc>
        <w:tc>
          <w:tcPr>
            <w:tcW w:w="4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1,371,712</w:t>
            </w:r>
          </w:p>
        </w:tc>
        <w:tc>
          <w:tcPr>
            <w:tcW w:w="0" w:type="dxa"/>
            <w:vAlign w:val="bottom"/>
          </w:tcPr>
          <w:p>
            <w:pPr>
              <w:spacing w:after="0"/>
              <w:rPr>
                <w:sz w:val="1"/>
                <w:szCs w:val="1"/>
                <w:color w:val="auto"/>
              </w:rPr>
            </w:pPr>
          </w:p>
        </w:tc>
      </w:tr>
      <w:tr>
        <w:trPr>
          <w:trHeight w:val="252"/>
        </w:trPr>
        <w:tc>
          <w:tcPr>
            <w:tcW w:w="95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9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marketable securities held in trust account</w:t>
            </w:r>
          </w:p>
        </w:tc>
        <w:tc>
          <w:tcPr>
            <w:tcW w:w="4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442,763,951</w:t>
            </w:r>
          </w:p>
        </w:tc>
        <w:tc>
          <w:tcPr>
            <w:tcW w:w="0" w:type="dxa"/>
            <w:vAlign w:val="bottom"/>
          </w:tcPr>
          <w:p>
            <w:pPr>
              <w:spacing w:after="0"/>
              <w:rPr>
                <w:sz w:val="1"/>
                <w:szCs w:val="1"/>
                <w:color w:val="auto"/>
              </w:rPr>
            </w:pPr>
          </w:p>
        </w:tc>
      </w:tr>
      <w:tr>
        <w:trPr>
          <w:trHeight w:val="244"/>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444,135,663</w:t>
            </w:r>
          </w:p>
        </w:tc>
        <w:tc>
          <w:tcPr>
            <w:tcW w:w="0" w:type="dxa"/>
            <w:vAlign w:val="bottom"/>
          </w:tcPr>
          <w:p>
            <w:pPr>
              <w:spacing w:after="0"/>
              <w:rPr>
                <w:sz w:val="1"/>
                <w:szCs w:val="1"/>
                <w:color w:val="auto"/>
              </w:rPr>
            </w:pP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9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95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4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and accrued expenses</w:t>
            </w: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97,120</w:t>
            </w:r>
          </w:p>
        </w:tc>
        <w:tc>
          <w:tcPr>
            <w:tcW w:w="0" w:type="dxa"/>
            <w:vAlign w:val="bottom"/>
          </w:tcPr>
          <w:p>
            <w:pPr>
              <w:spacing w:after="0"/>
              <w:rPr>
                <w:sz w:val="1"/>
                <w:szCs w:val="1"/>
                <w:color w:val="auto"/>
              </w:rPr>
            </w:pPr>
          </w:p>
        </w:tc>
      </w:tr>
      <w:tr>
        <w:trPr>
          <w:trHeight w:val="218"/>
        </w:trPr>
        <w:tc>
          <w:tcPr>
            <w:tcW w:w="956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4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97,120</w:t>
            </w:r>
          </w:p>
        </w:tc>
        <w:tc>
          <w:tcPr>
            <w:tcW w:w="0" w:type="dxa"/>
            <w:vAlign w:val="bottom"/>
          </w:tcPr>
          <w:p>
            <w:pPr>
              <w:spacing w:after="0"/>
              <w:rPr>
                <w:sz w:val="1"/>
                <w:szCs w:val="1"/>
                <w:color w:val="auto"/>
              </w:rPr>
            </w:pPr>
          </w:p>
        </w:tc>
      </w:tr>
      <w:tr>
        <w:trPr>
          <w:trHeight w:val="252"/>
        </w:trPr>
        <w:tc>
          <w:tcPr>
            <w:tcW w:w="95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9560" w:type="dxa"/>
            <w:vAlign w:val="bottom"/>
          </w:tcPr>
          <w:p>
            <w:pPr>
              <w:ind w:left="20"/>
              <w:spacing w:after="0"/>
              <w:rPr>
                <w:sz w:val="20"/>
                <w:szCs w:val="20"/>
                <w:color w:val="auto"/>
              </w:rPr>
            </w:pPr>
            <w:r>
              <w:rPr>
                <w:rFonts w:ascii="Arial" w:cs="Arial" w:eastAsia="Arial" w:hAnsi="Arial"/>
                <w:sz w:val="18"/>
                <w:szCs w:val="18"/>
                <w:color w:val="auto"/>
              </w:rPr>
              <w:t>Warrant liability</w:t>
            </w:r>
          </w:p>
        </w:tc>
        <w:tc>
          <w:tcPr>
            <w:tcW w:w="4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70,322,418</w:t>
            </w:r>
          </w:p>
        </w:tc>
        <w:tc>
          <w:tcPr>
            <w:tcW w:w="0" w:type="dxa"/>
            <w:vAlign w:val="bottom"/>
          </w:tcPr>
          <w:p>
            <w:pPr>
              <w:spacing w:after="0"/>
              <w:rPr>
                <w:sz w:val="1"/>
                <w:szCs w:val="1"/>
                <w:color w:val="auto"/>
              </w:rPr>
            </w:pPr>
          </w:p>
        </w:tc>
      </w:tr>
      <w:tr>
        <w:trPr>
          <w:trHeight w:val="226"/>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underwriting fee payable</w:t>
            </w:r>
          </w:p>
        </w:tc>
        <w:tc>
          <w:tcPr>
            <w:tcW w:w="4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15,496,250</w:t>
            </w:r>
          </w:p>
        </w:tc>
        <w:tc>
          <w:tcPr>
            <w:tcW w:w="0" w:type="dxa"/>
            <w:vAlign w:val="bottom"/>
          </w:tcPr>
          <w:p>
            <w:pPr>
              <w:spacing w:after="0"/>
              <w:rPr>
                <w:sz w:val="1"/>
                <w:szCs w:val="1"/>
                <w:color w:val="auto"/>
              </w:rPr>
            </w:pPr>
          </w:p>
        </w:tc>
      </w:tr>
      <w:tr>
        <w:trPr>
          <w:trHeight w:val="218"/>
        </w:trPr>
        <w:tc>
          <w:tcPr>
            <w:tcW w:w="95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Liabilities</w:t>
            </w:r>
          </w:p>
        </w:tc>
        <w:tc>
          <w:tcPr>
            <w:tcW w:w="4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85,915,788</w:t>
            </w:r>
          </w:p>
        </w:tc>
        <w:tc>
          <w:tcPr>
            <w:tcW w:w="0" w:type="dxa"/>
            <w:vAlign w:val="bottom"/>
          </w:tcPr>
          <w:p>
            <w:pPr>
              <w:spacing w:after="0"/>
              <w:rPr>
                <w:sz w:val="1"/>
                <w:szCs w:val="1"/>
                <w:color w:val="auto"/>
              </w:rPr>
            </w:pPr>
          </w:p>
        </w:tc>
      </w:tr>
      <w:tr>
        <w:trPr>
          <w:trHeight w:val="232"/>
        </w:trPr>
        <w:tc>
          <w:tcPr>
            <w:tcW w:w="95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9560" w:type="dxa"/>
            <w:vAlign w:val="bottom"/>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4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95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9560" w:type="dxa"/>
            <w:vAlign w:val="bottom"/>
          </w:tcPr>
          <w:p>
            <w:pPr>
              <w:ind w:left="20"/>
              <w:spacing w:after="0"/>
              <w:rPr>
                <w:sz w:val="20"/>
                <w:szCs w:val="20"/>
                <w:color w:val="auto"/>
              </w:rPr>
            </w:pPr>
            <w:r>
              <w:rPr>
                <w:rFonts w:ascii="Arial" w:cs="Arial" w:eastAsia="Arial" w:hAnsi="Arial"/>
                <w:sz w:val="18"/>
                <w:szCs w:val="18"/>
                <w:color w:val="auto"/>
              </w:rPr>
              <w:t>Class A common stock subject to possible redemption, 35,321,987 shares at $10.00 per share</w:t>
            </w:r>
          </w:p>
        </w:tc>
        <w:tc>
          <w:tcPr>
            <w:tcW w:w="4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353,219,870</w:t>
            </w:r>
          </w:p>
        </w:tc>
        <w:tc>
          <w:tcPr>
            <w:tcW w:w="0" w:type="dxa"/>
            <w:vAlign w:val="bottom"/>
          </w:tcPr>
          <w:p>
            <w:pPr>
              <w:spacing w:after="0"/>
              <w:rPr>
                <w:sz w:val="1"/>
                <w:szCs w:val="1"/>
                <w:color w:val="auto"/>
              </w:rPr>
            </w:pPr>
          </w:p>
        </w:tc>
      </w:tr>
      <w:tr>
        <w:trPr>
          <w:trHeight w:val="252"/>
        </w:trPr>
        <w:tc>
          <w:tcPr>
            <w:tcW w:w="95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956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4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Preferred stock, $0.0001 par value; 1,000,000 shares authorized; none issued or outstanding</w:t>
            </w: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3"/>
        </w:trPr>
        <w:tc>
          <w:tcPr>
            <w:tcW w:w="9560" w:type="dxa"/>
            <w:vAlign w:val="bottom"/>
          </w:tcPr>
          <w:p>
            <w:pPr>
              <w:ind w:left="20"/>
              <w:spacing w:after="0" w:line="173" w:lineRule="exact"/>
              <w:rPr>
                <w:sz w:val="20"/>
                <w:szCs w:val="20"/>
                <w:color w:val="auto"/>
              </w:rPr>
            </w:pPr>
            <w:r>
              <w:rPr>
                <w:rFonts w:ascii="Arial" w:cs="Arial" w:eastAsia="Arial" w:hAnsi="Arial"/>
                <w:sz w:val="18"/>
                <w:szCs w:val="18"/>
                <w:color w:val="auto"/>
                <w:w w:val="93"/>
              </w:rPr>
              <w:t>Class A common stock, $0.0001 par value; 380,000,000 shares authorized; 8,953,013 shares issued and outstanding (excluding</w:t>
            </w:r>
          </w:p>
        </w:tc>
        <w:tc>
          <w:tcPr>
            <w:tcW w:w="42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24"/>
        </w:trPr>
        <w:tc>
          <w:tcPr>
            <w:tcW w:w="9560" w:type="dxa"/>
            <w:vAlign w:val="bottom"/>
          </w:tcPr>
          <w:p>
            <w:pPr>
              <w:ind w:left="180"/>
              <w:spacing w:after="0"/>
              <w:rPr>
                <w:sz w:val="20"/>
                <w:szCs w:val="20"/>
                <w:color w:val="auto"/>
              </w:rPr>
            </w:pPr>
            <w:r>
              <w:rPr>
                <w:rFonts w:ascii="Arial" w:cs="Arial" w:eastAsia="Arial" w:hAnsi="Arial"/>
                <w:sz w:val="18"/>
                <w:szCs w:val="18"/>
                <w:color w:val="auto"/>
              </w:rPr>
              <w:t>35,321,987 shares subject to possible redemption)</w:t>
            </w:r>
          </w:p>
        </w:tc>
        <w:tc>
          <w:tcPr>
            <w:tcW w:w="42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B common stock, $0.0001 par value; 20,000,000 shares authorized; 11,068,750 shares issued and outstanding</w:t>
            </w: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25"/>
        </w:trPr>
        <w:tc>
          <w:tcPr>
            <w:tcW w:w="956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4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44,905,602</w:t>
            </w:r>
          </w:p>
        </w:tc>
        <w:tc>
          <w:tcPr>
            <w:tcW w:w="0" w:type="dxa"/>
            <w:vAlign w:val="bottom"/>
          </w:tcPr>
          <w:p>
            <w:pPr>
              <w:spacing w:after="0"/>
              <w:rPr>
                <w:sz w:val="1"/>
                <w:szCs w:val="1"/>
                <w:color w:val="auto"/>
              </w:rPr>
            </w:pPr>
          </w:p>
        </w:tc>
      </w:tr>
      <w:tr>
        <w:trPr>
          <w:trHeight w:val="226"/>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4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(39,907,599)</w:t>
            </w:r>
          </w:p>
        </w:tc>
        <w:tc>
          <w:tcPr>
            <w:tcW w:w="0" w:type="dxa"/>
            <w:vAlign w:val="bottom"/>
          </w:tcPr>
          <w:p>
            <w:pPr>
              <w:spacing w:after="0"/>
              <w:rPr>
                <w:sz w:val="1"/>
                <w:szCs w:val="1"/>
                <w:color w:val="auto"/>
              </w:rPr>
            </w:pPr>
          </w:p>
        </w:tc>
      </w:tr>
      <w:tr>
        <w:trPr>
          <w:trHeight w:val="218"/>
        </w:trPr>
        <w:tc>
          <w:tcPr>
            <w:tcW w:w="95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4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5,000,005</w:t>
            </w:r>
          </w:p>
        </w:tc>
        <w:tc>
          <w:tcPr>
            <w:tcW w:w="0" w:type="dxa"/>
            <w:vAlign w:val="bottom"/>
          </w:tcPr>
          <w:p>
            <w:pPr>
              <w:spacing w:after="0"/>
              <w:rPr>
                <w:sz w:val="1"/>
                <w:szCs w:val="1"/>
                <w:color w:val="auto"/>
              </w:rPr>
            </w:pPr>
          </w:p>
        </w:tc>
      </w:tr>
      <w:tr>
        <w:trPr>
          <w:trHeight w:val="244"/>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444,135,663</w:t>
            </w:r>
          </w:p>
        </w:tc>
        <w:tc>
          <w:tcPr>
            <w:tcW w:w="0" w:type="dxa"/>
            <w:vAlign w:val="bottom"/>
          </w:tcPr>
          <w:p>
            <w:pPr>
              <w:spacing w:after="0"/>
              <w:rPr>
                <w:sz w:val="1"/>
                <w:szCs w:val="1"/>
                <w:color w:val="auto"/>
              </w:rPr>
            </w:pP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F-82</w:t>
      </w:r>
    </w:p>
    <w:p>
      <w:pPr>
        <w:sectPr>
          <w:pgSz w:w="11900" w:h="16838" w:orient="portrait"/>
          <w:cols w:equalWidth="0" w:num="1">
            <w:col w:w="11240"/>
          </w:cols>
          <w:pgMar w:left="320" w:top="1440" w:right="339" w:bottom="1440" w:gutter="0" w:footer="0" w:header="0"/>
        </w:sectPr>
      </w:pPr>
    </w:p>
    <w:bookmarkStart w:id="254" w:name="page255"/>
    <w:bookmarkEnd w:id="254"/>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JULY 10, 2020 (INCEPTION) THROUGH DECEMBER 31, 2020 (As Restated)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206,195</w:t>
            </w:r>
          </w:p>
        </w:tc>
      </w:tr>
      <w:tr>
        <w:trPr>
          <w:trHeight w:val="218"/>
        </w:trPr>
        <w:tc>
          <w:tcPr>
            <w:tcW w:w="9560" w:type="dxa"/>
            <w:vAlign w:val="bottom"/>
          </w:tcPr>
          <w:p>
            <w:pPr>
              <w:ind w:left="240"/>
              <w:spacing w:after="0"/>
              <w:rPr>
                <w:sz w:val="20"/>
                <w:szCs w:val="20"/>
                <w:color w:val="auto"/>
              </w:rPr>
            </w:pPr>
            <w:r>
              <w:rPr>
                <w:rFonts w:ascii="Arial" w:cs="Arial" w:eastAsia="Arial" w:hAnsi="Arial"/>
                <w:sz w:val="18"/>
                <w:szCs w:val="18"/>
                <w:b w:val="1"/>
                <w:bCs w:val="1"/>
                <w:color w:val="auto"/>
              </w:rPr>
              <w:t>Loss from operations</w:t>
            </w:r>
          </w:p>
        </w:tc>
        <w:tc>
          <w:tcPr>
            <w:tcW w:w="4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(206,195)</w:t>
            </w:r>
          </w:p>
        </w:tc>
      </w:tr>
      <w:tr>
        <w:trPr>
          <w:trHeight w:val="266"/>
        </w:trPr>
        <w:tc>
          <w:tcPr>
            <w:tcW w:w="95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25"/>
        </w:trPr>
        <w:tc>
          <w:tcPr>
            <w:tcW w:w="956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4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6"/>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earned on investments held in Trust Account</w:t>
            </w: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13,951</w:t>
            </w:r>
          </w:p>
        </w:tc>
      </w:tr>
      <w:tr>
        <w:trPr>
          <w:trHeight w:val="225"/>
        </w:trPr>
        <w:tc>
          <w:tcPr>
            <w:tcW w:w="9560" w:type="dxa"/>
            <w:vAlign w:val="bottom"/>
          </w:tcPr>
          <w:p>
            <w:pPr>
              <w:ind w:left="20"/>
              <w:spacing w:after="0"/>
              <w:rPr>
                <w:sz w:val="20"/>
                <w:szCs w:val="20"/>
                <w:color w:val="auto"/>
              </w:rPr>
            </w:pPr>
            <w:r>
              <w:rPr>
                <w:rFonts w:ascii="Arial" w:cs="Arial" w:eastAsia="Arial" w:hAnsi="Arial"/>
                <w:sz w:val="18"/>
                <w:szCs w:val="18"/>
                <w:color w:val="auto"/>
              </w:rPr>
              <w:t>Change in fair value of warrant liability</w:t>
            </w:r>
          </w:p>
        </w:tc>
        <w:tc>
          <w:tcPr>
            <w:tcW w:w="4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(38,510,584)</w:t>
            </w:r>
          </w:p>
        </w:tc>
      </w:tr>
      <w:tr>
        <w:trPr>
          <w:trHeight w:val="226"/>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 Costs</w:t>
            </w:r>
          </w:p>
        </w:tc>
        <w:tc>
          <w:tcPr>
            <w:tcW w:w="4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(1,204,771)</w:t>
            </w:r>
          </w:p>
        </w:tc>
      </w:tr>
      <w:tr>
        <w:trPr>
          <w:trHeight w:val="218"/>
        </w:trPr>
        <w:tc>
          <w:tcPr>
            <w:tcW w:w="9560" w:type="dxa"/>
            <w:vAlign w:val="bottom"/>
          </w:tcPr>
          <w:p>
            <w:pPr>
              <w:ind w:left="20"/>
              <w:spacing w:after="0"/>
              <w:rPr>
                <w:sz w:val="20"/>
                <w:szCs w:val="20"/>
                <w:color w:val="auto"/>
              </w:rPr>
            </w:pPr>
            <w:r>
              <w:rPr>
                <w:rFonts w:ascii="Arial" w:cs="Arial" w:eastAsia="Arial" w:hAnsi="Arial"/>
                <w:sz w:val="18"/>
                <w:szCs w:val="18"/>
                <w:color w:val="auto"/>
              </w:rPr>
              <w:t>Loss before provision for income taxes</w:t>
            </w:r>
          </w:p>
        </w:tc>
        <w:tc>
          <w:tcPr>
            <w:tcW w:w="4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(39,907,599)</w:t>
            </w:r>
          </w:p>
        </w:tc>
      </w:tr>
      <w:tr>
        <w:trPr>
          <w:trHeight w:val="225"/>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4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9560" w:type="dxa"/>
            <w:vAlign w:val="bottom"/>
          </w:tcPr>
          <w:p>
            <w:pPr>
              <w:ind w:left="240"/>
              <w:spacing w:after="0"/>
              <w:rPr>
                <w:sz w:val="20"/>
                <w:szCs w:val="20"/>
                <w:color w:val="auto"/>
              </w:rPr>
            </w:pPr>
            <w:r>
              <w:rPr>
                <w:rFonts w:ascii="Arial" w:cs="Arial" w:eastAsia="Arial" w:hAnsi="Arial"/>
                <w:sz w:val="18"/>
                <w:szCs w:val="18"/>
                <w:b w:val="1"/>
                <w:bCs w:val="1"/>
                <w:color w:val="auto"/>
              </w:rPr>
              <w:t>Net loss</w:t>
            </w:r>
          </w:p>
        </w:tc>
        <w:tc>
          <w:tcPr>
            <w:tcW w:w="4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(39,907,599)</w:t>
            </w:r>
          </w:p>
        </w:tc>
      </w:tr>
      <w:tr>
        <w:trPr>
          <w:trHeight w:val="20"/>
        </w:trPr>
        <w:tc>
          <w:tcPr>
            <w:tcW w:w="95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1"/>
        </w:trPr>
        <w:tc>
          <w:tcPr>
            <w:tcW w:w="95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25"/>
        </w:trPr>
        <w:tc>
          <w:tcPr>
            <w:tcW w:w="9560" w:type="dxa"/>
            <w:vAlign w:val="bottom"/>
          </w:tcPr>
          <w:p>
            <w:pPr>
              <w:ind w:left="20"/>
              <w:spacing w:after="0"/>
              <w:rPr>
                <w:sz w:val="20"/>
                <w:szCs w:val="20"/>
                <w:color w:val="auto"/>
              </w:rPr>
            </w:pPr>
            <w:r>
              <w:rPr>
                <w:rFonts w:ascii="Arial" w:cs="Arial" w:eastAsia="Arial" w:hAnsi="Arial"/>
                <w:sz w:val="18"/>
                <w:szCs w:val="18"/>
                <w:color w:val="auto"/>
              </w:rPr>
              <w:t>Weighted average shares outstanding of Class A redeemable common stock</w:t>
            </w:r>
          </w:p>
        </w:tc>
        <w:tc>
          <w:tcPr>
            <w:tcW w:w="4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44,275,000</w:t>
            </w:r>
          </w:p>
        </w:tc>
      </w:tr>
      <w:tr>
        <w:trPr>
          <w:trHeight w:val="20"/>
        </w:trPr>
        <w:tc>
          <w:tcPr>
            <w:tcW w:w="95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43"/>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 income per share, Class A redeemable common stock</w:t>
            </w: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11"/>
        </w:trPr>
        <w:tc>
          <w:tcPr>
            <w:tcW w:w="9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0"/>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of Class B non-redeemable common stock</w:t>
            </w:r>
          </w:p>
        </w:tc>
        <w:tc>
          <w:tcPr>
            <w:tcW w:w="4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10,633,062</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9560" w:type="dxa"/>
            <w:vAlign w:val="bottom"/>
          </w:tcPr>
          <w:p>
            <w:pPr>
              <w:ind w:left="20"/>
              <w:spacing w:after="0" w:line="198" w:lineRule="exact"/>
              <w:rPr>
                <w:sz w:val="20"/>
                <w:szCs w:val="20"/>
                <w:color w:val="auto"/>
              </w:rPr>
            </w:pPr>
            <w:r>
              <w:rPr>
                <w:rFonts w:ascii="Arial" w:cs="Arial" w:eastAsia="Arial" w:hAnsi="Arial"/>
                <w:sz w:val="18"/>
                <w:szCs w:val="18"/>
                <w:b w:val="1"/>
                <w:bCs w:val="1"/>
                <w:color w:val="auto"/>
              </w:rPr>
              <w:t>Basic and diluted net loss per share, Class B non-redeemable common stock</w:t>
            </w:r>
          </w:p>
        </w:tc>
        <w:tc>
          <w:tcPr>
            <w:tcW w:w="420" w:type="dxa"/>
            <w:vAlign w:val="bottom"/>
            <w:tcBorders>
              <w:bottom w:val="single" w:sz="8" w:color="auto"/>
            </w:tcBorders>
          </w:tcPr>
          <w:p>
            <w:pPr>
              <w:jc w:val="right"/>
              <w:ind w:right="232"/>
              <w:spacing w:after="0" w:line="198"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(3.75)</w:t>
            </w:r>
          </w:p>
        </w:tc>
      </w:tr>
      <w:tr>
        <w:trPr>
          <w:trHeight w:val="20"/>
        </w:trPr>
        <w:tc>
          <w:tcPr>
            <w:tcW w:w="95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F-83</w:t>
      </w:r>
    </w:p>
    <w:p>
      <w:pPr>
        <w:sectPr>
          <w:pgSz w:w="11900" w:h="16838" w:orient="portrait"/>
          <w:cols w:equalWidth="0" w:num="1">
            <w:col w:w="11240"/>
          </w:cols>
          <w:pgMar w:left="320" w:top="1440" w:right="339" w:bottom="1440" w:gutter="0" w:footer="0" w:header="0"/>
        </w:sectPr>
      </w:pPr>
    </w:p>
    <w:bookmarkStart w:id="255" w:name="page256"/>
    <w:bookmarkEnd w:id="255"/>
    <w:p>
      <w:pPr>
        <w:spacing w:after="0" w:line="11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CM LIFE SCIENCES, INC.</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STATEMENT OF CHANGES IN STOCKHOLDERS’ EQUITY</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FOR THE PERIOD FROM JULY 10, 2020 (INCEPTION) THROUGH DECEMBER 31, 2020 (As Restated)</w:t>
      </w:r>
    </w:p>
    <w:p>
      <w:pPr>
        <w:sectPr>
          <w:pgSz w:w="11900" w:h="16838" w:orient="portrait"/>
          <w:cols w:equalWidth="0" w:num="1">
            <w:col w:w="11220"/>
          </w:cols>
          <w:pgMar w:left="340" w:top="1440" w:right="339" w:bottom="1440" w:gutter="0" w:footer="0" w:header="0"/>
        </w:sect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1720" w:type="dxa"/>
            <w:vAlign w:val="bottom"/>
            <w:gridSpan w:val="3"/>
          </w:tcPr>
          <w:p>
            <w:pPr>
              <w:jc w:val="right"/>
              <w:ind w:right="161"/>
              <w:spacing w:after="0"/>
              <w:rPr>
                <w:sz w:val="20"/>
                <w:szCs w:val="20"/>
                <w:color w:val="auto"/>
              </w:rPr>
            </w:pPr>
            <w:r>
              <w:rPr>
                <w:rFonts w:ascii="Arial" w:cs="Arial" w:eastAsia="Arial" w:hAnsi="Arial"/>
                <w:sz w:val="14"/>
                <w:szCs w:val="14"/>
                <w:b w:val="1"/>
                <w:bCs w:val="1"/>
                <w:color w:val="auto"/>
              </w:rPr>
              <w:t>Class A</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3"/>
          </w:tcPr>
          <w:p>
            <w:pPr>
              <w:jc w:val="right"/>
              <w:ind w:right="1"/>
              <w:spacing w:after="0"/>
              <w:rPr>
                <w:sz w:val="20"/>
                <w:szCs w:val="20"/>
                <w:color w:val="auto"/>
              </w:rPr>
            </w:pPr>
            <w:r>
              <w:rPr>
                <w:rFonts w:ascii="Arial" w:cs="Arial" w:eastAsia="Arial" w:hAnsi="Arial"/>
                <w:sz w:val="14"/>
                <w:szCs w:val="14"/>
                <w:b w:val="1"/>
                <w:bCs w:val="1"/>
                <w:color w:val="auto"/>
              </w:rPr>
              <w:t>Class B</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880" w:type="dxa"/>
            <w:vAlign w:val="bottom"/>
          </w:tcPr>
          <w:p>
            <w:pPr>
              <w:spacing w:after="0"/>
              <w:rPr>
                <w:sz w:val="16"/>
                <w:szCs w:val="16"/>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Borders>
              <w:bottom w:val="single" w:sz="8" w:color="auto"/>
            </w:tcBorders>
            <w:gridSpan w:val="4"/>
          </w:tcPr>
          <w:p>
            <w:pPr>
              <w:jc w:val="right"/>
              <w:ind w:right="582"/>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880" w:type="dxa"/>
            <w:vAlign w:val="bottom"/>
          </w:tcPr>
          <w:p>
            <w:pPr>
              <w:spacing w:after="0"/>
              <w:rPr>
                <w:sz w:val="16"/>
                <w:szCs w:val="16"/>
                <w:color w:val="auto"/>
              </w:rPr>
            </w:pPr>
          </w:p>
        </w:tc>
        <w:tc>
          <w:tcPr>
            <w:tcW w:w="132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w w:val="90"/>
              </w:rPr>
              <w:t>Amount</w:t>
            </w:r>
          </w:p>
        </w:tc>
        <w:tc>
          <w:tcPr>
            <w:tcW w:w="120" w:type="dxa"/>
            <w:vAlign w:val="bottom"/>
          </w:tcPr>
          <w:p>
            <w:pPr>
              <w:spacing w:after="0"/>
              <w:rPr>
                <w:sz w:val="16"/>
                <w:szCs w:val="16"/>
                <w:color w:val="auto"/>
              </w:rPr>
            </w:pPr>
          </w:p>
        </w:tc>
        <w:tc>
          <w:tcPr>
            <w:tcW w:w="114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880" w:type="dxa"/>
            <w:vAlign w:val="bottom"/>
          </w:tcPr>
          <w:p>
            <w:pPr>
              <w:spacing w:after="0" w:line="149" w:lineRule="exact"/>
              <w:rPr>
                <w:sz w:val="20"/>
                <w:szCs w:val="20"/>
                <w:color w:val="auto"/>
              </w:rPr>
            </w:pPr>
            <w:r>
              <w:rPr>
                <w:rFonts w:ascii="Arial" w:cs="Arial" w:eastAsia="Arial" w:hAnsi="Arial"/>
                <w:sz w:val="16"/>
                <w:szCs w:val="16"/>
                <w:color w:val="auto"/>
              </w:rPr>
              <w:t>Balance - July 10, 2020</w:t>
            </w:r>
          </w:p>
        </w:tc>
        <w:tc>
          <w:tcPr>
            <w:tcW w:w="14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vMerge w:val="restart"/>
          </w:tcPr>
          <w:p>
            <w:pPr>
              <w:jc w:val="right"/>
              <w:ind w:right="101"/>
              <w:spacing w:after="0"/>
              <w:rPr>
                <w:sz w:val="20"/>
                <w:szCs w:val="20"/>
                <w:color w:val="auto"/>
              </w:rPr>
            </w:pPr>
            <w:r>
              <w:rPr>
                <w:rFonts w:ascii="Arial" w:cs="Arial" w:eastAsia="Arial" w:hAnsi="Arial"/>
                <w:sz w:val="16"/>
                <w:szCs w:val="16"/>
                <w:color w:val="auto"/>
                <w:w w:val="89"/>
              </w:rPr>
              <w:t>$</w:t>
            </w: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vMerge w:val="restart"/>
          </w:tcPr>
          <w:p>
            <w:pPr>
              <w:jc w:val="right"/>
              <w:ind w:right="21"/>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1880" w:type="dxa"/>
            <w:vAlign w:val="bottom"/>
          </w:tcPr>
          <w:p>
            <w:pPr>
              <w:ind w:left="160"/>
              <w:spacing w:after="0"/>
              <w:rPr>
                <w:sz w:val="20"/>
                <w:szCs w:val="20"/>
                <w:color w:val="auto"/>
              </w:rPr>
            </w:pPr>
            <w:r>
              <w:rPr>
                <w:rFonts w:ascii="Arial" w:cs="Arial" w:eastAsia="Arial" w:hAnsi="Arial"/>
                <w:sz w:val="16"/>
                <w:szCs w:val="16"/>
                <w:color w:val="auto"/>
              </w:rPr>
              <w:t>(Inception)</w:t>
            </w:r>
          </w:p>
        </w:tc>
        <w:tc>
          <w:tcPr>
            <w:tcW w:w="1440" w:type="dxa"/>
            <w:vAlign w:val="bottom"/>
            <w:gridSpan w:val="2"/>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1880" w:type="dxa"/>
            <w:vAlign w:val="bottom"/>
          </w:tcPr>
          <w:p>
            <w:pPr>
              <w:spacing w:after="0"/>
              <w:rPr>
                <w:sz w:val="20"/>
                <w:szCs w:val="20"/>
                <w:color w:val="auto"/>
              </w:rPr>
            </w:pPr>
            <w:r>
              <w:rPr>
                <w:rFonts w:ascii="Arial" w:cs="Arial" w:eastAsia="Arial" w:hAnsi="Arial"/>
                <w:sz w:val="16"/>
                <w:szCs w:val="16"/>
                <w:color w:val="auto"/>
                <w:w w:val="89"/>
              </w:rPr>
              <w:t>Issuance of Class B common</w:t>
            </w: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1880" w:type="dxa"/>
            <w:vAlign w:val="bottom"/>
          </w:tcPr>
          <w:p>
            <w:pPr>
              <w:ind w:left="160"/>
              <w:spacing w:after="0" w:line="159" w:lineRule="exact"/>
              <w:rPr>
                <w:sz w:val="20"/>
                <w:szCs w:val="20"/>
                <w:color w:val="auto"/>
              </w:rPr>
            </w:pPr>
            <w:r>
              <w:rPr>
                <w:rFonts w:ascii="Arial" w:cs="Arial" w:eastAsia="Arial" w:hAnsi="Arial"/>
                <w:sz w:val="16"/>
                <w:szCs w:val="16"/>
                <w:color w:val="auto"/>
              </w:rPr>
              <w:t>stock to initial</w:t>
            </w:r>
          </w:p>
        </w:tc>
        <w:tc>
          <w:tcPr>
            <w:tcW w:w="14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3"/>
                <w:szCs w:val="13"/>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vMerge w:val="restart"/>
          </w:tcPr>
          <w:p>
            <w:pPr>
              <w:jc w:val="right"/>
              <w:ind w:right="3"/>
              <w:spacing w:after="0"/>
              <w:rPr>
                <w:sz w:val="20"/>
                <w:szCs w:val="20"/>
                <w:color w:val="auto"/>
              </w:rPr>
            </w:pPr>
            <w:r>
              <w:rPr>
                <w:rFonts w:ascii="Arial" w:cs="Arial" w:eastAsia="Arial" w:hAnsi="Arial"/>
                <w:sz w:val="16"/>
                <w:szCs w:val="16"/>
                <w:color w:val="auto"/>
              </w:rPr>
              <w:t>11,068,750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vMerge w:val="restart"/>
          </w:tcPr>
          <w:p>
            <w:pPr>
              <w:jc w:val="right"/>
              <w:ind w:right="2"/>
              <w:spacing w:after="0"/>
              <w:rPr>
                <w:sz w:val="20"/>
                <w:szCs w:val="20"/>
                <w:color w:val="auto"/>
              </w:rPr>
            </w:pPr>
            <w:r>
              <w:rPr>
                <w:rFonts w:ascii="Arial" w:cs="Arial" w:eastAsia="Arial" w:hAnsi="Arial"/>
                <w:sz w:val="16"/>
                <w:szCs w:val="16"/>
                <w:color w:val="auto"/>
              </w:rPr>
              <w:t>1,107</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880" w:type="dxa"/>
            <w:vAlign w:val="bottom"/>
          </w:tcPr>
          <w:p>
            <w:pPr>
              <w:ind w:left="160"/>
              <w:spacing w:after="0"/>
              <w:rPr>
                <w:sz w:val="20"/>
                <w:szCs w:val="20"/>
                <w:color w:val="auto"/>
              </w:rPr>
            </w:pPr>
            <w:r>
              <w:rPr>
                <w:rFonts w:ascii="Arial" w:cs="Arial" w:eastAsia="Arial" w:hAnsi="Arial"/>
                <w:sz w:val="16"/>
                <w:szCs w:val="16"/>
                <w:color w:val="auto"/>
              </w:rPr>
              <w:t>stockholders</w:t>
            </w:r>
          </w:p>
        </w:tc>
        <w:tc>
          <w:tcPr>
            <w:tcW w:w="144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1880" w:type="dxa"/>
            <w:vAlign w:val="bottom"/>
          </w:tcPr>
          <w:p>
            <w:pPr>
              <w:spacing w:after="0"/>
              <w:rPr>
                <w:sz w:val="20"/>
                <w:szCs w:val="20"/>
                <w:color w:val="auto"/>
              </w:rPr>
            </w:pPr>
            <w:r>
              <w:rPr>
                <w:rFonts w:ascii="Arial" w:cs="Arial" w:eastAsia="Arial" w:hAnsi="Arial"/>
                <w:sz w:val="16"/>
                <w:szCs w:val="16"/>
                <w:color w:val="auto"/>
                <w:w w:val="90"/>
              </w:rPr>
              <w:t>Sale of 44,275,000 Units, net</w:t>
            </w: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44,275,000</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4,427</w:t>
            </w:r>
          </w:p>
        </w:tc>
        <w:tc>
          <w:tcPr>
            <w:tcW w:w="120" w:type="dxa"/>
            <w:vAlign w:val="bottom"/>
          </w:tcPr>
          <w:p>
            <w:pPr>
              <w:spacing w:after="0"/>
              <w:rPr>
                <w:sz w:val="24"/>
                <w:szCs w:val="24"/>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82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1880" w:type="dxa"/>
            <w:vAlign w:val="bottom"/>
          </w:tcPr>
          <w:p>
            <w:pPr>
              <w:ind w:left="160"/>
              <w:spacing w:after="0"/>
              <w:rPr>
                <w:sz w:val="20"/>
                <w:szCs w:val="20"/>
                <w:color w:val="auto"/>
              </w:rPr>
            </w:pPr>
            <w:r>
              <w:rPr>
                <w:rFonts w:ascii="Arial" w:cs="Arial" w:eastAsia="Arial" w:hAnsi="Arial"/>
                <w:sz w:val="16"/>
                <w:szCs w:val="16"/>
                <w:color w:val="auto"/>
                <w:w w:val="96"/>
              </w:rPr>
              <w:t>of underwriting discounts</w:t>
            </w:r>
          </w:p>
        </w:tc>
        <w:tc>
          <w:tcPr>
            <w:tcW w:w="13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1880" w:type="dxa"/>
            <w:vAlign w:val="bottom"/>
          </w:tcPr>
          <w:p>
            <w:pPr>
              <w:spacing w:after="0"/>
              <w:rPr>
                <w:sz w:val="20"/>
                <w:szCs w:val="20"/>
                <w:color w:val="auto"/>
              </w:rPr>
            </w:pPr>
            <w:r>
              <w:rPr>
                <w:rFonts w:ascii="Arial" w:cs="Arial" w:eastAsia="Arial" w:hAnsi="Arial"/>
                <w:sz w:val="16"/>
                <w:szCs w:val="16"/>
                <w:color w:val="auto"/>
              </w:rPr>
              <w:t>Common stock subject to</w:t>
            </w: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(35,321,987)</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(3,532)</w:t>
            </w:r>
          </w:p>
        </w:tc>
        <w:tc>
          <w:tcPr>
            <w:tcW w:w="120" w:type="dxa"/>
            <w:vAlign w:val="bottom"/>
          </w:tcPr>
          <w:p>
            <w:pPr>
              <w:spacing w:after="0"/>
              <w:rPr>
                <w:sz w:val="24"/>
                <w:szCs w:val="24"/>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82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1880" w:type="dxa"/>
            <w:vAlign w:val="bottom"/>
          </w:tcPr>
          <w:p>
            <w:pPr>
              <w:ind w:left="160"/>
              <w:spacing w:after="0"/>
              <w:rPr>
                <w:sz w:val="20"/>
                <w:szCs w:val="20"/>
                <w:color w:val="auto"/>
              </w:rPr>
            </w:pPr>
            <w:r>
              <w:rPr>
                <w:rFonts w:ascii="Arial" w:cs="Arial" w:eastAsia="Arial" w:hAnsi="Arial"/>
                <w:sz w:val="16"/>
                <w:szCs w:val="16"/>
                <w:color w:val="auto"/>
              </w:rPr>
              <w:t>possible redemption</w:t>
            </w:r>
          </w:p>
        </w:tc>
        <w:tc>
          <w:tcPr>
            <w:tcW w:w="13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7"/>
        </w:trPr>
        <w:tc>
          <w:tcPr>
            <w:tcW w:w="1880" w:type="dxa"/>
            <w:vAlign w:val="bottom"/>
          </w:tcPr>
          <w:p>
            <w:pPr>
              <w:spacing w:after="0"/>
              <w:rPr>
                <w:sz w:val="20"/>
                <w:szCs w:val="20"/>
                <w:color w:val="auto"/>
              </w:rPr>
            </w:pPr>
            <w:r>
              <w:rPr>
                <w:rFonts w:ascii="Arial" w:cs="Arial" w:eastAsia="Arial" w:hAnsi="Arial"/>
                <w:sz w:val="16"/>
                <w:szCs w:val="16"/>
                <w:color w:val="auto"/>
              </w:rPr>
              <w:t>Net loss</w:t>
            </w: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880" w:type="dxa"/>
            <w:vAlign w:val="bottom"/>
          </w:tcPr>
          <w:p>
            <w:pPr>
              <w:spacing w:after="0"/>
              <w:rPr>
                <w:sz w:val="20"/>
                <w:szCs w:val="20"/>
                <w:color w:val="auto"/>
              </w:rPr>
            </w:pPr>
            <w:r>
              <w:rPr>
                <w:rFonts w:ascii="Arial" w:cs="Arial" w:eastAsia="Arial" w:hAnsi="Arial"/>
                <w:sz w:val="16"/>
                <w:szCs w:val="16"/>
                <w:color w:val="auto"/>
              </w:rPr>
              <w:t>Balance - December 31,</w:t>
            </w:r>
          </w:p>
        </w:tc>
        <w:tc>
          <w:tcPr>
            <w:tcW w:w="13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8,953,013</w:t>
            </w:r>
          </w:p>
        </w:tc>
        <w:tc>
          <w:tcPr>
            <w:tcW w:w="120" w:type="dxa"/>
            <w:vAlign w:val="bottom"/>
          </w:tcPr>
          <w:p>
            <w:pPr>
              <w:spacing w:after="0"/>
              <w:rPr>
                <w:sz w:val="24"/>
                <w:szCs w:val="24"/>
                <w:color w:val="auto"/>
              </w:rPr>
            </w:pPr>
          </w:p>
        </w:tc>
        <w:tc>
          <w:tcPr>
            <w:tcW w:w="280" w:type="dxa"/>
            <w:vAlign w:val="bottom"/>
            <w:tcBorders>
              <w:top w:val="single" w:sz="8" w:color="auto"/>
            </w:tcBorders>
            <w:vMerge w:val="restart"/>
          </w:tcPr>
          <w:p>
            <w:pPr>
              <w:jc w:val="right"/>
              <w:ind w:right="101"/>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895</w:t>
            </w:r>
          </w:p>
        </w:tc>
        <w:tc>
          <w:tcPr>
            <w:tcW w:w="120" w:type="dxa"/>
            <w:vAlign w:val="bottom"/>
          </w:tcPr>
          <w:p>
            <w:pPr>
              <w:spacing w:after="0"/>
              <w:rPr>
                <w:sz w:val="24"/>
                <w:szCs w:val="24"/>
                <w:color w:val="auto"/>
              </w:rPr>
            </w:pPr>
          </w:p>
        </w:tc>
        <w:tc>
          <w:tcPr>
            <w:tcW w:w="1140" w:type="dxa"/>
            <w:vAlign w:val="bottom"/>
            <w:tcBorders>
              <w:top w:val="single" w:sz="8" w:color="auto"/>
            </w:tcBorders>
            <w:vMerge w:val="restart"/>
          </w:tcPr>
          <w:p>
            <w:pPr>
              <w:jc w:val="right"/>
              <w:ind w:right="3"/>
              <w:spacing w:after="0"/>
              <w:rPr>
                <w:sz w:val="20"/>
                <w:szCs w:val="20"/>
                <w:color w:val="auto"/>
              </w:rPr>
            </w:pPr>
            <w:r>
              <w:rPr>
                <w:rFonts w:ascii="Arial" w:cs="Arial" w:eastAsia="Arial" w:hAnsi="Arial"/>
                <w:sz w:val="16"/>
                <w:szCs w:val="16"/>
                <w:color w:val="auto"/>
              </w:rPr>
              <w:t>11,068,750</w:t>
            </w:r>
          </w:p>
        </w:tc>
        <w:tc>
          <w:tcPr>
            <w:tcW w:w="80" w:type="dxa"/>
            <w:vAlign w:val="bottom"/>
          </w:tcPr>
          <w:p>
            <w:pPr>
              <w:spacing w:after="0"/>
              <w:rPr>
                <w:sz w:val="24"/>
                <w:szCs w:val="24"/>
                <w:color w:val="auto"/>
              </w:rPr>
            </w:pPr>
          </w:p>
        </w:tc>
        <w:tc>
          <w:tcPr>
            <w:tcW w:w="200" w:type="dxa"/>
            <w:vAlign w:val="bottom"/>
            <w:tcBorders>
              <w:top w:val="single" w:sz="8" w:color="auto"/>
            </w:tcBorders>
            <w:vMerge w:val="restart"/>
          </w:tcPr>
          <w:p>
            <w:pPr>
              <w:jc w:val="right"/>
              <w:ind w:right="21"/>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vMerge w:val="restart"/>
          </w:tcPr>
          <w:p>
            <w:pPr>
              <w:jc w:val="right"/>
              <w:ind w:right="2"/>
              <w:spacing w:after="0"/>
              <w:rPr>
                <w:sz w:val="20"/>
                <w:szCs w:val="20"/>
                <w:color w:val="auto"/>
              </w:rPr>
            </w:pPr>
            <w:r>
              <w:rPr>
                <w:rFonts w:ascii="Arial" w:cs="Arial" w:eastAsia="Arial" w:hAnsi="Arial"/>
                <w:sz w:val="16"/>
                <w:szCs w:val="16"/>
                <w:color w:val="auto"/>
              </w:rPr>
              <w:t>1,107</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7"/>
        </w:trPr>
        <w:tc>
          <w:tcPr>
            <w:tcW w:w="1880" w:type="dxa"/>
            <w:vAlign w:val="bottom"/>
          </w:tcPr>
          <w:p>
            <w:pPr>
              <w:ind w:left="160"/>
              <w:spacing w:after="0" w:line="182" w:lineRule="exact"/>
              <w:rPr>
                <w:sz w:val="20"/>
                <w:szCs w:val="20"/>
                <w:color w:val="auto"/>
              </w:rPr>
            </w:pPr>
            <w:r>
              <w:rPr>
                <w:rFonts w:ascii="Arial" w:cs="Arial" w:eastAsia="Arial" w:hAnsi="Arial"/>
                <w:sz w:val="16"/>
                <w:szCs w:val="16"/>
                <w:color w:val="auto"/>
              </w:rPr>
              <w:t>2020</w:t>
            </w:r>
          </w:p>
        </w:tc>
        <w:tc>
          <w:tcPr>
            <w:tcW w:w="13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auto"/>
            </w:tcBorders>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vMerge w:val="continue"/>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-1866900</wp:posOffset>
            </wp:positionV>
            <wp:extent cx="7134860" cy="3365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860" cy="33655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-1362075</wp:posOffset>
            </wp:positionV>
            <wp:extent cx="7134860" cy="2355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860" cy="2355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-958215</wp:posOffset>
            </wp:positionV>
            <wp:extent cx="7134860" cy="2355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860" cy="2355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-554355</wp:posOffset>
            </wp:positionV>
            <wp:extent cx="7134860" cy="134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-252095</wp:posOffset>
            </wp:positionV>
            <wp:extent cx="7134860" cy="2355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860" cy="2355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-2279650</wp:posOffset>
            </wp:positionV>
            <wp:extent cx="7134860" cy="2438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860" cy="2438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jc w:val="right"/>
              <w:ind w:right="403"/>
              <w:spacing w:after="0"/>
              <w:rPr>
                <w:sz w:val="20"/>
                <w:szCs w:val="20"/>
                <w:color w:val="auto"/>
              </w:rPr>
            </w:pPr>
            <w:r>
              <w:rPr>
                <w:rFonts w:ascii="Arial" w:cs="Arial" w:eastAsia="Arial" w:hAnsi="Arial"/>
                <w:sz w:val="14"/>
                <w:szCs w:val="14"/>
                <w:b w:val="1"/>
                <w:bCs w:val="1"/>
                <w:color w:val="auto"/>
                <w:w w:val="90"/>
              </w:rPr>
              <w:t>Additional</w:t>
            </w:r>
          </w:p>
        </w:tc>
        <w:tc>
          <w:tcPr>
            <w:tcW w:w="200" w:type="dxa"/>
            <w:vAlign w:val="bottom"/>
          </w:tcPr>
          <w:p>
            <w:pPr>
              <w:spacing w:after="0"/>
              <w:rPr>
                <w:sz w:val="14"/>
                <w:szCs w:val="14"/>
                <w:color w:val="auto"/>
              </w:rPr>
            </w:pPr>
          </w:p>
        </w:tc>
        <w:tc>
          <w:tcPr>
            <w:tcW w:w="13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4"/>
                <w:szCs w:val="14"/>
                <w:color w:val="auto"/>
              </w:rPr>
            </w:pPr>
          </w:p>
        </w:tc>
        <w:tc>
          <w:tcPr>
            <w:tcW w:w="1200" w:type="dxa"/>
            <w:vAlign w:val="bottom"/>
          </w:tcPr>
          <w:p>
            <w:pPr>
              <w:jc w:val="center"/>
              <w:ind w:right="103"/>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3"/>
        </w:trPr>
        <w:tc>
          <w:tcPr>
            <w:tcW w:w="1120" w:type="dxa"/>
            <w:vAlign w:val="bottom"/>
          </w:tcPr>
          <w:p>
            <w:pPr>
              <w:jc w:val="right"/>
              <w:ind w:right="503"/>
              <w:spacing w:after="0" w:line="133" w:lineRule="exact"/>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jc w:val="center"/>
              <w:ind w:right="103"/>
              <w:spacing w:after="0" w:line="133" w:lineRule="exact"/>
              <w:rPr>
                <w:sz w:val="20"/>
                <w:szCs w:val="20"/>
                <w:color w:val="auto"/>
              </w:rPr>
            </w:pPr>
            <w:r>
              <w:rPr>
                <w:rFonts w:ascii="Arial" w:cs="Arial" w:eastAsia="Arial" w:hAnsi="Arial"/>
                <w:sz w:val="14"/>
                <w:szCs w:val="14"/>
                <w:b w:val="1"/>
                <w:bCs w:val="1"/>
                <w:color w:val="auto"/>
                <w:w w:val="88"/>
              </w:rPr>
              <w:t>Stockholders’</w:t>
            </w:r>
          </w:p>
        </w:tc>
        <w:tc>
          <w:tcPr>
            <w:tcW w:w="0" w:type="dxa"/>
            <w:vAlign w:val="bottom"/>
          </w:tcPr>
          <w:p>
            <w:pPr>
              <w:spacing w:after="0"/>
              <w:rPr>
                <w:sz w:val="1"/>
                <w:szCs w:val="1"/>
                <w:color w:val="auto"/>
              </w:rPr>
            </w:pPr>
          </w:p>
        </w:tc>
      </w:tr>
      <w:tr>
        <w:trPr>
          <w:trHeight w:val="192"/>
        </w:trPr>
        <w:tc>
          <w:tcPr>
            <w:tcW w:w="1120" w:type="dxa"/>
            <w:vAlign w:val="bottom"/>
          </w:tcPr>
          <w:p>
            <w:pPr>
              <w:jc w:val="right"/>
              <w:ind w:right="503"/>
              <w:spacing w:after="0"/>
              <w:rPr>
                <w:sz w:val="20"/>
                <w:szCs w:val="20"/>
                <w:color w:val="auto"/>
              </w:rPr>
            </w:pPr>
            <w:r>
              <w:rPr>
                <w:rFonts w:ascii="Arial" w:cs="Arial" w:eastAsia="Arial" w:hAnsi="Arial"/>
                <w:sz w:val="14"/>
                <w:szCs w:val="14"/>
                <w:b w:val="1"/>
                <w:bCs w:val="1"/>
                <w:color w:val="auto"/>
              </w:rPr>
              <w:t>Capital</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353"/>
        </w:trPr>
        <w:tc>
          <w:tcPr>
            <w:tcW w:w="1120" w:type="dxa"/>
            <w:vAlign w:val="bottom"/>
          </w:tcPr>
          <w:p>
            <w:pPr>
              <w:jc w:val="right"/>
              <w:ind w:right="103"/>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95"/>
        </w:trPr>
        <w:tc>
          <w:tcPr>
            <w:tcW w:w="1120" w:type="dxa"/>
            <w:vAlign w:val="bottom"/>
          </w:tcPr>
          <w:p>
            <w:pPr>
              <w:jc w:val="right"/>
              <w:ind w:right="103"/>
              <w:spacing w:after="0"/>
              <w:rPr>
                <w:sz w:val="20"/>
                <w:szCs w:val="20"/>
                <w:color w:val="auto"/>
              </w:rPr>
            </w:pPr>
            <w:r>
              <w:rPr>
                <w:rFonts w:ascii="Arial" w:cs="Arial" w:eastAsia="Arial" w:hAnsi="Arial"/>
                <w:sz w:val="16"/>
                <w:szCs w:val="16"/>
                <w:color w:val="auto"/>
              </w:rPr>
              <w:t>23,893</w:t>
            </w:r>
          </w:p>
        </w:tc>
        <w:tc>
          <w:tcPr>
            <w:tcW w:w="200" w:type="dxa"/>
            <w:vAlign w:val="bottom"/>
          </w:tcPr>
          <w:p>
            <w:pPr>
              <w:spacing w:after="0"/>
              <w:rPr>
                <w:sz w:val="24"/>
                <w:szCs w:val="24"/>
                <w:color w:val="auto"/>
              </w:rPr>
            </w:pPr>
          </w:p>
        </w:tc>
        <w:tc>
          <w:tcPr>
            <w:tcW w:w="130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25,000</w:t>
            </w:r>
          </w:p>
        </w:tc>
        <w:tc>
          <w:tcPr>
            <w:tcW w:w="0" w:type="dxa"/>
            <w:vAlign w:val="bottom"/>
          </w:tcPr>
          <w:p>
            <w:pPr>
              <w:spacing w:after="0"/>
              <w:rPr>
                <w:sz w:val="1"/>
                <w:szCs w:val="1"/>
                <w:color w:val="auto"/>
              </w:rPr>
            </w:pPr>
          </w:p>
        </w:tc>
      </w:tr>
      <w:tr>
        <w:trPr>
          <w:trHeight w:val="636"/>
        </w:trPr>
        <w:tc>
          <w:tcPr>
            <w:tcW w:w="1120" w:type="dxa"/>
            <w:vAlign w:val="bottom"/>
          </w:tcPr>
          <w:p>
            <w:pPr>
              <w:jc w:val="right"/>
              <w:ind w:right="103"/>
              <w:spacing w:after="0"/>
              <w:rPr>
                <w:sz w:val="20"/>
                <w:szCs w:val="20"/>
                <w:color w:val="auto"/>
              </w:rPr>
            </w:pPr>
            <w:r>
              <w:rPr>
                <w:rFonts w:ascii="Arial" w:cs="Arial" w:eastAsia="Arial" w:hAnsi="Arial"/>
                <w:sz w:val="16"/>
                <w:szCs w:val="16"/>
                <w:color w:val="auto"/>
              </w:rPr>
              <w:t>398,098,047</w:t>
            </w:r>
          </w:p>
        </w:tc>
        <w:tc>
          <w:tcPr>
            <w:tcW w:w="200" w:type="dxa"/>
            <w:vAlign w:val="bottom"/>
          </w:tcPr>
          <w:p>
            <w:pPr>
              <w:spacing w:after="0"/>
              <w:rPr>
                <w:sz w:val="24"/>
                <w:szCs w:val="24"/>
                <w:color w:val="auto"/>
              </w:rPr>
            </w:pPr>
          </w:p>
        </w:tc>
        <w:tc>
          <w:tcPr>
            <w:tcW w:w="130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398,102,474</w:t>
            </w:r>
          </w:p>
        </w:tc>
        <w:tc>
          <w:tcPr>
            <w:tcW w:w="0" w:type="dxa"/>
            <w:vAlign w:val="bottom"/>
          </w:tcPr>
          <w:p>
            <w:pPr>
              <w:spacing w:after="0"/>
              <w:rPr>
                <w:sz w:val="1"/>
                <w:szCs w:val="1"/>
                <w:color w:val="auto"/>
              </w:rPr>
            </w:pPr>
          </w:p>
        </w:tc>
      </w:tr>
      <w:tr>
        <w:trPr>
          <w:trHeight w:val="636"/>
        </w:trPr>
        <w:tc>
          <w:tcPr>
            <w:tcW w:w="1120" w:type="dxa"/>
            <w:vAlign w:val="bottom"/>
          </w:tcPr>
          <w:p>
            <w:pPr>
              <w:jc w:val="right"/>
              <w:ind w:right="63"/>
              <w:spacing w:after="0"/>
              <w:rPr>
                <w:sz w:val="20"/>
                <w:szCs w:val="20"/>
                <w:color w:val="auto"/>
              </w:rPr>
            </w:pPr>
            <w:r>
              <w:rPr>
                <w:rFonts w:ascii="Arial" w:cs="Arial" w:eastAsia="Arial" w:hAnsi="Arial"/>
                <w:sz w:val="16"/>
                <w:szCs w:val="16"/>
                <w:color w:val="auto"/>
                <w:w w:val="96"/>
              </w:rPr>
              <w:t>(353,216,338)</w:t>
            </w:r>
          </w:p>
        </w:tc>
        <w:tc>
          <w:tcPr>
            <w:tcW w:w="200" w:type="dxa"/>
            <w:vAlign w:val="bottom"/>
          </w:tcPr>
          <w:p>
            <w:pPr>
              <w:spacing w:after="0"/>
              <w:rPr>
                <w:sz w:val="24"/>
                <w:szCs w:val="24"/>
                <w:color w:val="auto"/>
              </w:rPr>
            </w:pPr>
          </w:p>
        </w:tc>
        <w:tc>
          <w:tcPr>
            <w:tcW w:w="130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(353,219,870)</w:t>
            </w:r>
          </w:p>
        </w:tc>
        <w:tc>
          <w:tcPr>
            <w:tcW w:w="0" w:type="dxa"/>
            <w:vAlign w:val="bottom"/>
          </w:tcPr>
          <w:p>
            <w:pPr>
              <w:spacing w:after="0"/>
              <w:rPr>
                <w:sz w:val="1"/>
                <w:szCs w:val="1"/>
                <w:color w:val="auto"/>
              </w:rPr>
            </w:pPr>
          </w:p>
        </w:tc>
      </w:tr>
      <w:tr>
        <w:trPr>
          <w:trHeight w:val="479"/>
        </w:trPr>
        <w:tc>
          <w:tcPr>
            <w:tcW w:w="1120" w:type="dxa"/>
            <w:vAlign w:val="bottom"/>
          </w:tcPr>
          <w:p>
            <w:pPr>
              <w:jc w:val="right"/>
              <w:ind w:right="103"/>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w w:val="90"/>
              </w:rPr>
              <w:t>(39,907,599)</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(39,907,599)</w:t>
            </w:r>
          </w:p>
        </w:tc>
        <w:tc>
          <w:tcPr>
            <w:tcW w:w="0" w:type="dxa"/>
            <w:vAlign w:val="bottom"/>
          </w:tcPr>
          <w:p>
            <w:pPr>
              <w:spacing w:after="0"/>
              <w:rPr>
                <w:sz w:val="1"/>
                <w:szCs w:val="1"/>
                <w:color w:val="auto"/>
              </w:rPr>
            </w:pPr>
          </w:p>
        </w:tc>
      </w:tr>
      <w:tr>
        <w:trPr>
          <w:trHeight w:val="589"/>
        </w:trPr>
        <w:tc>
          <w:tcPr>
            <w:tcW w:w="1120" w:type="dxa"/>
            <w:vAlign w:val="bottom"/>
          </w:tcPr>
          <w:p>
            <w:pPr>
              <w:jc w:val="right"/>
              <w:ind w:right="103"/>
              <w:spacing w:after="0"/>
              <w:rPr>
                <w:sz w:val="20"/>
                <w:szCs w:val="20"/>
                <w:color w:val="auto"/>
              </w:rPr>
            </w:pPr>
            <w:r>
              <w:rPr>
                <w:rFonts w:ascii="Arial" w:cs="Arial" w:eastAsia="Arial" w:hAnsi="Arial"/>
                <w:sz w:val="16"/>
                <w:szCs w:val="16"/>
                <w:color w:val="auto"/>
              </w:rPr>
              <w:t>44,905,602</w:t>
            </w: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w w:val="90"/>
              </w:rPr>
              <w:t>(39,907,599)</w:t>
            </w:r>
          </w:p>
        </w:tc>
        <w:tc>
          <w:tcPr>
            <w:tcW w:w="120" w:type="dxa"/>
            <w:vAlign w:val="bottom"/>
          </w:tcPr>
          <w:p>
            <w:pPr>
              <w:spacing w:after="0"/>
              <w:rPr>
                <w:sz w:val="24"/>
                <w:szCs w:val="24"/>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5,000,005</w:t>
            </w:r>
          </w:p>
        </w:tc>
        <w:tc>
          <w:tcPr>
            <w:tcW w:w="0" w:type="dxa"/>
            <w:vAlign w:val="bottom"/>
          </w:tcPr>
          <w:p>
            <w:pPr>
              <w:spacing w:after="0"/>
              <w:rPr>
                <w:sz w:val="1"/>
                <w:szCs w:val="1"/>
                <w:color w:val="auto"/>
              </w:rPr>
            </w:pPr>
          </w:p>
        </w:tc>
      </w:tr>
      <w:tr>
        <w:trPr>
          <w:trHeight w:val="22"/>
        </w:trPr>
        <w:tc>
          <w:tcPr>
            <w:tcW w:w="1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-7620</wp:posOffset>
            </wp:positionV>
            <wp:extent cx="8750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75030" cy="8255"/>
                    </a:xfrm>
                    <a:prstGeom prst="rect">
                      <a:avLst/>
                    </a:prstGeom>
                    <a:noFill/>
                  </pic:spPr>
                </pic:pic>
              </a:graphicData>
            </a:graphic>
          </wp:anchor>
        </w:drawing>
        <w:drawing>
          <wp:anchor simplePos="0" relativeHeight="251657728" behindDoc="1" locked="0" layoutInCell="0" allowOverlap="1">
            <wp:simplePos x="0" y="0"/>
            <wp:positionH relativeFrom="column">
              <wp:posOffset>-234950</wp:posOffset>
            </wp:positionH>
            <wp:positionV relativeFrom="paragraph">
              <wp:posOffset>-419735</wp:posOffset>
            </wp:positionV>
            <wp:extent cx="8750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7503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40" w:space="280"/>
            <w:col w:w="4000"/>
          </w:cols>
          <w:pgMar w:left="340" w:top="1440" w:right="339" w:bottom="1440" w:gutter="0" w:footer="0" w:header="0"/>
          <w:type w:val="continuous"/>
        </w:sectPr>
      </w:pPr>
    </w:p>
    <w:p>
      <w:pPr>
        <w:spacing w:after="0" w:line="39"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F-84</w:t>
      </w:r>
    </w:p>
    <w:p>
      <w:pPr>
        <w:sectPr>
          <w:pgSz w:w="11900" w:h="16838" w:orient="portrait"/>
          <w:cols w:equalWidth="0" w:num="1">
            <w:col w:w="11220"/>
          </w:cols>
          <w:pgMar w:left="340" w:top="1440" w:right="339" w:bottom="1440" w:gutter="0" w:footer="0" w:header="0"/>
          <w:type w:val="continuous"/>
        </w:sectPr>
      </w:pPr>
    </w:p>
    <w:bookmarkStart w:id="256" w:name="page257"/>
    <w:bookmarkEnd w:id="256"/>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JULY 10, 2020 (INCEPTION) THROUGH DECEMBER 31, 2020 (As Restated)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6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4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6"/>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(39,907,599)</w:t>
            </w:r>
          </w:p>
        </w:tc>
      </w:tr>
      <w:tr>
        <w:trPr>
          <w:trHeight w:val="225"/>
        </w:trPr>
        <w:tc>
          <w:tcPr>
            <w:tcW w:w="9560" w:type="dxa"/>
            <w:vAlign w:val="bottom"/>
          </w:tcPr>
          <w:p>
            <w:pPr>
              <w:ind w:left="2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4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6"/>
        </w:trPr>
        <w:tc>
          <w:tcPr>
            <w:tcW w:w="9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earned on investments held in Trust Account</w:t>
            </w: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(13,951)</w:t>
            </w:r>
          </w:p>
        </w:tc>
      </w:tr>
      <w:tr>
        <w:trPr>
          <w:trHeight w:val="225"/>
        </w:trPr>
        <w:tc>
          <w:tcPr>
            <w:tcW w:w="9560" w:type="dxa"/>
            <w:vAlign w:val="bottom"/>
          </w:tcPr>
          <w:p>
            <w:pPr>
              <w:ind w:left="240"/>
              <w:spacing w:after="0"/>
              <w:rPr>
                <w:sz w:val="20"/>
                <w:szCs w:val="20"/>
                <w:color w:val="auto"/>
              </w:rPr>
            </w:pPr>
            <w:r>
              <w:rPr>
                <w:rFonts w:ascii="Arial" w:cs="Arial" w:eastAsia="Arial" w:hAnsi="Arial"/>
                <w:sz w:val="18"/>
                <w:szCs w:val="18"/>
                <w:color w:val="auto"/>
              </w:rPr>
              <w:t>Change in fair value of warrant liability</w:t>
            </w:r>
          </w:p>
        </w:tc>
        <w:tc>
          <w:tcPr>
            <w:tcW w:w="4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38,510,584</w:t>
            </w:r>
          </w:p>
        </w:tc>
      </w:tr>
      <w:tr>
        <w:trPr>
          <w:trHeight w:val="226"/>
        </w:trPr>
        <w:tc>
          <w:tcPr>
            <w:tcW w:w="9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Transaction costs</w:t>
            </w: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1,204,771</w:t>
            </w:r>
          </w:p>
        </w:tc>
      </w:tr>
      <w:tr>
        <w:trPr>
          <w:trHeight w:val="225"/>
        </w:trPr>
        <w:tc>
          <w:tcPr>
            <w:tcW w:w="9560" w:type="dxa"/>
            <w:vAlign w:val="bottom"/>
          </w:tcPr>
          <w:p>
            <w:pPr>
              <w:ind w:left="240"/>
              <w:spacing w:after="0"/>
              <w:rPr>
                <w:sz w:val="20"/>
                <w:szCs w:val="20"/>
                <w:color w:val="auto"/>
              </w:rPr>
            </w:pPr>
            <w:r>
              <w:rPr>
                <w:rFonts w:ascii="Arial" w:cs="Arial" w:eastAsia="Arial" w:hAnsi="Arial"/>
                <w:sz w:val="18"/>
                <w:szCs w:val="18"/>
                <w:color w:val="auto"/>
              </w:rPr>
              <w:t>Changes in operating assets and liabilities:</w:t>
            </w:r>
          </w:p>
        </w:tc>
        <w:tc>
          <w:tcPr>
            <w:tcW w:w="4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6"/>
        </w:trPr>
        <w:tc>
          <w:tcPr>
            <w:tcW w:w="9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Prepaid expenses</w:t>
            </w: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(277,031)</w:t>
            </w:r>
          </w:p>
        </w:tc>
      </w:tr>
      <w:tr>
        <w:trPr>
          <w:trHeight w:val="225"/>
        </w:trPr>
        <w:tc>
          <w:tcPr>
            <w:tcW w:w="95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Accrued expenses</w:t>
            </w:r>
          </w:p>
        </w:tc>
        <w:tc>
          <w:tcPr>
            <w:tcW w:w="4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97,120</w:t>
            </w:r>
          </w:p>
        </w:tc>
      </w:tr>
      <w:tr>
        <w:trPr>
          <w:trHeight w:val="218"/>
        </w:trPr>
        <w:tc>
          <w:tcPr>
            <w:tcW w:w="95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Net cash used in operating activities</w:t>
            </w:r>
          </w:p>
        </w:tc>
        <w:tc>
          <w:tcPr>
            <w:tcW w:w="4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(386,106)</w:t>
            </w: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3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7134860" cy="142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Investment of cash into Trust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511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860" cy="151130"/>
                    </a:xfrm>
                    <a:prstGeom prst="rect">
                      <a:avLst/>
                    </a:prstGeom>
                    <a:noFill/>
                  </pic:spPr>
                </pic:pic>
              </a:graphicData>
            </a:graphic>
          </wp:anchor>
        </w:drawing>
      </w:r>
    </w:p>
    <w:p>
      <w:pPr>
        <w:spacing w:after="0" w:line="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27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7134860" cy="142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Proceeds from sale of Units, net of underwriting discounts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18415</wp:posOffset>
            </wp:positionV>
            <wp:extent cx="7134860" cy="1428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Proceeds from sale of Private Placement Warrants</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Proceeds from promissory note –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42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Repayment of promissory note – related party</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Payment of offering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511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860" cy="151130"/>
                    </a:xfrm>
                    <a:prstGeom prst="rect">
                      <a:avLst/>
                    </a:prstGeom>
                    <a:noFill/>
                  </pic:spPr>
                </pic:pic>
              </a:graphicData>
            </a:graphic>
          </wp:anchor>
        </w:drawing>
      </w:r>
    </w:p>
    <w:p>
      <w:pPr>
        <w:spacing w:after="0" w:line="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7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Net Change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7134860" cy="142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682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Cash – End of period</w:t>
      </w:r>
    </w:p>
    <w:p>
      <w:pPr>
        <w:spacing w:after="0" w:line="27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Non-Cash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7134860" cy="1428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Arial" w:cs="Arial" w:eastAsia="Arial" w:hAnsi="Arial"/>
          <w:sz w:val="15"/>
          <w:szCs w:val="15"/>
          <w:color w:val="auto"/>
        </w:rPr>
        <w:t>Initial classification of common stock subject to possible redemption</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(442,750,000)</w:t>
      </w:r>
    </w:p>
    <w:p>
      <w:pPr>
        <w:spacing w:after="0" w:line="32"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(442,750,000)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10795</wp:posOffset>
            </wp:positionV>
            <wp:extent cx="106870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433,895,000</w:t>
      </w:r>
    </w:p>
    <w:p>
      <w:pPr>
        <w:spacing w:after="0" w:line="18"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10,855,000</w:t>
      </w:r>
    </w:p>
    <w:p>
      <w:pPr>
        <w:spacing w:after="0" w:line="18"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112,837</w:t>
      </w:r>
    </w:p>
    <w:p>
      <w:pPr>
        <w:spacing w:after="0" w:line="18"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(165,081)</w:t>
      </w:r>
    </w:p>
    <w:p>
      <w:pPr>
        <w:spacing w:after="0" w:line="18"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(466,969)</w:t>
      </w:r>
    </w:p>
    <w:p>
      <w:pPr>
        <w:spacing w:after="0" w:line="32" w:lineRule="exact"/>
        <w:rPr>
          <w:sz w:val="20"/>
          <w:szCs w:val="20"/>
          <w:color w:val="auto"/>
        </w:rPr>
      </w:pPr>
    </w:p>
    <w:p>
      <w:pPr>
        <w:ind w:left="703"/>
        <w:spacing w:after="0"/>
        <w:rPr>
          <w:sz w:val="20"/>
          <w:szCs w:val="20"/>
          <w:color w:val="auto"/>
        </w:rPr>
      </w:pPr>
      <w:r>
        <w:rPr>
          <w:rFonts w:ascii="Arial" w:cs="Arial" w:eastAsia="Arial" w:hAnsi="Arial"/>
          <w:sz w:val="15"/>
          <w:szCs w:val="15"/>
          <w:color w:val="auto"/>
        </w:rPr>
        <w:t>444,230,787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33020</wp:posOffset>
            </wp:positionV>
            <wp:extent cx="106870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28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1,094,681</w:t>
      </w:r>
    </w:p>
    <w:p>
      <w:pPr>
        <w:spacing w:after="0" w:line="18"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w:t>
      </w:r>
    </w:p>
    <w:p>
      <w:pPr>
        <w:spacing w:after="0" w:line="32" w:lineRule="exact"/>
        <w:rPr>
          <w:sz w:val="20"/>
          <w:szCs w:val="20"/>
          <w:color w:val="auto"/>
        </w:rPr>
      </w:pPr>
    </w:p>
    <w:p>
      <w:pPr>
        <w:ind w:left="883" w:hanging="883"/>
        <w:spacing w:after="0"/>
        <w:tabs>
          <w:tab w:leader="none" w:pos="883" w:val="left"/>
        </w:tabs>
        <w:numPr>
          <w:ilvl w:val="0"/>
          <w:numId w:val="109"/>
        </w:numPr>
        <w:rPr>
          <w:rFonts w:ascii="Arial" w:cs="Arial" w:eastAsia="Arial" w:hAnsi="Arial"/>
          <w:sz w:val="17"/>
          <w:szCs w:val="17"/>
          <w:color w:val="auto"/>
        </w:rPr>
      </w:pPr>
      <w:r>
        <w:rPr>
          <w:rFonts w:ascii="Arial" w:cs="Arial" w:eastAsia="Arial" w:hAnsi="Arial"/>
          <w:sz w:val="17"/>
          <w:szCs w:val="17"/>
          <w:color w:val="auto"/>
        </w:rPr>
        <w:t>1,094,681</w:t>
      </w:r>
    </w:p>
    <w:p>
      <w:pPr>
        <w:spacing w:after="0" w:line="200" w:lineRule="exact"/>
        <w:rPr>
          <w:rFonts w:ascii="Arial" w:cs="Arial" w:eastAsia="Arial" w:hAnsi="Arial"/>
          <w:sz w:val="17"/>
          <w:szCs w:val="17"/>
          <w:color w:val="auto"/>
        </w:rPr>
      </w:pPr>
    </w:p>
    <w:p>
      <w:pPr>
        <w:spacing w:after="0" w:line="333" w:lineRule="exact"/>
        <w:rPr>
          <w:rFonts w:ascii="Arial" w:cs="Arial" w:eastAsia="Arial" w:hAnsi="Arial"/>
          <w:sz w:val="17"/>
          <w:szCs w:val="17"/>
          <w:color w:val="auto"/>
        </w:rPr>
      </w:pPr>
    </w:p>
    <w:p>
      <w:pPr>
        <w:ind w:left="703" w:hanging="703"/>
        <w:spacing w:after="0"/>
        <w:tabs>
          <w:tab w:leader="none" w:pos="703" w:val="left"/>
        </w:tabs>
        <w:numPr>
          <w:ilvl w:val="0"/>
          <w:numId w:val="109"/>
        </w:numPr>
        <w:rPr>
          <w:rFonts w:ascii="Arial" w:cs="Arial" w:eastAsia="Arial" w:hAnsi="Arial"/>
          <w:sz w:val="15"/>
          <w:szCs w:val="15"/>
          <w:color w:val="auto"/>
        </w:rPr>
      </w:pPr>
      <w:r>
        <w:rPr>
          <w:rFonts w:ascii="Arial" w:cs="Arial" w:eastAsia="Arial" w:hAnsi="Arial"/>
          <w:sz w:val="15"/>
          <w:szCs w:val="15"/>
          <w:color w:val="auto"/>
        </w:rPr>
        <w:t>380,268,982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-403860</wp:posOffset>
            </wp:positionV>
            <wp:extent cx="106870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51" w:lineRule="exact"/>
        <w:rPr>
          <w:sz w:val="20"/>
          <w:szCs w:val="20"/>
          <w:color w:val="auto"/>
        </w:rPr>
      </w:pPr>
    </w:p>
    <w:p>
      <w:pPr>
        <w:sectPr>
          <w:pgSz w:w="11900" w:h="16838" w:orient="portrait"/>
          <w:cols w:equalWidth="0" w:num="2">
            <w:col w:w="8857" w:space="720"/>
            <w:col w:w="1663"/>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83"/>
        </w:trPr>
        <w:tc>
          <w:tcPr>
            <w:tcW w:w="9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value of common stock subject to possible redemption</w:t>
            </w:r>
          </w:p>
        </w:tc>
        <w:tc>
          <w:tcPr>
            <w:tcW w:w="420" w:type="dxa"/>
            <w:vAlign w:val="bottom"/>
            <w:tcBorders>
              <w:top w:val="single" w:sz="8" w:color="auto"/>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(27,049,112)</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9560" w:type="dxa"/>
            <w:vAlign w:val="bottom"/>
          </w:tcPr>
          <w:p>
            <w:pPr>
              <w:ind w:left="20"/>
              <w:spacing w:after="0" w:line="198" w:lineRule="exact"/>
              <w:rPr>
                <w:sz w:val="20"/>
                <w:szCs w:val="20"/>
                <w:color w:val="auto"/>
              </w:rPr>
            </w:pPr>
            <w:r>
              <w:rPr>
                <w:rFonts w:ascii="Arial" w:cs="Arial" w:eastAsia="Arial" w:hAnsi="Arial"/>
                <w:sz w:val="18"/>
                <w:szCs w:val="18"/>
                <w:color w:val="auto"/>
              </w:rPr>
              <w:t>Initial classification of warrant liabilities</w:t>
            </w:r>
          </w:p>
        </w:tc>
        <w:tc>
          <w:tcPr>
            <w:tcW w:w="420" w:type="dxa"/>
            <w:vAlign w:val="bottom"/>
            <w:tcBorders>
              <w:bottom w:val="single" w:sz="8" w:color="auto"/>
            </w:tcBorders>
          </w:tcPr>
          <w:p>
            <w:pPr>
              <w:jc w:val="right"/>
              <w:ind w:right="232"/>
              <w:spacing w:after="0" w:line="198"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31,811,834</w:t>
            </w:r>
          </w:p>
        </w:tc>
      </w:tr>
      <w:tr>
        <w:trPr>
          <w:trHeight w:val="20"/>
        </w:trPr>
        <w:tc>
          <w:tcPr>
            <w:tcW w:w="95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43"/>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underwriting fee payable</w:t>
            </w: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15,496,250</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9560" w:type="dxa"/>
            <w:vAlign w:val="bottom"/>
          </w:tcPr>
          <w:p>
            <w:pPr>
              <w:ind w:left="20"/>
              <w:spacing w:after="0" w:line="198" w:lineRule="exact"/>
              <w:rPr>
                <w:sz w:val="20"/>
                <w:szCs w:val="20"/>
                <w:color w:val="auto"/>
              </w:rPr>
            </w:pPr>
            <w:r>
              <w:rPr>
                <w:rFonts w:ascii="Arial" w:cs="Arial" w:eastAsia="Arial" w:hAnsi="Arial"/>
                <w:sz w:val="18"/>
                <w:szCs w:val="18"/>
                <w:color w:val="auto"/>
              </w:rPr>
              <w:t>Offering costs paid directly by Sponsor in consideration for the issuance of Class B common stock</w:t>
            </w:r>
          </w:p>
        </w:tc>
        <w:tc>
          <w:tcPr>
            <w:tcW w:w="420" w:type="dxa"/>
            <w:vAlign w:val="bottom"/>
            <w:tcBorders>
              <w:bottom w:val="single" w:sz="8" w:color="auto"/>
            </w:tcBorders>
          </w:tcPr>
          <w:p>
            <w:pPr>
              <w:jc w:val="right"/>
              <w:ind w:right="232"/>
              <w:spacing w:after="0" w:line="198"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25,000</w:t>
            </w:r>
          </w:p>
        </w:tc>
      </w:tr>
      <w:tr>
        <w:trPr>
          <w:trHeight w:val="20"/>
        </w:trPr>
        <w:tc>
          <w:tcPr>
            <w:tcW w:w="95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43"/>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 of offering costs through promissory note — related party</w:t>
            </w: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52,244</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F-85</w:t>
      </w:r>
    </w:p>
    <w:p>
      <w:pPr>
        <w:sectPr>
          <w:pgSz w:w="11900" w:h="16838" w:orient="portrait"/>
          <w:cols w:equalWidth="0" w:num="1">
            <w:col w:w="11240"/>
          </w:cols>
          <w:pgMar w:left="320" w:top="1440" w:right="339" w:bottom="1440" w:gutter="0" w:footer="0" w:header="0"/>
          <w:type w:val="continuous"/>
        </w:sectPr>
      </w:pPr>
    </w:p>
    <w:bookmarkStart w:id="257" w:name="page258"/>
    <w:bookmarkEnd w:id="257"/>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170"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CM Life Sciences, Inc. (the “Company”) was incorporated in Delaware on July 10, 2020. The Company was formed for the purpose of effecting a merger, capital stock exchange, asset acquisition, stock purchase, reorganization or similar business combination with one or more businesses (the “Business Combination”). The Company is not limited to a particular industry or sector for purposes of consummating a Business Combination. The Company is an early stage and emerging growth company and, as such, the Company is subject to all of the risks associated with early stage and emerging growth companies.</w:t>
      </w:r>
    </w:p>
    <w:p>
      <w:pPr>
        <w:spacing w:after="0" w:line="9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As of December 31, 2020, the Company had not commenced any operations. All activity for the period from July 10, 2020 (inception) through December 31, 2020 relates to the Company’s formation, the initial public offering (“Initial Public Offering”), which is described below, and, subsequent to the Initial Public Offering, identifying a target company for a Business Combination. The Company will not generate any operating revenues until after the completion of its initial Business Combination, at the earliest. The Company will generate non-operating income in the form of interest income from the proceeds derived from the Initial Public Offering.</w:t>
      </w:r>
    </w:p>
    <w:p>
      <w:pPr>
        <w:spacing w:after="0" w:line="14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registration statement for the Company’s Initial Public Offering was declared effective on September 1, 2020. On September 4, 2020 the Company consummated the Initial Public Offering of 44,275,000 units (the “Units” and, with respect to the Class A common stock included in the Units sold, the “Public Shares”), which includes the full exercise by the underwriter of its over-allotment option in the amount of 5,775,000 Units, at $10.00 per Unit, generating gross proceeds of $442,750,000 which is described in Note 4.</w:t>
      </w:r>
    </w:p>
    <w:p>
      <w:pPr>
        <w:spacing w:after="0" w:line="13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Simultaneously with the closing of the Initial Public Offering, the Company consummated the sale of 7,236,667 warrants (the “Private Placement Warrants”) at a price of $1.50 per Private Placement Warrant in a private placement to CMLS Holdings LLC (the “Sponsor”) and certain of the Company’s independent directors, generating gross proceeds of $10,855,000, which is described in Note 5.</w:t>
      </w:r>
    </w:p>
    <w:p>
      <w:pPr>
        <w:spacing w:after="0" w:line="135"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Transaction costs charged to equity amounted to $24,895,463, consisting of $8,855,000 in cash underwriting fees, $15,496,250 of deferred underwriting fees and $544,213 of other offering costs. Of the total transaction costs of the Initial Public Offering, $1,204,771 is included in transactions costs in the statement of operations and $23,690,693 is included in shareholders’ equity. In addition, as of December 31, 2020, cash of $1,094,681 was held outside of the Trust Account (as defined below) and is available for the payment of offering costs and for working capital purposes.</w:t>
      </w:r>
    </w:p>
    <w:p>
      <w:pPr>
        <w:spacing w:after="0" w:line="93"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Following the closing of the Initial Public Offering on September 4, 2020, an amount of $442,750,000 ($10.00 per Unit) from the net proceeds of the sale of the Units in the Initial Public Offering and the sale of the Private Placement Warrants was placed in a trust account (the “Trust Account”) located in the United States and will be invested only in U.S. government securities, within the meaning set forth in Section 2(a)(16) of the Investment Company Act of 1940, as amended (the “Investment Company Act”), with a maturity of 185 days or less or in any open-ended investment company that holds itself out as a money market fund selected by the Company meeting certain conditions of Rule 2a-7 of the Investment Company Act, as determined by the Company, until the earlier of: (i) the completion of a Business Combination and (ii) the distribution of the funds held in the Trust Account, as described below.</w:t>
      </w:r>
    </w:p>
    <w:p>
      <w:pPr>
        <w:spacing w:after="0" w:line="99"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The Company’s management has broad discretion with respect to the specific application of the net proceeds of the Initial Public Offering and the sale of Private Placement Warrants,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with one or more operating businesses or assets with a fair market value equal to at least 80% of the net assets held in the Trust Account (excluding the deferred underwriting commissions and taxes payable on the interest earned on the Trust Account). The Company will only complete a Business Combination if the post-transaction company owns or acquires 50% or more of the outstanding voting securities of the target or otherwise acquires a controlling interest in the target business sufficient for it not to be required to register as an investment company under the Investment Company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F-86</w:t>
      </w:r>
    </w:p>
    <w:p>
      <w:pPr>
        <w:sectPr>
          <w:pgSz w:w="11900" w:h="16838" w:orient="portrait"/>
          <w:cols w:equalWidth="0" w:num="1">
            <w:col w:w="11240"/>
          </w:cols>
          <w:pgMar w:left="320" w:top="360" w:right="339" w:bottom="1440" w:gutter="0" w:footer="0" w:header="0"/>
        </w:sectPr>
      </w:pPr>
    </w:p>
    <w:bookmarkStart w:id="258" w:name="page259"/>
    <w:bookmarkEnd w:id="258"/>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391"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 Company will provide the holders of the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The Public Stockholders will be entitled to redeem their Public Shares for a pro rata portion of the amount then in the Trust Account (initially $10.00 per Public Share, plus any pro rata interest then in the Trust Account, net of taxes payable). There will be no redemption rights upon the completion of a Business Combination with respect to the Company’s warrants.</w:t>
      </w:r>
    </w:p>
    <w:p>
      <w:pPr>
        <w:spacing w:after="0" w:line="126"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The Company will only proceed with a Business Combination if the Company has net tangible assets of at least $5,000,001 following any related redemptions and, if the Company seeks stockholder approval, a majority of the shares voted are voted in favor of the Business Combination. If a stockholder vote is not required by applicable law or stock exchange listing requirements and the Company does not decide to hold a stockholder vote for business or other reasons, the Company will, pursuant to its Second Amended and Restated Certificate of Incorporation (the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applicable law or stock exchange listing requirements, or the Company decides to obtain stockholder approval for business or other reasons, the Company will offer to redeem shares in conjunction with a proxy solicitation pursuant to the proxy rules and not pursuant to the tender offer rules. If the Company seeks stockholder approval in connection with a Business Combination, the Company’s Sponsor and any other holders of the Company’s common stock prior to the Initial Public Offering (the “initial stockholders”) have agreed to vote their Founder Shares (as defined in Note 6) and any Public Shares purchased during or after the Initial Public Offering in favor of approving a Business Combination. Additionally, each Public Stockholder may elect to redeem their Public Shares without voting, and if they do vote, irrespective of whether they vote for or against the proposed transaction.</w:t>
      </w:r>
    </w:p>
    <w:p>
      <w:pPr>
        <w:spacing w:after="0" w:line="32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Notwithstanding the foregoing, if the Company seeks stockholder approval of a Business Combination and it does not conduct redemptions pursuant to the tender offer rules, the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20% of the Public Shares, without the prior consent of the Company.</w:t>
      </w:r>
    </w:p>
    <w:p>
      <w:pPr>
        <w:spacing w:after="0" w:line="141"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Sponsor has agreed (a) to waive its redemption rights with respect to the Founder Shares and Public Shares held by it in connection with the completion of a Business Combination and (b) not to propose an amendment to the Certificate of Incorporation (i) to modify the substance or timing of the Company’s obligation to redeem 100% of its Public Shares if the Company does not complete a Business Combination within the Combination Period (as defined below) or (ii) with respect to any other material provision relating to stockholders’ rights or pre-business combination activity, unless the Company provides the Public Stockholders with the opportunity to redeem their Public Shares in conjunction with any such amendment.</w:t>
      </w:r>
    </w:p>
    <w:p>
      <w:pPr>
        <w:spacing w:after="0" w:line="128"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If the Company has not completed a Business Combination by September 4, 2022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pay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the Company’s remaining stockholders and the Company’s board of directors, dissolve and liquidate, subject in each case to the Company’s obligations under Delaware law to provide for claims of creditors and the requirements of other applicable law. There will be no redemption rights or liquidating distributions with respect to the Company’s warrants, which will expire worthless if the Company fails to complete a Business Combination within the Combination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F-87</w:t>
      </w:r>
    </w:p>
    <w:p>
      <w:pPr>
        <w:sectPr>
          <w:pgSz w:w="11900" w:h="16838" w:orient="portrait"/>
          <w:cols w:equalWidth="0" w:num="1">
            <w:col w:w="11240"/>
          </w:cols>
          <w:pgMar w:left="320" w:top="360" w:right="339" w:bottom="1440" w:gutter="0" w:footer="0" w:header="0"/>
        </w:sectPr>
      </w:pPr>
    </w:p>
    <w:bookmarkStart w:id="259" w:name="page260"/>
    <w:bookmarkEnd w:id="259"/>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39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Sponsor has agreed to waive its liquidation rights with respect to the Founder Shares if the Company fails to complete a Business Combination within the Combination Period. However, if the Sponsor acquires Public Shares in or after the Initial Public Offering, such Public Shares will be entitled to liquidating distributions from the Trust Account if the Company fails to complete a Business Combination within the Combination Period. The underwriter has agreed to waive its rights to its deferred underwriting commission (see Note 7)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will be less than the Initial Public Offering price per Unit $(10.00).</w:t>
      </w:r>
    </w:p>
    <w:p>
      <w:pPr>
        <w:spacing w:after="0" w:line="132"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In order to protect the amounts held in the Trust Account, the Sponsor has agreed to be liable to the Company if and to the extent any claims by a third party for services rendered or products sold to the Company, or a prospective target business with which the Company has discussed entering into a transaction agreement,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less taxes payable, provided that such liability will not apply to any claims by a third party or prospective target business who executed a waiver of any and all rights to monies held in the Trust Account nor will it apply to any claims under the Company’s indemnity of the underwriter of the Initial Public Offering against certain liabilities, including liabilities under the Securities Act of 1933, as amended (the “Securities Act”). Moreover,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(except for the Company’s independent registered public accounting firm), prospective target businesses and other entities with which the Company does business, execute agreements with the Company waiving any right, title, interest or claim of any kind in or to monies held in the Trust Account.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RESTATEMENT OF PREVIOUSLY ISSUED FINANCIAL STATEMENTS</w:t>
      </w:r>
    </w:p>
    <w:p>
      <w:pPr>
        <w:spacing w:after="0" w:line="170"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Company previously accounted for its outstanding Public Warrants (as defined in Note 4) and Private Placement Warrants issued in connection with its Initial Public Offering as components of equity instead of as derivative liabilities. The warrant agreement governing the warrants includes a provision that provides for potential changes to the settlement amounts dependent upon the characteristics of the holder of the warrant. In addition, the warrant agreement includes a provision that in the event of a tender or exchange offer made to and accepted by holders of more than 50% of the outstanding shares of a single class of common shares, all holders of the warrants would be entitled to receive cash for their warrants (the “tender offer provision”).</w:t>
      </w:r>
    </w:p>
    <w:p>
      <w:pPr>
        <w:spacing w:after="0" w:line="98"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In connection with the audit of the Company’s financial statements for the period ended December 31, 2020, the Company’s management further evaluated the warrants under Accounting Standards Codification (“ASC”) Subtopic 815-40, Contracts in Entity’s Own Equity. ASC Section 815-40-15 addresses equity versus liability treatment and classification of equity-linked financial instruments, including warrants, and states that a warrant may be classified as a component of equity only if, among other things, the warrant is indexed to the issuer’s common stock. Under ASC Section 815-40-15, a warrant is not indexed to the issuer’s common stock if the terms of the warrant require an adjustment to the exercise price upon a specified event and that event is not an input to the fair value of the warrant. Based on management’s evaluation, the Company’s audit committee, in consultation with management and after discussion with the Company’s independent registered public accounting firm, concluded that the Company’s Private Placement Warrants are not indexed to the Company’s common shares in the manner contemplated by ASC Section 815-40-15 because the holder of the instrument is not an input into the pricing of a fixed-for-fixed option on equity shares. In addition, based on management’s evaluation, the Company’s audit committee, in consultation with management and after discussion with the Company’s independent registered public accounting firm, concluded the tender offer provision included in the warrant agreement fails the “classified in shareholders’ equity” criteria as contemplated by ASC Section 815-40-25.</w:t>
      </w:r>
    </w:p>
    <w:p>
      <w:pPr>
        <w:spacing w:after="0" w:line="32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a result of the above, the Company should have classified the warrants as derivative liabilities in its previously issued financial statements. Under this accounting treatment, the Company is required to measure the fair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F-88</w:t>
      </w:r>
    </w:p>
    <w:p>
      <w:pPr>
        <w:sectPr>
          <w:pgSz w:w="11900" w:h="16838" w:orient="portrait"/>
          <w:cols w:equalWidth="0" w:num="1">
            <w:col w:w="11240"/>
          </w:cols>
          <w:pgMar w:left="320" w:top="360" w:right="339" w:bottom="1440" w:gutter="0" w:footer="0" w:header="0"/>
        </w:sectPr>
      </w:pPr>
    </w:p>
    <w:bookmarkStart w:id="260" w:name="page261"/>
    <w:bookmarkEnd w:id="260"/>
    <w:p>
      <w:pPr>
        <w:jc w:val="center"/>
        <w:ind w:right="100"/>
        <w:spacing w:after="0"/>
        <w:rPr>
          <w:sz w:val="20"/>
          <w:szCs w:val="20"/>
          <w:color w:val="auto"/>
        </w:rPr>
      </w:pPr>
      <w:r>
        <w:rPr>
          <w:rFonts w:ascii="Arial" w:cs="Arial" w:eastAsia="Arial" w:hAnsi="Arial"/>
          <w:sz w:val="18"/>
          <w:szCs w:val="18"/>
          <w:b w:val="1"/>
          <w:bCs w:val="1"/>
          <w:color w:val="auto"/>
        </w:rPr>
        <w:t>CM LIFE SCIENCES, INC.</w:t>
      </w:r>
    </w:p>
    <w:p>
      <w:pPr>
        <w:spacing w:after="0" w:line="2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FINANCIAL STATEMENTS</w:t>
      </w:r>
    </w:p>
    <w:p>
      <w:pPr>
        <w:spacing w:after="0" w:line="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DECEMBER 31, 2020</w:t>
      </w:r>
    </w:p>
    <w:p>
      <w:pPr>
        <w:spacing w:after="0" w:line="391"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value of the warrants at the end of each reporting period and recognize changes in the fair value from the prior period in the Company’s operating results for the current period. In addition, at the IPO, the Company re-allocated a portion of the IPO transaction costs related to the warrant liabilities, which resulted in additional operating costs that were expensed through the statement of operations.</w:t>
      </w:r>
    </w:p>
    <w:p>
      <w:pPr>
        <w:spacing w:after="0" w:line="135" w:lineRule="exact"/>
        <w:rPr>
          <w:sz w:val="20"/>
          <w:szCs w:val="20"/>
          <w:color w:val="auto"/>
        </w:rPr>
      </w:pPr>
    </w:p>
    <w:p>
      <w:pPr>
        <w:jc w:val="both"/>
        <w:ind w:right="100" w:firstLine="318"/>
        <w:spacing w:after="0" w:line="264" w:lineRule="auto"/>
        <w:rPr>
          <w:sz w:val="20"/>
          <w:szCs w:val="20"/>
          <w:color w:val="auto"/>
        </w:rPr>
      </w:pPr>
      <w:r>
        <w:rPr>
          <w:rFonts w:ascii="Arial" w:cs="Arial" w:eastAsia="Arial" w:hAnsi="Arial"/>
          <w:sz w:val="18"/>
          <w:szCs w:val="18"/>
          <w:color w:val="auto"/>
        </w:rPr>
        <w:t>The Company’s accounting for the warrants as components of equity instead of as derivative liabilities did not have any effect on the Company’s previously reported operating expenses, cash flows or cash.</w:t>
      </w:r>
    </w:p>
    <w:p>
      <w:pPr>
        <w:spacing w:after="0" w:line="175"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5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gridSpan w:val="2"/>
          </w:tcPr>
          <w:p>
            <w:pPr>
              <w:ind w:left="540"/>
              <w:spacing w:after="0"/>
              <w:rPr>
                <w:sz w:val="20"/>
                <w:szCs w:val="20"/>
                <w:color w:val="auto"/>
              </w:rPr>
            </w:pPr>
            <w:r>
              <w:rPr>
                <w:rFonts w:ascii="Arial" w:cs="Arial" w:eastAsia="Arial" w:hAnsi="Arial"/>
                <w:sz w:val="18"/>
                <w:szCs w:val="18"/>
                <w:b w:val="1"/>
                <w:bCs w:val="1"/>
                <w:color w:val="auto"/>
              </w:rPr>
              <w:t>As</w:t>
            </w:r>
          </w:p>
        </w:tc>
        <w:tc>
          <w:tcPr>
            <w:tcW w:w="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2"/>
        </w:trPr>
        <w:tc>
          <w:tcPr>
            <w:tcW w:w="5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85"/>
              </w:rPr>
              <w:t>Previously</w:t>
            </w:r>
          </w:p>
        </w:tc>
        <w:tc>
          <w:tcPr>
            <w:tcW w:w="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jc w:val="right"/>
              <w:ind w:right="412"/>
              <w:spacing w:after="0"/>
              <w:rPr>
                <w:sz w:val="20"/>
                <w:szCs w:val="20"/>
                <w:color w:val="auto"/>
              </w:rPr>
            </w:pPr>
            <w:r>
              <w:rPr>
                <w:rFonts w:ascii="Arial" w:cs="Arial" w:eastAsia="Arial" w:hAnsi="Arial"/>
                <w:sz w:val="18"/>
                <w:szCs w:val="18"/>
                <w:b w:val="1"/>
                <w:bCs w:val="1"/>
                <w:color w:val="auto"/>
              </w:rPr>
              <w:t>As</w:t>
            </w:r>
          </w:p>
        </w:tc>
      </w:tr>
      <w:tr>
        <w:trPr>
          <w:trHeight w:val="229"/>
        </w:trPr>
        <w:tc>
          <w:tcPr>
            <w:tcW w:w="5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88"/>
              </w:rPr>
              <w:t>Reported</w:t>
            </w:r>
          </w:p>
        </w:tc>
        <w:tc>
          <w:tcPr>
            <w:tcW w:w="520" w:type="dxa"/>
            <w:vAlign w:val="bottom"/>
          </w:tcPr>
          <w:p>
            <w:pPr>
              <w:spacing w:after="0"/>
              <w:rPr>
                <w:sz w:val="19"/>
                <w:szCs w:val="19"/>
                <w:color w:val="auto"/>
              </w:rPr>
            </w:pPr>
          </w:p>
        </w:tc>
        <w:tc>
          <w:tcPr>
            <w:tcW w:w="1520" w:type="dxa"/>
            <w:vAlign w:val="bottom"/>
            <w:gridSpan w:val="2"/>
          </w:tcPr>
          <w:p>
            <w:pPr>
              <w:ind w:left="120"/>
              <w:spacing w:after="0"/>
              <w:rPr>
                <w:sz w:val="20"/>
                <w:szCs w:val="20"/>
                <w:color w:val="auto"/>
              </w:rPr>
            </w:pPr>
            <w:r>
              <w:rPr>
                <w:rFonts w:ascii="Arial" w:cs="Arial" w:eastAsia="Arial" w:hAnsi="Arial"/>
                <w:sz w:val="18"/>
                <w:szCs w:val="18"/>
                <w:b w:val="1"/>
                <w:bCs w:val="1"/>
                <w:color w:val="auto"/>
              </w:rPr>
              <w:t>Adjustments</w:t>
            </w:r>
          </w:p>
        </w:tc>
        <w:tc>
          <w:tcPr>
            <w:tcW w:w="540" w:type="dxa"/>
            <w:vAlign w:val="bottom"/>
          </w:tcPr>
          <w:p>
            <w:pPr>
              <w:spacing w:after="0"/>
              <w:rPr>
                <w:sz w:val="19"/>
                <w:szCs w:val="19"/>
                <w:color w:val="auto"/>
              </w:rPr>
            </w:pPr>
          </w:p>
        </w:tc>
        <w:tc>
          <w:tcPr>
            <w:tcW w:w="1180" w:type="dxa"/>
            <w:vAlign w:val="bottom"/>
          </w:tcPr>
          <w:p>
            <w:pPr>
              <w:jc w:val="right"/>
              <w:ind w:right="332"/>
              <w:spacing w:after="0"/>
              <w:rPr>
                <w:sz w:val="20"/>
                <w:szCs w:val="20"/>
                <w:color w:val="auto"/>
              </w:rPr>
            </w:pPr>
            <w:r>
              <w:rPr>
                <w:rFonts w:ascii="Arial" w:cs="Arial" w:eastAsia="Arial" w:hAnsi="Arial"/>
                <w:sz w:val="18"/>
                <w:szCs w:val="18"/>
                <w:b w:val="1"/>
                <w:bCs w:val="1"/>
                <w:color w:val="auto"/>
                <w:w w:val="97"/>
              </w:rPr>
              <w:t>Restated</w:t>
            </w:r>
          </w:p>
        </w:tc>
      </w:tr>
      <w:tr>
        <w:trPr>
          <w:trHeight w:val="28"/>
        </w:trPr>
        <w:tc>
          <w:tcPr>
            <w:tcW w:w="52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5"/>
        </w:trPr>
        <w:tc>
          <w:tcPr>
            <w:tcW w:w="5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Balance sheet as of September 4, 2020 (audited)</w:t>
            </w:r>
          </w:p>
        </w:tc>
        <w:tc>
          <w:tcPr>
            <w:tcW w:w="48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r>
      <w:tr>
        <w:trPr>
          <w:trHeight w:val="265"/>
        </w:trPr>
        <w:tc>
          <w:tcPr>
            <w:tcW w:w="5220" w:type="dxa"/>
            <w:vAlign w:val="bottom"/>
          </w:tcPr>
          <w:p>
            <w:pPr>
              <w:ind w:left="340"/>
              <w:spacing w:after="0"/>
              <w:rPr>
                <w:sz w:val="20"/>
                <w:szCs w:val="20"/>
                <w:color w:val="auto"/>
              </w:rPr>
            </w:pPr>
            <w:r>
              <w:rPr>
                <w:rFonts w:ascii="Arial" w:cs="Arial" w:eastAsia="Arial" w:hAnsi="Arial"/>
                <w:sz w:val="18"/>
                <w:szCs w:val="18"/>
                <w:color w:val="auto"/>
              </w:rPr>
              <w:t>Warrant Liabilities</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43,462,868</w:t>
            </w:r>
          </w:p>
        </w:tc>
        <w:tc>
          <w:tcPr>
            <w:tcW w:w="120" w:type="dxa"/>
            <w:vAlign w:val="bottom"/>
          </w:tcPr>
          <w:p>
            <w:pPr>
              <w:spacing w:after="0"/>
              <w:rPr>
                <w:sz w:val="23"/>
                <w:szCs w:val="23"/>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43,462,8</w:t>
            </w:r>
          </w:p>
        </w:tc>
      </w:tr>
      <w:tr>
        <w:trPr>
          <w:trHeight w:val="265"/>
        </w:trPr>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Class A Common Stock Subject to Possible Redemption</w:t>
            </w:r>
          </w:p>
        </w:tc>
        <w:tc>
          <w:tcPr>
            <w:tcW w:w="48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423,731,850</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(43,462,868)</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380,268,9</w:t>
            </w:r>
          </w:p>
        </w:tc>
      </w:tr>
      <w:tr>
        <w:trPr>
          <w:trHeight w:val="265"/>
        </w:trPr>
        <w:tc>
          <w:tcPr>
            <w:tcW w:w="5220" w:type="dxa"/>
            <w:vAlign w:val="bottom"/>
          </w:tcPr>
          <w:p>
            <w:pPr>
              <w:ind w:left="340"/>
              <w:spacing w:after="0"/>
              <w:rPr>
                <w:sz w:val="20"/>
                <w:szCs w:val="20"/>
                <w:color w:val="auto"/>
              </w:rPr>
            </w:pPr>
            <w:r>
              <w:rPr>
                <w:rFonts w:ascii="Arial" w:cs="Arial" w:eastAsia="Arial" w:hAnsi="Arial"/>
                <w:sz w:val="18"/>
                <w:szCs w:val="18"/>
                <w:color w:val="auto"/>
              </w:rPr>
              <w:t>Class A Common Stock</w:t>
            </w:r>
          </w:p>
        </w:tc>
        <w:tc>
          <w:tcPr>
            <w:tcW w:w="4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65"/>
        </w:trPr>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48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5,001,390</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12,855,371</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17,856,7</w:t>
            </w:r>
          </w:p>
        </w:tc>
      </w:tr>
      <w:tr>
        <w:trPr>
          <w:trHeight w:val="264"/>
        </w:trPr>
        <w:tc>
          <w:tcPr>
            <w:tcW w:w="5220" w:type="dxa"/>
            <w:vAlign w:val="bottom"/>
          </w:tcPr>
          <w:p>
            <w:pPr>
              <w:ind w:left="340"/>
              <w:spacing w:after="0"/>
              <w:rPr>
                <w:sz w:val="20"/>
                <w:szCs w:val="20"/>
                <w:color w:val="auto"/>
              </w:rPr>
            </w:pPr>
            <w:r>
              <w:rPr>
                <w:rFonts w:ascii="Arial" w:cs="Arial" w:eastAsia="Arial" w:hAnsi="Arial"/>
                <w:sz w:val="18"/>
                <w:szCs w:val="18"/>
                <w:color w:val="auto"/>
              </w:rPr>
              <w:t>Accumulated Deficit</w:t>
            </w:r>
          </w:p>
        </w:tc>
        <w:tc>
          <w:tcPr>
            <w:tcW w:w="4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(2,681)</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(12,855,805)</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(12,858,4</w:t>
            </w:r>
          </w:p>
        </w:tc>
      </w:tr>
      <w:tr>
        <w:trPr>
          <w:trHeight w:val="266"/>
        </w:trPr>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48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5,000,006</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r>
      <w:tr>
        <w:trPr>
          <w:trHeight w:val="265"/>
        </w:trPr>
        <w:tc>
          <w:tcPr>
            <w:tcW w:w="5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45"/>
        </w:trPr>
        <w:tc>
          <w:tcPr>
            <w:tcW w:w="5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Balance sheet as of September 30, 2020 (unaudited)</w:t>
            </w:r>
          </w:p>
        </w:tc>
        <w:tc>
          <w:tcPr>
            <w:tcW w:w="4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64"/>
        </w:trPr>
        <w:tc>
          <w:tcPr>
            <w:tcW w:w="5220" w:type="dxa"/>
            <w:vAlign w:val="bottom"/>
          </w:tcPr>
          <w:p>
            <w:pPr>
              <w:ind w:left="340"/>
              <w:spacing w:after="0"/>
              <w:rPr>
                <w:sz w:val="20"/>
                <w:szCs w:val="20"/>
                <w:color w:val="auto"/>
              </w:rPr>
            </w:pPr>
            <w:r>
              <w:rPr>
                <w:rFonts w:ascii="Arial" w:cs="Arial" w:eastAsia="Arial" w:hAnsi="Arial"/>
                <w:sz w:val="18"/>
                <w:szCs w:val="18"/>
                <w:color w:val="auto"/>
              </w:rPr>
              <w:t>Warrant Liabilities</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48,148,484</w:t>
            </w:r>
          </w:p>
        </w:tc>
        <w:tc>
          <w:tcPr>
            <w:tcW w:w="120" w:type="dxa"/>
            <w:vAlign w:val="bottom"/>
          </w:tcPr>
          <w:p>
            <w:pPr>
              <w:spacing w:after="0"/>
              <w:rPr>
                <w:sz w:val="23"/>
                <w:szCs w:val="23"/>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48,148.4</w:t>
            </w:r>
          </w:p>
        </w:tc>
      </w:tr>
      <w:tr>
        <w:trPr>
          <w:trHeight w:val="266"/>
        </w:trPr>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Class A Common Stock Subject to Possible Redemption</w:t>
            </w:r>
          </w:p>
        </w:tc>
        <w:tc>
          <w:tcPr>
            <w:tcW w:w="48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423,677,610</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(48,148,484)</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375,529,1</w:t>
            </w:r>
          </w:p>
        </w:tc>
      </w:tr>
      <w:tr>
        <w:trPr>
          <w:trHeight w:val="265"/>
        </w:trPr>
        <w:tc>
          <w:tcPr>
            <w:tcW w:w="5220" w:type="dxa"/>
            <w:vAlign w:val="bottom"/>
          </w:tcPr>
          <w:p>
            <w:pPr>
              <w:ind w:left="340"/>
              <w:spacing w:after="0"/>
              <w:rPr>
                <w:sz w:val="20"/>
                <w:szCs w:val="20"/>
                <w:color w:val="auto"/>
              </w:rPr>
            </w:pPr>
            <w:r>
              <w:rPr>
                <w:rFonts w:ascii="Arial" w:cs="Arial" w:eastAsia="Arial" w:hAnsi="Arial"/>
                <w:sz w:val="18"/>
                <w:szCs w:val="18"/>
                <w:color w:val="auto"/>
              </w:rPr>
              <w:t>Class A Common Stock</w:t>
            </w:r>
          </w:p>
        </w:tc>
        <w:tc>
          <w:tcPr>
            <w:tcW w:w="4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481</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65"/>
        </w:trPr>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48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5,055,629</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17,540,941</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22,596,5</w:t>
            </w:r>
          </w:p>
        </w:tc>
      </w:tr>
      <w:tr>
        <w:trPr>
          <w:trHeight w:val="265"/>
        </w:trPr>
        <w:tc>
          <w:tcPr>
            <w:tcW w:w="5220" w:type="dxa"/>
            <w:vAlign w:val="bottom"/>
          </w:tcPr>
          <w:p>
            <w:pPr>
              <w:ind w:left="340"/>
              <w:spacing w:after="0"/>
              <w:rPr>
                <w:sz w:val="20"/>
                <w:szCs w:val="20"/>
                <w:color w:val="auto"/>
              </w:rPr>
            </w:pPr>
            <w:r>
              <w:rPr>
                <w:rFonts w:ascii="Arial" w:cs="Arial" w:eastAsia="Arial" w:hAnsi="Arial"/>
                <w:sz w:val="18"/>
                <w:szCs w:val="18"/>
                <w:color w:val="auto"/>
              </w:rPr>
              <w:t>Accumulated Deficit</w:t>
            </w:r>
          </w:p>
        </w:tc>
        <w:tc>
          <w:tcPr>
            <w:tcW w:w="4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(56,923)</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(17,541,422)</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(17,598,3</w:t>
            </w:r>
          </w:p>
        </w:tc>
      </w:tr>
      <w:tr>
        <w:trPr>
          <w:trHeight w:val="265"/>
        </w:trPr>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48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5,000,004</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r>
      <w:tr>
        <w:trPr>
          <w:trHeight w:val="265"/>
        </w:trPr>
        <w:tc>
          <w:tcPr>
            <w:tcW w:w="5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45"/>
        </w:trPr>
        <w:tc>
          <w:tcPr>
            <w:tcW w:w="5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Balance sheet as of December 31, 2020 (audited)</w:t>
            </w:r>
          </w:p>
        </w:tc>
        <w:tc>
          <w:tcPr>
            <w:tcW w:w="4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64"/>
        </w:trPr>
        <w:tc>
          <w:tcPr>
            <w:tcW w:w="5220" w:type="dxa"/>
            <w:vAlign w:val="bottom"/>
          </w:tcPr>
          <w:p>
            <w:pPr>
              <w:ind w:left="340"/>
              <w:spacing w:after="0"/>
              <w:rPr>
                <w:sz w:val="20"/>
                <w:szCs w:val="20"/>
                <w:color w:val="auto"/>
              </w:rPr>
            </w:pPr>
            <w:r>
              <w:rPr>
                <w:rFonts w:ascii="Arial" w:cs="Arial" w:eastAsia="Arial" w:hAnsi="Arial"/>
                <w:sz w:val="18"/>
                <w:szCs w:val="18"/>
                <w:color w:val="auto"/>
              </w:rPr>
              <w:t>Warrant Liabilities</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70,322,418</w:t>
            </w:r>
          </w:p>
        </w:tc>
        <w:tc>
          <w:tcPr>
            <w:tcW w:w="120" w:type="dxa"/>
            <w:vAlign w:val="bottom"/>
          </w:tcPr>
          <w:p>
            <w:pPr>
              <w:spacing w:after="0"/>
              <w:rPr>
                <w:sz w:val="23"/>
                <w:szCs w:val="23"/>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70,322,4</w:t>
            </w:r>
          </w:p>
        </w:tc>
      </w:tr>
      <w:tr>
        <w:trPr>
          <w:trHeight w:val="266"/>
        </w:trPr>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Class A Common Stock Subject to Possible Redemption</w:t>
            </w:r>
          </w:p>
        </w:tc>
        <w:tc>
          <w:tcPr>
            <w:tcW w:w="48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423,542,290</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(70,322,420)</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353,219,8</w:t>
            </w:r>
          </w:p>
        </w:tc>
      </w:tr>
      <w:tr>
        <w:trPr>
          <w:trHeight w:val="264"/>
        </w:trPr>
        <w:tc>
          <w:tcPr>
            <w:tcW w:w="5220" w:type="dxa"/>
            <w:vAlign w:val="bottom"/>
          </w:tcPr>
          <w:p>
            <w:pPr>
              <w:ind w:left="340"/>
              <w:spacing w:after="0"/>
              <w:rPr>
                <w:sz w:val="20"/>
                <w:szCs w:val="20"/>
                <w:color w:val="auto"/>
              </w:rPr>
            </w:pPr>
            <w:r>
              <w:rPr>
                <w:rFonts w:ascii="Arial" w:cs="Arial" w:eastAsia="Arial" w:hAnsi="Arial"/>
                <w:sz w:val="18"/>
                <w:szCs w:val="18"/>
                <w:color w:val="auto"/>
              </w:rPr>
              <w:t>Class A Common Stock</w:t>
            </w:r>
          </w:p>
        </w:tc>
        <w:tc>
          <w:tcPr>
            <w:tcW w:w="4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703</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66"/>
        </w:trPr>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48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5,190,948</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39,714,654</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44,905,6</w:t>
            </w:r>
          </w:p>
        </w:tc>
      </w:tr>
      <w:tr>
        <w:trPr>
          <w:trHeight w:val="264"/>
        </w:trPr>
        <w:tc>
          <w:tcPr>
            <w:tcW w:w="5220" w:type="dxa"/>
            <w:vAlign w:val="bottom"/>
          </w:tcPr>
          <w:p>
            <w:pPr>
              <w:ind w:left="340"/>
              <w:spacing w:after="0"/>
              <w:rPr>
                <w:sz w:val="20"/>
                <w:szCs w:val="20"/>
                <w:color w:val="auto"/>
              </w:rPr>
            </w:pPr>
            <w:r>
              <w:rPr>
                <w:rFonts w:ascii="Arial" w:cs="Arial" w:eastAsia="Arial" w:hAnsi="Arial"/>
                <w:sz w:val="18"/>
                <w:szCs w:val="18"/>
                <w:color w:val="auto"/>
              </w:rPr>
              <w:t>Accumulated Deficit</w:t>
            </w:r>
          </w:p>
        </w:tc>
        <w:tc>
          <w:tcPr>
            <w:tcW w:w="4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(192,244)</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(39,715,355)</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(39,907,5</w:t>
            </w:r>
          </w:p>
        </w:tc>
      </w:tr>
      <w:tr>
        <w:trPr>
          <w:trHeight w:val="265"/>
        </w:trPr>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48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5,000,003</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r>
      <w:tr>
        <w:trPr>
          <w:trHeight w:val="265"/>
        </w:trPr>
        <w:tc>
          <w:tcPr>
            <w:tcW w:w="5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2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Period from July 10, 2020 (inception) to September 30, 2020</w:t>
            </w:r>
          </w:p>
        </w:tc>
        <w:tc>
          <w:tcPr>
            <w:tcW w:w="4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7"/>
        </w:trPr>
        <w:tc>
          <w:tcPr>
            <w:tcW w:w="5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(unaudited</w:t>
            </w:r>
          </w:p>
        </w:tc>
        <w:tc>
          <w:tcPr>
            <w:tcW w:w="4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65"/>
        </w:trPr>
        <w:tc>
          <w:tcPr>
            <w:tcW w:w="5220" w:type="dxa"/>
            <w:vAlign w:val="bottom"/>
          </w:tcPr>
          <w:p>
            <w:pPr>
              <w:ind w:left="340"/>
              <w:spacing w:after="0"/>
              <w:rPr>
                <w:sz w:val="20"/>
                <w:szCs w:val="20"/>
                <w:color w:val="auto"/>
              </w:rPr>
            </w:pPr>
            <w:r>
              <w:rPr>
                <w:rFonts w:ascii="Arial" w:cs="Arial" w:eastAsia="Arial" w:hAnsi="Arial"/>
                <w:sz w:val="18"/>
                <w:szCs w:val="18"/>
                <w:color w:val="auto"/>
              </w:rPr>
              <w:t>Change in value of warrant liability</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16,336,651</w:t>
            </w:r>
          </w:p>
        </w:tc>
        <w:tc>
          <w:tcPr>
            <w:tcW w:w="120" w:type="dxa"/>
            <w:vAlign w:val="bottom"/>
          </w:tcPr>
          <w:p>
            <w:pPr>
              <w:spacing w:after="0"/>
              <w:rPr>
                <w:sz w:val="23"/>
                <w:szCs w:val="23"/>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16,336,6</w:t>
            </w:r>
          </w:p>
        </w:tc>
      </w:tr>
      <w:tr>
        <w:trPr>
          <w:trHeight w:val="265"/>
        </w:trPr>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Transaction costs</w:t>
            </w:r>
          </w:p>
        </w:tc>
        <w:tc>
          <w:tcPr>
            <w:tcW w:w="480" w:type="dxa"/>
            <w:vAlign w:val="bottom"/>
            <w:shd w:val="clear" w:color="auto" w:fill="CCEEFF"/>
          </w:tcPr>
          <w:p>
            <w:pPr>
              <w:spacing w:after="0"/>
              <w:rPr>
                <w:sz w:val="23"/>
                <w:szCs w:val="23"/>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1,204,771</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1,204,7</w:t>
            </w:r>
          </w:p>
        </w:tc>
      </w:tr>
      <w:tr>
        <w:trPr>
          <w:trHeight w:val="265"/>
        </w:trPr>
        <w:tc>
          <w:tcPr>
            <w:tcW w:w="5220" w:type="dxa"/>
            <w:vAlign w:val="bottom"/>
          </w:tcPr>
          <w:p>
            <w:pPr>
              <w:ind w:left="340"/>
              <w:spacing w:after="0"/>
              <w:rPr>
                <w:sz w:val="20"/>
                <w:szCs w:val="20"/>
                <w:color w:val="auto"/>
              </w:rPr>
            </w:pPr>
            <w:r>
              <w:rPr>
                <w:rFonts w:ascii="Arial" w:cs="Arial" w:eastAsia="Arial" w:hAnsi="Arial"/>
                <w:sz w:val="18"/>
                <w:szCs w:val="18"/>
                <w:color w:val="auto"/>
              </w:rPr>
              <w:t>Net loss</w:t>
            </w:r>
          </w:p>
        </w:tc>
        <w:tc>
          <w:tcPr>
            <w:tcW w:w="4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(56,923)</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(17,541,422)</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(17,598,3</w:t>
            </w:r>
          </w:p>
        </w:tc>
      </w:tr>
      <w:tr>
        <w:trPr>
          <w:trHeight w:val="227"/>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Weighted average shares outstanding of Class A redeemable common</w:t>
            </w:r>
          </w:p>
        </w:tc>
        <w:tc>
          <w:tcPr>
            <w:tcW w:w="4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51"/>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w:t>
            </w:r>
          </w:p>
        </w:tc>
        <w:tc>
          <w:tcPr>
            <w:tcW w:w="4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44,275,000</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44,275,0</w:t>
            </w:r>
          </w:p>
        </w:tc>
      </w:tr>
      <w:tr>
        <w:trPr>
          <w:trHeight w:val="226"/>
        </w:trPr>
        <w:tc>
          <w:tcPr>
            <w:tcW w:w="5220" w:type="dxa"/>
            <w:vAlign w:val="bottom"/>
          </w:tcPr>
          <w:p>
            <w:pPr>
              <w:ind w:left="20"/>
              <w:spacing w:after="0"/>
              <w:rPr>
                <w:sz w:val="20"/>
                <w:szCs w:val="20"/>
                <w:color w:val="auto"/>
              </w:rPr>
            </w:pPr>
            <w:r>
              <w:rPr>
                <w:rFonts w:ascii="Arial" w:cs="Arial" w:eastAsia="Arial" w:hAnsi="Arial"/>
                <w:sz w:val="18"/>
                <w:szCs w:val="18"/>
                <w:color w:val="auto"/>
                <w:w w:val="96"/>
              </w:rPr>
              <w:t>Basic and diluted earnings per share, Class A redeemable common</w:t>
            </w:r>
          </w:p>
        </w:tc>
        <w:tc>
          <w:tcPr>
            <w:tcW w:w="4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50"/>
        </w:trPr>
        <w:tc>
          <w:tcPr>
            <w:tcW w:w="5220" w:type="dxa"/>
            <w:vAlign w:val="bottom"/>
          </w:tcPr>
          <w:p>
            <w:pPr>
              <w:ind w:left="180"/>
              <w:spacing w:after="0"/>
              <w:rPr>
                <w:sz w:val="20"/>
                <w:szCs w:val="20"/>
                <w:color w:val="auto"/>
              </w:rPr>
            </w:pPr>
            <w:r>
              <w:rPr>
                <w:rFonts w:ascii="Arial" w:cs="Arial" w:eastAsia="Arial" w:hAnsi="Arial"/>
                <w:sz w:val="18"/>
                <w:szCs w:val="18"/>
                <w:color w:val="auto"/>
              </w:rPr>
              <w:t>stock</w:t>
            </w:r>
          </w:p>
        </w:tc>
        <w:tc>
          <w:tcPr>
            <w:tcW w:w="48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27"/>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Weighted average shares outstanding of Class B non-redeemable</w:t>
            </w:r>
          </w:p>
        </w:tc>
        <w:tc>
          <w:tcPr>
            <w:tcW w:w="4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51"/>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4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11,068,750</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11,068,7</w:t>
            </w:r>
          </w:p>
        </w:tc>
      </w:tr>
      <w:tr>
        <w:trPr>
          <w:trHeight w:val="226"/>
        </w:trPr>
        <w:tc>
          <w:tcPr>
            <w:tcW w:w="5220" w:type="dxa"/>
            <w:vAlign w:val="bottom"/>
          </w:tcPr>
          <w:p>
            <w:pPr>
              <w:ind w:left="20"/>
              <w:spacing w:after="0"/>
              <w:rPr>
                <w:sz w:val="20"/>
                <w:szCs w:val="20"/>
                <w:color w:val="auto"/>
              </w:rPr>
            </w:pPr>
            <w:r>
              <w:rPr>
                <w:rFonts w:ascii="Arial" w:cs="Arial" w:eastAsia="Arial" w:hAnsi="Arial"/>
                <w:sz w:val="18"/>
                <w:szCs w:val="18"/>
                <w:color w:val="auto"/>
                <w:w w:val="91"/>
              </w:rPr>
              <w:t>Basic and diluted net loss per share, Class B non-redeemable common</w:t>
            </w:r>
          </w:p>
        </w:tc>
        <w:tc>
          <w:tcPr>
            <w:tcW w:w="4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50"/>
        </w:trPr>
        <w:tc>
          <w:tcPr>
            <w:tcW w:w="5220" w:type="dxa"/>
            <w:vAlign w:val="bottom"/>
          </w:tcPr>
          <w:p>
            <w:pPr>
              <w:ind w:left="180"/>
              <w:spacing w:after="0"/>
              <w:rPr>
                <w:sz w:val="20"/>
                <w:szCs w:val="20"/>
                <w:color w:val="auto"/>
              </w:rPr>
            </w:pPr>
            <w:r>
              <w:rPr>
                <w:rFonts w:ascii="Arial" w:cs="Arial" w:eastAsia="Arial" w:hAnsi="Arial"/>
                <w:sz w:val="18"/>
                <w:szCs w:val="18"/>
                <w:color w:val="auto"/>
              </w:rPr>
              <w:t>stock</w:t>
            </w:r>
          </w:p>
        </w:tc>
        <w:tc>
          <w:tcPr>
            <w:tcW w:w="4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r>
    </w:tbl>
    <w:p>
      <w:pPr>
        <w:spacing w:after="0" w:line="200" w:lineRule="exact"/>
        <w:rPr>
          <w:sz w:val="20"/>
          <w:szCs w:val="20"/>
          <w:color w:val="auto"/>
        </w:rPr>
      </w:pPr>
    </w:p>
    <w:p>
      <w:pPr>
        <w:sectPr>
          <w:pgSz w:w="11900" w:h="16838" w:orient="portrait"/>
          <w:cols w:equalWidth="0" w:num="1">
            <w:col w:w="11340"/>
          </w:cols>
          <w:pgMar w:left="320" w:top="36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F-89</w:t>
      </w:r>
    </w:p>
    <w:p>
      <w:pPr>
        <w:sectPr>
          <w:pgSz w:w="11900" w:h="16838" w:orient="portrait"/>
          <w:cols w:equalWidth="0" w:num="1">
            <w:col w:w="11340"/>
          </w:cols>
          <w:pgMar w:left="320" w:top="360" w:right="239" w:bottom="1440" w:gutter="0" w:footer="0" w:header="0"/>
          <w:type w:val="continuous"/>
        </w:sectPr>
      </w:pPr>
    </w:p>
    <w:bookmarkStart w:id="261" w:name="page262"/>
    <w:bookmarkEnd w:id="261"/>
    <w:p>
      <w:pPr>
        <w:jc w:val="center"/>
        <w:ind w:right="100"/>
        <w:spacing w:after="0"/>
        <w:rPr>
          <w:sz w:val="20"/>
          <w:szCs w:val="20"/>
          <w:color w:val="auto"/>
        </w:rPr>
      </w:pPr>
      <w:r>
        <w:rPr>
          <w:rFonts w:ascii="Arial" w:cs="Arial" w:eastAsia="Arial" w:hAnsi="Arial"/>
          <w:sz w:val="18"/>
          <w:szCs w:val="18"/>
          <w:b w:val="1"/>
          <w:bCs w:val="1"/>
          <w:color w:val="auto"/>
        </w:rPr>
        <w:t>CM LIFE SCIENCES, INC.</w:t>
      </w:r>
    </w:p>
    <w:p>
      <w:pPr>
        <w:spacing w:after="0" w:line="2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FINANCIAL STATEMENTS</w:t>
      </w:r>
    </w:p>
    <w:p>
      <w:pPr>
        <w:spacing w:after="0" w:line="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273050</wp:posOffset>
            </wp:positionV>
            <wp:extent cx="6995160" cy="168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68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Period from July 10, 2020 (inception) to September 30, 2020</w:t>
      </w:r>
    </w:p>
    <w:p>
      <w:pPr>
        <w:spacing w:after="0" w:line="2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(Unaudited)</w:t>
      </w:r>
    </w:p>
    <w:p>
      <w:pPr>
        <w:spacing w:after="0" w:line="33" w:lineRule="exact"/>
        <w:rPr>
          <w:sz w:val="20"/>
          <w:szCs w:val="20"/>
          <w:color w:val="auto"/>
        </w:rPr>
      </w:pPr>
    </w:p>
    <w:tbl>
      <w:tblPr>
        <w:tblLayout w:type="fixed"/>
        <w:tblInd w:w="320" w:type="dxa"/>
        <w:tblCellMar>
          <w:top w:w="0" w:type="dxa"/>
          <w:left w:w="0" w:type="dxa"/>
          <w:bottom w:w="0" w:type="dxa"/>
          <w:right w:w="0" w:type="dxa"/>
        </w:tblCellMar>
      </w:tblPr>
      <w:tr>
        <w:trPr>
          <w:trHeight w:val="265"/>
        </w:trPr>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value of warrant liability</w:t>
            </w:r>
          </w:p>
        </w:tc>
        <w:tc>
          <w:tcPr>
            <w:tcW w:w="6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38,510,584</w:t>
            </w:r>
          </w:p>
        </w:tc>
        <w:tc>
          <w:tcPr>
            <w:tcW w:w="6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38,510,5</w:t>
            </w:r>
          </w:p>
        </w:tc>
      </w:tr>
      <w:tr>
        <w:trPr>
          <w:trHeight w:val="265"/>
        </w:trPr>
        <w:tc>
          <w:tcPr>
            <w:tcW w:w="5280" w:type="dxa"/>
            <w:vAlign w:val="bottom"/>
          </w:tcPr>
          <w:p>
            <w:pPr>
              <w:ind w:left="340"/>
              <w:spacing w:after="0"/>
              <w:rPr>
                <w:sz w:val="20"/>
                <w:szCs w:val="20"/>
                <w:color w:val="auto"/>
              </w:rPr>
            </w:pPr>
            <w:r>
              <w:rPr>
                <w:rFonts w:ascii="Arial" w:cs="Arial" w:eastAsia="Arial" w:hAnsi="Arial"/>
                <w:sz w:val="18"/>
                <w:szCs w:val="18"/>
                <w:color w:val="auto"/>
              </w:rPr>
              <w:t>Transaction costs</w:t>
            </w:r>
          </w:p>
        </w:tc>
        <w:tc>
          <w:tcPr>
            <w:tcW w:w="600" w:type="dxa"/>
            <w:vAlign w:val="bottom"/>
          </w:tcPr>
          <w:p>
            <w:pPr>
              <w:spacing w:after="0"/>
              <w:rPr>
                <w:sz w:val="23"/>
                <w:szCs w:val="23"/>
                <w:color w:val="auto"/>
              </w:rPr>
            </w:pPr>
          </w:p>
        </w:tc>
        <w:tc>
          <w:tcPr>
            <w:tcW w:w="14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3"/>
                <w:szCs w:val="23"/>
                <w:color w:val="auto"/>
              </w:rPr>
            </w:pPr>
          </w:p>
        </w:tc>
        <w:tc>
          <w:tcPr>
            <w:tcW w:w="1440" w:type="dxa"/>
            <w:vAlign w:val="bottom"/>
          </w:tcPr>
          <w:p>
            <w:pPr>
              <w:jc w:val="right"/>
              <w:ind w:right="192"/>
              <w:spacing w:after="0"/>
              <w:rPr>
                <w:sz w:val="20"/>
                <w:szCs w:val="20"/>
                <w:color w:val="auto"/>
              </w:rPr>
            </w:pPr>
            <w:r>
              <w:rPr>
                <w:rFonts w:ascii="Arial" w:cs="Arial" w:eastAsia="Arial" w:hAnsi="Arial"/>
                <w:sz w:val="18"/>
                <w:szCs w:val="18"/>
                <w:color w:val="auto"/>
              </w:rPr>
              <w:t>1,204,771</w:t>
            </w:r>
          </w:p>
        </w:tc>
        <w:tc>
          <w:tcPr>
            <w:tcW w:w="6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1,204,7</w:t>
            </w:r>
          </w:p>
        </w:tc>
      </w:tr>
      <w:tr>
        <w:trPr>
          <w:trHeight w:val="265"/>
        </w:trPr>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60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(192,244)</w:t>
            </w:r>
          </w:p>
        </w:tc>
        <w:tc>
          <w:tcPr>
            <w:tcW w:w="62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(39,715,354)</w:t>
            </w:r>
          </w:p>
        </w:tc>
        <w:tc>
          <w:tcPr>
            <w:tcW w:w="6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(39,907,5</w:t>
            </w:r>
          </w:p>
        </w:tc>
      </w:tr>
      <w:tr>
        <w:trPr>
          <w:trHeight w:val="226"/>
        </w:trPr>
        <w:tc>
          <w:tcPr>
            <w:tcW w:w="5280" w:type="dxa"/>
            <w:vAlign w:val="bottom"/>
          </w:tcPr>
          <w:p>
            <w:pPr>
              <w:ind w:left="20"/>
              <w:spacing w:after="0"/>
              <w:rPr>
                <w:sz w:val="20"/>
                <w:szCs w:val="20"/>
                <w:color w:val="auto"/>
              </w:rPr>
            </w:pPr>
            <w:r>
              <w:rPr>
                <w:rFonts w:ascii="Arial" w:cs="Arial" w:eastAsia="Arial" w:hAnsi="Arial"/>
                <w:sz w:val="18"/>
                <w:szCs w:val="18"/>
                <w:color w:val="auto"/>
                <w:w w:val="92"/>
              </w:rPr>
              <w:t>Weighted average shares outstanding of Class A redeemable common</w:t>
            </w:r>
          </w:p>
        </w:tc>
        <w:tc>
          <w:tcPr>
            <w:tcW w:w="6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50"/>
        </w:trPr>
        <w:tc>
          <w:tcPr>
            <w:tcW w:w="5280" w:type="dxa"/>
            <w:vAlign w:val="bottom"/>
          </w:tcPr>
          <w:p>
            <w:pPr>
              <w:ind w:left="180"/>
              <w:spacing w:after="0"/>
              <w:rPr>
                <w:sz w:val="20"/>
                <w:szCs w:val="20"/>
                <w:color w:val="auto"/>
              </w:rPr>
            </w:pPr>
            <w:r>
              <w:rPr>
                <w:rFonts w:ascii="Arial" w:cs="Arial" w:eastAsia="Arial" w:hAnsi="Arial"/>
                <w:sz w:val="18"/>
                <w:szCs w:val="18"/>
                <w:color w:val="auto"/>
              </w:rPr>
              <w:t>stock</w:t>
            </w:r>
          </w:p>
        </w:tc>
        <w:tc>
          <w:tcPr>
            <w:tcW w:w="600" w:type="dxa"/>
            <w:vAlign w:val="bottom"/>
          </w:tcPr>
          <w:p>
            <w:pPr>
              <w:spacing w:after="0"/>
              <w:rPr>
                <w:sz w:val="21"/>
                <w:szCs w:val="21"/>
                <w:color w:val="auto"/>
              </w:rPr>
            </w:pPr>
          </w:p>
        </w:tc>
        <w:tc>
          <w:tcPr>
            <w:tcW w:w="1440" w:type="dxa"/>
            <w:vAlign w:val="bottom"/>
          </w:tcPr>
          <w:p>
            <w:pPr>
              <w:jc w:val="right"/>
              <w:ind w:right="192"/>
              <w:spacing w:after="0"/>
              <w:rPr>
                <w:sz w:val="20"/>
                <w:szCs w:val="20"/>
                <w:color w:val="auto"/>
              </w:rPr>
            </w:pPr>
            <w:r>
              <w:rPr>
                <w:rFonts w:ascii="Arial" w:cs="Arial" w:eastAsia="Arial" w:hAnsi="Arial"/>
                <w:sz w:val="18"/>
                <w:szCs w:val="18"/>
                <w:color w:val="auto"/>
              </w:rPr>
              <w:t>44,275,000</w:t>
            </w:r>
          </w:p>
        </w:tc>
        <w:tc>
          <w:tcPr>
            <w:tcW w:w="620" w:type="dxa"/>
            <w:vAlign w:val="bottom"/>
          </w:tcPr>
          <w:p>
            <w:pPr>
              <w:spacing w:after="0"/>
              <w:rPr>
                <w:sz w:val="21"/>
                <w:szCs w:val="21"/>
                <w:color w:val="auto"/>
              </w:rPr>
            </w:pPr>
          </w:p>
        </w:tc>
        <w:tc>
          <w:tcPr>
            <w:tcW w:w="14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44,275,0</w:t>
            </w:r>
          </w:p>
        </w:tc>
      </w:tr>
      <w:tr>
        <w:trPr>
          <w:trHeight w:val="227"/>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Basic and diluted earnings per share, Class A redeemable common</w:t>
            </w:r>
          </w:p>
        </w:tc>
        <w:tc>
          <w:tcPr>
            <w:tcW w:w="6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51"/>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w:t>
            </w:r>
          </w:p>
        </w:tc>
        <w:tc>
          <w:tcPr>
            <w:tcW w:w="60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26"/>
        </w:trPr>
        <w:tc>
          <w:tcPr>
            <w:tcW w:w="5280" w:type="dxa"/>
            <w:vAlign w:val="bottom"/>
          </w:tcPr>
          <w:p>
            <w:pPr>
              <w:ind w:left="20"/>
              <w:spacing w:after="0"/>
              <w:rPr>
                <w:sz w:val="20"/>
                <w:szCs w:val="20"/>
                <w:color w:val="auto"/>
              </w:rPr>
            </w:pPr>
            <w:r>
              <w:rPr>
                <w:rFonts w:ascii="Arial" w:cs="Arial" w:eastAsia="Arial" w:hAnsi="Arial"/>
                <w:sz w:val="18"/>
                <w:szCs w:val="18"/>
                <w:color w:val="auto"/>
                <w:w w:val="99"/>
              </w:rPr>
              <w:t>Weighted average shares outstanding of Class B non-redeemable</w:t>
            </w:r>
          </w:p>
        </w:tc>
        <w:tc>
          <w:tcPr>
            <w:tcW w:w="6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50"/>
        </w:trPr>
        <w:tc>
          <w:tcPr>
            <w:tcW w:w="528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600" w:type="dxa"/>
            <w:vAlign w:val="bottom"/>
          </w:tcPr>
          <w:p>
            <w:pPr>
              <w:spacing w:after="0"/>
              <w:rPr>
                <w:sz w:val="21"/>
                <w:szCs w:val="21"/>
                <w:color w:val="auto"/>
              </w:rPr>
            </w:pPr>
          </w:p>
        </w:tc>
        <w:tc>
          <w:tcPr>
            <w:tcW w:w="1440" w:type="dxa"/>
            <w:vAlign w:val="bottom"/>
          </w:tcPr>
          <w:p>
            <w:pPr>
              <w:jc w:val="right"/>
              <w:ind w:right="192"/>
              <w:spacing w:after="0"/>
              <w:rPr>
                <w:sz w:val="20"/>
                <w:szCs w:val="20"/>
                <w:color w:val="auto"/>
              </w:rPr>
            </w:pPr>
            <w:r>
              <w:rPr>
                <w:rFonts w:ascii="Arial" w:cs="Arial" w:eastAsia="Arial" w:hAnsi="Arial"/>
                <w:sz w:val="18"/>
                <w:szCs w:val="18"/>
                <w:color w:val="auto"/>
              </w:rPr>
              <w:t>10,633,062</w:t>
            </w:r>
          </w:p>
        </w:tc>
        <w:tc>
          <w:tcPr>
            <w:tcW w:w="620" w:type="dxa"/>
            <w:vAlign w:val="bottom"/>
          </w:tcPr>
          <w:p>
            <w:pPr>
              <w:spacing w:after="0"/>
              <w:rPr>
                <w:sz w:val="21"/>
                <w:szCs w:val="21"/>
                <w:color w:val="auto"/>
              </w:rPr>
            </w:pPr>
          </w:p>
        </w:tc>
        <w:tc>
          <w:tcPr>
            <w:tcW w:w="14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10,633,0</w:t>
            </w:r>
          </w:p>
        </w:tc>
      </w:tr>
      <w:tr>
        <w:trPr>
          <w:trHeight w:val="227"/>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Basic and diluted net loss per share, Class B non-redeemable common</w:t>
            </w:r>
          </w:p>
        </w:tc>
        <w:tc>
          <w:tcPr>
            <w:tcW w:w="6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51"/>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w:t>
            </w:r>
          </w:p>
        </w:tc>
        <w:tc>
          <w:tcPr>
            <w:tcW w:w="60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(0.02)</w:t>
            </w:r>
          </w:p>
        </w:tc>
        <w:tc>
          <w:tcPr>
            <w:tcW w:w="62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(3.73)</w:t>
            </w:r>
          </w:p>
        </w:tc>
        <w:tc>
          <w:tcPr>
            <w:tcW w:w="6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65"/>
        </w:trPr>
        <w:tc>
          <w:tcPr>
            <w:tcW w:w="5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2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3"/>
              </w:rPr>
              <w:t>Cash Flow Statement for the Period from July 10, 2020 (inception)</w:t>
            </w:r>
          </w:p>
        </w:tc>
        <w:tc>
          <w:tcPr>
            <w:tcW w:w="6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7"/>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 September 30, 2020 (unaudited)</w:t>
            </w:r>
          </w:p>
        </w:tc>
        <w:tc>
          <w:tcPr>
            <w:tcW w:w="6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65"/>
        </w:trPr>
        <w:tc>
          <w:tcPr>
            <w:tcW w:w="5280" w:type="dxa"/>
            <w:vAlign w:val="bottom"/>
          </w:tcPr>
          <w:p>
            <w:pPr>
              <w:ind w:left="340"/>
              <w:spacing w:after="0"/>
              <w:rPr>
                <w:sz w:val="20"/>
                <w:szCs w:val="20"/>
                <w:color w:val="auto"/>
              </w:rPr>
            </w:pPr>
            <w:r>
              <w:rPr>
                <w:rFonts w:ascii="Arial" w:cs="Arial" w:eastAsia="Arial" w:hAnsi="Arial"/>
                <w:sz w:val="18"/>
                <w:szCs w:val="18"/>
                <w:color w:val="auto"/>
              </w:rPr>
              <w:t>Net loss</w:t>
            </w:r>
          </w:p>
        </w:tc>
        <w:tc>
          <w:tcPr>
            <w:tcW w:w="6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52"/>
              <w:spacing w:after="0"/>
              <w:rPr>
                <w:sz w:val="20"/>
                <w:szCs w:val="20"/>
                <w:color w:val="auto"/>
              </w:rPr>
            </w:pPr>
            <w:r>
              <w:rPr>
                <w:rFonts w:ascii="Arial" w:cs="Arial" w:eastAsia="Arial" w:hAnsi="Arial"/>
                <w:sz w:val="18"/>
                <w:szCs w:val="18"/>
                <w:color w:val="auto"/>
              </w:rPr>
              <w:t>(56,923)</w:t>
            </w:r>
          </w:p>
        </w:tc>
        <w:tc>
          <w:tcPr>
            <w:tcW w:w="6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52"/>
              <w:spacing w:after="0"/>
              <w:rPr>
                <w:sz w:val="20"/>
                <w:szCs w:val="20"/>
                <w:color w:val="auto"/>
              </w:rPr>
            </w:pPr>
            <w:r>
              <w:rPr>
                <w:rFonts w:ascii="Arial" w:cs="Arial" w:eastAsia="Arial" w:hAnsi="Arial"/>
                <w:sz w:val="18"/>
                <w:szCs w:val="18"/>
                <w:color w:val="auto"/>
              </w:rPr>
              <w:t>(17,541,422)</w:t>
            </w:r>
          </w:p>
        </w:tc>
        <w:tc>
          <w:tcPr>
            <w:tcW w:w="6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(17,598,3</w:t>
            </w:r>
          </w:p>
        </w:tc>
      </w:tr>
      <w:tr>
        <w:trPr>
          <w:trHeight w:val="265"/>
        </w:trPr>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Allocation of initial public offering costs to warrant liability</w:t>
            </w:r>
          </w:p>
        </w:tc>
        <w:tc>
          <w:tcPr>
            <w:tcW w:w="60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1,204,771</w:t>
            </w:r>
          </w:p>
        </w:tc>
        <w:tc>
          <w:tcPr>
            <w:tcW w:w="6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1,204,7</w:t>
            </w:r>
          </w:p>
        </w:tc>
      </w:tr>
      <w:tr>
        <w:trPr>
          <w:trHeight w:val="265"/>
        </w:trPr>
        <w:tc>
          <w:tcPr>
            <w:tcW w:w="5280" w:type="dxa"/>
            <w:vAlign w:val="bottom"/>
          </w:tcPr>
          <w:p>
            <w:pPr>
              <w:ind w:left="340"/>
              <w:spacing w:after="0"/>
              <w:rPr>
                <w:sz w:val="20"/>
                <w:szCs w:val="20"/>
                <w:color w:val="auto"/>
              </w:rPr>
            </w:pPr>
            <w:r>
              <w:rPr>
                <w:rFonts w:ascii="Arial" w:cs="Arial" w:eastAsia="Arial" w:hAnsi="Arial"/>
                <w:sz w:val="18"/>
                <w:szCs w:val="18"/>
                <w:color w:val="auto"/>
              </w:rPr>
              <w:t>Change in fair value of warrant liability</w:t>
            </w:r>
          </w:p>
        </w:tc>
        <w:tc>
          <w:tcPr>
            <w:tcW w:w="600" w:type="dxa"/>
            <w:vAlign w:val="bottom"/>
          </w:tcPr>
          <w:p>
            <w:pPr>
              <w:spacing w:after="0"/>
              <w:rPr>
                <w:sz w:val="23"/>
                <w:szCs w:val="23"/>
                <w:color w:val="auto"/>
              </w:rPr>
            </w:pPr>
          </w:p>
        </w:tc>
        <w:tc>
          <w:tcPr>
            <w:tcW w:w="14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3"/>
                <w:szCs w:val="23"/>
                <w:color w:val="auto"/>
              </w:rPr>
            </w:pPr>
          </w:p>
        </w:tc>
        <w:tc>
          <w:tcPr>
            <w:tcW w:w="1440" w:type="dxa"/>
            <w:vAlign w:val="bottom"/>
          </w:tcPr>
          <w:p>
            <w:pPr>
              <w:jc w:val="right"/>
              <w:ind w:right="192"/>
              <w:spacing w:after="0"/>
              <w:rPr>
                <w:sz w:val="20"/>
                <w:szCs w:val="20"/>
                <w:color w:val="auto"/>
              </w:rPr>
            </w:pPr>
            <w:r>
              <w:rPr>
                <w:rFonts w:ascii="Arial" w:cs="Arial" w:eastAsia="Arial" w:hAnsi="Arial"/>
                <w:sz w:val="18"/>
                <w:szCs w:val="18"/>
                <w:color w:val="auto"/>
              </w:rPr>
              <w:t>16,336,651</w:t>
            </w:r>
          </w:p>
        </w:tc>
        <w:tc>
          <w:tcPr>
            <w:tcW w:w="6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16,336,6</w:t>
            </w:r>
          </w:p>
        </w:tc>
      </w:tr>
      <w:tr>
        <w:trPr>
          <w:trHeight w:val="265"/>
        </w:trPr>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Initial classification of warrant liability</w:t>
            </w:r>
          </w:p>
        </w:tc>
        <w:tc>
          <w:tcPr>
            <w:tcW w:w="60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31,811,834</w:t>
            </w:r>
          </w:p>
        </w:tc>
        <w:tc>
          <w:tcPr>
            <w:tcW w:w="6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31,811,8</w:t>
            </w:r>
          </w:p>
        </w:tc>
      </w:tr>
      <w:tr>
        <w:trPr>
          <w:trHeight w:val="226"/>
        </w:trPr>
        <w:tc>
          <w:tcPr>
            <w:tcW w:w="5280" w:type="dxa"/>
            <w:vAlign w:val="bottom"/>
          </w:tcPr>
          <w:p>
            <w:pPr>
              <w:ind w:left="340"/>
              <w:spacing w:after="0"/>
              <w:rPr>
                <w:sz w:val="20"/>
                <w:szCs w:val="20"/>
                <w:color w:val="auto"/>
              </w:rPr>
            </w:pPr>
            <w:r>
              <w:rPr>
                <w:rFonts w:ascii="Arial" w:cs="Arial" w:eastAsia="Arial" w:hAnsi="Arial"/>
                <w:sz w:val="18"/>
                <w:szCs w:val="18"/>
                <w:color w:val="auto"/>
              </w:rPr>
              <w:t>Initial classification of common stock subject to possible</w:t>
            </w:r>
          </w:p>
        </w:tc>
        <w:tc>
          <w:tcPr>
            <w:tcW w:w="6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50"/>
        </w:trPr>
        <w:tc>
          <w:tcPr>
            <w:tcW w:w="5280" w:type="dxa"/>
            <w:vAlign w:val="bottom"/>
          </w:tcPr>
          <w:p>
            <w:pPr>
              <w:ind w:left="20"/>
              <w:spacing w:after="0"/>
              <w:rPr>
                <w:sz w:val="20"/>
                <w:szCs w:val="20"/>
                <w:color w:val="auto"/>
              </w:rPr>
            </w:pPr>
            <w:r>
              <w:rPr>
                <w:rFonts w:ascii="Arial" w:cs="Arial" w:eastAsia="Arial" w:hAnsi="Arial"/>
                <w:sz w:val="18"/>
                <w:szCs w:val="18"/>
                <w:color w:val="auto"/>
              </w:rPr>
              <w:t>redemption</w:t>
            </w:r>
          </w:p>
        </w:tc>
        <w:tc>
          <w:tcPr>
            <w:tcW w:w="600" w:type="dxa"/>
            <w:vAlign w:val="bottom"/>
          </w:tcPr>
          <w:p>
            <w:pPr>
              <w:spacing w:after="0"/>
              <w:rPr>
                <w:sz w:val="21"/>
                <w:szCs w:val="21"/>
                <w:color w:val="auto"/>
              </w:rPr>
            </w:pPr>
          </w:p>
        </w:tc>
        <w:tc>
          <w:tcPr>
            <w:tcW w:w="1440" w:type="dxa"/>
            <w:vAlign w:val="bottom"/>
          </w:tcPr>
          <w:p>
            <w:pPr>
              <w:jc w:val="right"/>
              <w:ind w:right="192"/>
              <w:spacing w:after="0"/>
              <w:rPr>
                <w:sz w:val="20"/>
                <w:szCs w:val="20"/>
                <w:color w:val="auto"/>
              </w:rPr>
            </w:pPr>
            <w:r>
              <w:rPr>
                <w:rFonts w:ascii="Arial" w:cs="Arial" w:eastAsia="Arial" w:hAnsi="Arial"/>
                <w:sz w:val="18"/>
                <w:szCs w:val="18"/>
                <w:color w:val="auto"/>
              </w:rPr>
              <w:t>423,731,850</w:t>
            </w:r>
          </w:p>
        </w:tc>
        <w:tc>
          <w:tcPr>
            <w:tcW w:w="620" w:type="dxa"/>
            <w:vAlign w:val="bottom"/>
          </w:tcPr>
          <w:p>
            <w:pPr>
              <w:spacing w:after="0"/>
              <w:rPr>
                <w:sz w:val="21"/>
                <w:szCs w:val="21"/>
                <w:color w:val="auto"/>
              </w:rPr>
            </w:pPr>
          </w:p>
        </w:tc>
        <w:tc>
          <w:tcPr>
            <w:tcW w:w="1440" w:type="dxa"/>
            <w:vAlign w:val="bottom"/>
          </w:tcPr>
          <w:p>
            <w:pPr>
              <w:jc w:val="right"/>
              <w:ind w:right="152"/>
              <w:spacing w:after="0"/>
              <w:rPr>
                <w:sz w:val="20"/>
                <w:szCs w:val="20"/>
                <w:color w:val="auto"/>
              </w:rPr>
            </w:pPr>
            <w:r>
              <w:rPr>
                <w:rFonts w:ascii="Arial" w:cs="Arial" w:eastAsia="Arial" w:hAnsi="Arial"/>
                <w:sz w:val="18"/>
                <w:szCs w:val="18"/>
                <w:color w:val="auto"/>
              </w:rPr>
              <w:t>(43,462,868)</w:t>
            </w:r>
          </w:p>
        </w:tc>
        <w:tc>
          <w:tcPr>
            <w:tcW w:w="6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380,268,9</w:t>
            </w:r>
          </w:p>
        </w:tc>
      </w:tr>
      <w:tr>
        <w:trPr>
          <w:trHeight w:val="265"/>
        </w:trPr>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4"/>
              </w:rPr>
              <w:t>Change in value of common stock subject to possible redemption</w:t>
            </w:r>
          </w:p>
        </w:tc>
        <w:tc>
          <w:tcPr>
            <w:tcW w:w="60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(54,240)</w:t>
            </w:r>
          </w:p>
        </w:tc>
        <w:tc>
          <w:tcPr>
            <w:tcW w:w="62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(4,685,617)</w:t>
            </w:r>
          </w:p>
        </w:tc>
        <w:tc>
          <w:tcPr>
            <w:tcW w:w="6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(4,739,8</w:t>
            </w:r>
          </w:p>
        </w:tc>
      </w:tr>
      <w:tr>
        <w:trPr>
          <w:trHeight w:val="265"/>
        </w:trPr>
        <w:tc>
          <w:tcPr>
            <w:tcW w:w="5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20"/>
        </w:trPr>
        <w:tc>
          <w:tcPr>
            <w:tcW w:w="528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Cash Flow Statement for the Period from December 31,</w:t>
            </w:r>
          </w:p>
        </w:tc>
        <w:tc>
          <w:tcPr>
            <w:tcW w:w="6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7"/>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2020 (inception) to December 31, 2020 (audited)</w:t>
            </w:r>
          </w:p>
        </w:tc>
        <w:tc>
          <w:tcPr>
            <w:tcW w:w="6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64"/>
        </w:trPr>
        <w:tc>
          <w:tcPr>
            <w:tcW w:w="5280" w:type="dxa"/>
            <w:vAlign w:val="bottom"/>
          </w:tcPr>
          <w:p>
            <w:pPr>
              <w:ind w:left="340"/>
              <w:spacing w:after="0"/>
              <w:rPr>
                <w:sz w:val="20"/>
                <w:szCs w:val="20"/>
                <w:color w:val="auto"/>
              </w:rPr>
            </w:pPr>
            <w:r>
              <w:rPr>
                <w:rFonts w:ascii="Arial" w:cs="Arial" w:eastAsia="Arial" w:hAnsi="Arial"/>
                <w:sz w:val="18"/>
                <w:szCs w:val="18"/>
                <w:color w:val="auto"/>
              </w:rPr>
              <w:t>Net loss</w:t>
            </w:r>
          </w:p>
        </w:tc>
        <w:tc>
          <w:tcPr>
            <w:tcW w:w="6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52"/>
              <w:spacing w:after="0"/>
              <w:rPr>
                <w:sz w:val="20"/>
                <w:szCs w:val="20"/>
                <w:color w:val="auto"/>
              </w:rPr>
            </w:pPr>
            <w:r>
              <w:rPr>
                <w:rFonts w:ascii="Arial" w:cs="Arial" w:eastAsia="Arial" w:hAnsi="Arial"/>
                <w:sz w:val="18"/>
                <w:szCs w:val="18"/>
                <w:color w:val="auto"/>
              </w:rPr>
              <w:t>(192,244)</w:t>
            </w:r>
          </w:p>
        </w:tc>
        <w:tc>
          <w:tcPr>
            <w:tcW w:w="6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52"/>
              <w:spacing w:after="0"/>
              <w:rPr>
                <w:sz w:val="20"/>
                <w:szCs w:val="20"/>
                <w:color w:val="auto"/>
              </w:rPr>
            </w:pPr>
            <w:r>
              <w:rPr>
                <w:rFonts w:ascii="Arial" w:cs="Arial" w:eastAsia="Arial" w:hAnsi="Arial"/>
                <w:sz w:val="18"/>
                <w:szCs w:val="18"/>
                <w:color w:val="auto"/>
              </w:rPr>
              <w:t>(39,715,355)</w:t>
            </w:r>
          </w:p>
        </w:tc>
        <w:tc>
          <w:tcPr>
            <w:tcW w:w="6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(39,907,5</w:t>
            </w:r>
          </w:p>
        </w:tc>
      </w:tr>
      <w:tr>
        <w:trPr>
          <w:trHeight w:val="265"/>
        </w:trPr>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warrant liability</w:t>
            </w:r>
          </w:p>
        </w:tc>
        <w:tc>
          <w:tcPr>
            <w:tcW w:w="60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38,510,584</w:t>
            </w:r>
          </w:p>
        </w:tc>
        <w:tc>
          <w:tcPr>
            <w:tcW w:w="6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38,510,5</w:t>
            </w:r>
          </w:p>
        </w:tc>
      </w:tr>
      <w:tr>
        <w:trPr>
          <w:trHeight w:val="265"/>
        </w:trPr>
        <w:tc>
          <w:tcPr>
            <w:tcW w:w="5280" w:type="dxa"/>
            <w:vAlign w:val="bottom"/>
          </w:tcPr>
          <w:p>
            <w:pPr>
              <w:ind w:left="340"/>
              <w:spacing w:after="0"/>
              <w:rPr>
                <w:sz w:val="20"/>
                <w:szCs w:val="20"/>
                <w:color w:val="auto"/>
              </w:rPr>
            </w:pPr>
            <w:r>
              <w:rPr>
                <w:rFonts w:ascii="Arial" w:cs="Arial" w:eastAsia="Arial" w:hAnsi="Arial"/>
                <w:sz w:val="18"/>
                <w:szCs w:val="18"/>
                <w:color w:val="auto"/>
              </w:rPr>
              <w:t>Allocation of initial public offering costs to warrant liability</w:t>
            </w:r>
          </w:p>
        </w:tc>
        <w:tc>
          <w:tcPr>
            <w:tcW w:w="600" w:type="dxa"/>
            <w:vAlign w:val="bottom"/>
          </w:tcPr>
          <w:p>
            <w:pPr>
              <w:spacing w:after="0"/>
              <w:rPr>
                <w:sz w:val="23"/>
                <w:szCs w:val="23"/>
                <w:color w:val="auto"/>
              </w:rPr>
            </w:pPr>
          </w:p>
        </w:tc>
        <w:tc>
          <w:tcPr>
            <w:tcW w:w="14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3"/>
                <w:szCs w:val="23"/>
                <w:color w:val="auto"/>
              </w:rPr>
            </w:pPr>
          </w:p>
        </w:tc>
        <w:tc>
          <w:tcPr>
            <w:tcW w:w="1440" w:type="dxa"/>
            <w:vAlign w:val="bottom"/>
          </w:tcPr>
          <w:p>
            <w:pPr>
              <w:jc w:val="right"/>
              <w:ind w:right="192"/>
              <w:spacing w:after="0"/>
              <w:rPr>
                <w:sz w:val="20"/>
                <w:szCs w:val="20"/>
                <w:color w:val="auto"/>
              </w:rPr>
            </w:pPr>
            <w:r>
              <w:rPr>
                <w:rFonts w:ascii="Arial" w:cs="Arial" w:eastAsia="Arial" w:hAnsi="Arial"/>
                <w:sz w:val="18"/>
                <w:szCs w:val="18"/>
                <w:color w:val="auto"/>
              </w:rPr>
              <w:t>1,204,771</w:t>
            </w:r>
          </w:p>
        </w:tc>
        <w:tc>
          <w:tcPr>
            <w:tcW w:w="6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1,204,7</w:t>
            </w:r>
          </w:p>
        </w:tc>
      </w:tr>
      <w:tr>
        <w:trPr>
          <w:trHeight w:val="265"/>
        </w:trPr>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Initial classification of warrant liability</w:t>
            </w:r>
          </w:p>
        </w:tc>
        <w:tc>
          <w:tcPr>
            <w:tcW w:w="60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31,811,834</w:t>
            </w:r>
          </w:p>
        </w:tc>
        <w:tc>
          <w:tcPr>
            <w:tcW w:w="6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31,811,8</w:t>
            </w:r>
          </w:p>
        </w:tc>
      </w:tr>
      <w:tr>
        <w:trPr>
          <w:trHeight w:val="226"/>
        </w:trPr>
        <w:tc>
          <w:tcPr>
            <w:tcW w:w="5280" w:type="dxa"/>
            <w:vAlign w:val="bottom"/>
          </w:tcPr>
          <w:p>
            <w:pPr>
              <w:ind w:left="340"/>
              <w:spacing w:after="0"/>
              <w:rPr>
                <w:sz w:val="20"/>
                <w:szCs w:val="20"/>
                <w:color w:val="auto"/>
              </w:rPr>
            </w:pPr>
            <w:r>
              <w:rPr>
                <w:rFonts w:ascii="Arial" w:cs="Arial" w:eastAsia="Arial" w:hAnsi="Arial"/>
                <w:sz w:val="18"/>
                <w:szCs w:val="18"/>
                <w:color w:val="auto"/>
              </w:rPr>
              <w:t>Initial classification of common stock subject to possible</w:t>
            </w:r>
          </w:p>
        </w:tc>
        <w:tc>
          <w:tcPr>
            <w:tcW w:w="6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50"/>
        </w:trPr>
        <w:tc>
          <w:tcPr>
            <w:tcW w:w="5280" w:type="dxa"/>
            <w:vAlign w:val="bottom"/>
          </w:tcPr>
          <w:p>
            <w:pPr>
              <w:ind w:left="20"/>
              <w:spacing w:after="0"/>
              <w:rPr>
                <w:sz w:val="20"/>
                <w:szCs w:val="20"/>
                <w:color w:val="auto"/>
              </w:rPr>
            </w:pPr>
            <w:r>
              <w:rPr>
                <w:rFonts w:ascii="Arial" w:cs="Arial" w:eastAsia="Arial" w:hAnsi="Arial"/>
                <w:sz w:val="18"/>
                <w:szCs w:val="18"/>
                <w:color w:val="auto"/>
              </w:rPr>
              <w:t>redemption</w:t>
            </w:r>
          </w:p>
        </w:tc>
        <w:tc>
          <w:tcPr>
            <w:tcW w:w="600" w:type="dxa"/>
            <w:vAlign w:val="bottom"/>
          </w:tcPr>
          <w:p>
            <w:pPr>
              <w:spacing w:after="0"/>
              <w:rPr>
                <w:sz w:val="21"/>
                <w:szCs w:val="21"/>
                <w:color w:val="auto"/>
              </w:rPr>
            </w:pPr>
          </w:p>
        </w:tc>
        <w:tc>
          <w:tcPr>
            <w:tcW w:w="1440" w:type="dxa"/>
            <w:vAlign w:val="bottom"/>
          </w:tcPr>
          <w:p>
            <w:pPr>
              <w:jc w:val="right"/>
              <w:ind w:right="192"/>
              <w:spacing w:after="0"/>
              <w:rPr>
                <w:sz w:val="20"/>
                <w:szCs w:val="20"/>
                <w:color w:val="auto"/>
              </w:rPr>
            </w:pPr>
            <w:r>
              <w:rPr>
                <w:rFonts w:ascii="Arial" w:cs="Arial" w:eastAsia="Arial" w:hAnsi="Arial"/>
                <w:sz w:val="18"/>
                <w:szCs w:val="18"/>
                <w:color w:val="auto"/>
              </w:rPr>
              <w:t>423,731,850</w:t>
            </w:r>
          </w:p>
        </w:tc>
        <w:tc>
          <w:tcPr>
            <w:tcW w:w="620" w:type="dxa"/>
            <w:vAlign w:val="bottom"/>
          </w:tcPr>
          <w:p>
            <w:pPr>
              <w:spacing w:after="0"/>
              <w:rPr>
                <w:sz w:val="21"/>
                <w:szCs w:val="21"/>
                <w:color w:val="auto"/>
              </w:rPr>
            </w:pPr>
          </w:p>
        </w:tc>
        <w:tc>
          <w:tcPr>
            <w:tcW w:w="1440" w:type="dxa"/>
            <w:vAlign w:val="bottom"/>
          </w:tcPr>
          <w:p>
            <w:pPr>
              <w:jc w:val="right"/>
              <w:ind w:right="152"/>
              <w:spacing w:after="0"/>
              <w:rPr>
                <w:sz w:val="20"/>
                <w:szCs w:val="20"/>
                <w:color w:val="auto"/>
              </w:rPr>
            </w:pPr>
            <w:r>
              <w:rPr>
                <w:rFonts w:ascii="Arial" w:cs="Arial" w:eastAsia="Arial" w:hAnsi="Arial"/>
                <w:sz w:val="18"/>
                <w:szCs w:val="18"/>
                <w:color w:val="auto"/>
              </w:rPr>
              <w:t>(43,462,868)</w:t>
            </w:r>
          </w:p>
        </w:tc>
        <w:tc>
          <w:tcPr>
            <w:tcW w:w="6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380,268,9</w:t>
            </w:r>
          </w:p>
        </w:tc>
      </w:tr>
      <w:tr>
        <w:trPr>
          <w:trHeight w:val="265"/>
        </w:trPr>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4"/>
              </w:rPr>
              <w:t>Change in value of common stock subject to possible redemption</w:t>
            </w:r>
          </w:p>
        </w:tc>
        <w:tc>
          <w:tcPr>
            <w:tcW w:w="60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(1,539,252)</w:t>
            </w:r>
          </w:p>
        </w:tc>
        <w:tc>
          <w:tcPr>
            <w:tcW w:w="62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(25,509,860)</w:t>
            </w:r>
          </w:p>
        </w:tc>
        <w:tc>
          <w:tcPr>
            <w:tcW w:w="6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(27,049,1</w:t>
            </w: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64" w:lineRule="exact"/>
        <w:rPr>
          <w:sz w:val="20"/>
          <w:szCs w:val="20"/>
          <w:color w:val="auto"/>
        </w:rPr>
      </w:pPr>
    </w:p>
    <w:p>
      <w:pPr>
        <w:ind w:right="100" w:firstLine="318"/>
        <w:spacing w:after="0" w:line="264" w:lineRule="auto"/>
        <w:rPr>
          <w:sz w:val="20"/>
          <w:szCs w:val="20"/>
          <w:color w:val="auto"/>
        </w:rPr>
      </w:pPr>
      <w:r>
        <w:rPr>
          <w:rFonts w:ascii="Arial" w:cs="Arial" w:eastAsia="Arial" w:hAnsi="Arial"/>
          <w:sz w:val="18"/>
          <w:szCs w:val="18"/>
          <w:color w:val="auto"/>
        </w:rPr>
        <w:t>The accompanying financial statements have been prepared in accordance with accounting principles generally accepted in the United States of America (“U.S. GAAP”) and pursuant to the rules and regulations of the SEC.</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64" w:lineRule="exact"/>
        <w:rPr>
          <w:sz w:val="20"/>
          <w:szCs w:val="20"/>
          <w:color w:val="auto"/>
        </w:rPr>
      </w:pPr>
    </w:p>
    <w:p>
      <w:pPr>
        <w:ind w:right="100" w:firstLine="318"/>
        <w:spacing w:after="0" w:line="264" w:lineRule="auto"/>
        <w:rPr>
          <w:sz w:val="20"/>
          <w:szCs w:val="20"/>
          <w:color w:val="auto"/>
        </w:rPr>
      </w:pPr>
      <w:r>
        <w:rPr>
          <w:rFonts w:ascii="Arial" w:cs="Arial" w:eastAsia="Arial" w:hAnsi="Arial"/>
          <w:sz w:val="18"/>
          <w:szCs w:val="18"/>
          <w:color w:val="auto"/>
        </w:rPr>
        <w:t>The Company is an “emerging growth company,” as defined in Section 2(a) of the Securities Act, as modified by the Jumpstart Our Business Startups Act of 2012 (the “JOBS Act”), and it may take advantage of certain</w:t>
      </w:r>
    </w:p>
    <w:p>
      <w:pPr>
        <w:sectPr>
          <w:pgSz w:w="11900" w:h="16838" w:orient="portrait"/>
          <w:cols w:equalWidth="0" w:num="1">
            <w:col w:w="11340"/>
          </w:cols>
          <w:pgMar w:left="320" w:top="36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F-90</w:t>
      </w:r>
    </w:p>
    <w:p>
      <w:pPr>
        <w:sectPr>
          <w:pgSz w:w="11900" w:h="16838" w:orient="portrait"/>
          <w:cols w:equalWidth="0" w:num="1">
            <w:col w:w="11340"/>
          </w:cols>
          <w:pgMar w:left="320" w:top="360" w:right="239" w:bottom="1440" w:gutter="0" w:footer="0" w:header="0"/>
          <w:type w:val="continuous"/>
        </w:sectPr>
      </w:pPr>
    </w:p>
    <w:bookmarkStart w:id="262" w:name="page263"/>
    <w:bookmarkEnd w:id="262"/>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39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41"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5"/>
          <w:szCs w:val="15"/>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3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135"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events. Accordingly, the actual results could differ significantly from those estimates.</w:t>
      </w:r>
    </w:p>
    <w:p>
      <w:pPr>
        <w:spacing w:after="0" w:line="8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Class A common stock subject to possible redemption</w:t>
      </w:r>
    </w:p>
    <w:p>
      <w:pPr>
        <w:spacing w:after="0" w:line="164"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The Company accounts for its Class A common stock subject to possible redemption in accordance with the guidance in Accounting Standards Codification (“ASC”) Topic 480 “Distinguishing Liabilities from Equity.” Class A Common stock subject to mandatory redemption is classified as a liability instrument and is measured at fair value. Conditionally redeemable common stock (including common stock that features redemption rights that is either within the control of the holder or subject to redemption upon the occurrence of uncertain events not solely within the Company’s control) is classified as temporary equity. At all other times, common stock is classified as stockholders’ equity. The Company’s common stock features certain redemption rights that are considered to be outside of the Company’s control and subject to occurrence of uncertain future events. Accordingly, at December 31, 2020, Class A common stock subject to possible redemption is presented as temporary equity, outside of the stockholders’ equity section of the Company’s balance sheet.</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Offering Costs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Offering costs consist of underwriting, legal, accounting and other expenses incurred through the Initial Public Offering that are directly related to the Initial Public Offering. Offering costs amounting to $23,690,693 were charged to stockholders’ equity upon the completion of the Initial Public Offering. At the IPO date, $1,204,771 of offering costs were expensed through the statement of operations.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Warrant Liability</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 accounts for warrants as either equity-classified or liability-classified instruments based on an assessment of the warrant’s specific terms and applicable authoritative guidance in Financial Accounting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F-91</w:t>
      </w:r>
    </w:p>
    <w:p>
      <w:pPr>
        <w:sectPr>
          <w:pgSz w:w="11900" w:h="16838" w:orient="portrait"/>
          <w:cols w:equalWidth="0" w:num="1">
            <w:col w:w="11240"/>
          </w:cols>
          <w:pgMar w:left="320" w:top="360" w:right="339" w:bottom="1440" w:gutter="0" w:footer="0" w:header="0"/>
        </w:sectPr>
      </w:pPr>
    </w:p>
    <w:bookmarkStart w:id="263" w:name="page264"/>
    <w:bookmarkEnd w:id="263"/>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391"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shares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99"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Changes in the estimated fair value of the warrants are recognized as a non-cash gain or loss on the statements of operations.</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Income Taxes</w:t>
      </w:r>
    </w:p>
    <w:p>
      <w:pPr>
        <w:spacing w:after="0" w:line="16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43"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December 31, 2020.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4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Net Income (Loss) per Common Share</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Net income (loss) per common share is computed by dividing net income by the weighted average number of common shares outstanding for the period. The Company has not considered the effect of warrants sold in the Initial Public Offering and private placement to purchase 21,995,000 shares of Class A common stock in the calculation of diluted income per share, since the exercise of the warrants are contingent upon the occurrence of future events and the inclusion of such warrants would be anti-dilutive.</w:t>
      </w:r>
    </w:p>
    <w:p>
      <w:pPr>
        <w:spacing w:after="0" w:line="138"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The Company’s statement of operations includes a presentation of income (loss) per share for common shares subject to possible redemption in a manner similar to the two-class method of income (loss) per share. Net income per common share, basic and diluted, for Class A redeemable common stock is calculated by dividing the interest income earned on the Trust Account less income and franchise taxes, by the weighted average number of Class A redeemable common stock outstanding since original issuance. Net loss per share, basic and diluted, for Class B non-redeemable common stock is calculated by dividing the net loss, adjusted for income attributable to Class A redeemable common stock, net of applicable franchise and income taxes, by the weighted average number of Class B non-redeemable common stock outstanding for the period. Class B non-redeemable common stock includes the Founder Shares as these shares do not have any redemption features and do not participate in the income earned on the Trust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F-92</w:t>
      </w:r>
    </w:p>
    <w:p>
      <w:pPr>
        <w:sectPr>
          <w:pgSz w:w="11900" w:h="16838" w:orient="portrait"/>
          <w:cols w:equalWidth="0" w:num="1">
            <w:col w:w="11240"/>
          </w:cols>
          <w:pgMar w:left="320" w:top="360" w:right="339" w:bottom="1440" w:gutter="0" w:footer="0" w:header="0"/>
        </w:sectPr>
      </w:pPr>
    </w:p>
    <w:bookmarkStart w:id="264" w:name="page265"/>
    <w:bookmarkEnd w:id="264"/>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39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reflects the calculation of basic and diluted net income (loss) per common share (in dollars, except per share amounts):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jc w:val="center"/>
              <w:ind w:right="98"/>
              <w:spacing w:after="0"/>
              <w:rPr>
                <w:sz w:val="20"/>
                <w:szCs w:val="20"/>
                <w:color w:val="auto"/>
              </w:rPr>
            </w:pPr>
            <w:r>
              <w:rPr>
                <w:rFonts w:ascii="Arial" w:cs="Arial" w:eastAsia="Arial" w:hAnsi="Arial"/>
                <w:sz w:val="14"/>
                <w:szCs w:val="14"/>
                <w:b w:val="1"/>
                <w:bCs w:val="1"/>
                <w:color w:val="auto"/>
                <w:w w:val="92"/>
              </w:rPr>
              <w:t>For the Period</w:t>
            </w:r>
          </w:p>
        </w:tc>
      </w:tr>
      <w:tr>
        <w:trPr>
          <w:trHeight w:val="133"/>
        </w:trPr>
        <w:tc>
          <w:tcPr>
            <w:tcW w:w="9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tcPr>
          <w:p>
            <w:pPr>
              <w:jc w:val="center"/>
              <w:ind w:right="98"/>
              <w:spacing w:after="0" w:line="133" w:lineRule="exact"/>
              <w:rPr>
                <w:sz w:val="20"/>
                <w:szCs w:val="20"/>
                <w:color w:val="auto"/>
              </w:rPr>
            </w:pPr>
            <w:r>
              <w:rPr>
                <w:rFonts w:ascii="Arial" w:cs="Arial" w:eastAsia="Arial" w:hAnsi="Arial"/>
                <w:sz w:val="14"/>
                <w:szCs w:val="14"/>
                <w:b w:val="1"/>
                <w:bCs w:val="1"/>
                <w:color w:val="auto"/>
                <w:w w:val="91"/>
              </w:rPr>
              <w:t>From</w:t>
            </w:r>
          </w:p>
        </w:tc>
      </w:tr>
      <w:tr>
        <w:trPr>
          <w:trHeight w:val="133"/>
        </w:trPr>
        <w:tc>
          <w:tcPr>
            <w:tcW w:w="9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tcPr>
          <w:p>
            <w:pPr>
              <w:jc w:val="center"/>
              <w:ind w:right="98"/>
              <w:spacing w:after="0" w:line="133" w:lineRule="exact"/>
              <w:rPr>
                <w:sz w:val="20"/>
                <w:szCs w:val="20"/>
                <w:color w:val="auto"/>
              </w:rPr>
            </w:pPr>
            <w:r>
              <w:rPr>
                <w:rFonts w:ascii="Arial" w:cs="Arial" w:eastAsia="Arial" w:hAnsi="Arial"/>
                <w:sz w:val="14"/>
                <w:szCs w:val="14"/>
                <w:b w:val="1"/>
                <w:bCs w:val="1"/>
                <w:color w:val="auto"/>
                <w:w w:val="92"/>
              </w:rPr>
              <w:t>July 10, 2020</w:t>
            </w:r>
          </w:p>
        </w:tc>
      </w:tr>
      <w:tr>
        <w:trPr>
          <w:trHeight w:val="132"/>
        </w:trPr>
        <w:tc>
          <w:tcPr>
            <w:tcW w:w="9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tcPr>
          <w:p>
            <w:pPr>
              <w:jc w:val="center"/>
              <w:ind w:right="98"/>
              <w:spacing w:after="0" w:line="133" w:lineRule="exact"/>
              <w:rPr>
                <w:sz w:val="20"/>
                <w:szCs w:val="20"/>
                <w:color w:val="auto"/>
              </w:rPr>
            </w:pPr>
            <w:r>
              <w:rPr>
                <w:rFonts w:ascii="Arial" w:cs="Arial" w:eastAsia="Arial" w:hAnsi="Arial"/>
                <w:sz w:val="14"/>
                <w:szCs w:val="14"/>
                <w:b w:val="1"/>
                <w:bCs w:val="1"/>
                <w:color w:val="auto"/>
                <w:w w:val="89"/>
              </w:rPr>
              <w:t>(inception)</w:t>
            </w:r>
          </w:p>
        </w:tc>
      </w:tr>
      <w:tr>
        <w:trPr>
          <w:trHeight w:val="133"/>
        </w:trPr>
        <w:tc>
          <w:tcPr>
            <w:tcW w:w="9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tcPr>
          <w:p>
            <w:pPr>
              <w:jc w:val="center"/>
              <w:ind w:right="98"/>
              <w:spacing w:after="0" w:line="133" w:lineRule="exact"/>
              <w:rPr>
                <w:sz w:val="20"/>
                <w:szCs w:val="20"/>
                <w:color w:val="auto"/>
              </w:rPr>
            </w:pPr>
            <w:r>
              <w:rPr>
                <w:rFonts w:ascii="Arial" w:cs="Arial" w:eastAsia="Arial" w:hAnsi="Arial"/>
                <w:sz w:val="14"/>
                <w:szCs w:val="14"/>
                <w:b w:val="1"/>
                <w:bCs w:val="1"/>
                <w:color w:val="auto"/>
                <w:w w:val="91"/>
              </w:rPr>
              <w:t>Through</w:t>
            </w:r>
          </w:p>
        </w:tc>
      </w:tr>
      <w:tr>
        <w:trPr>
          <w:trHeight w:val="185"/>
        </w:trPr>
        <w:tc>
          <w:tcPr>
            <w:tcW w:w="95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0"/>
              </w:rPr>
              <w:t>December 31, 2020</w:t>
            </w:r>
          </w:p>
        </w:tc>
      </w:tr>
      <w:tr>
        <w:trPr>
          <w:trHeight w:val="206"/>
        </w:trPr>
        <w:tc>
          <w:tcPr>
            <w:tcW w:w="956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Redeemable Class A Common Stock</w:t>
            </w: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225"/>
        </w:trPr>
        <w:tc>
          <w:tcPr>
            <w:tcW w:w="9560" w:type="dxa"/>
            <w:vAlign w:val="bottom"/>
          </w:tcPr>
          <w:p>
            <w:pPr>
              <w:ind w:left="240"/>
              <w:spacing w:after="0"/>
              <w:rPr>
                <w:sz w:val="20"/>
                <w:szCs w:val="20"/>
                <w:color w:val="auto"/>
              </w:rPr>
            </w:pPr>
            <w:r>
              <w:rPr>
                <w:rFonts w:ascii="Arial" w:cs="Arial" w:eastAsia="Arial" w:hAnsi="Arial"/>
                <w:sz w:val="18"/>
                <w:szCs w:val="18"/>
                <w:color w:val="auto"/>
              </w:rPr>
              <w:t>Numerator: Earnings allocable to Redeemable Class A Common Stock</w:t>
            </w: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6"/>
        </w:trPr>
        <w:tc>
          <w:tcPr>
            <w:tcW w:w="9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13,951</w:t>
            </w:r>
          </w:p>
        </w:tc>
      </w:tr>
      <w:tr>
        <w:trPr>
          <w:trHeight w:val="225"/>
        </w:trPr>
        <w:tc>
          <w:tcPr>
            <w:tcW w:w="956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Income and Franchise Tax</w:t>
            </w: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(13,951)</w:t>
            </w:r>
          </w:p>
        </w:tc>
      </w:tr>
      <w:tr>
        <w:trPr>
          <w:trHeight w:val="219"/>
        </w:trPr>
        <w:tc>
          <w:tcPr>
            <w:tcW w:w="9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Earnings</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9560" w:type="dxa"/>
            <w:vAlign w:val="bottom"/>
          </w:tcPr>
          <w:p>
            <w:pPr>
              <w:ind w:left="240"/>
              <w:spacing w:after="0"/>
              <w:rPr>
                <w:sz w:val="20"/>
                <w:szCs w:val="20"/>
                <w:color w:val="auto"/>
              </w:rPr>
            </w:pPr>
            <w:r>
              <w:rPr>
                <w:rFonts w:ascii="Arial" w:cs="Arial" w:eastAsia="Arial" w:hAnsi="Arial"/>
                <w:sz w:val="18"/>
                <w:szCs w:val="18"/>
                <w:color w:val="auto"/>
              </w:rPr>
              <w:t>Denominator: Weighted Average Redeemable Class A Common Stock</w:t>
            </w: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6"/>
        </w:trPr>
        <w:tc>
          <w:tcPr>
            <w:tcW w:w="9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Redeemable Class A Common Stock, Basic and Diluted</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44,275,000</w:t>
            </w:r>
          </w:p>
        </w:tc>
      </w:tr>
      <w:tr>
        <w:trPr>
          <w:trHeight w:val="225"/>
        </w:trPr>
        <w:tc>
          <w:tcPr>
            <w:tcW w:w="9560" w:type="dxa"/>
            <w:vAlign w:val="bottom"/>
          </w:tcPr>
          <w:p>
            <w:pPr>
              <w:ind w:left="240"/>
              <w:spacing w:after="0"/>
              <w:rPr>
                <w:sz w:val="20"/>
                <w:szCs w:val="20"/>
                <w:color w:val="auto"/>
              </w:rPr>
            </w:pPr>
            <w:r>
              <w:rPr>
                <w:rFonts w:ascii="Arial" w:cs="Arial" w:eastAsia="Arial" w:hAnsi="Arial"/>
                <w:sz w:val="18"/>
                <w:szCs w:val="18"/>
                <w:color w:val="auto"/>
              </w:rPr>
              <w:t>Earnings/Basic and Diluted Redeemable Class A Common Stock</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266"/>
        </w:trPr>
        <w:tc>
          <w:tcPr>
            <w:tcW w:w="95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25"/>
        </w:trPr>
        <w:tc>
          <w:tcPr>
            <w:tcW w:w="9560" w:type="dxa"/>
            <w:vAlign w:val="bottom"/>
          </w:tcPr>
          <w:p>
            <w:pPr>
              <w:ind w:left="20"/>
              <w:spacing w:after="0"/>
              <w:rPr>
                <w:sz w:val="20"/>
                <w:szCs w:val="20"/>
                <w:color w:val="auto"/>
              </w:rPr>
            </w:pPr>
            <w:r>
              <w:rPr>
                <w:rFonts w:ascii="Arial" w:cs="Arial" w:eastAsia="Arial" w:hAnsi="Arial"/>
                <w:sz w:val="18"/>
                <w:szCs w:val="18"/>
                <w:color w:val="auto"/>
              </w:rPr>
              <w:t>Non-Redeemable Class A and B Common Stock</w:t>
            </w: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6"/>
        </w:trPr>
        <w:tc>
          <w:tcPr>
            <w:tcW w:w="9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Numerator: Net Income (Loss) minus Redeemable Net Earnings</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5"/>
        </w:trPr>
        <w:tc>
          <w:tcPr>
            <w:tcW w:w="9560" w:type="dxa"/>
            <w:vAlign w:val="bottom"/>
          </w:tcPr>
          <w:p>
            <w:pPr>
              <w:ind w:left="440"/>
              <w:spacing w:after="0"/>
              <w:rPr>
                <w:sz w:val="20"/>
                <w:szCs w:val="20"/>
                <w:color w:val="auto"/>
              </w:rPr>
            </w:pPr>
            <w:r>
              <w:rPr>
                <w:rFonts w:ascii="Arial" w:cs="Arial" w:eastAsia="Arial" w:hAnsi="Arial"/>
                <w:sz w:val="18"/>
                <w:szCs w:val="18"/>
                <w:color w:val="auto"/>
              </w:rPr>
              <w:t>Net Income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(39,907,599)</w:t>
            </w:r>
          </w:p>
        </w:tc>
      </w:tr>
      <w:tr>
        <w:trPr>
          <w:trHeight w:val="226"/>
        </w:trPr>
        <w:tc>
          <w:tcPr>
            <w:tcW w:w="9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Redeemable Net Earnings</w:t>
            </w: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9560" w:type="dxa"/>
            <w:vAlign w:val="bottom"/>
          </w:tcPr>
          <w:p>
            <w:pPr>
              <w:ind w:left="660"/>
              <w:spacing w:after="0"/>
              <w:rPr>
                <w:sz w:val="20"/>
                <w:szCs w:val="20"/>
                <w:color w:val="auto"/>
              </w:rPr>
            </w:pPr>
            <w:r>
              <w:rPr>
                <w:rFonts w:ascii="Arial" w:cs="Arial" w:eastAsia="Arial" w:hAnsi="Arial"/>
                <w:sz w:val="18"/>
                <w:szCs w:val="18"/>
                <w:color w:val="auto"/>
              </w:rPr>
              <w:t>Non-Redeemable Net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(39,907,599)</w:t>
            </w:r>
          </w:p>
        </w:tc>
      </w:tr>
      <w:tr>
        <w:trPr>
          <w:trHeight w:val="226"/>
        </w:trPr>
        <w:tc>
          <w:tcPr>
            <w:tcW w:w="9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Denominator: Weighted Average Non-Redeemable Class A and B Common Stock</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5"/>
        </w:trPr>
        <w:tc>
          <w:tcPr>
            <w:tcW w:w="9560" w:type="dxa"/>
            <w:vAlign w:val="bottom"/>
          </w:tcPr>
          <w:p>
            <w:pPr>
              <w:ind w:left="440"/>
              <w:spacing w:after="0"/>
              <w:rPr>
                <w:sz w:val="20"/>
                <w:szCs w:val="20"/>
                <w:color w:val="auto"/>
              </w:rPr>
            </w:pPr>
            <w:r>
              <w:rPr>
                <w:rFonts w:ascii="Arial" w:cs="Arial" w:eastAsia="Arial" w:hAnsi="Arial"/>
                <w:sz w:val="18"/>
                <w:szCs w:val="18"/>
                <w:color w:val="auto"/>
              </w:rPr>
              <w:t>Non-Redeemable Class A and B Common Stock, Basic and Diluted</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10,633,062</w:t>
            </w:r>
          </w:p>
        </w:tc>
      </w:tr>
      <w:tr>
        <w:trPr>
          <w:trHeight w:val="226"/>
        </w:trPr>
        <w:tc>
          <w:tcPr>
            <w:tcW w:w="9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Loss/Basic and Diluted Non-Redeemable Class A and B Common Stock</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r>
    </w:tbl>
    <w:p>
      <w:pPr>
        <w:spacing w:after="0" w:line="23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Note: As of December 31, 2020, basic and diluted shares are the same as there are no non-redeemable securities that are dilutive to the Company’s stockholders.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a cash account in a financial institution, which, at times, may exceed the Federal Depository Insurance Coverage of $250,000. The Company has not experienced losses on this account and management believes the Company is not exposed to significant risks on such account.</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ASC Topic 820, “Fair Value Measurement,” approximates the carrying amounts represented in the accompanying balance sheet, primarily due to their short-term nature.</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F-93</w:t>
      </w:r>
    </w:p>
    <w:p>
      <w:pPr>
        <w:sectPr>
          <w:pgSz w:w="11900" w:h="16838" w:orient="portrait"/>
          <w:cols w:equalWidth="0" w:num="1">
            <w:col w:w="11240"/>
          </w:cols>
          <w:pgMar w:left="320" w:top="360" w:right="339" w:bottom="1440" w:gutter="0" w:footer="0" w:header="0"/>
        </w:sectPr>
      </w:pPr>
    </w:p>
    <w:bookmarkStart w:id="265" w:name="page266"/>
    <w:bookmarkEnd w:id="265"/>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39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unadjusted quoted prices in active markets for identical assets or liabilities (Level 1 measurements) and the lowest priority to unobservable inputs (Level 3 measurements). These tiers include:</w:t>
      </w:r>
    </w:p>
    <w:p>
      <w:pPr>
        <w:spacing w:after="0" w:line="128" w:lineRule="exact"/>
        <w:rPr>
          <w:sz w:val="20"/>
          <w:szCs w:val="20"/>
          <w:color w:val="auto"/>
        </w:rPr>
      </w:pPr>
    </w:p>
    <w:p>
      <w:pPr>
        <w:ind w:left="640" w:hanging="316"/>
        <w:spacing w:after="0"/>
        <w:tabs>
          <w:tab w:leader="none" w:pos="6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(unadjusted) for identical instruments in active markets;</w:t>
      </w:r>
    </w:p>
    <w:p>
      <w:pPr>
        <w:spacing w:after="0" w:line="164" w:lineRule="exact"/>
        <w:rPr>
          <w:rFonts w:ascii="Arial" w:cs="Arial" w:eastAsia="Arial" w:hAnsi="Arial"/>
          <w:sz w:val="18"/>
          <w:szCs w:val="18"/>
          <w:color w:val="auto"/>
        </w:rPr>
      </w:pPr>
    </w:p>
    <w:p>
      <w:pPr>
        <w:ind w:firstLine="324"/>
        <w:spacing w:after="0" w:line="264" w:lineRule="auto"/>
        <w:tabs>
          <w:tab w:leader="none" w:pos="631" w:val="left"/>
        </w:tabs>
        <w:numPr>
          <w:ilvl w:val="0"/>
          <w:numId w:val="110"/>
        </w:numPr>
        <w:rPr>
          <w:rFonts w:ascii="Arial" w:cs="Arial" w:eastAsia="Arial" w:hAnsi="Arial"/>
          <w:sz w:val="18"/>
          <w:szCs w:val="18"/>
          <w:color w:val="auto"/>
        </w:rPr>
      </w:pPr>
      <w:r>
        <w:rPr>
          <w:rFonts w:ascii="Arial" w:cs="Arial" w:eastAsia="Arial" w:hAnsi="Arial"/>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27" w:lineRule="exact"/>
        <w:rPr>
          <w:rFonts w:ascii="Arial" w:cs="Arial" w:eastAsia="Arial" w:hAnsi="Arial"/>
          <w:sz w:val="18"/>
          <w:szCs w:val="18"/>
          <w:color w:val="auto"/>
        </w:rPr>
      </w:pPr>
    </w:p>
    <w:p>
      <w:pPr>
        <w:ind w:firstLine="324"/>
        <w:spacing w:after="0" w:line="294" w:lineRule="auto"/>
        <w:tabs>
          <w:tab w:leader="none" w:pos="631" w:val="left"/>
        </w:tabs>
        <w:numPr>
          <w:ilvl w:val="0"/>
          <w:numId w:val="110"/>
        </w:numPr>
        <w:rPr>
          <w:rFonts w:ascii="Arial" w:cs="Arial" w:eastAsia="Arial" w:hAnsi="Arial"/>
          <w:sz w:val="17"/>
          <w:szCs w:val="17"/>
          <w:color w:val="auto"/>
        </w:rPr>
      </w:pPr>
      <w:r>
        <w:rPr>
          <w:rFonts w:ascii="Arial" w:cs="Arial" w:eastAsia="Arial" w:hAnsi="Arial"/>
          <w:sz w:val="17"/>
          <w:szCs w:val="17"/>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0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6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 Company evaluates its financial instruments to determine if such instruments are derivatives or contain features that qualify as embedded derivatives in accordance with ASC Topic 815, “Derivatives and Hedging”. For derivative financial instruments that are accounted for as liabilities, the derivative instrument is initially recorded at its fair value on the grant date and is then re-valued at each reporting date, with changes in the fair value reported in the statements of operations. The classification of derivative instruments, including whether such instruments should be recorded as liabilities or as equity, is evaluated at the end of each reporting period. Derivative liabilities are classified in the balance sheet as current or non-current based on whether or not net-cash settlement or conversion of the instrument could be required within 12 months of the balance sheet date.</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64"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Company’s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INITIAL PUBLIC OFFERING</w:t>
      </w:r>
    </w:p>
    <w:p>
      <w:pPr>
        <w:spacing w:after="0" w:line="17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Pursuant to the Initial Public Offering, the Company sold 44,275,000 Units, which includes the full exercise by the underwriter of its over-allotment option in the amount of 5,775,000 Units, at a purchase price of $10.00 per Unit. Each Unit consists of one share of Class A common stock and one-third of one redeemable warrant ("Public Warrant"). Each whole Public Warrant entitles the holder to purchase one share of Class A common stock at a price of $11.50 per share, subject to adjustment (see Note 8).</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PRIVATE PLACEMENT</w:t>
      </w:r>
    </w:p>
    <w:p>
      <w:pPr>
        <w:spacing w:after="0" w:line="170"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Simultaneously with the closing of the Initial Public Offering, the Sponsor and certain of the Company’s independent directors purchased an aggregate of 7,236,667 Private Placement Warrants, at a price of $1.50 per Private Placement Warrant, for an aggregate purchase price of $10,855,000. The Sponsor purchased 6,903,335 Private Placement Warrants, and each of Mr. Islam and Dr. Leproust (and/or one or more entities controlled by them) purchased 166,666 Private Placement Warrants. Each Private Placement Warrant is exercisable to purchase one share of Class A common stock at a price of $11.50 per share, subject to adjustment (see Note 8). Proceeds from the sale of the Private Placement Warrants were added to the net proceeds from the Initial Public Offering held in the Trust Account. If the Company does not complete a Business Combination within the Combination Period, the proceeds from the sale of the Private Placement Warrants held in the Trust Account will be used to fund the redemption of the Public Shares (subject to the requirements of applicable law) and the Private Placement Warrants will expire worthless.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F-94</w:t>
      </w:r>
    </w:p>
    <w:p>
      <w:pPr>
        <w:sectPr>
          <w:pgSz w:w="11900" w:h="16838" w:orient="portrait"/>
          <w:cols w:equalWidth="0" w:num="1">
            <w:col w:w="11240"/>
          </w:cols>
          <w:pgMar w:left="320" w:top="360" w:right="339" w:bottom="1440" w:gutter="0" w:footer="0" w:header="0"/>
        </w:sectPr>
      </w:pPr>
    </w:p>
    <w:bookmarkStart w:id="266" w:name="page267"/>
    <w:bookmarkEnd w:id="266"/>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RELATED PARTY TRANSACTIONS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Founder Shares</w:t>
      </w:r>
    </w:p>
    <w:p>
      <w:pPr>
        <w:spacing w:after="0" w:line="164"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In July 2020, the Sponsor paid 25,000 to cover certain offering costs of the Company in consideration for 10,062,500 shares of the Company’s Class B common stock (the “Founder Shares”). In August 2020, the Sponsor transferred 25,000 Founder Shares to each of Munib Islam, Emily Leproust and Nat Turner, certain of the Company’s independent directors, at their original per-share purchase price, for an aggregate of 75,000 Founder Shares transferred. On September 1, 2020, the Company effected a 1:1.1 stock split of its Class B common stock, resulting in the Sponsor holding an aggregate of 10,993,750 Founder Shares and there being an aggregate of 11,068,750 Founder Shares outstanding.. All share and per-share amounts have been retroactively restated to reflect the stock split, The Founder Shares included an aggregate of up to 1,443,750 shares subject to forfeiture by the Sponsor to the extent that the underwriter’s over-allotment was not exercised in full or in part, so that the number of Founder Shares would equal, on an as-converted basis, approximately 20% of the Company’s issued and outstanding shares of common stock after the Initial Public Offering. As a result of the underwriter’s election to fully exercise its over-allotment option, 1,443,750 Founder Shares are no longer subject to forfeiture.</w:t>
      </w:r>
    </w:p>
    <w:p>
      <w:pPr>
        <w:spacing w:after="0" w:line="10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Sponsor has agreed, subject to limited exceptions, not to transfer, assign or sell any of the Founder Shares until the earlier to occur of: (A) one year after the completion of a Business Combination and (B) subsequent to a Business Combination, (x) if the last reported sale price of the Class A common stock equals or exceeds $12.00 per share (as adjusted for stock splits, stock capitalizations, reorganizations, recapitalizations and the like) for any 20 trading days within any 30-trading day period commencing at least 150 days after a Business Combination, or (y) the date on which the Company completes a liquidation, merger, capital stock exchange or other similar transaction that results in all of the Public Stockholders having the right to exchange their shares of common stock for cash, securities or other property.</w:t>
      </w:r>
    </w:p>
    <w:p>
      <w:pPr>
        <w:spacing w:after="0" w:line="14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Promissory Note – Related Party</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On July 16, 2020, the Sponsor issued an unsecured promissory note to the Company (the “Promissory Note”), pursuant to which the Company could borrow up to an aggregate principal amount of $300,000. The Promissory Note was non-interest bearing and payable on the earlier of (i) December 31, 2020 or (ii) the consummation of the Initial Public Offering. The outstanding balance under the Promissory Note of $165,081 was repaid at the closing of the Initial Public Offering on September 4, 2020.</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164"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In order to finance transaction costs in connection with a Business Combination, the Sponsor or an affiliate of the Sponsor, or certain of the Company’s officers and directors may, but are not obligated to, loan the Company funds as may be required (“Working Capital Loans”). Such Working Capital Loans would be evidenced by promissory notes. The notes may be repaid upon completion of a Business Combination, without interest, or, at the lender’s discretion, up to $1,500,000 of the notes may be converted upon completion of a Business Combination into warrants at a price of $1.50 per warrant. Such warrants would be identical to the Private Placement Warrants. In the event that a Business Combination does not close, the Company may use a portion of proceeds held outside the Trust Account to repay the Working Capital Loans but no proceeds held in the Trust Account would be used to repay the Working Capital Loans. As of December 31, 2020, there were no amounts outstanding under the Working Capital Loans.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Management continues to evaluate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F-95</w:t>
      </w:r>
    </w:p>
    <w:p>
      <w:pPr>
        <w:sectPr>
          <w:pgSz w:w="11900" w:h="16838" w:orient="portrait"/>
          <w:cols w:equalWidth="0" w:num="1">
            <w:col w:w="11240"/>
          </w:cols>
          <w:pgMar w:left="320" w:top="360" w:right="339" w:bottom="1440" w:gutter="0" w:footer="0" w:header="0"/>
        </w:sectPr>
      </w:pPr>
    </w:p>
    <w:bookmarkStart w:id="267" w:name="page268"/>
    <w:bookmarkEnd w:id="267"/>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39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6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Pursuant to a registration rights agreement entered into on September 1, 2020, the holders of the Founder Shares, Private Placement Warrants and securities that may be issued upon conversion of Working Capital Loans and forward purchase shares are entitled to registration rights. The holders of these securities will be entitled to make up to three demands, excluding short form demands, that the Company register such securities. In addition, the holders have certain “piggy-back” registration rights with respect to registration statements filed subsequent to the completion of a Business Combination. The Company will bear the expenses incurred in connection with the filing of any such registration statements.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underwriter is entitled to a deferred fee of $0.35 per Unit, or 15,496,250 in the aggregate. The deferred fee will become payable to the underwriter from the amounts held in the Trust Account solely in the event that the Company completes a Business Combination, subject to the terms of the underwriting agreement.</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Forward Purchase Agreement</w:t>
      </w:r>
    </w:p>
    <w:p>
      <w:pPr>
        <w:spacing w:after="0" w:line="164"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The Company entered into separate forward purchase agreements with affiliates of the Sponsor, Casdin Capital, LLC (“Casdin”) and Corvex Management LP (“Corvex”), in their capacities as investment advisors on behalf of one or more investment funds, clients or accounts managed by each of Casdin and Corvex, respectively (collectively, their “Clients”), pursuant to which, subject to the conditions described below, they will cause the Clients to purchase from the Company up to an aggregate amount of 15,000,000 shares of Class A common stock, or the forward purchase shares, for $10.00 per forward purchase share, or an aggregate amount of up to $150,000,000, in a private placement that will close concurrently with the closing of a Business Combination. The amount of forward purchase shares sold pursuant to the forward purchase agreements will be determined in the Company’s discretion based on the Company’s need for additional capital to consummate a Business Combination. Under each forward purchase agreement, the Company is required to approach Casdin and Corvex if it proposes to raise additional capital by issuing any equity, or securities convertible into, exchangeable or exercisable for equity securities in connection with a Business Combination. The respective obligations of Casdin and Corvex to purchase forward purchase shares will, among other things, be conditioned on the Company completing a Business Combination with a company engaged in a business that is within the investment objectives of the Clients purchasing forward purchase shares and on the Business Combination (including the target assets or business, and the terms of the Business Combination) being reasonably acceptable to such Clients as determined by Casdin or Corvex, as relevant, as investment advisors on behalf of such Clients. Each of Casdin and Corvex will have the right to transfer a portion of its purchase obligation under the forward purchase agreement to third parties, subject to compliance with applicable securities laws. To the extent that the Company obtains alternative financing to fund the initial Business Combination and the Clients participate in such financing, the aggregate commitment under the forward purchase agreement will be reduced by the amount of such alternative financing.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STOCKHOLDERS’ EQUITY</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b w:val="1"/>
          <w:bCs w:val="1"/>
          <w:i w:val="1"/>
          <w:iCs w:val="1"/>
          <w:color w:val="auto"/>
        </w:rPr>
        <w:t xml:space="preserve">Preferred Stock </w:t>
      </w:r>
      <w:r>
        <w:rPr>
          <w:rFonts w:ascii="Arial" w:cs="Arial" w:eastAsia="Arial" w:hAnsi="Arial"/>
          <w:sz w:val="18"/>
          <w:szCs w:val="18"/>
          <w:color w:val="auto"/>
        </w:rPr>
        <w:t>— The Company is authorized to issue 1,000,000 shares of preferred stock with a par value of $0.0001 per share with such designations,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voting and other rights and preferences as may be determined from time to time by the Company’s board of directors. At December 31, 2020, there were no shares of preferred stock issued or outstanding.</w:t>
      </w:r>
    </w:p>
    <w:p>
      <w:pPr>
        <w:spacing w:after="0" w:line="135"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b w:val="1"/>
          <w:bCs w:val="1"/>
          <w:i w:val="1"/>
          <w:iCs w:val="1"/>
          <w:color w:val="auto"/>
        </w:rPr>
        <w:t xml:space="preserve">Class A Common Stock </w:t>
      </w:r>
      <w:r>
        <w:rPr>
          <w:rFonts w:ascii="Arial" w:cs="Arial" w:eastAsia="Arial" w:hAnsi="Arial"/>
          <w:sz w:val="17"/>
          <w:szCs w:val="17"/>
          <w:color w:val="auto"/>
        </w:rPr>
        <w:t>— The Company is authorized to issue 380,000,000 shares of Class A common stock with a par value of $0.0001 per share.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Holders of Class A common stock are entitled to one vote for each share. At December 31, 2020, there were 8,953,013 shares of Class A common stock issued and outstanding, excluding $35,321,987 shares of Class A common stock subject to possible redemption.</w:t>
      </w:r>
    </w:p>
    <w:p>
      <w:pPr>
        <w:spacing w:after="0" w:line="11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b w:val="1"/>
          <w:bCs w:val="1"/>
          <w:i w:val="1"/>
          <w:iCs w:val="1"/>
          <w:color w:val="auto"/>
        </w:rPr>
        <w:t xml:space="preserve">Class B Common Stock </w:t>
      </w:r>
      <w:r>
        <w:rPr>
          <w:rFonts w:ascii="Arial" w:cs="Arial" w:eastAsia="Arial" w:hAnsi="Arial"/>
          <w:sz w:val="18"/>
          <w:szCs w:val="18"/>
          <w:color w:val="auto"/>
        </w:rPr>
        <w:t>— The Company is authorized to issue 20,000,000 shares of Class B common stock with a par value of 0.0001 per share.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Class B common stock are entitled to one vote for each share. At December 31, 2020, there were 11,068,750 shares of Class B common stock issued and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F-96</w:t>
      </w:r>
    </w:p>
    <w:p>
      <w:pPr>
        <w:sectPr>
          <w:pgSz w:w="11900" w:h="16838" w:orient="portrait"/>
          <w:cols w:equalWidth="0" w:num="1">
            <w:col w:w="11240"/>
          </w:cols>
          <w:pgMar w:left="320" w:top="360" w:right="339" w:bottom="1440" w:gutter="0" w:footer="0" w:header="0"/>
        </w:sectPr>
      </w:pPr>
    </w:p>
    <w:bookmarkStart w:id="268" w:name="page269"/>
    <w:bookmarkEnd w:id="268"/>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391"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The shares of Class B common stock will automatically convert into Class A common stock concurrently with or immediately following the consummation of the Business Combination, on a one-for-one basis, subject to adjustment. In the case that additional shares of Class A common stock, or equity-linked securities, are issued or deemed issued in connection with a Business Combination, the number of shares of Class A common stock issuable upon conversion of all Founder Shares will equal, in the aggregate, on an as-converted basis, 20% of the total number of shares of Class A common stock outstanding after such conversion (after giving effect to any redemptions of shares of Class A common stock by public stockholders), including the total number of shares of Class A common stock issued, or deemed issued or issuable upon conversion or exercise of any equity-linked securities or rights issued or deemed issued, by the Company in connection with or in relation to the consummation of a Business Combination (including the forward purchase shares), excluding any shares of Class A common stock or equity-linked securities or rights exercisable for or convertible into shares of Class A common stock issued, or to be issued, to any seller in a Business Combination and any Private Placement Warrants issued to the Sponsor, officers or directors upon conversion of Working Capital Loans, provided that such conversion of Founder Shares will never occur on a less than one-for-one basis.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WARRANT LIABILITY</w:t>
      </w:r>
    </w:p>
    <w:p>
      <w:pPr>
        <w:spacing w:after="0" w:line="170"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b w:val="1"/>
          <w:bCs w:val="1"/>
          <w:i w:val="1"/>
          <w:iCs w:val="1"/>
          <w:color w:val="auto"/>
        </w:rPr>
        <w:t xml:space="preserve">Warrants </w:t>
      </w:r>
      <w:r>
        <w:rPr>
          <w:rFonts w:ascii="Arial" w:cs="Arial" w:eastAsia="Arial" w:hAnsi="Arial"/>
          <w:sz w:val="15"/>
          <w:szCs w:val="15"/>
          <w:color w:val="auto"/>
        </w:rPr>
        <w:t>— Public Warrants may only be exercised for a whole number of shares. No fractional warrants will be issued upon separation of the Units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only whole warrants will trade. The Public Warrants will become exercisable on the later of (a) 30 days after the completion of a Business Combination and</w:t>
      </w:r>
    </w:p>
    <w:p>
      <w:pPr>
        <w:spacing w:after="0" w:line="1" w:lineRule="exact"/>
        <w:rPr>
          <w:sz w:val="20"/>
          <w:szCs w:val="20"/>
          <w:color w:val="auto"/>
        </w:rPr>
      </w:pPr>
    </w:p>
    <w:p>
      <w:pPr>
        <w:ind w:firstLine="6"/>
        <w:spacing w:after="0" w:line="251" w:lineRule="auto"/>
        <w:tabs>
          <w:tab w:leader="none" w:pos="262" w:val="left"/>
        </w:tabs>
        <w:numPr>
          <w:ilvl w:val="0"/>
          <w:numId w:val="111"/>
        </w:numPr>
        <w:rPr>
          <w:rFonts w:ascii="Arial" w:cs="Arial" w:eastAsia="Arial" w:hAnsi="Arial"/>
          <w:sz w:val="18"/>
          <w:szCs w:val="18"/>
          <w:color w:val="auto"/>
        </w:rPr>
      </w:pPr>
      <w:r>
        <w:rPr>
          <w:rFonts w:ascii="Arial" w:cs="Arial" w:eastAsia="Arial" w:hAnsi="Arial"/>
          <w:sz w:val="18"/>
          <w:szCs w:val="18"/>
          <w:color w:val="auto"/>
        </w:rPr>
        <w:t>12 months from the closing of the Initial Public Offering. The Public Warrants will expire five years after the completion of a Business Combination or earlier upon redemption or liquidation.</w:t>
      </w:r>
    </w:p>
    <w:p>
      <w:pPr>
        <w:spacing w:after="0" w:line="139"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Company will not be obligated to deliver any shares of Class A common stock pursuant to the exercise of a warrant and will have no obligation to settle such warrant exercise unless a registration statement under the Securities Act with respect to the Class A common stock underlying the warrants is then effective and a prospectus relating thereto is current, subject to the Company satisfying its obligations with respect to registration. No warrant will be exercisable and the Company will not be obligated to issue shares of Class A common stock upon exercise of a warrant unless the share of Class A common stock issuable upon such warrant exercise has been registered, qualified or deemed to be exempt under the securities laws of the state of residence of the registered holder of the warrants.</w:t>
      </w:r>
    </w:p>
    <w:p>
      <w:pPr>
        <w:spacing w:after="0" w:line="143"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The Company has agreed that as soon as practicable, but in no event later than 15 business days, after the closing of a Business Combination, it will use its best efforts to file with the SEC a registration statement for the registration, under the Securities Act, of the Class A common stock issuable upon exercise of the Public Warrants. The Company will use its best efforts to cause the same to become effective and to maintain the effectiveness of such registration statement, and a current prospectus relating thereto, until the expiration of the Public Warrants in accordance with the provisions of the warrant agreement. If a registration statement covering the shares of Class A common stock issuable upon exercise of the warrants is not effective by the sixtieth (60th) business day after the closing of a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common stock are, at the time of any exercise of a Public Warrant, not listed on a national securities exchange such that they satisfy the definition of a “covered security” under Section 18(b)(1) of the Securities Act, the Company may, at its option, require holders of Public Warrants who exercise their Public Warrants to do so on a “cashless basis” in accordance with Section 3(a)(9) of the Securities Act and, in the event the Company so elects, the Company will not be required to file or maintain in effect a registration statement, and in the event the Company does not so elect, it will use its best efforts to register or qualify the shares under applicable blue sky laws to the extent an exemption is not available.</w:t>
      </w:r>
    </w:p>
    <w:p>
      <w:pPr>
        <w:spacing w:after="0" w:line="130" w:lineRule="exact"/>
        <w:rPr>
          <w:sz w:val="20"/>
          <w:szCs w:val="20"/>
          <w:color w:val="auto"/>
        </w:rPr>
      </w:pPr>
    </w:p>
    <w:p>
      <w:pPr>
        <w:ind w:left="320"/>
        <w:spacing w:after="0"/>
        <w:rPr>
          <w:sz w:val="20"/>
          <w:szCs w:val="20"/>
          <w:color w:val="auto"/>
        </w:rPr>
      </w:pPr>
      <w:r>
        <w:rPr>
          <w:rFonts w:ascii="Arial" w:cs="Arial" w:eastAsia="Arial" w:hAnsi="Arial"/>
          <w:sz w:val="15"/>
          <w:szCs w:val="15"/>
          <w:i w:val="1"/>
          <w:iCs w:val="1"/>
          <w:color w:val="auto"/>
        </w:rPr>
        <w:t xml:space="preserve">Redemption of Warrants When the Price per Share of Class A Common Stock Equals or Exceeds $18.00 </w:t>
      </w:r>
      <w:r>
        <w:rPr>
          <w:rFonts w:ascii="Arial" w:cs="Arial" w:eastAsia="Arial" w:hAnsi="Arial"/>
          <w:sz w:val="15"/>
          <w:szCs w:val="15"/>
          <w:color w:val="auto"/>
        </w:rPr>
        <w:t>— Once the warrants become exercisable, the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Company may redeem the outstanding Public Warrants:</w:t>
      </w:r>
    </w:p>
    <w:p>
      <w:pPr>
        <w:spacing w:after="0" w:line="153" w:lineRule="exact"/>
        <w:rPr>
          <w:sz w:val="20"/>
          <w:szCs w:val="20"/>
          <w:color w:val="auto"/>
        </w:rPr>
      </w:pPr>
    </w:p>
    <w:p>
      <w:pPr>
        <w:ind w:left="640" w:hanging="316"/>
        <w:spacing w:after="0"/>
        <w:tabs>
          <w:tab w:leader="none" w:pos="6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F-97</w:t>
      </w:r>
    </w:p>
    <w:p>
      <w:pPr>
        <w:sectPr>
          <w:pgSz w:w="11900" w:h="16838" w:orient="portrait"/>
          <w:cols w:equalWidth="0" w:num="1">
            <w:col w:w="11240"/>
          </w:cols>
          <w:pgMar w:left="320" w:top="360" w:right="339" w:bottom="1440" w:gutter="0" w:footer="0" w:header="0"/>
        </w:sectPr>
      </w:pPr>
    </w:p>
    <w:bookmarkStart w:id="269" w:name="page270"/>
    <w:bookmarkEnd w:id="269"/>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391" w:lineRule="exact"/>
        <w:rPr>
          <w:sz w:val="20"/>
          <w:szCs w:val="20"/>
          <w:color w:val="auto"/>
        </w:rPr>
      </w:pPr>
    </w:p>
    <w:p>
      <w:pPr>
        <w:ind w:left="640" w:hanging="316"/>
        <w:spacing w:after="0"/>
        <w:tabs>
          <w:tab w:leader="none" w:pos="6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or the 30-day redemption period, to each warrant holder; and</w:t>
      </w:r>
    </w:p>
    <w:p>
      <w:pPr>
        <w:spacing w:after="0" w:line="164"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if, and only if, the reported last sale price of the Company’s Class A common stock equals or exceeds $18.00 per share (as adjusted for stock splits, stock dividends, reorganizations, recapitalizations and the like) for any 20 trading days within a 30-trading day period ending on the third trading day prior to the date on which the Company sends the notice of redemption to the warrant holders.</w:t>
      </w:r>
    </w:p>
    <w:p>
      <w:pPr>
        <w:spacing w:after="0" w:line="135"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If and when the warrants become redeemable by the Company, the Company may exercise its redemption right even if it is unable to register or qualify the underlying securities for sale under all applicable state securities laws. Redemption of Warrants When the Price per Share of Class A Common Stock Equals or Exceeds $10.00 — Once the warrants become exercisable, the Company may redeem the outstanding warrants:</w:t>
      </w:r>
    </w:p>
    <w:p>
      <w:pPr>
        <w:spacing w:after="0" w:line="118" w:lineRule="exact"/>
        <w:rPr>
          <w:sz w:val="20"/>
          <w:szCs w:val="20"/>
          <w:color w:val="auto"/>
        </w:rPr>
      </w:pPr>
    </w:p>
    <w:p>
      <w:pPr>
        <w:ind w:left="640" w:hanging="316"/>
        <w:spacing w:after="0"/>
        <w:tabs>
          <w:tab w:leader="none" w:pos="6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64" w:lineRule="exact"/>
        <w:rPr>
          <w:rFonts w:ascii="Arial" w:cs="Arial" w:eastAsia="Arial" w:hAnsi="Arial"/>
          <w:sz w:val="18"/>
          <w:szCs w:val="18"/>
          <w:color w:val="auto"/>
        </w:rPr>
      </w:pPr>
    </w:p>
    <w:p>
      <w:pPr>
        <w:ind w:left="640" w:hanging="316"/>
        <w:spacing w:after="0" w:line="365" w:lineRule="auto"/>
        <w:tabs>
          <w:tab w:leader="none" w:pos="635" w:val="left"/>
        </w:tabs>
        <w:numPr>
          <w:ilvl w:val="0"/>
          <w:numId w:val="114"/>
        </w:numPr>
        <w:rPr>
          <w:rFonts w:ascii="Arial" w:cs="Arial" w:eastAsia="Arial" w:hAnsi="Arial"/>
          <w:sz w:val="15"/>
          <w:szCs w:val="15"/>
          <w:color w:val="auto"/>
        </w:rPr>
      </w:pPr>
      <w:r>
        <w:rPr>
          <w:rFonts w:ascii="Arial" w:cs="Arial" w:eastAsia="Arial" w:hAnsi="Arial"/>
          <w:sz w:val="15"/>
          <w:szCs w:val="15"/>
          <w:color w:val="auto"/>
        </w:rPr>
        <w:t>at a price of $0.10 per warrant provided that holders will be able to exercise their warrants prior to redemption and receive that number of shares of Class A common stock determined based on the redemption date and the “fair market value” of the Company’s Class A common stock;</w:t>
      </w:r>
    </w:p>
    <w:p>
      <w:pPr>
        <w:spacing w:after="0" w:line="58" w:lineRule="exact"/>
        <w:rPr>
          <w:rFonts w:ascii="Arial" w:cs="Arial" w:eastAsia="Arial" w:hAnsi="Arial"/>
          <w:sz w:val="15"/>
          <w:szCs w:val="15"/>
          <w:color w:val="auto"/>
        </w:rPr>
      </w:pPr>
    </w:p>
    <w:p>
      <w:pPr>
        <w:ind w:left="640" w:hanging="316"/>
        <w:spacing w:after="0"/>
        <w:tabs>
          <w:tab w:leader="none" w:pos="6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w:t>
      </w:r>
    </w:p>
    <w:p>
      <w:pPr>
        <w:spacing w:after="0" w:line="164"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if, and only if, the last reported sale price of the Company’s Class A common stock equals or exceeds $10.00 per share (as adjusted for stock splits, stock dividends, reorganizations, recapitalizations and the like) on the trading day prior to the date on which the Company sends the notice of redemption to the warrant holders;</w:t>
      </w:r>
    </w:p>
    <w:p>
      <w:pPr>
        <w:spacing w:after="0" w:line="135" w:lineRule="exact"/>
        <w:rPr>
          <w:rFonts w:ascii="Arial" w:cs="Arial" w:eastAsia="Arial" w:hAnsi="Arial"/>
          <w:sz w:val="18"/>
          <w:szCs w:val="18"/>
          <w:color w:val="auto"/>
        </w:rPr>
      </w:pPr>
    </w:p>
    <w:p>
      <w:pPr>
        <w:ind w:left="640" w:hanging="316"/>
        <w:spacing w:after="0" w:line="365" w:lineRule="auto"/>
        <w:tabs>
          <w:tab w:leader="none" w:pos="635" w:val="left"/>
        </w:tabs>
        <w:numPr>
          <w:ilvl w:val="0"/>
          <w:numId w:val="114"/>
        </w:numPr>
        <w:rPr>
          <w:rFonts w:ascii="Arial" w:cs="Arial" w:eastAsia="Arial" w:hAnsi="Arial"/>
          <w:sz w:val="15"/>
          <w:szCs w:val="15"/>
          <w:color w:val="auto"/>
        </w:rPr>
      </w:pPr>
      <w:r>
        <w:rPr>
          <w:rFonts w:ascii="Arial" w:cs="Arial" w:eastAsia="Arial" w:hAnsi="Arial"/>
          <w:sz w:val="15"/>
          <w:szCs w:val="15"/>
          <w:color w:val="auto"/>
        </w:rPr>
        <w:t>if, and only if, there is an effective registration statement covering the issuance of the shares of Class A common stock issuable upon exercise of the warrants and a current prospectus relating thereto is available throughout the 30-day period after the written notice of redemption is given.</w:t>
      </w:r>
    </w:p>
    <w:p>
      <w:pPr>
        <w:spacing w:after="0" w:line="58"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In addition, if (x) the Company issues additional shares of Class A common stock or equity-linked securities for capital raising purposes in connection with the closing of a Business Combination at an issue price or effective issue price of less than $9.20 per share of Class A common stock (with such issue price or effective issue price to be determined in good faith by the Company’s board of directors, and, in the case of any such issuance to the Sponsor or its affiliates, without taking into account any Founder Shares held by the Sponsor or its affiliates, as applicable, prior to such issuance) (the “Newly Issued Price”), (y) the aggregate gross proceeds from such issuances represent more than 60% of the total equity proceeds, and interest thereon, available for the funding of a Business Combination on the date of the completion of a Business Combination (net of redemptions), and (z) the volume weighted average trading price of the Company’s Class A common stock during the 20 trading day period starting on the trading day after the day on which the Company completes a Business Combination (such price, the “Market Value”) is below $9.20 per share, the exercise price of the warrants will be adjusted (to the nearest cent) to be equal to 115% of the higher of the Market Value and the Newly Issued Price, the $18.00 per share redemption trigger price will be adjusted (to the nearest cent) to be equal to 180% of the higher of the Market Value and the Newly Issued Price, and the $10.00 per share redemption trigger price will be adjusted (to the nearest cent) to be equal to the higher of the Market Value and the Newly Issued Price.</w:t>
      </w:r>
    </w:p>
    <w:p>
      <w:pPr>
        <w:spacing w:after="0" w:line="32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Private Placement Warrants are identical to the Public Warrants underlying the Units sold in the Initial Public Offering, except that (1) the Private Placement Warrants and the Class A common stock issuable upon the exercise of the Private Placement Warrants will not be transferable, assignable or saleable until 30 days after the completion of a Business Combination, subject to certain limited exceptions, (2) the Private Placement Warrants will be exercisable on a cashless basis, (3) the Private Placement Warrants will be non-redeemable (except as described above in “Redemption of Warrants When the Price per Share of Class A Common Stock Equals or Exceeds $10.00”) so long as they are held by the initial purchasers or their permitted transferees, and (4) the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F-98</w:t>
      </w:r>
    </w:p>
    <w:p>
      <w:pPr>
        <w:sectPr>
          <w:pgSz w:w="11900" w:h="16838" w:orient="portrait"/>
          <w:cols w:equalWidth="0" w:num="1">
            <w:col w:w="11240"/>
          </w:cols>
          <w:pgMar w:left="320" w:top="360" w:right="339" w:bottom="1440" w:gutter="0" w:footer="0" w:header="0"/>
        </w:sectPr>
      </w:pPr>
    </w:p>
    <w:bookmarkStart w:id="270" w:name="page271"/>
    <w:bookmarkEnd w:id="270"/>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39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the Private Placement Warrants and the Class A common stock issuable upon the exercise of the Private Placement Warrants will have certain registration rights.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Company’s net deferred tax assets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jc w:val="center"/>
              <w:ind w:right="17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95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06"/>
        </w:trPr>
        <w:tc>
          <w:tcPr>
            <w:tcW w:w="956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Deferred tax asset</w:t>
            </w:r>
          </w:p>
        </w:tc>
        <w:tc>
          <w:tcPr>
            <w:tcW w:w="2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9560" w:type="dxa"/>
            <w:vAlign w:val="bottom"/>
          </w:tcPr>
          <w:p>
            <w:pPr>
              <w:ind w:left="20"/>
              <w:spacing w:after="0"/>
              <w:rPr>
                <w:sz w:val="20"/>
                <w:szCs w:val="20"/>
                <w:color w:val="auto"/>
              </w:rPr>
            </w:pPr>
            <w:r>
              <w:rPr>
                <w:rFonts w:ascii="Arial" w:cs="Arial" w:eastAsia="Arial" w:hAnsi="Arial"/>
                <w:sz w:val="18"/>
                <w:szCs w:val="18"/>
                <w:color w:val="auto"/>
              </w:rPr>
              <w:t>Net operating loss carryforward</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16,902</w:t>
            </w:r>
          </w:p>
        </w:tc>
        <w:tc>
          <w:tcPr>
            <w:tcW w:w="0" w:type="dxa"/>
            <w:vAlign w:val="bottom"/>
          </w:tcPr>
          <w:p>
            <w:pPr>
              <w:spacing w:after="0"/>
              <w:rPr>
                <w:sz w:val="1"/>
                <w:szCs w:val="1"/>
                <w:color w:val="auto"/>
              </w:rPr>
            </w:pPr>
          </w:p>
        </w:tc>
      </w:tr>
      <w:tr>
        <w:trPr>
          <w:trHeight w:val="226"/>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Organizational costs/Startup expenses</w:t>
            </w: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23,469</w:t>
            </w:r>
          </w:p>
        </w:tc>
        <w:tc>
          <w:tcPr>
            <w:tcW w:w="0" w:type="dxa"/>
            <w:vAlign w:val="bottom"/>
          </w:tcPr>
          <w:p>
            <w:pPr>
              <w:spacing w:after="0"/>
              <w:rPr>
                <w:sz w:val="1"/>
                <w:szCs w:val="1"/>
                <w:color w:val="auto"/>
              </w:rPr>
            </w:pPr>
          </w:p>
        </w:tc>
      </w:tr>
      <w:tr>
        <w:trPr>
          <w:trHeight w:val="218"/>
        </w:trPr>
        <w:tc>
          <w:tcPr>
            <w:tcW w:w="9560" w:type="dxa"/>
            <w:vAlign w:val="bottom"/>
          </w:tcPr>
          <w:p>
            <w:pPr>
              <w:ind w:left="20"/>
              <w:spacing w:after="0"/>
              <w:rPr>
                <w:sz w:val="20"/>
                <w:szCs w:val="20"/>
                <w:color w:val="auto"/>
              </w:rPr>
            </w:pPr>
            <w:r>
              <w:rPr>
                <w:rFonts w:ascii="Arial" w:cs="Arial" w:eastAsia="Arial" w:hAnsi="Arial"/>
                <w:sz w:val="18"/>
                <w:szCs w:val="18"/>
                <w:color w:val="auto"/>
              </w:rPr>
              <w:t>Total deferred tax asset</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40,371</w:t>
            </w:r>
          </w:p>
        </w:tc>
        <w:tc>
          <w:tcPr>
            <w:tcW w:w="0" w:type="dxa"/>
            <w:vAlign w:val="bottom"/>
          </w:tcPr>
          <w:p>
            <w:pPr>
              <w:spacing w:after="0"/>
              <w:rPr>
                <w:sz w:val="1"/>
                <w:szCs w:val="1"/>
                <w:color w:val="auto"/>
              </w:rPr>
            </w:pPr>
          </w:p>
        </w:tc>
      </w:tr>
      <w:tr>
        <w:trPr>
          <w:trHeight w:val="225"/>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(40,371)</w:t>
            </w:r>
          </w:p>
        </w:tc>
        <w:tc>
          <w:tcPr>
            <w:tcW w:w="0" w:type="dxa"/>
            <w:vAlign w:val="bottom"/>
          </w:tcPr>
          <w:p>
            <w:pPr>
              <w:spacing w:after="0"/>
              <w:rPr>
                <w:sz w:val="1"/>
                <w:szCs w:val="1"/>
                <w:color w:val="auto"/>
              </w:rPr>
            </w:pPr>
          </w:p>
        </w:tc>
      </w:tr>
      <w:tr>
        <w:trPr>
          <w:trHeight w:val="219"/>
        </w:trPr>
        <w:tc>
          <w:tcPr>
            <w:tcW w:w="9560" w:type="dxa"/>
            <w:vAlign w:val="bottom"/>
          </w:tcPr>
          <w:p>
            <w:pPr>
              <w:ind w:left="20"/>
              <w:spacing w:after="0"/>
              <w:rPr>
                <w:sz w:val="20"/>
                <w:szCs w:val="20"/>
                <w:color w:val="auto"/>
              </w:rPr>
            </w:pPr>
            <w:r>
              <w:rPr>
                <w:rFonts w:ascii="Arial" w:cs="Arial" w:eastAsia="Arial" w:hAnsi="Arial"/>
                <w:sz w:val="18"/>
                <w:szCs w:val="18"/>
                <w:color w:val="auto"/>
              </w:rPr>
              <w:t>Deferred tax asset, net of allowance</w:t>
            </w: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560" w:type="dxa"/>
            <w:vAlign w:val="bottom"/>
            <w:vMerge w:val="restart"/>
          </w:tcPr>
          <w:p>
            <w:pPr>
              <w:ind w:left="320"/>
              <w:spacing w:after="0"/>
              <w:rPr>
                <w:sz w:val="20"/>
                <w:szCs w:val="20"/>
                <w:color w:val="auto"/>
              </w:rPr>
            </w:pPr>
            <w:r>
              <w:rPr>
                <w:rFonts w:ascii="Arial" w:cs="Arial" w:eastAsia="Arial" w:hAnsi="Arial"/>
                <w:sz w:val="18"/>
                <w:szCs w:val="18"/>
                <w:color w:val="auto"/>
              </w:rPr>
              <w:t>The income tax provision consists of the following:</w:t>
            </w: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6"/>
        </w:trPr>
        <w:tc>
          <w:tcPr>
            <w:tcW w:w="95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9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jc w:val="center"/>
              <w:ind w:right="17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95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06"/>
        </w:trPr>
        <w:tc>
          <w:tcPr>
            <w:tcW w:w="956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Federal</w:t>
            </w:r>
          </w:p>
        </w:tc>
        <w:tc>
          <w:tcPr>
            <w:tcW w:w="2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9560" w:type="dxa"/>
            <w:vAlign w:val="bottom"/>
          </w:tcPr>
          <w:p>
            <w:pPr>
              <w:ind w:left="20"/>
              <w:spacing w:after="0"/>
              <w:rPr>
                <w:sz w:val="20"/>
                <w:szCs w:val="20"/>
                <w:color w:val="auto"/>
              </w:rPr>
            </w:pPr>
            <w:r>
              <w:rPr>
                <w:rFonts w:ascii="Arial" w:cs="Arial" w:eastAsia="Arial" w:hAnsi="Arial"/>
                <w:sz w:val="18"/>
                <w:szCs w:val="18"/>
                <w:color w:val="auto"/>
              </w:rPr>
              <w:t>Current</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(40,371)</w:t>
            </w:r>
          </w:p>
        </w:tc>
        <w:tc>
          <w:tcPr>
            <w:tcW w:w="0" w:type="dxa"/>
            <w:vAlign w:val="bottom"/>
          </w:tcPr>
          <w:p>
            <w:pPr>
              <w:spacing w:after="0"/>
              <w:rPr>
                <w:sz w:val="1"/>
                <w:szCs w:val="1"/>
                <w:color w:val="auto"/>
              </w:rPr>
            </w:pPr>
          </w:p>
        </w:tc>
      </w:tr>
      <w:tr>
        <w:trPr>
          <w:trHeight w:val="252"/>
        </w:trPr>
        <w:tc>
          <w:tcPr>
            <w:tcW w:w="9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9560" w:type="dxa"/>
            <w:vAlign w:val="bottom"/>
          </w:tcPr>
          <w:p>
            <w:pPr>
              <w:ind w:left="20"/>
              <w:spacing w:after="0"/>
              <w:rPr>
                <w:sz w:val="20"/>
                <w:szCs w:val="20"/>
                <w:color w:val="auto"/>
              </w:rPr>
            </w:pPr>
            <w:r>
              <w:rPr>
                <w:rFonts w:ascii="Arial" w:cs="Arial" w:eastAsia="Arial" w:hAnsi="Arial"/>
                <w:sz w:val="18"/>
                <w:szCs w:val="18"/>
                <w:color w:val="auto"/>
              </w:rPr>
              <w:t>Current</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9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valuation allowance</w:t>
            </w: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40,371</w:t>
            </w:r>
          </w:p>
        </w:tc>
        <w:tc>
          <w:tcPr>
            <w:tcW w:w="0" w:type="dxa"/>
            <w:vAlign w:val="bottom"/>
          </w:tcPr>
          <w:p>
            <w:pPr>
              <w:spacing w:after="0"/>
              <w:rPr>
                <w:sz w:val="1"/>
                <w:szCs w:val="1"/>
                <w:color w:val="auto"/>
              </w:rPr>
            </w:pPr>
          </w:p>
        </w:tc>
      </w:tr>
      <w:tr>
        <w:trPr>
          <w:trHeight w:val="244"/>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of December 31, 2020, the Company had a U.S. federal net operating loss carryover of approximately $80,000 available to offset future taxable income.</w:t>
      </w:r>
    </w:p>
    <w:p>
      <w:pPr>
        <w:spacing w:after="0" w:line="128"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In assessing the realization of the deferred tax assets, management considers whether it is more likely than not that some portion of all of the deferred tax assets will not be realized. The ultimate realization of deferred tax assets is dependent upon the generation of future taxable income during the periods in which temporary differences representing net future deductible amounts become deductible. Management considers the scheduled reversal of deferred tax liabilities, projected future taxable income and tax planning strategies in making this assessment. After consideration of all of the information available, management believes that significant uncertainty exists with respect to future realization of the deferred tax assets and has therefore established a full valuation allowance. For the period from July 10, 2020 (inception) through December 31, 2020, the change in the valuation allowance was $40,371.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F-99</w:t>
      </w:r>
    </w:p>
    <w:p>
      <w:pPr>
        <w:sectPr>
          <w:pgSz w:w="11900" w:h="16838" w:orient="portrait"/>
          <w:cols w:equalWidth="0" w:num="1">
            <w:col w:w="11240"/>
          </w:cols>
          <w:pgMar w:left="320" w:top="360" w:right="339" w:bottom="1440" w:gutter="0" w:footer="0" w:header="0"/>
        </w:sectPr>
      </w:pPr>
    </w:p>
    <w:bookmarkStart w:id="271" w:name="page272"/>
    <w:bookmarkEnd w:id="271"/>
    <w:tbl>
      <w:tblPr>
        <w:tblLayout w:type="fixed"/>
        <w:tblInd w:w="0" w:type="dxa"/>
        <w:tblCellMar>
          <w:top w:w="0" w:type="dxa"/>
          <w:left w:w="0" w:type="dxa"/>
          <w:bottom w:w="0" w:type="dxa"/>
          <w:right w:w="0" w:type="dxa"/>
        </w:tblCellMar>
      </w:tblPr>
      <w:tr>
        <w:trPr>
          <w:trHeight w:val="212"/>
        </w:trPr>
        <w:tc>
          <w:tcPr>
            <w:tcW w:w="9420" w:type="dxa"/>
            <w:vAlign w:val="bottom"/>
          </w:tcPr>
          <w:p>
            <w:pPr>
              <w:jc w:val="center"/>
              <w:ind w:left="1752"/>
              <w:spacing w:after="0"/>
              <w:rPr>
                <w:sz w:val="20"/>
                <w:szCs w:val="20"/>
                <w:color w:val="auto"/>
              </w:rPr>
            </w:pPr>
            <w:r>
              <w:rPr>
                <w:rFonts w:ascii="Arial" w:cs="Arial" w:eastAsia="Arial" w:hAnsi="Arial"/>
                <w:sz w:val="18"/>
                <w:szCs w:val="18"/>
                <w:b w:val="1"/>
                <w:bCs w:val="1"/>
                <w:color w:val="auto"/>
                <w:w w:val="99"/>
              </w:rPr>
              <w:t>CM LIFE SCIENCES, INC.</w:t>
            </w:r>
          </w:p>
        </w:tc>
        <w:tc>
          <w:tcPr>
            <w:tcW w:w="1820" w:type="dxa"/>
            <w:vAlign w:val="bottom"/>
          </w:tcPr>
          <w:p>
            <w:pPr>
              <w:spacing w:after="0"/>
              <w:rPr>
                <w:sz w:val="18"/>
                <w:szCs w:val="18"/>
                <w:color w:val="auto"/>
              </w:rPr>
            </w:pPr>
          </w:p>
        </w:tc>
      </w:tr>
      <w:tr>
        <w:trPr>
          <w:trHeight w:val="212"/>
        </w:trPr>
        <w:tc>
          <w:tcPr>
            <w:tcW w:w="9420" w:type="dxa"/>
            <w:vAlign w:val="bottom"/>
          </w:tcPr>
          <w:p>
            <w:pPr>
              <w:jc w:val="center"/>
              <w:ind w:left="1732"/>
              <w:spacing w:after="0"/>
              <w:rPr>
                <w:sz w:val="20"/>
                <w:szCs w:val="20"/>
                <w:color w:val="auto"/>
              </w:rPr>
            </w:pPr>
            <w:r>
              <w:rPr>
                <w:rFonts w:ascii="Arial" w:cs="Arial" w:eastAsia="Arial" w:hAnsi="Arial"/>
                <w:sz w:val="18"/>
                <w:szCs w:val="18"/>
                <w:b w:val="1"/>
                <w:bCs w:val="1"/>
                <w:color w:val="auto"/>
                <w:w w:val="98"/>
              </w:rPr>
              <w:t>NOTES TO FINANCIAL STATEMENTS</w:t>
            </w:r>
          </w:p>
        </w:tc>
        <w:tc>
          <w:tcPr>
            <w:tcW w:w="1820" w:type="dxa"/>
            <w:vAlign w:val="bottom"/>
          </w:tcPr>
          <w:p>
            <w:pPr>
              <w:spacing w:after="0"/>
              <w:rPr>
                <w:sz w:val="18"/>
                <w:szCs w:val="18"/>
                <w:color w:val="auto"/>
              </w:rPr>
            </w:pPr>
          </w:p>
        </w:tc>
      </w:tr>
      <w:tr>
        <w:trPr>
          <w:trHeight w:val="229"/>
        </w:trPr>
        <w:tc>
          <w:tcPr>
            <w:tcW w:w="9420" w:type="dxa"/>
            <w:vAlign w:val="bottom"/>
          </w:tcPr>
          <w:p>
            <w:pPr>
              <w:jc w:val="center"/>
              <w:ind w:left="1732"/>
              <w:spacing w:after="0"/>
              <w:rPr>
                <w:sz w:val="20"/>
                <w:szCs w:val="20"/>
                <w:color w:val="auto"/>
              </w:rPr>
            </w:pPr>
            <w:r>
              <w:rPr>
                <w:rFonts w:ascii="Arial" w:cs="Arial" w:eastAsia="Arial" w:hAnsi="Arial"/>
                <w:sz w:val="18"/>
                <w:szCs w:val="18"/>
                <w:b w:val="1"/>
                <w:bCs w:val="1"/>
                <w:color w:val="auto"/>
                <w:w w:val="94"/>
              </w:rPr>
              <w:t>DECEMBER 31, 2020</w:t>
            </w:r>
          </w:p>
        </w:tc>
        <w:tc>
          <w:tcPr>
            <w:tcW w:w="1820" w:type="dxa"/>
            <w:vAlign w:val="bottom"/>
          </w:tcPr>
          <w:p>
            <w:pPr>
              <w:spacing w:after="0"/>
              <w:rPr>
                <w:sz w:val="19"/>
                <w:szCs w:val="19"/>
                <w:color w:val="auto"/>
              </w:rPr>
            </w:pPr>
          </w:p>
        </w:tc>
      </w:tr>
      <w:tr>
        <w:trPr>
          <w:trHeight w:val="610"/>
        </w:trPr>
        <w:tc>
          <w:tcPr>
            <w:tcW w:w="9420" w:type="dxa"/>
            <w:vAlign w:val="bottom"/>
          </w:tcPr>
          <w:p>
            <w:pPr>
              <w:ind w:left="320"/>
              <w:spacing w:after="0"/>
              <w:rPr>
                <w:sz w:val="20"/>
                <w:szCs w:val="20"/>
                <w:color w:val="auto"/>
              </w:rPr>
            </w:pPr>
            <w:r>
              <w:rPr>
                <w:rFonts w:ascii="Arial" w:cs="Arial" w:eastAsia="Arial" w:hAnsi="Arial"/>
                <w:sz w:val="18"/>
                <w:szCs w:val="18"/>
                <w:color w:val="auto"/>
                <w:w w:val="97"/>
              </w:rPr>
              <w:t>A reconciliation of the federal income tax rate to the Company’s effective tax rate at December 31, 2020 is as follows:</w:t>
            </w:r>
          </w:p>
        </w:tc>
        <w:tc>
          <w:tcPr>
            <w:tcW w:w="1820" w:type="dxa"/>
            <w:vAlign w:val="bottom"/>
          </w:tcPr>
          <w:p>
            <w:pPr>
              <w:spacing w:after="0"/>
              <w:rPr>
                <w:sz w:val="24"/>
                <w:szCs w:val="24"/>
                <w:color w:val="auto"/>
              </w:rPr>
            </w:pPr>
          </w:p>
        </w:tc>
      </w:tr>
      <w:tr>
        <w:trPr>
          <w:trHeight w:val="319"/>
        </w:trPr>
        <w:tc>
          <w:tcPr>
            <w:tcW w:w="9420" w:type="dxa"/>
            <w:vAlign w:val="bottom"/>
          </w:tcPr>
          <w:p>
            <w:pPr>
              <w:spacing w:after="0"/>
              <w:rPr>
                <w:sz w:val="24"/>
                <w:szCs w:val="24"/>
                <w:color w:val="auto"/>
              </w:rPr>
            </w:pPr>
          </w:p>
        </w:tc>
        <w:tc>
          <w:tcPr>
            <w:tcW w:w="1820" w:type="dxa"/>
            <w:vAlign w:val="bottom"/>
          </w:tcPr>
          <w:p>
            <w:pPr>
              <w:jc w:val="right"/>
              <w:ind w:right="416"/>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94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2020</w:t>
            </w:r>
          </w:p>
        </w:tc>
      </w:tr>
      <w:tr>
        <w:trPr>
          <w:trHeight w:val="219"/>
        </w:trPr>
        <w:tc>
          <w:tcPr>
            <w:tcW w:w="9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Statutory federal income tax rate</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25"/>
        </w:trPr>
        <w:tc>
          <w:tcPr>
            <w:tcW w:w="9420" w:type="dxa"/>
            <w:vAlign w:val="bottom"/>
          </w:tcPr>
          <w:p>
            <w:pPr>
              <w:ind w:left="20"/>
              <w:spacing w:after="0"/>
              <w:rPr>
                <w:sz w:val="20"/>
                <w:szCs w:val="20"/>
                <w:color w:val="auto"/>
              </w:rPr>
            </w:pPr>
            <w:r>
              <w:rPr>
                <w:rFonts w:ascii="Arial" w:cs="Arial" w:eastAsia="Arial" w:hAnsi="Arial"/>
                <w:sz w:val="18"/>
                <w:szCs w:val="18"/>
                <w:color w:val="auto"/>
              </w:rPr>
              <w:t>State taxes, net of federal tax benefit</w:t>
            </w:r>
          </w:p>
        </w:tc>
        <w:tc>
          <w:tcPr>
            <w:tcW w:w="1820" w:type="dxa"/>
            <w:vAlign w:val="bottom"/>
          </w:tcPr>
          <w:p>
            <w:pPr>
              <w:jc w:val="right"/>
              <w:spacing w:after="0"/>
              <w:rPr>
                <w:sz w:val="20"/>
                <w:szCs w:val="20"/>
                <w:color w:val="auto"/>
              </w:rPr>
            </w:pPr>
            <w:r>
              <w:rPr>
                <w:rFonts w:ascii="Arial" w:cs="Arial" w:eastAsia="Arial" w:hAnsi="Arial"/>
                <w:sz w:val="18"/>
                <w:szCs w:val="18"/>
                <w:color w:val="auto"/>
              </w:rPr>
              <w:t>0.0 %</w:t>
            </w:r>
          </w:p>
        </w:tc>
      </w:tr>
      <w:tr>
        <w:trPr>
          <w:trHeight w:val="226"/>
        </w:trPr>
        <w:tc>
          <w:tcPr>
            <w:tcW w:w="9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warrant liability</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25"/>
        </w:trPr>
        <w:tc>
          <w:tcPr>
            <w:tcW w:w="9420" w:type="dxa"/>
            <w:vAlign w:val="bottom"/>
          </w:tcPr>
          <w:p>
            <w:pPr>
              <w:ind w:left="20"/>
              <w:spacing w:after="0"/>
              <w:rPr>
                <w:sz w:val="20"/>
                <w:szCs w:val="20"/>
                <w:color w:val="auto"/>
              </w:rPr>
            </w:pPr>
            <w:r>
              <w:rPr>
                <w:rFonts w:ascii="Arial" w:cs="Arial" w:eastAsia="Arial" w:hAnsi="Arial"/>
                <w:sz w:val="18"/>
                <w:szCs w:val="18"/>
                <w:color w:val="auto"/>
              </w:rPr>
              <w:t>Transaction costs</w:t>
            </w:r>
          </w:p>
        </w:tc>
        <w:tc>
          <w:tcPr>
            <w:tcW w:w="18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5"/>
        </w:trPr>
        <w:tc>
          <w:tcPr>
            <w:tcW w:w="9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valuation allowance</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0.0 %</w:t>
            </w:r>
          </w:p>
        </w:tc>
      </w:tr>
      <w:tr>
        <w:trPr>
          <w:trHeight w:val="219"/>
        </w:trPr>
        <w:tc>
          <w:tcPr>
            <w:tcW w:w="942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0.0 %</w:t>
            </w:r>
          </w:p>
        </w:tc>
      </w:tr>
      <w:tr>
        <w:trPr>
          <w:trHeight w:val="20"/>
        </w:trPr>
        <w:tc>
          <w:tcPr>
            <w:tcW w:w="94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 files income tax returns in the U.S. federal jurisdiction in various state and local jurisdictions and is subject to examination by the various taxing authorities.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11.FAIR VALUE MEASUREMENTS</w:t>
      </w:r>
    </w:p>
    <w:p>
      <w:pPr>
        <w:spacing w:after="0" w:line="170"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14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2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128" w:lineRule="exact"/>
        <w:rPr>
          <w:sz w:val="20"/>
          <w:szCs w:val="20"/>
          <w:color w:val="auto"/>
        </w:rPr>
      </w:pPr>
    </w:p>
    <w:p>
      <w:pPr>
        <w:ind w:left="320"/>
        <w:spacing w:after="0"/>
        <w:tabs>
          <w:tab w:leader="none" w:pos="10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5"/>
          <w:szCs w:val="15"/>
          <w:color w:val="auto"/>
        </w:rPr>
        <w:t>Unobservable inputs based on our assessment of the assumptions that market participants would use in pricing the asset or liability.</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At December 31, 2020, assets held in the Trust Account were comprised of $442,763,951 in money market funds which are invested primarily in U.S.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Treasury Securities. During the year ended December 31, 2020, the Company did not withdraw any interest income from the Trust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F-100</w:t>
      </w:r>
    </w:p>
    <w:p>
      <w:pPr>
        <w:sectPr>
          <w:pgSz w:w="11900" w:h="16838" w:orient="portrait"/>
          <w:cols w:equalWidth="0" w:num="1">
            <w:col w:w="11240"/>
          </w:cols>
          <w:pgMar w:left="320" w:top="360" w:right="339" w:bottom="1440" w:gutter="0" w:footer="0" w:header="0"/>
        </w:sectPr>
      </w:pPr>
    </w:p>
    <w:bookmarkStart w:id="272" w:name="page273"/>
    <w:bookmarkEnd w:id="272"/>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391"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following table presents information about the Company’s assets and liabilities that are measured at fair value on a recurring basis at December 31, 2020 and indicates the fair value hierarchy of the valuation inputs the Company utilized to determine such fair value: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jc w:val="right"/>
              <w:ind w:right="339"/>
              <w:spacing w:after="0"/>
              <w:rPr>
                <w:sz w:val="20"/>
                <w:szCs w:val="20"/>
                <w:color w:val="auto"/>
              </w:rPr>
            </w:pPr>
            <w:r>
              <w:rPr>
                <w:rFonts w:ascii="Arial" w:cs="Arial" w:eastAsia="Arial" w:hAnsi="Arial"/>
                <w:sz w:val="14"/>
                <w:szCs w:val="14"/>
                <w:b w:val="1"/>
                <w:bCs w:val="1"/>
                <w:color w:val="auto"/>
              </w:rPr>
              <w:t>December 31,</w:t>
            </w:r>
          </w:p>
        </w:tc>
      </w:tr>
      <w:tr>
        <w:trPr>
          <w:trHeight w:val="184"/>
        </w:trPr>
        <w:tc>
          <w:tcPr>
            <w:tcW w:w="7140" w:type="dxa"/>
            <w:vAlign w:val="bottom"/>
          </w:tcPr>
          <w:p>
            <w:pPr>
              <w:ind w:left="3540"/>
              <w:spacing w:after="0"/>
              <w:rPr>
                <w:sz w:val="20"/>
                <w:szCs w:val="20"/>
                <w:color w:val="auto"/>
              </w:rPr>
            </w:pPr>
            <w:r>
              <w:rPr>
                <w:rFonts w:ascii="Arial" w:cs="Arial" w:eastAsia="Arial" w:hAnsi="Arial"/>
                <w:sz w:val="14"/>
                <w:szCs w:val="14"/>
                <w:b w:val="1"/>
                <w:bCs w:val="1"/>
                <w:color w:val="auto"/>
              </w:rPr>
              <w:t>Description</w:t>
            </w:r>
          </w:p>
        </w:tc>
        <w:tc>
          <w:tcPr>
            <w:tcW w:w="2420" w:type="dxa"/>
            <w:vAlign w:val="bottom"/>
            <w:gridSpan w:val="2"/>
          </w:tcPr>
          <w:p>
            <w:pPr>
              <w:jc w:val="center"/>
              <w:ind w:left="416"/>
              <w:spacing w:after="0"/>
              <w:rPr>
                <w:sz w:val="20"/>
                <w:szCs w:val="20"/>
                <w:color w:val="auto"/>
              </w:rPr>
            </w:pPr>
            <w:r>
              <w:rPr>
                <w:rFonts w:ascii="Arial" w:cs="Arial" w:eastAsia="Arial" w:hAnsi="Arial"/>
                <w:sz w:val="14"/>
                <w:szCs w:val="14"/>
                <w:b w:val="1"/>
                <w:bCs w:val="1"/>
                <w:color w:val="auto"/>
                <w:w w:val="89"/>
              </w:rPr>
              <w:t>Level</w:t>
            </w:r>
          </w:p>
        </w:tc>
        <w:tc>
          <w:tcPr>
            <w:tcW w:w="260" w:type="dxa"/>
            <w:vAlign w:val="bottom"/>
          </w:tcPr>
          <w:p>
            <w:pPr>
              <w:spacing w:after="0"/>
              <w:rPr>
                <w:sz w:val="15"/>
                <w:szCs w:val="15"/>
                <w:color w:val="auto"/>
              </w:rPr>
            </w:pPr>
          </w:p>
        </w:tc>
        <w:tc>
          <w:tcPr>
            <w:tcW w:w="1420" w:type="dxa"/>
            <w:vAlign w:val="bottom"/>
          </w:tcPr>
          <w:p>
            <w:pPr>
              <w:jc w:val="right"/>
              <w:ind w:right="619"/>
              <w:spacing w:after="0"/>
              <w:rPr>
                <w:sz w:val="20"/>
                <w:szCs w:val="20"/>
                <w:color w:val="auto"/>
              </w:rPr>
            </w:pPr>
            <w:r>
              <w:rPr>
                <w:rFonts w:ascii="Arial" w:cs="Arial" w:eastAsia="Arial" w:hAnsi="Arial"/>
                <w:sz w:val="14"/>
                <w:szCs w:val="14"/>
                <w:b w:val="1"/>
                <w:bCs w:val="1"/>
                <w:color w:val="auto"/>
              </w:rPr>
              <w:t>2020</w:t>
            </w:r>
          </w:p>
        </w:tc>
      </w:tr>
      <w:tr>
        <w:trPr>
          <w:trHeight w:val="24"/>
        </w:trPr>
        <w:tc>
          <w:tcPr>
            <w:tcW w:w="714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8"/>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64"/>
        </w:trPr>
        <w:tc>
          <w:tcPr>
            <w:tcW w:w="7140" w:type="dxa"/>
            <w:vAlign w:val="bottom"/>
          </w:tcPr>
          <w:p>
            <w:pPr>
              <w:ind w:left="20"/>
              <w:spacing w:after="0"/>
              <w:rPr>
                <w:sz w:val="20"/>
                <w:szCs w:val="20"/>
                <w:color w:val="auto"/>
              </w:rPr>
            </w:pPr>
            <w:r>
              <w:rPr>
                <w:rFonts w:ascii="Arial" w:cs="Arial" w:eastAsia="Arial" w:hAnsi="Arial"/>
                <w:sz w:val="18"/>
                <w:szCs w:val="18"/>
                <w:color w:val="auto"/>
              </w:rPr>
              <w:t>Investments held in Trust Account – U.S. Treasury Securities Money Market Fund</w:t>
            </w:r>
          </w:p>
        </w:tc>
        <w:tc>
          <w:tcPr>
            <w:tcW w:w="2300" w:type="dxa"/>
            <w:vAlign w:val="bottom"/>
          </w:tcPr>
          <w:p>
            <w:pPr>
              <w:jc w:val="center"/>
              <w:ind w:left="536"/>
              <w:spacing w:after="0"/>
              <w:rPr>
                <w:sz w:val="20"/>
                <w:szCs w:val="20"/>
                <w:color w:val="auto"/>
              </w:rPr>
            </w:pPr>
            <w:r>
              <w:rPr>
                <w:rFonts w:ascii="Arial" w:cs="Arial" w:eastAsia="Arial" w:hAnsi="Arial"/>
                <w:sz w:val="18"/>
                <w:szCs w:val="18"/>
                <w:color w:val="auto"/>
                <w:w w:val="79"/>
              </w:rPr>
              <w:t>1</w:t>
            </w:r>
          </w:p>
        </w:tc>
        <w:tc>
          <w:tcPr>
            <w:tcW w:w="120" w:type="dxa"/>
            <w:vAlign w:val="bottom"/>
          </w:tcPr>
          <w:p>
            <w:pPr>
              <w:spacing w:after="0"/>
              <w:rPr>
                <w:sz w:val="23"/>
                <w:szCs w:val="23"/>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442,763,951</w:t>
            </w:r>
          </w:p>
        </w:tc>
      </w:tr>
      <w:tr>
        <w:trPr>
          <w:trHeight w:val="266"/>
        </w:trPr>
        <w:tc>
          <w:tcPr>
            <w:tcW w:w="7140" w:type="dxa"/>
            <w:vAlign w:val="bottom"/>
            <w:shd w:val="clear" w:color="auto" w:fill="CCEEFF"/>
          </w:tcPr>
          <w:p>
            <w:pPr>
              <w:spacing w:after="0"/>
              <w:rPr>
                <w:sz w:val="23"/>
                <w:szCs w:val="23"/>
                <w:color w:val="auto"/>
              </w:rPr>
            </w:pPr>
          </w:p>
        </w:tc>
        <w:tc>
          <w:tcPr>
            <w:tcW w:w="2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37"/>
        </w:trPr>
        <w:tc>
          <w:tcPr>
            <w:tcW w:w="714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8"/>
        </w:trPr>
        <w:tc>
          <w:tcPr>
            <w:tcW w:w="71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5"/>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Warrant Liability – Public Warrants</w:t>
            </w:r>
          </w:p>
        </w:tc>
        <w:tc>
          <w:tcPr>
            <w:tcW w:w="2300" w:type="dxa"/>
            <w:vAlign w:val="bottom"/>
            <w:tcBorders>
              <w:bottom w:val="single" w:sz="8" w:color="CCEEFF"/>
            </w:tcBorders>
            <w:shd w:val="clear" w:color="auto" w:fill="CCEEFF"/>
          </w:tcPr>
          <w:p>
            <w:pPr>
              <w:jc w:val="center"/>
              <w:ind w:left="536"/>
              <w:spacing w:after="0"/>
              <w:rPr>
                <w:sz w:val="20"/>
                <w:szCs w:val="20"/>
                <w:color w:val="auto"/>
              </w:rPr>
            </w:pPr>
            <w:r>
              <w:rPr>
                <w:rFonts w:ascii="Arial" w:cs="Arial" w:eastAsia="Arial" w:hAnsi="Arial"/>
                <w:sz w:val="18"/>
                <w:szCs w:val="18"/>
                <w:color w:val="auto"/>
                <w:w w:val="79"/>
              </w:rPr>
              <w:t>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40,290,250</w:t>
            </w:r>
          </w:p>
        </w:tc>
      </w:tr>
      <w:tr>
        <w:trPr>
          <w:trHeight w:val="237"/>
        </w:trPr>
        <w:tc>
          <w:tcPr>
            <w:tcW w:w="7140" w:type="dxa"/>
            <w:vAlign w:val="bottom"/>
          </w:tcPr>
          <w:p>
            <w:pPr>
              <w:ind w:left="20"/>
              <w:spacing w:after="0"/>
              <w:rPr>
                <w:sz w:val="20"/>
                <w:szCs w:val="20"/>
                <w:color w:val="auto"/>
              </w:rPr>
            </w:pPr>
            <w:r>
              <w:rPr>
                <w:rFonts w:ascii="Arial" w:cs="Arial" w:eastAsia="Arial" w:hAnsi="Arial"/>
                <w:sz w:val="18"/>
                <w:szCs w:val="18"/>
                <w:color w:val="auto"/>
              </w:rPr>
              <w:t>Warrant Liability – Private Placement Warrants</w:t>
            </w:r>
          </w:p>
        </w:tc>
        <w:tc>
          <w:tcPr>
            <w:tcW w:w="2300" w:type="dxa"/>
            <w:vAlign w:val="bottom"/>
          </w:tcPr>
          <w:p>
            <w:pPr>
              <w:jc w:val="center"/>
              <w:ind w:left="536"/>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0"/>
                <w:szCs w:val="20"/>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30,032,168</w:t>
            </w:r>
          </w:p>
        </w:tc>
      </w:tr>
    </w:tbl>
    <w:p>
      <w:pPr>
        <w:spacing w:after="0" w:line="26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Warrants were accounted for as liabilities in accordance with ASC 815-40 and are presented within warrant liabilities on our balance sheet. The warrant liabilities are measured at fair value at inception and on a recurring basis, with changes in fair value presented within change in fair value of warrant liabilities in the statement of operations.</w:t>
      </w:r>
    </w:p>
    <w:p>
      <w:pPr>
        <w:spacing w:after="0" w:line="135"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The Private Warrants were initially valued using a Modified Black Scholes Option Pricing Model, which is considered to be a Level 3 fair value measurement. The Modified Black Scholes model’s primary unobservable input utilized in determining the fair value of the Private Warrants is the expected volatility of the common stock. The expected volatility as of the IPO date was derived from observable public warrant pricing on comparable ‘blank-check’ companies without an identified target. The expected volatility as of subsequent valuation dates will be implied from the Company’s own public warrant pricing. A Monte Carlo simulation methodology was used in estimating the fair value of the public warrants for periods where no observable traded price was available, using the same expected volatility as was used in measuring the fair value of the Private Warrants. For periods subsequent to the detachment of the warrants from the Units, the close price of the public warrant price will be used as the fair value as of each relevant date.</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the changes in the fair value of warrant liabilities: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w w:val="96"/>
              </w:rPr>
              <w:t>Private Placement</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Public</w:t>
            </w:r>
          </w:p>
        </w:tc>
        <w:tc>
          <w:tcPr>
            <w:tcW w:w="12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Total Warrant Liabilities</w:t>
            </w:r>
          </w:p>
        </w:tc>
      </w:tr>
      <w:tr>
        <w:trPr>
          <w:trHeight w:val="224"/>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as of July 10, 2020 (inception)</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278"/>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5960" w:type="dxa"/>
            <w:vAlign w:val="bottom"/>
          </w:tcPr>
          <w:p>
            <w:pPr>
              <w:ind w:left="20"/>
              <w:spacing w:after="0"/>
              <w:rPr>
                <w:sz w:val="20"/>
                <w:szCs w:val="20"/>
                <w:color w:val="auto"/>
              </w:rPr>
            </w:pPr>
            <w:r>
              <w:rPr>
                <w:rFonts w:ascii="Arial" w:cs="Arial" w:eastAsia="Arial" w:hAnsi="Arial"/>
                <w:sz w:val="18"/>
                <w:szCs w:val="18"/>
                <w:color w:val="auto"/>
              </w:rPr>
              <w:t>Initial measurement on September 4, 2020</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10,855,001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20,956,833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31,811,834</w:t>
            </w:r>
          </w:p>
        </w:tc>
      </w:tr>
      <w:tr>
        <w:trPr>
          <w:trHeight w:val="225"/>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valuation inputs or other assumptions</w:t>
            </w: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19,177,167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19,333,417</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38,510,584</w:t>
            </w:r>
          </w:p>
        </w:tc>
      </w:tr>
      <w:tr>
        <w:trPr>
          <w:trHeight w:val="219"/>
        </w:trPr>
        <w:tc>
          <w:tcPr>
            <w:tcW w:w="5960" w:type="dxa"/>
            <w:vAlign w:val="bottom"/>
          </w:tcPr>
          <w:p>
            <w:pPr>
              <w:ind w:left="20"/>
              <w:spacing w:after="0"/>
              <w:rPr>
                <w:sz w:val="20"/>
                <w:szCs w:val="20"/>
                <w:color w:val="auto"/>
              </w:rPr>
            </w:pPr>
            <w:r>
              <w:rPr>
                <w:rFonts w:ascii="Arial" w:cs="Arial" w:eastAsia="Arial" w:hAnsi="Arial"/>
                <w:sz w:val="18"/>
                <w:szCs w:val="18"/>
                <w:color w:val="auto"/>
              </w:rPr>
              <w:t>Fair value as of December 31, 2020</w:t>
            </w: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30,032,168</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40,290,250</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8"/>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70,322,418</w:t>
            </w:r>
          </w:p>
        </w:tc>
      </w:tr>
      <w:tr>
        <w:trPr>
          <w:trHeight w:val="20"/>
        </w:trPr>
        <w:tc>
          <w:tcPr>
            <w:tcW w:w="5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There were no transfers in or out of Level 3 from other levels in the fair value hierarchy.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12.SUBSEQUENT EVENTS</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financial statements were issued. Based upon this review, other than as described below and in Note 2, the Company did not identify any subsequent events that would have required adjustment or disclosure in the financial statements</w:t>
      </w:r>
    </w:p>
    <w:p>
      <w:pPr>
        <w:spacing w:after="0" w:line="13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On February 10, 2021, the Company announced that it executed an Agreement and Plan of Merger (the “Merger Agreement”) with Mount Sinai Genomics, Inc., a Delaware corporation, d/b/a Sema4 (“Sema4”) and the other parties thereto (the transactions contemplated by the Merger Agreement, including the Merger (as defined below), the “Business Combination”). Specifically, the Company entered into the Merger Agreement with Sema4 and S-IV Sub, Inc., a Delaware corporation incorporated on February 1, 2021 and a direct, wholly-owned subsidiary of the Company (“Merger Sub”). Pursuant to the terms of the Merger Agreement, the Company will acquire Sema4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F-101</w:t>
      </w:r>
    </w:p>
    <w:p>
      <w:pPr>
        <w:sectPr>
          <w:pgSz w:w="11900" w:h="16838" w:orient="portrait"/>
          <w:cols w:equalWidth="0" w:num="1">
            <w:col w:w="11240"/>
          </w:cols>
          <w:pgMar w:left="320" w:top="360" w:right="339" w:bottom="1440" w:gutter="0" w:footer="0" w:header="0"/>
        </w:sectPr>
      </w:pPr>
    </w:p>
    <w:bookmarkStart w:id="273" w:name="page274"/>
    <w:bookmarkEnd w:id="273"/>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through the merger of Merger Sub with and into Sema4, with Sema4 surviving as a wholly-owned subsidiary of the Company (the “Merger”)</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Business Combination is expected to close in the second quarter of 2021, following the receipt of the required approval by the Company’s stockholders and the satisfaction of certain other customary closing conditions.</w:t>
      </w:r>
    </w:p>
    <w:p>
      <w:pPr>
        <w:spacing w:after="0" w:line="12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At the effective time of the Merger (the “Effective Time”), each share of Sema4 class B common stock, par value $0.00001 per share (“Sema4 Class B Common Stock”) issued and outstanding as of immediately prior to the Effective Time will be converted into 1/100th of a share of Sema4 class A common stock, par value $0.00001 per share (“Sema4 Class A Common Stock”, together with Sema4 Class B Common Stock, “Sema4 Common Stock”) in accordance with Sema4’s organizational documents.</w:t>
      </w:r>
    </w:p>
    <w:p>
      <w:pPr>
        <w:spacing w:after="0" w:line="13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Immediately thereafter, each share of Sema4 Common Stock and Sema4’s series A-1 preferred stock, series A-2 preferred stock, series B preferred stock and series C preferred stock (collectively, “Sema4 Capital Stock”) issued and outstanding immediately prior to the Effective Time (other than Excluded Shares and Dissenting Shares (each as defined in the Merger Agreement)) will be converted into the right to receive a portion of the total closing merger consideration, with each Sema4 stockholder being entitled to receive the following:</w:t>
      </w:r>
    </w:p>
    <w:p>
      <w:pPr>
        <w:spacing w:after="0" w:line="138" w:lineRule="exact"/>
        <w:rPr>
          <w:sz w:val="20"/>
          <w:szCs w:val="20"/>
          <w:color w:val="auto"/>
        </w:rPr>
      </w:pPr>
    </w:p>
    <w:p>
      <w:pPr>
        <w:jc w:val="both"/>
        <w:ind w:firstLine="324"/>
        <w:spacing w:after="0" w:line="255" w:lineRule="auto"/>
        <w:tabs>
          <w:tab w:leader="none" w:pos="633"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if such stockholder has made a cash election as set forth and in accordance with the terms of the Merger Agreement, a portion of the specified aggregate amount of cash consideration payable under the terms of the Merger Agreement (such aggregate amount not to exceed $343,000,000) and pursuant to the terms of such stockholder’s cash election; and</w:t>
      </w:r>
    </w:p>
    <w:p>
      <w:pPr>
        <w:spacing w:after="0" w:line="135" w:lineRule="exact"/>
        <w:rPr>
          <w:rFonts w:ascii="Arial" w:cs="Arial" w:eastAsia="Arial" w:hAnsi="Arial"/>
          <w:sz w:val="18"/>
          <w:szCs w:val="18"/>
          <w:color w:val="auto"/>
        </w:rPr>
      </w:pPr>
    </w:p>
    <w:p>
      <w:pPr>
        <w:jc w:val="both"/>
        <w:ind w:firstLine="324"/>
        <w:spacing w:after="0" w:line="255" w:lineRule="auto"/>
        <w:tabs>
          <w:tab w:leader="none" w:pos="569"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a number of shares of common stock, par value $0.0001 per share, of the Company (the “Common Stock”) equal to the quotient of: (i) (A) the product of (x) such stockholder’s total shares of Sema4 Capital Stock multiplied by (y) the per share amount calculated in accordance with the Merger Agreement </w:t>
      </w:r>
      <w:r>
        <w:rPr>
          <w:rFonts w:ascii="Arial" w:cs="Arial" w:eastAsia="Arial" w:hAnsi="Arial"/>
          <w:sz w:val="18"/>
          <w:szCs w:val="18"/>
          <w:i w:val="1"/>
          <w:iCs w:val="1"/>
          <w:color w:val="auto"/>
        </w:rPr>
        <w:t xml:space="preserve">minus </w:t>
      </w:r>
      <w:r>
        <w:rPr>
          <w:rFonts w:ascii="Arial" w:cs="Arial" w:eastAsia="Arial" w:hAnsi="Arial"/>
          <w:sz w:val="18"/>
          <w:szCs w:val="18"/>
          <w:color w:val="auto"/>
        </w:rPr>
        <w:t>(B) the amount of cash payable to such stockholder pursuant to its cash election, if any, divided by (ii) $10.</w:t>
      </w:r>
    </w:p>
    <w:p>
      <w:pPr>
        <w:spacing w:after="0" w:line="13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addition, at the Effective Time, each outstanding option to purchase Sema4 Capital Stock, each outstanding and unsettled restricted stock unit in respect of shares of Sema4 Capital Stock and each outstanding stock appreciation right will be rolled over into options to purchase Common Stock, restricted stock units in respect of Common Stock and stock appreciation rights in respect of Common Stock, all as further set forth in and in accordance with the terms of the Merger Agreement.</w:t>
      </w:r>
    </w:p>
    <w:p>
      <w:pPr>
        <w:spacing w:after="0" w:line="13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 xml:space="preserve">In addition to the payment of cash, issuance of Common Stock and rollover of other Sema4 equity awards described above as of the Effective Time, in the event that the closing sale price of Common Stock exceeds certain price thresholds for 20 out of any 30 consecutive trading days during the period of time commencing upon the expiration of the lock-up period applicable to the Sponsor under the Letter Agreement, dated as of August 27, 2021, by and among the Company, Sponsor and each of the executive officers and directors of the Company and ending on the second anniversary of the closing of the Merger, an additional number of shares equal to an amount up to an aggregate of 11% of the shares of Common Stock that would have been issuable upon closing of the Merger to the stockholders of the Company if no cash elections were made and the closing cash payment amount under the Merger Agreement was $0.00 (the “Earn-Out Shares”) shall become issuable, in accordance with the terms of the Merger Agreement following the achievement of those certain price thresholds, to the stockholders of Sema4 as of immediately prior to the closing of the Merger;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board of directors of Sema4 (or a duly authorized committee thereof) may, prior to the closing of the Merger, allocate a portion of such Earn-Out Shares to be issued to service providers of Sema4 in the form of restricted stock units of the Company.</w:t>
      </w:r>
    </w:p>
    <w:p>
      <w:pPr>
        <w:spacing w:after="0" w:line="129"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On February 10, 2021, the Company entered into a Sponsor Support Agreement with the Sponsor and Sema4, whereby Sponsor has agreed to, among other things, (a) vote at any meeting of the stockholders of the Company all of their shares of capital stock of the Company held of record or thereafter acquired in favor of the Stockholder Approvals (as defined in the Merger Agreement), (b) be bound by certain other covenants and agreements related to the Business Combination and (c) be bound by certain transfer restrictions with respect to such securities, prior to the closing of the Business Combination, in each case, on the terms and subject to the conditions set forth in the Sponsor Support Agreement. On February 10, 2021, concurrently with the execution of the Merger Agreement, the Company entered into subscription agreements (collectively, the “Subscription Agreements”) with certain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F-102</w:t>
      </w:r>
    </w:p>
    <w:p>
      <w:pPr>
        <w:sectPr>
          <w:pgSz w:w="11900" w:h="16838" w:orient="portrait"/>
          <w:cols w:equalWidth="0" w:num="1">
            <w:col w:w="11240"/>
          </w:cols>
          <w:pgMar w:left="320" w:top="360" w:right="339" w:bottom="1440" w:gutter="0" w:footer="0" w:header="0"/>
        </w:sectPr>
      </w:pPr>
    </w:p>
    <w:bookmarkStart w:id="274" w:name="page275"/>
    <w:bookmarkEnd w:id="274"/>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39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(collectively, the “PIPE Investors” which include certain existing equityholders of Sema4), pursuant to, and on the terms and subject to the conditions of which, the PIPE Investors have collectively subscribed for 35,000,000 shares of our common stock for an aggregate purchase price equal to $350,000,000 (the “PIPE Investment”). The PIPE Investment will be consummated immediately prior to the closing of the Sema4Business Combination. The Subscription Agreements provide for certain customary registration rights for the PIPE Investors. The Subscription Agreements will terminate with no further force and effect upon the earliest to occur of: (a) such date and time as the Merger Agreement is terminated in accordance with its terms; (b) the mutual written agreement of the parties to such Subscription Agreement; and (c) November 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F-103</w:t>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5BA861"/>
    <w:multiLevelType w:val="hybridMultilevel"/>
    <w:lvl w:ilvl="0">
      <w:lvlJc w:val="left"/>
      <w:lvlText w:val="(%1)"/>
      <w:numFmt w:val="upperLetter"/>
      <w:start w:val="1"/>
    </w:lvl>
  </w:abstractNum>
  <w:abstractNum w:abstractNumId="1">
    <w:nsid w:val="47398C89"/>
    <w:multiLevelType w:val="hybridMultilevel"/>
    <w:lvl w:ilvl="0">
      <w:lvlJc w:val="left"/>
      <w:lvlText w:val="•"/>
      <w:numFmt w:val="bullet"/>
      <w:start w:val="1"/>
    </w:lvl>
    <w:lvl w:ilvl="1">
      <w:lvlJc w:val="left"/>
      <w:lvlText w:val="◦"/>
      <w:numFmt w:val="bullet"/>
      <w:start w:val="1"/>
    </w:lvl>
  </w:abstractNum>
  <w:abstractNum w:abstractNumId="2">
    <w:nsid w:val="354FE9F9"/>
    <w:multiLevelType w:val="hybridMultilevel"/>
    <w:lvl w:ilvl="0">
      <w:lvlJc w:val="left"/>
      <w:lvlText w:val="•"/>
      <w:numFmt w:val="bullet"/>
      <w:start w:val="1"/>
    </w:lvl>
  </w:abstractNum>
  <w:abstractNum w:abstractNumId="3">
    <w:nsid w:val="15B5AF5C"/>
    <w:multiLevelType w:val="hybridMultilevel"/>
    <w:lvl w:ilvl="0">
      <w:lvlJc w:val="left"/>
      <w:lvlText w:val="•"/>
      <w:numFmt w:val="bullet"/>
      <w:start w:val="1"/>
    </w:lvl>
  </w:abstractNum>
  <w:abstractNum w:abstractNumId="4">
    <w:nsid w:val="741226BB"/>
    <w:multiLevelType w:val="hybridMultilevel"/>
    <w:lvl w:ilvl="0">
      <w:lvlJc w:val="left"/>
      <w:lvlText w:val="•"/>
      <w:numFmt w:val="bullet"/>
      <w:start w:val="1"/>
    </w:lvl>
  </w:abstractNum>
  <w:abstractNum w:abstractNumId="5">
    <w:nsid w:val="D34B6A8"/>
    <w:multiLevelType w:val="hybridMultilevel"/>
    <w:lvl w:ilvl="0">
      <w:lvlJc w:val="left"/>
      <w:lvlText w:val="%1."/>
      <w:numFmt w:val="lowerLetter"/>
      <w:start w:val="1"/>
    </w:lvl>
  </w:abstractNum>
  <w:abstractNum w:abstractNumId="6">
    <w:nsid w:val="10233C99"/>
    <w:multiLevelType w:val="hybridMultilevel"/>
    <w:lvl w:ilvl="0">
      <w:lvlJc w:val="left"/>
      <w:lvlText w:val="%1."/>
      <w:numFmt w:val="lowerLetter"/>
      <w:start w:val="1"/>
    </w:lvl>
    <w:lvl w:ilvl="1">
      <w:lvlJc w:val="left"/>
      <w:lvlText w:val="(%2)"/>
      <w:numFmt w:val="lowerRoman"/>
      <w:start w:val="1"/>
    </w:lvl>
  </w:abstractNum>
  <w:abstractNum w:abstractNumId="7">
    <w:nsid w:val="3F6AB60F"/>
    <w:multiLevelType w:val="hybridMultilevel"/>
    <w:lvl w:ilvl="0">
      <w:lvlJc w:val="left"/>
      <w:lvlText w:val="•"/>
      <w:numFmt w:val="bullet"/>
      <w:start w:val="1"/>
    </w:lvl>
  </w:abstractNum>
  <w:abstractNum w:abstractNumId="8">
    <w:nsid w:val="61574095"/>
    <w:multiLevelType w:val="hybridMultilevel"/>
    <w:lvl w:ilvl="0">
      <w:lvlJc w:val="left"/>
      <w:lvlText w:val="•"/>
      <w:numFmt w:val="bullet"/>
      <w:start w:val="1"/>
    </w:lvl>
  </w:abstractNum>
  <w:abstractNum w:abstractNumId="9">
    <w:nsid w:val="7E0C57B1"/>
    <w:multiLevelType w:val="hybridMultilevel"/>
    <w:lvl w:ilvl="0">
      <w:lvlJc w:val="left"/>
      <w:lvlText w:val="•"/>
      <w:numFmt w:val="bullet"/>
      <w:start w:val="1"/>
    </w:lvl>
  </w:abstractNum>
  <w:abstractNum w:abstractNumId="10">
    <w:nsid w:val="77AE35EB"/>
    <w:multiLevelType w:val="hybridMultilevel"/>
    <w:lvl w:ilvl="0">
      <w:lvlJc w:val="left"/>
      <w:lvlText w:val="•"/>
      <w:numFmt w:val="bullet"/>
      <w:start w:val="1"/>
    </w:lvl>
  </w:abstractNum>
  <w:abstractNum w:abstractNumId="11">
    <w:nsid w:val="579BE4F1"/>
    <w:multiLevelType w:val="hybridMultilevel"/>
    <w:lvl w:ilvl="0">
      <w:lvlJc w:val="left"/>
      <w:lvlText w:val="•"/>
      <w:numFmt w:val="bullet"/>
      <w:start w:val="1"/>
    </w:lvl>
  </w:abstractNum>
  <w:abstractNum w:abstractNumId="12">
    <w:nsid w:val="310C50B3"/>
    <w:multiLevelType w:val="hybridMultilevel"/>
    <w:lvl w:ilvl="0">
      <w:lvlJc w:val="left"/>
      <w:lvlText w:val="•"/>
      <w:numFmt w:val="bullet"/>
      <w:start w:val="1"/>
    </w:lvl>
  </w:abstractNum>
  <w:abstractNum w:abstractNumId="13">
    <w:nsid w:val="5FF87E05"/>
    <w:multiLevelType w:val="hybridMultilevel"/>
    <w:lvl w:ilvl="0">
      <w:lvlJc w:val="left"/>
      <w:lvlText w:val="•"/>
      <w:numFmt w:val="bullet"/>
      <w:start w:val="1"/>
    </w:lvl>
  </w:abstractNum>
  <w:abstractNum w:abstractNumId="14">
    <w:nsid w:val="2F305DEF"/>
    <w:multiLevelType w:val="hybridMultilevel"/>
    <w:lvl w:ilvl="0">
      <w:lvlJc w:val="left"/>
      <w:lvlText w:val="•"/>
      <w:numFmt w:val="bullet"/>
      <w:start w:val="1"/>
    </w:lvl>
  </w:abstractNum>
  <w:abstractNum w:abstractNumId="15">
    <w:nsid w:val="25A70BF7"/>
    <w:multiLevelType w:val="hybridMultilevel"/>
    <w:lvl w:ilvl="0">
      <w:lvlJc w:val="left"/>
      <w:lvlText w:val="•"/>
      <w:numFmt w:val="bullet"/>
      <w:start w:val="1"/>
    </w:lvl>
  </w:abstractNum>
  <w:abstractNum w:abstractNumId="16">
    <w:nsid w:val="1DBABF00"/>
    <w:multiLevelType w:val="hybridMultilevel"/>
    <w:lvl w:ilvl="0">
      <w:lvlJc w:val="left"/>
      <w:lvlText w:val="•"/>
      <w:numFmt w:val="bullet"/>
      <w:start w:val="1"/>
    </w:lvl>
  </w:abstractNum>
  <w:abstractNum w:abstractNumId="17">
    <w:nsid w:val="4AD084E9"/>
    <w:multiLevelType w:val="hybridMultilevel"/>
    <w:lvl w:ilvl="0">
      <w:lvlJc w:val="left"/>
      <w:lvlText w:val="•"/>
      <w:numFmt w:val="bullet"/>
      <w:start w:val="1"/>
    </w:lvl>
  </w:abstractNum>
  <w:abstractNum w:abstractNumId="18">
    <w:nsid w:val="1F48EAA1"/>
    <w:multiLevelType w:val="hybridMultilevel"/>
    <w:lvl w:ilvl="0">
      <w:lvlJc w:val="left"/>
      <w:lvlText w:val="•"/>
      <w:numFmt w:val="bullet"/>
      <w:start w:val="1"/>
    </w:lvl>
  </w:abstractNum>
  <w:abstractNum w:abstractNumId="19">
    <w:nsid w:val="1381823A"/>
    <w:multiLevelType w:val="hybridMultilevel"/>
    <w:lvl w:ilvl="0">
      <w:lvlJc w:val="left"/>
      <w:lvlText w:val="•"/>
      <w:numFmt w:val="bullet"/>
      <w:start w:val="1"/>
    </w:lvl>
  </w:abstractNum>
  <w:abstractNum w:abstractNumId="20">
    <w:nsid w:val="5DB70AE5"/>
    <w:multiLevelType w:val="hybridMultilevel"/>
    <w:lvl w:ilvl="0">
      <w:lvlJc w:val="left"/>
      <w:lvlText w:val="•"/>
      <w:numFmt w:val="bullet"/>
      <w:start w:val="1"/>
    </w:lvl>
  </w:abstractNum>
  <w:abstractNum w:abstractNumId="21">
    <w:nsid w:val="100F8FCA"/>
    <w:multiLevelType w:val="hybridMultilevel"/>
    <w:lvl w:ilvl="0">
      <w:lvlJc w:val="left"/>
      <w:lvlText w:val="•"/>
      <w:numFmt w:val="bullet"/>
      <w:start w:val="1"/>
    </w:lvl>
  </w:abstractNum>
  <w:abstractNum w:abstractNumId="22">
    <w:nsid w:val="6590700B"/>
    <w:multiLevelType w:val="hybridMultilevel"/>
    <w:lvl w:ilvl="0">
      <w:lvlJc w:val="left"/>
      <w:lvlText w:val="•"/>
      <w:numFmt w:val="bullet"/>
      <w:start w:val="1"/>
    </w:lvl>
  </w:abstractNum>
  <w:abstractNum w:abstractNumId="23">
    <w:nsid w:val="15014ACB"/>
    <w:multiLevelType w:val="hybridMultilevel"/>
    <w:lvl w:ilvl="0">
      <w:lvlJc w:val="left"/>
      <w:lvlText w:val="•"/>
      <w:numFmt w:val="bullet"/>
      <w:start w:val="1"/>
    </w:lvl>
  </w:abstractNum>
  <w:abstractNum w:abstractNumId="24">
    <w:nsid w:val="5F5E7FD0"/>
    <w:multiLevelType w:val="hybridMultilevel"/>
    <w:lvl w:ilvl="0">
      <w:lvlJc w:val="left"/>
      <w:lvlText w:val="•"/>
      <w:numFmt w:val="bullet"/>
      <w:start w:val="1"/>
    </w:lvl>
  </w:abstractNum>
  <w:abstractNum w:abstractNumId="25">
    <w:nsid w:val="98A3148"/>
    <w:multiLevelType w:val="hybridMultilevel"/>
    <w:lvl w:ilvl="0">
      <w:lvlJc w:val="left"/>
      <w:lvlText w:val="•"/>
      <w:numFmt w:val="bullet"/>
      <w:start w:val="1"/>
    </w:lvl>
  </w:abstractNum>
  <w:abstractNum w:abstractNumId="26">
    <w:nsid w:val="799D0247"/>
    <w:multiLevelType w:val="hybridMultilevel"/>
    <w:lvl w:ilvl="0">
      <w:lvlJc w:val="left"/>
      <w:lvlText w:val="•"/>
      <w:numFmt w:val="bullet"/>
      <w:start w:val="1"/>
    </w:lvl>
  </w:abstractNum>
  <w:abstractNum w:abstractNumId="27">
    <w:nsid w:val="6B94764"/>
    <w:multiLevelType w:val="hybridMultilevel"/>
    <w:lvl w:ilvl="0">
      <w:lvlJc w:val="left"/>
      <w:lvlText w:val="•"/>
      <w:numFmt w:val="bullet"/>
      <w:start w:val="1"/>
    </w:lvl>
  </w:abstractNum>
  <w:abstractNum w:abstractNumId="28">
    <w:nsid w:val="42C296BD"/>
    <w:multiLevelType w:val="hybridMultilevel"/>
    <w:lvl w:ilvl="0">
      <w:lvlJc w:val="left"/>
      <w:lvlText w:val="•"/>
      <w:numFmt w:val="bullet"/>
      <w:start w:val="1"/>
    </w:lvl>
  </w:abstractNum>
  <w:abstractNum w:abstractNumId="29">
    <w:nsid w:val="168E121F"/>
    <w:multiLevelType w:val="hybridMultilevel"/>
    <w:lvl w:ilvl="0">
      <w:lvlJc w:val="left"/>
      <w:lvlText w:val="•"/>
      <w:numFmt w:val="bullet"/>
      <w:start w:val="1"/>
    </w:lvl>
  </w:abstractNum>
  <w:abstractNum w:abstractNumId="30">
    <w:nsid w:val="1EBA5D23"/>
    <w:multiLevelType w:val="hybridMultilevel"/>
    <w:lvl w:ilvl="0">
      <w:lvlJc w:val="left"/>
      <w:lvlText w:val="•"/>
      <w:numFmt w:val="bullet"/>
      <w:start w:val="1"/>
    </w:lvl>
  </w:abstractNum>
  <w:abstractNum w:abstractNumId="31">
    <w:nsid w:val="661E3F1E"/>
    <w:multiLevelType w:val="hybridMultilevel"/>
    <w:lvl w:ilvl="0">
      <w:lvlJc w:val="left"/>
      <w:lvlText w:val="•"/>
      <w:numFmt w:val="bullet"/>
      <w:start w:val="1"/>
    </w:lvl>
  </w:abstractNum>
  <w:abstractNum w:abstractNumId="32">
    <w:nsid w:val="5DC79EA8"/>
    <w:multiLevelType w:val="hybridMultilevel"/>
    <w:lvl w:ilvl="0">
      <w:lvlJc w:val="left"/>
      <w:lvlText w:val="(%1)"/>
      <w:numFmt w:val="decimal"/>
      <w:start w:val="1"/>
    </w:lvl>
  </w:abstractNum>
  <w:abstractNum w:abstractNumId="33">
    <w:nsid w:val="540A471C"/>
    <w:multiLevelType w:val="hybridMultilevel"/>
    <w:lvl w:ilvl="0">
      <w:lvlJc w:val="left"/>
      <w:lvlText w:val="•"/>
      <w:numFmt w:val="bullet"/>
      <w:start w:val="1"/>
    </w:lvl>
  </w:abstractNum>
  <w:abstractNum w:abstractNumId="34">
    <w:nsid w:val="7BD3EE7B"/>
    <w:multiLevelType w:val="hybridMultilevel"/>
    <w:lvl w:ilvl="0">
      <w:lvlJc w:val="left"/>
      <w:lvlText w:val="•"/>
      <w:numFmt w:val="bullet"/>
      <w:start w:val="1"/>
    </w:lvl>
  </w:abstractNum>
  <w:abstractNum w:abstractNumId="35">
    <w:nsid w:val="51D9C564"/>
    <w:multiLevelType w:val="hybridMultilevel"/>
    <w:lvl w:ilvl="0">
      <w:lvlJc w:val="left"/>
      <w:lvlText w:val="(%1)"/>
      <w:numFmt w:val="upperLetter"/>
      <w:start w:val="2"/>
    </w:lvl>
  </w:abstractNum>
  <w:abstractNum w:abstractNumId="36">
    <w:nsid w:val="613EFDC5"/>
    <w:multiLevelType w:val="hybridMultilevel"/>
    <w:lvl w:ilvl="0">
      <w:lvlJc w:val="left"/>
      <w:lvlText w:val="•"/>
      <w:numFmt w:val="bullet"/>
      <w:start w:val="1"/>
    </w:lvl>
  </w:abstractNum>
  <w:abstractNum w:abstractNumId="37">
    <w:nsid w:val="BF72B14"/>
    <w:multiLevelType w:val="hybridMultilevel"/>
    <w:lvl w:ilvl="0">
      <w:lvlJc w:val="left"/>
      <w:lvlText w:val="•"/>
      <w:numFmt w:val="bullet"/>
      <w:start w:val="1"/>
    </w:lvl>
  </w:abstractNum>
  <w:abstractNum w:abstractNumId="38">
    <w:nsid w:val="11447B73"/>
    <w:multiLevelType w:val="hybridMultilevel"/>
    <w:lvl w:ilvl="0">
      <w:lvlJc w:val="left"/>
      <w:lvlText w:val="(%1)"/>
      <w:numFmt w:val="decimal"/>
      <w:start w:val="1"/>
    </w:lvl>
  </w:abstractNum>
  <w:abstractNum w:abstractNumId="39">
    <w:nsid w:val="42963E5A"/>
    <w:multiLevelType w:val="hybridMultilevel"/>
    <w:lvl w:ilvl="0">
      <w:lvlJc w:val="left"/>
      <w:lvlText w:val="%1."/>
      <w:numFmt w:val="decimal"/>
      <w:start w:val="5"/>
    </w:lvl>
  </w:abstractNum>
  <w:abstractNum w:abstractNumId="40">
    <w:nsid w:val="A0382C5"/>
    <w:multiLevelType w:val="hybridMultilevel"/>
    <w:lvl w:ilvl="0">
      <w:lvlJc w:val="left"/>
      <w:lvlText w:val="(%1)"/>
      <w:numFmt w:val="upperLetter"/>
      <w:start w:val="1"/>
    </w:lvl>
  </w:abstractNum>
  <w:abstractNum w:abstractNumId="41">
    <w:nsid w:val="8F2B15E"/>
    <w:multiLevelType w:val="hybridMultilevel"/>
    <w:lvl w:ilvl="0">
      <w:lvlJc w:val="left"/>
      <w:lvlText w:val="(%1)"/>
      <w:numFmt w:val="decimal"/>
      <w:start w:val="1"/>
    </w:lvl>
  </w:abstractNum>
  <w:abstractNum w:abstractNumId="42">
    <w:nsid w:val="1A32234B"/>
    <w:multiLevelType w:val="hybridMultilevel"/>
    <w:lvl w:ilvl="0">
      <w:lvlJc w:val="left"/>
      <w:lvlText w:val="(%1)"/>
      <w:numFmt w:val="lowerLetter"/>
      <w:start w:val="2"/>
    </w:lvl>
  </w:abstractNum>
  <w:abstractNum w:abstractNumId="43">
    <w:nsid w:val="3B0FD379"/>
    <w:multiLevelType w:val="hybridMultilevel"/>
    <w:lvl w:ilvl="0">
      <w:lvlJc w:val="left"/>
      <w:lvlText w:val="(%1)"/>
      <w:numFmt w:val="lowerLetter"/>
      <w:start w:val="3"/>
    </w:lvl>
  </w:abstractNum>
  <w:abstractNum w:abstractNumId="44">
    <w:nsid w:val="68EB2F63"/>
    <w:multiLevelType w:val="hybridMultilevel"/>
    <w:lvl w:ilvl="0">
      <w:lvlJc w:val="left"/>
      <w:lvlText w:val="%1."/>
      <w:numFmt w:val="decimal"/>
      <w:start w:val="6"/>
    </w:lvl>
  </w:abstractNum>
  <w:abstractNum w:abstractNumId="45">
    <w:nsid w:val="4962813B"/>
    <w:multiLevelType w:val="hybridMultilevel"/>
    <w:lvl w:ilvl="0">
      <w:lvlJc w:val="left"/>
      <w:lvlText w:val="(%1)"/>
      <w:numFmt w:val="upperLetter"/>
      <w:start w:val="1"/>
    </w:lvl>
  </w:abstractNum>
  <w:abstractNum w:abstractNumId="46">
    <w:nsid w:val="60B6DF70"/>
    <w:multiLevelType w:val="hybridMultilevel"/>
    <w:lvl w:ilvl="0">
      <w:lvlJc w:val="left"/>
      <w:lvlText w:val="(%1)"/>
      <w:numFmt w:val="lowerLetter"/>
      <w:start w:val="1"/>
    </w:lvl>
  </w:abstractNum>
  <w:abstractNum w:abstractNumId="47">
    <w:nsid w:val="6A5EE64"/>
    <w:multiLevelType w:val="hybridMultilevel"/>
    <w:lvl w:ilvl="0">
      <w:lvlJc w:val="left"/>
      <w:lvlText w:val="•"/>
      <w:numFmt w:val="bullet"/>
      <w:start w:val="1"/>
    </w:lvl>
  </w:abstractNum>
  <w:abstractNum w:abstractNumId="48">
    <w:nsid w:val="14330624"/>
    <w:multiLevelType w:val="hybridMultilevel"/>
    <w:lvl w:ilvl="0">
      <w:lvlJc w:val="left"/>
      <w:lvlText w:val="(%1)"/>
      <w:numFmt w:val="decimal"/>
      <w:start w:val="1"/>
    </w:lvl>
  </w:abstractNum>
  <w:abstractNum w:abstractNumId="49">
    <w:nsid w:val="7FFFCA11"/>
    <w:multiLevelType w:val="hybridMultilevel"/>
    <w:lvl w:ilvl="0">
      <w:lvlJc w:val="left"/>
      <w:lvlText w:val="(%1)"/>
      <w:numFmt w:val="decimal"/>
      <w:start w:val="1"/>
    </w:lvl>
  </w:abstractNum>
  <w:abstractNum w:abstractNumId="50">
    <w:nsid w:val="1A27709E"/>
    <w:multiLevelType w:val="hybridMultilevel"/>
    <w:lvl w:ilvl="0">
      <w:lvlJc w:val="left"/>
      <w:lvlText w:val="(%1)"/>
      <w:numFmt w:val="decimal"/>
      <w:start w:val="1"/>
    </w:lvl>
  </w:abstractNum>
  <w:abstractNum w:abstractNumId="51">
    <w:nsid w:val="71EA1109"/>
    <w:multiLevelType w:val="hybridMultilevel"/>
    <w:lvl w:ilvl="0">
      <w:lvlJc w:val="left"/>
      <w:lvlText w:val="(%1)"/>
      <w:numFmt w:val="decimal"/>
      <w:start w:val="1"/>
    </w:lvl>
  </w:abstractNum>
  <w:abstractNum w:abstractNumId="52">
    <w:nsid w:val="100F59DC"/>
    <w:multiLevelType w:val="hybridMultilevel"/>
    <w:lvl w:ilvl="0">
      <w:lvlJc w:val="left"/>
      <w:lvlText w:val="•"/>
      <w:numFmt w:val="bullet"/>
      <w:start w:val="1"/>
    </w:lvl>
  </w:abstractNum>
  <w:abstractNum w:abstractNumId="53">
    <w:nsid w:val="7FB7E0AA"/>
    <w:multiLevelType w:val="hybridMultilevel"/>
    <w:lvl w:ilvl="0">
      <w:lvlJc w:val="left"/>
      <w:lvlText w:val="•"/>
      <w:numFmt w:val="bullet"/>
      <w:start w:val="1"/>
    </w:lvl>
  </w:abstractNum>
  <w:abstractNum w:abstractNumId="54">
    <w:nsid w:val="6EB5BD4"/>
    <w:multiLevelType w:val="hybridMultilevel"/>
    <w:lvl w:ilvl="0">
      <w:lvlJc w:val="left"/>
      <w:lvlText w:val="•"/>
      <w:numFmt w:val="bullet"/>
      <w:start w:val="1"/>
    </w:lvl>
  </w:abstractNum>
  <w:abstractNum w:abstractNumId="55">
    <w:nsid w:val="6F6DD9AC"/>
    <w:multiLevelType w:val="hybridMultilevel"/>
    <w:lvl w:ilvl="0">
      <w:lvlJc w:val="left"/>
      <w:lvlText w:val="•"/>
      <w:numFmt w:val="bullet"/>
      <w:start w:val="1"/>
    </w:lvl>
  </w:abstractNum>
  <w:abstractNum w:abstractNumId="56">
    <w:nsid w:val="94211F2"/>
    <w:multiLevelType w:val="hybridMultilevel"/>
    <w:lvl w:ilvl="0">
      <w:lvlJc w:val="left"/>
      <w:lvlText w:val="•"/>
      <w:numFmt w:val="bullet"/>
      <w:start w:val="1"/>
    </w:lvl>
  </w:abstractNum>
  <w:abstractNum w:abstractNumId="57">
    <w:nsid w:val="885E1B"/>
    <w:multiLevelType w:val="hybridMultilevel"/>
    <w:lvl w:ilvl="0">
      <w:lvlJc w:val="left"/>
      <w:lvlText w:val="•"/>
      <w:numFmt w:val="bullet"/>
      <w:start w:val="1"/>
    </w:lvl>
  </w:abstractNum>
  <w:abstractNum w:abstractNumId="58">
    <w:nsid w:val="76272110"/>
    <w:multiLevelType w:val="hybridMultilevel"/>
    <w:lvl w:ilvl="0">
      <w:lvlJc w:val="left"/>
      <w:lvlText w:val="•"/>
      <w:numFmt w:val="bullet"/>
      <w:start w:val="1"/>
    </w:lvl>
  </w:abstractNum>
  <w:abstractNum w:abstractNumId="59">
    <w:nsid w:val="4C04A8AF"/>
    <w:multiLevelType w:val="hybridMultilevel"/>
    <w:lvl w:ilvl="0">
      <w:lvlJc w:val="left"/>
      <w:lvlText w:val="•"/>
      <w:numFmt w:val="bullet"/>
      <w:start w:val="1"/>
    </w:lvl>
  </w:abstractNum>
  <w:abstractNum w:abstractNumId="60">
    <w:nsid w:val="1716703B"/>
    <w:multiLevelType w:val="hybridMultilevel"/>
    <w:lvl w:ilvl="0">
      <w:lvlJc w:val="left"/>
      <w:lvlText w:val="•"/>
      <w:numFmt w:val="bullet"/>
      <w:start w:val="1"/>
    </w:lvl>
  </w:abstractNum>
  <w:abstractNum w:abstractNumId="61">
    <w:nsid w:val="14E17E33"/>
    <w:multiLevelType w:val="hybridMultilevel"/>
    <w:lvl w:ilvl="0">
      <w:lvlJc w:val="left"/>
      <w:lvlText w:val="•"/>
      <w:numFmt w:val="bullet"/>
      <w:start w:val="1"/>
    </w:lvl>
  </w:abstractNum>
  <w:abstractNum w:abstractNumId="62">
    <w:nsid w:val="3222E7CD"/>
    <w:multiLevelType w:val="hybridMultilevel"/>
    <w:lvl w:ilvl="0">
      <w:lvlJc w:val="left"/>
      <w:lvlText w:val="•"/>
      <w:numFmt w:val="bullet"/>
      <w:start w:val="1"/>
    </w:lvl>
  </w:abstractNum>
  <w:abstractNum w:abstractNumId="63">
    <w:nsid w:val="74DE0EE3"/>
    <w:multiLevelType w:val="hybridMultilevel"/>
    <w:lvl w:ilvl="0">
      <w:lvlJc w:val="left"/>
      <w:lvlText w:val="•"/>
      <w:numFmt w:val="bullet"/>
      <w:start w:val="1"/>
    </w:lvl>
  </w:abstractNum>
  <w:abstractNum w:abstractNumId="64">
    <w:nsid w:val="68EBC550"/>
    <w:multiLevelType w:val="hybridMultilevel"/>
    <w:lvl w:ilvl="0">
      <w:lvlJc w:val="left"/>
      <w:lvlText w:val="•"/>
      <w:numFmt w:val="bullet"/>
      <w:start w:val="1"/>
    </w:lvl>
  </w:abstractNum>
  <w:abstractNum w:abstractNumId="65">
    <w:nsid w:val="2DF6D648"/>
    <w:multiLevelType w:val="hybridMultilevel"/>
    <w:lvl w:ilvl="0">
      <w:lvlJc w:val="left"/>
      <w:lvlText w:val="•"/>
      <w:numFmt w:val="bullet"/>
      <w:start w:val="1"/>
    </w:lvl>
  </w:abstractNum>
  <w:abstractNum w:abstractNumId="66">
    <w:nsid w:val="46B7D447"/>
    <w:multiLevelType w:val="hybridMultilevel"/>
    <w:lvl w:ilvl="0">
      <w:lvlJc w:val="left"/>
      <w:lvlText w:val="(%1)"/>
      <w:numFmt w:val="decimal"/>
      <w:start w:val="1"/>
    </w:lvl>
  </w:abstractNum>
  <w:abstractNum w:abstractNumId="67">
    <w:nsid w:val="4A2AC315"/>
    <w:multiLevelType w:val="hybridMultilevel"/>
    <w:lvl w:ilvl="0">
      <w:lvlJc w:val="left"/>
      <w:lvlText w:val="(%1)"/>
      <w:numFmt w:val="decimal"/>
      <w:start w:val="1"/>
    </w:lvl>
  </w:abstractNum>
  <w:abstractNum w:abstractNumId="68">
    <w:nsid w:val="39EE015C"/>
    <w:multiLevelType w:val="hybridMultilevel"/>
    <w:lvl w:ilvl="0">
      <w:lvlJc w:val="left"/>
      <w:lvlText w:val="•"/>
      <w:numFmt w:val="bullet"/>
      <w:start w:val="1"/>
    </w:lvl>
  </w:abstractNum>
  <w:abstractNum w:abstractNumId="69">
    <w:nsid w:val="57FC4FBB"/>
    <w:multiLevelType w:val="hybridMultilevel"/>
    <w:lvl w:ilvl="0">
      <w:lvlJc w:val="left"/>
      <w:lvlText w:val="(%1)"/>
      <w:numFmt w:val="decimal"/>
      <w:start w:val="1"/>
    </w:lvl>
  </w:abstractNum>
  <w:abstractNum w:abstractNumId="70">
    <w:nsid w:val="CC1016F"/>
    <w:multiLevelType w:val="hybridMultilevel"/>
    <w:lvl w:ilvl="0">
      <w:lvlJc w:val="left"/>
      <w:lvlText w:val="(%1)"/>
      <w:numFmt w:val="decimal"/>
      <w:start w:val="1"/>
    </w:lvl>
  </w:abstractNum>
  <w:abstractNum w:abstractNumId="71">
    <w:nsid w:val="43F18422"/>
    <w:multiLevelType w:val="hybridMultilevel"/>
    <w:lvl w:ilvl="0">
      <w:lvlJc w:val="left"/>
      <w:lvlText w:val="%1."/>
      <w:numFmt w:val="lowerLetter"/>
      <w:start w:val="1"/>
    </w:lvl>
  </w:abstractNum>
  <w:abstractNum w:abstractNumId="72">
    <w:nsid w:val="60EF0119"/>
    <w:multiLevelType w:val="hybridMultilevel"/>
    <w:lvl w:ilvl="0">
      <w:lvlJc w:val="left"/>
      <w:lvlText w:val="(%1)"/>
      <w:numFmt w:val="decimal"/>
      <w:start w:val="1"/>
    </w:lvl>
  </w:abstractNum>
  <w:abstractNum w:abstractNumId="73">
    <w:nsid w:val="26F324BA"/>
    <w:multiLevelType w:val="hybridMultilevel"/>
    <w:lvl w:ilvl="0">
      <w:lvlJc w:val="left"/>
      <w:lvlText w:val="(%1)"/>
      <w:numFmt w:val="lowerLetter"/>
      <w:start w:val="1"/>
    </w:lvl>
  </w:abstractNum>
  <w:abstractNum w:abstractNumId="74">
    <w:nsid w:val="7F01579B"/>
    <w:multiLevelType w:val="hybridMultilevel"/>
    <w:lvl w:ilvl="0">
      <w:lvlJc w:val="left"/>
      <w:lvlText w:val="•"/>
      <w:numFmt w:val="bullet"/>
      <w:start w:val="1"/>
    </w:lvl>
  </w:abstractNum>
  <w:abstractNum w:abstractNumId="75">
    <w:nsid w:val="49DA307D"/>
    <w:multiLevelType w:val="hybridMultilevel"/>
    <w:lvl w:ilvl="0">
      <w:lvlJc w:val="left"/>
      <w:lvlText w:val="(%1)"/>
      <w:numFmt w:val="decimal"/>
      <w:start w:val="1"/>
    </w:lvl>
  </w:abstractNum>
  <w:abstractNum w:abstractNumId="76">
    <w:nsid w:val="7055A5F5"/>
    <w:multiLevelType w:val="hybridMultilevel"/>
    <w:lvl w:ilvl="0">
      <w:lvlJc w:val="left"/>
      <w:lvlText w:val="•"/>
      <w:numFmt w:val="bullet"/>
      <w:start w:val="1"/>
    </w:lvl>
  </w:abstractNum>
  <w:abstractNum w:abstractNumId="77">
    <w:nsid w:val="5FB8370B"/>
    <w:multiLevelType w:val="hybridMultilevel"/>
    <w:lvl w:ilvl="0">
      <w:lvlJc w:val="left"/>
      <w:lvlText w:val="•"/>
      <w:numFmt w:val="bullet"/>
      <w:start w:val="1"/>
    </w:lvl>
  </w:abstractNum>
  <w:abstractNum w:abstractNumId="78">
    <w:nsid w:val="50801EE1"/>
    <w:multiLevelType w:val="hybridMultilevel"/>
    <w:lvl w:ilvl="0">
      <w:lvlJc w:val="left"/>
      <w:lvlText w:val="•"/>
      <w:numFmt w:val="bullet"/>
      <w:start w:val="1"/>
    </w:lvl>
  </w:abstractNum>
  <w:abstractNum w:abstractNumId="79">
    <w:nsid w:val="488AC1A"/>
    <w:multiLevelType w:val="hybridMultilevel"/>
    <w:lvl w:ilvl="0">
      <w:lvlJc w:val="left"/>
      <w:lvlText w:val="•"/>
      <w:numFmt w:val="bullet"/>
      <w:start w:val="1"/>
    </w:lvl>
  </w:abstractNum>
  <w:abstractNum w:abstractNumId="80">
    <w:nsid w:val="5FB8011C"/>
    <w:multiLevelType w:val="hybridMultilevel"/>
    <w:lvl w:ilvl="0">
      <w:lvlJc w:val="left"/>
      <w:lvlText w:val="•"/>
      <w:numFmt w:val="bullet"/>
      <w:start w:val="1"/>
    </w:lvl>
  </w:abstractNum>
  <w:abstractNum w:abstractNumId="81">
    <w:nsid w:val="6AA78F7F"/>
    <w:multiLevelType w:val="hybridMultilevel"/>
    <w:lvl w:ilvl="0">
      <w:lvlJc w:val="left"/>
      <w:lvlText w:val="•"/>
      <w:numFmt w:val="bullet"/>
      <w:start w:val="1"/>
    </w:lvl>
  </w:abstractNum>
  <w:abstractNum w:abstractNumId="82">
    <w:nsid w:val="7672BD23"/>
    <w:multiLevelType w:val="hybridMultilevel"/>
    <w:lvl w:ilvl="0">
      <w:lvlJc w:val="left"/>
      <w:lvlText w:val="•"/>
      <w:numFmt w:val="bullet"/>
      <w:start w:val="1"/>
    </w:lvl>
  </w:abstractNum>
  <w:abstractNum w:abstractNumId="83">
    <w:nsid w:val="6FC75AF8"/>
    <w:multiLevelType w:val="hybridMultilevel"/>
    <w:lvl w:ilvl="0">
      <w:lvlJc w:val="left"/>
      <w:lvlText w:val="•"/>
      <w:numFmt w:val="bullet"/>
      <w:start w:val="1"/>
    </w:lvl>
    <w:lvl w:ilvl="1">
      <w:lvlJc w:val="left"/>
      <w:lvlText w:val="◦"/>
      <w:numFmt w:val="bullet"/>
      <w:start w:val="1"/>
    </w:lvl>
  </w:abstractNum>
  <w:abstractNum w:abstractNumId="84">
    <w:nsid w:val="6A5F7029"/>
    <w:multiLevelType w:val="hybridMultilevel"/>
    <w:lvl w:ilvl="0">
      <w:lvlJc w:val="left"/>
      <w:lvlText w:val="*"/>
      <w:numFmt w:val="bullet"/>
      <w:start w:val="1"/>
    </w:lvl>
  </w:abstractNum>
  <w:abstractNum w:abstractNumId="85">
    <w:nsid w:val="7D5E18F8"/>
    <w:multiLevelType w:val="hybridMultilevel"/>
    <w:lvl w:ilvl="0">
      <w:lvlJc w:val="left"/>
      <w:lvlText w:val="(%1)"/>
      <w:numFmt w:val="decimal"/>
      <w:start w:val="1"/>
    </w:lvl>
  </w:abstractNum>
  <w:abstractNum w:abstractNumId="86">
    <w:nsid w:val="5F3534A4"/>
    <w:multiLevelType w:val="hybridMultilevel"/>
    <w:lvl w:ilvl="0">
      <w:lvlJc w:val="left"/>
      <w:lvlText w:val="(%1)"/>
      <w:numFmt w:val="decimal"/>
      <w:start w:val="5"/>
    </w:lvl>
  </w:abstractNum>
  <w:abstractNum w:abstractNumId="87">
    <w:nsid w:val="73A1821B"/>
    <w:multiLevelType w:val="hybridMultilevel"/>
    <w:lvl w:ilvl="0">
      <w:lvlJc w:val="left"/>
      <w:lvlText w:val="(%1)"/>
      <w:numFmt w:val="decimal"/>
      <w:start w:val="18"/>
    </w:lvl>
  </w:abstractNum>
  <w:abstractNum w:abstractNumId="88">
    <w:nsid w:val="7DE67713"/>
    <w:multiLevelType w:val="hybridMultilevel"/>
    <w:lvl w:ilvl="0">
      <w:lvlJc w:val="left"/>
      <w:lvlText w:val="(%1)"/>
      <w:numFmt w:val="decimal"/>
      <w:start w:val="41"/>
    </w:lvl>
  </w:abstractNum>
  <w:abstractNum w:abstractNumId="89">
    <w:nsid w:val="555C55B5"/>
    <w:multiLevelType w:val="hybridMultilevel"/>
    <w:lvl w:ilvl="0">
      <w:lvlJc w:val="left"/>
      <w:lvlText w:val="(%1)"/>
      <w:numFmt w:val="decimal"/>
      <w:start w:val="71"/>
    </w:lvl>
  </w:abstractNum>
  <w:abstractNum w:abstractNumId="90">
    <w:nsid w:val="3FA62ACA"/>
    <w:multiLevelType w:val="hybridMultilevel"/>
    <w:lvl w:ilvl="0">
      <w:lvlJc w:val="left"/>
      <w:lvlText w:val="•"/>
      <w:numFmt w:val="bullet"/>
      <w:start w:val="1"/>
    </w:lvl>
  </w:abstractNum>
  <w:abstractNum w:abstractNumId="91">
    <w:nsid w:val="14FCE74E"/>
    <w:multiLevelType w:val="hybridMultilevel"/>
    <w:lvl w:ilvl="0">
      <w:lvlJc w:val="left"/>
      <w:lvlText w:val="•"/>
      <w:numFmt w:val="bullet"/>
      <w:start w:val="1"/>
    </w:lvl>
  </w:abstractNum>
  <w:abstractNum w:abstractNumId="92">
    <w:nsid w:val="6A3DD3E8"/>
    <w:multiLevelType w:val="hybridMultilevel"/>
    <w:lvl w:ilvl="0">
      <w:lvlJc w:val="left"/>
      <w:lvlText w:val="•"/>
      <w:numFmt w:val="bullet"/>
      <w:start w:val="1"/>
    </w:lvl>
  </w:abstractNum>
  <w:abstractNum w:abstractNumId="93">
    <w:nsid w:val="71C91298"/>
    <w:multiLevelType w:val="hybridMultilevel"/>
    <w:lvl w:ilvl="0">
      <w:lvlJc w:val="left"/>
      <w:lvlText w:val="•"/>
      <w:numFmt w:val="bullet"/>
      <w:start w:val="1"/>
    </w:lvl>
  </w:abstractNum>
  <w:abstractNum w:abstractNumId="94">
    <w:nsid w:val="9DAF632"/>
    <w:multiLevelType w:val="hybridMultilevel"/>
    <w:lvl w:ilvl="0">
      <w:lvlJc w:val="left"/>
      <w:lvlText w:val="•"/>
      <w:numFmt w:val="bullet"/>
      <w:start w:val="1"/>
    </w:lvl>
  </w:abstractNum>
  <w:abstractNum w:abstractNumId="95">
    <w:nsid w:val="53299938"/>
    <w:multiLevelType w:val="hybridMultilevel"/>
    <w:lvl w:ilvl="0">
      <w:lvlJc w:val="left"/>
      <w:lvlText w:val="(%1)"/>
      <w:numFmt w:val="decimal"/>
      <w:start w:val="3"/>
    </w:lvl>
  </w:abstractNum>
  <w:abstractNum w:abstractNumId="96">
    <w:nsid w:val="1FBFE8E0"/>
    <w:multiLevelType w:val="hybridMultilevel"/>
    <w:lvl w:ilvl="0">
      <w:lvlJc w:val="left"/>
      <w:lvlText w:val="•"/>
      <w:numFmt w:val="bullet"/>
      <w:start w:val="1"/>
    </w:lvl>
  </w:abstractNum>
  <w:abstractNum w:abstractNumId="97">
    <w:nsid w:val="5092CA79"/>
    <w:multiLevelType w:val="hybridMultilevel"/>
    <w:lvl w:ilvl="0">
      <w:lvlJc w:val="left"/>
      <w:lvlText w:val="(%1)"/>
      <w:numFmt w:val="upperLetter"/>
      <w:start w:val="3"/>
    </w:lvl>
  </w:abstractNum>
  <w:abstractNum w:abstractNumId="98">
    <w:nsid w:val="1D545C4D"/>
    <w:multiLevelType w:val="hybridMultilevel"/>
    <w:lvl w:ilvl="0">
      <w:lvlJc w:val="left"/>
      <w:lvlText w:val="*"/>
      <w:numFmt w:val="bullet"/>
      <w:start w:val="1"/>
    </w:lvl>
  </w:abstractNum>
  <w:abstractNum w:abstractNumId="99">
    <w:nsid w:val="59ADEA3D"/>
    <w:multiLevelType w:val="hybridMultilevel"/>
    <w:lvl w:ilvl="0">
      <w:lvlJc w:val="left"/>
      <w:lvlText w:val="(%1)"/>
      <w:numFmt w:val="decimal"/>
      <w:start w:val="2"/>
    </w:lvl>
  </w:abstractNum>
  <w:abstractNum w:abstractNumId="100">
    <w:nsid w:val="288F1A34"/>
    <w:multiLevelType w:val="hybridMultilevel"/>
    <w:lvl w:ilvl="0">
      <w:lvlJc w:val="left"/>
      <w:lvlText w:val="%1."/>
      <w:numFmt w:val="decimal"/>
      <w:start w:val="4"/>
    </w:lvl>
  </w:abstractNum>
  <w:abstractNum w:abstractNumId="101">
    <w:nsid w:val="2A155DBC"/>
    <w:multiLevelType w:val="hybridMultilevel"/>
    <w:lvl w:ilvl="0">
      <w:lvlJc w:val="left"/>
      <w:lvlText w:val="%1."/>
      <w:numFmt w:val="decimal"/>
      <w:start w:val="5"/>
    </w:lvl>
  </w:abstractNum>
  <w:abstractNum w:abstractNumId="102">
    <w:nsid w:val="1D9F6E5F"/>
    <w:multiLevelType w:val="hybridMultilevel"/>
    <w:lvl w:ilvl="0">
      <w:lvlJc w:val="left"/>
      <w:lvlText w:val="\endash "/>
      <w:numFmt w:val="bullet"/>
      <w:start w:val="1"/>
    </w:lvl>
  </w:abstractNum>
  <w:abstractNum w:abstractNumId="103">
    <w:nsid w:val="97E1B4E"/>
    <w:multiLevelType w:val="hybridMultilevel"/>
    <w:lvl w:ilvl="0">
      <w:lvlJc w:val="left"/>
      <w:lvlText w:val="\endash "/>
      <w:numFmt w:val="bullet"/>
      <w:start w:val="1"/>
    </w:lvl>
  </w:abstractNum>
  <w:abstractNum w:abstractNumId="104">
    <w:nsid w:val="51088277"/>
    <w:multiLevelType w:val="hybridMultilevel"/>
    <w:lvl w:ilvl="0">
      <w:lvlJc w:val="left"/>
      <w:lvlText w:val="(%1)"/>
      <w:numFmt w:val="lowerLetter"/>
      <w:start w:val="1"/>
    </w:lvl>
  </w:abstractNum>
  <w:abstractNum w:abstractNumId="105">
    <w:nsid w:val="1CA0C5FA"/>
    <w:multiLevelType w:val="hybridMultilevel"/>
    <w:lvl w:ilvl="0">
      <w:lvlJc w:val="left"/>
      <w:lvlText w:val="•"/>
      <w:numFmt w:val="bullet"/>
      <w:start w:val="1"/>
    </w:lvl>
  </w:abstractNum>
  <w:abstractNum w:abstractNumId="106">
    <w:nsid w:val="53584BCB"/>
    <w:multiLevelType w:val="hybridMultilevel"/>
    <w:lvl w:ilvl="0">
      <w:lvlJc w:val="left"/>
      <w:lvlText w:val="•"/>
      <w:numFmt w:val="bullet"/>
      <w:start w:val="1"/>
    </w:lvl>
  </w:abstractNum>
  <w:abstractNum w:abstractNumId="107">
    <w:nsid w:val="415E286C"/>
    <w:multiLevelType w:val="hybridMultilevel"/>
    <w:lvl w:ilvl="0">
      <w:lvlJc w:val="left"/>
      <w:lvlText w:val="•"/>
      <w:numFmt w:val="bullet"/>
      <w:start w:val="1"/>
    </w:lvl>
  </w:abstractNum>
  <w:abstractNum w:abstractNumId="108">
    <w:nsid w:val="7C58FD05"/>
    <w:multiLevelType w:val="hybridMultilevel"/>
    <w:lvl w:ilvl="0">
      <w:lvlJc w:val="left"/>
      <w:lvlText w:val="$"/>
      <w:numFmt w:val="bullet"/>
      <w:start w:val="1"/>
    </w:lvl>
  </w:abstractNum>
  <w:abstractNum w:abstractNumId="109">
    <w:nsid w:val="23D86AAC"/>
    <w:multiLevelType w:val="hybridMultilevel"/>
    <w:lvl w:ilvl="0">
      <w:lvlJc w:val="left"/>
      <w:lvlText w:val="•"/>
      <w:numFmt w:val="bullet"/>
      <w:start w:val="1"/>
    </w:lvl>
  </w:abstractNum>
  <w:abstractNum w:abstractNumId="110">
    <w:nsid w:val="45E6D486"/>
    <w:multiLevelType w:val="hybridMultilevel"/>
    <w:lvl w:ilvl="0">
      <w:lvlJc w:val="left"/>
      <w:lvlText w:val="(%1)"/>
      <w:numFmt w:val="lowerLetter"/>
      <w:start w:val="2"/>
    </w:lvl>
  </w:abstractNum>
  <w:abstractNum w:abstractNumId="111">
    <w:nsid w:val="5C10FE21"/>
    <w:multiLevelType w:val="hybridMultilevel"/>
    <w:lvl w:ilvl="0">
      <w:lvlJc w:val="left"/>
      <w:lvlText w:val="•"/>
      <w:numFmt w:val="bullet"/>
      <w:start w:val="1"/>
    </w:lvl>
  </w:abstractNum>
  <w:abstractNum w:abstractNumId="112">
    <w:nsid w:val="E7FFA2B"/>
    <w:multiLevelType w:val="hybridMultilevel"/>
    <w:lvl w:ilvl="0">
      <w:lvlJc w:val="left"/>
      <w:lvlText w:val="•"/>
      <w:numFmt w:val="bullet"/>
      <w:start w:val="1"/>
    </w:lvl>
  </w:abstractNum>
  <w:abstractNum w:abstractNumId="113">
    <w:nsid w:val="3C5991AA"/>
    <w:multiLevelType w:val="hybridMultilevel"/>
    <w:lvl w:ilvl="0">
      <w:lvlJc w:val="left"/>
      <w:lvlText w:val="•"/>
      <w:numFmt w:val="bullet"/>
      <w:start w:val="1"/>
    </w:lvl>
  </w:abstractNum>
  <w:abstractNum w:abstractNumId="114">
    <w:nsid w:val="4BD8591A"/>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2021-08-12T16:32:02Z</dcterms:created>
  <dcterms:modified xsi:type="dcterms:W3CDTF">2021-08-12T16:32:02Z</dcterms:modified>
</cp:coreProperties>
</file>