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162026_080641.xml.htm"/>
      <w:bookmarkStart w:id="1" w:name="ksform306162026_08064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GARDNER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06/15/2026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GeneDx Holdings Corp.</w:t>
              </w:r>
            </w:hyperlink>
            <w:r>
              <w:rPr/>
              <w:t xml:space="preserve"> [ </w:t>
            </w:r>
            <w:r>
              <w:rPr>
                <w:rFonts w:ascii="Times;serif" w:hAnsi="Times;serif"/>
                <w:color w:val="0000FF"/>
                <w:sz w:val="24"/>
                <w:shd w:fill="FFFFFF" w:val="clear"/>
              </w:rPr>
              <w:t>WGS</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pPr>
                  <w:r>
                    <w:rPr>
                      <w:rFonts w:ascii="Times;serif" w:hAnsi="Times;serif"/>
                      <w:color w:val="0000FF"/>
                      <w:sz w:val="24"/>
                      <w:shd w:fill="FFFFFF" w:val="clear"/>
                    </w:rPr>
                    <w:t>President</w:t>
                  </w:r>
                  <w:r>
                    <w:rPr/>
                    <w:t xml:space="preserve"> </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Bridget Brown,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center"/>
        <w:rPr>
          <w:b/>
          <w:sz w:val="22"/>
        </w:rPr>
      </w:pPr>
      <w:bookmarkStart w:id="2" w:name="ex24-06162026_080642.htm"/>
      <w:bookmarkStart w:id="3" w:name="ksex2406162026_080642"/>
      <w:bookmarkEnd w:id="2"/>
      <w:bookmarkEnd w:id="3"/>
      <w:r>
        <w:rPr>
          <w:b/>
          <w:sz w:val="22"/>
        </w:rPr>
        <w:t>LIMITED POWER OF ATTORNEY</w:t>
      </w:r>
      <w:r>
        <w:br w:type="page"/>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constitutes and appoints Bridget Brown, Daniel Fine, and Samantha McWatters, as long as they are providing services to GeneDx Holdings Corp., a Delaware corporation (the “</w:t>
      </w:r>
      <w:r>
        <w:rPr>
          <w:b/>
          <w:i/>
          <w:sz w:val="22"/>
        </w:rPr>
        <w:t>Company</w:t>
      </w:r>
      <w:r>
        <w:rPr>
          <w:sz w:val="22"/>
        </w:rPr>
        <w:t>”), or any of them, acting individually, as the undersigned’s true and lawful attorney-in-fact to:</w: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execute for and on behalf of the undersigned, in the undersigned’s capacity as an officer and/or director of the Company, Forms 3, 4, and 5, and any amendments thereto,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60655"/>
                <wp:effectExtent l="0" t="0" r="0" b="0"/>
                <wp:wrapSquare wrapText="right"/>
                <wp:docPr id="3" name="Frame1"/>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any amendments thereto, and file such forms with the United States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60655"/>
                <wp:effectExtent l="0" t="0" r="0" b="0"/>
                <wp:wrapSquare wrapText="right"/>
                <wp:docPr id="4" name="Frame2"/>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pBdr/>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60655"/>
                <wp:effectExtent l="0" t="0" r="0" b="0"/>
                <wp:wrapSquare wrapText="right"/>
                <wp:docPr id="5" name="Frame3"/>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supersedes and replaces all prior Powers of Attorney submitted by the undersigned.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b/>
          <w:sz w:val="22"/>
        </w:rPr>
        <w:t>IN WITNESS WHEREOF</w:t>
      </w:r>
      <w:r>
        <w:rPr>
          <w:sz w:val="22"/>
        </w:rPr>
        <w:t>, the undersigned has caused this Power of Attorney to be executed as of this 10</w:t>
      </w:r>
      <w:r>
        <w:rPr>
          <w:position w:val="7"/>
          <w:sz w:val="18"/>
          <w:sz w:val="22"/>
        </w:rPr>
        <w:t>th</w:t>
      </w:r>
      <w:r>
        <w:rPr>
          <w:sz w:val="22"/>
        </w:rPr>
        <w:t xml:space="preserve"> day of June 2026.</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pBdr/>
        <w:bidi w:val="0"/>
        <w:spacing w:before="0" w:after="0"/>
        <w:ind w:left="0" w:right="0" w:hanging="0"/>
        <w:jc w:val="both"/>
        <w:rPr>
          <w:sz w:val="22"/>
        </w:rPr>
      </w:pPr>
      <w:r>
        <w:rPr>
          <w:sz w:val="22"/>
        </w:rPr>
        <w:t>By:  </w:t>
      </w:r>
      <w:r>
        <w:rPr>
          <w:sz w:val="22"/>
          <w:u w:val="single"/>
        </w:rPr>
        <w:t>/s/ Mark A. Gardner</w:t>
      </w:r>
    </w:p>
    <w:p>
      <w:pPr>
        <w:pStyle w:val="TextBody"/>
        <w:pBdr/>
        <w:bidi w:val="0"/>
        <w:spacing w:before="0" w:after="0"/>
        <w:ind w:left="0" w:right="0" w:hanging="0"/>
        <w:jc w:val="both"/>
        <w:rPr/>
      </w:pPr>
      <w:r>
        <w:rPr/>
        <w:t>         </w:t>
      </w:r>
      <w:r>
        <w:rPr>
          <w:sz w:val="22"/>
        </w:rPr>
        <w:t>Mark A. Gardner</w:t>
      </w:r>
    </w:p>
    <w:p>
      <w:pPr>
        <w:pStyle w:val="TextBody"/>
        <w:bidi w:val="0"/>
        <w:spacing w:before="0" w:after="0"/>
        <w:ind w:left="0" w:right="0" w:hanging="0"/>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55242" TargetMode="External"/><Relationship Id="rId3" Type="http://schemas.openxmlformats.org/officeDocument/2006/relationships/hyperlink" Target="http://www.sec.gov/cgi-bin/browse-edgar?action=getcompany&amp;CIK=000181833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1009</Words>
  <Characters>5444</Characters>
  <CharactersWithSpaces>6410</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