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240" w:type="dxa"/>
            <w:vAlign w:val="bottom"/>
          </w:tcPr>
          <w:p>
            <w:pPr>
              <w:jc w:val="center"/>
              <w:ind w:left="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240" w:type="dxa"/>
            <w:vAlign w:val="bottom"/>
            <w:vMerge w:val="restart"/>
          </w:tcPr>
          <w:p>
            <w:pPr>
              <w:jc w:val="center"/>
              <w:ind w:left="67"/>
              <w:spacing w:after="0"/>
              <w:rPr>
                <w:sz w:val="20"/>
                <w:szCs w:val="20"/>
                <w:color w:val="auto"/>
              </w:rPr>
            </w:pPr>
            <w:r>
              <w:rPr>
                <w:rFonts w:ascii="Times New Roman" w:cs="Times New Roman" w:eastAsia="Times New Roman" w:hAnsi="Times New Roman"/>
                <w:sz w:val="17"/>
                <w:szCs w:val="17"/>
                <w:color w:val="0000FF"/>
              </w:rPr>
              <w:t>05/18/2026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175,000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42.5517</w:t>
            </w:r>
            <w:r>
              <w:rPr>
                <w:rFonts w:ascii="Times New Roman" w:cs="Times New Roman" w:eastAsia="Times New Roman" w:hAnsi="Times New Roman"/>
                <w:sz w:val="22"/>
                <w:szCs w:val="22"/>
                <w:color w:val="008000"/>
                <w:vertAlign w:val="superscript"/>
              </w:rPr>
              <w:t>(1)</w:t>
            </w:r>
          </w:p>
        </w:tc>
        <w:tc>
          <w:tcPr>
            <w:tcW w:w="10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w w:val="99"/>
              </w:rPr>
              <w:t>3,182,164</w:t>
            </w:r>
          </w:p>
        </w:tc>
        <w:tc>
          <w:tcPr>
            <w:tcW w:w="980" w:type="dxa"/>
            <w:vAlign w:val="bottom"/>
            <w:vMerge w:val="restart"/>
          </w:tcPr>
          <w:p>
            <w:pPr>
              <w:jc w:val="center"/>
              <w:ind w:left="12"/>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2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680" w:type="dxa"/>
            <w:vAlign w:val="bottom"/>
            <w:tcBorders>
              <w:bottom w:val="single" w:sz="8" w:color="2C2C2C"/>
            </w:tcBorders>
            <w:vMerge w:val="continue"/>
          </w:tcPr>
          <w:p>
            <w:pPr>
              <w:spacing w:after="0"/>
              <w:rPr>
                <w:sz w:val="9"/>
                <w:szCs w:val="9"/>
                <w:color w:val="auto"/>
              </w:rPr>
            </w:pPr>
          </w:p>
        </w:tc>
        <w:tc>
          <w:tcPr>
            <w:tcW w:w="1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240" w:type="dxa"/>
            <w:vAlign w:val="bottom"/>
            <w:vMerge w:val="restart"/>
          </w:tcPr>
          <w:p>
            <w:pPr>
              <w:jc w:val="center"/>
              <w:ind w:left="67"/>
              <w:spacing w:after="0"/>
              <w:rPr>
                <w:sz w:val="20"/>
                <w:szCs w:val="20"/>
                <w:color w:val="auto"/>
              </w:rPr>
            </w:pPr>
            <w:r>
              <w:rPr>
                <w:rFonts w:ascii="Times New Roman" w:cs="Times New Roman" w:eastAsia="Times New Roman" w:hAnsi="Times New Roman"/>
                <w:sz w:val="17"/>
                <w:szCs w:val="17"/>
                <w:color w:val="0000FF"/>
              </w:rPr>
              <w:t>05/19/2026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185,000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42.5964</w:t>
            </w:r>
            <w:r>
              <w:rPr>
                <w:rFonts w:ascii="Times New Roman" w:cs="Times New Roman" w:eastAsia="Times New Roman" w:hAnsi="Times New Roman"/>
                <w:sz w:val="22"/>
                <w:szCs w:val="22"/>
                <w:color w:val="008000"/>
                <w:vertAlign w:val="superscript"/>
              </w:rPr>
              <w:t>(3)</w:t>
            </w:r>
          </w:p>
        </w:tc>
        <w:tc>
          <w:tcPr>
            <w:tcW w:w="10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w w:val="99"/>
              </w:rPr>
              <w:t>3,367,164</w:t>
            </w:r>
          </w:p>
        </w:tc>
        <w:tc>
          <w:tcPr>
            <w:tcW w:w="980" w:type="dxa"/>
            <w:vAlign w:val="bottom"/>
            <w:vMerge w:val="restart"/>
          </w:tcPr>
          <w:p>
            <w:pPr>
              <w:jc w:val="center"/>
              <w:ind w:left="12"/>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2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680" w:type="dxa"/>
            <w:vAlign w:val="bottom"/>
            <w:tcBorders>
              <w:bottom w:val="single" w:sz="8" w:color="2C2C2C"/>
            </w:tcBorders>
            <w:vMerge w:val="continue"/>
          </w:tcPr>
          <w:p>
            <w:pPr>
              <w:spacing w:after="0"/>
              <w:rPr>
                <w:sz w:val="9"/>
                <w:szCs w:val="9"/>
                <w:color w:val="auto"/>
              </w:rPr>
            </w:pPr>
          </w:p>
        </w:tc>
        <w:tc>
          <w:tcPr>
            <w:tcW w:w="1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240" w:type="dxa"/>
            <w:vAlign w:val="bottom"/>
            <w:vMerge w:val="restart"/>
          </w:tcPr>
          <w:p>
            <w:pPr>
              <w:jc w:val="center"/>
              <w:ind w:left="67"/>
              <w:spacing w:after="0"/>
              <w:rPr>
                <w:sz w:val="20"/>
                <w:szCs w:val="20"/>
                <w:color w:val="auto"/>
              </w:rPr>
            </w:pPr>
            <w:r>
              <w:rPr>
                <w:rFonts w:ascii="Times New Roman" w:cs="Times New Roman" w:eastAsia="Times New Roman" w:hAnsi="Times New Roman"/>
                <w:sz w:val="17"/>
                <w:szCs w:val="17"/>
                <w:color w:val="0000FF"/>
              </w:rPr>
              <w:t>05/20/2026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140,000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43.8061</w:t>
            </w:r>
            <w:r>
              <w:rPr>
                <w:rFonts w:ascii="Times New Roman" w:cs="Times New Roman" w:eastAsia="Times New Roman" w:hAnsi="Times New Roman"/>
                <w:sz w:val="22"/>
                <w:szCs w:val="22"/>
                <w:color w:val="008000"/>
                <w:vertAlign w:val="superscript"/>
              </w:rPr>
              <w:t>(4)</w:t>
            </w:r>
          </w:p>
        </w:tc>
        <w:tc>
          <w:tcPr>
            <w:tcW w:w="10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w w:val="99"/>
              </w:rPr>
              <w:t>3,507,164</w:t>
            </w:r>
          </w:p>
        </w:tc>
        <w:tc>
          <w:tcPr>
            <w:tcW w:w="980" w:type="dxa"/>
            <w:vAlign w:val="bottom"/>
            <w:vMerge w:val="restart"/>
          </w:tcPr>
          <w:p>
            <w:pPr>
              <w:jc w:val="center"/>
              <w:ind w:left="12"/>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2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680" w:type="dxa"/>
            <w:vAlign w:val="bottom"/>
            <w:tcBorders>
              <w:bottom w:val="single" w:sz="8" w:color="2C2C2C"/>
            </w:tcBorders>
            <w:vMerge w:val="continue"/>
          </w:tcPr>
          <w:p>
            <w:pPr>
              <w:spacing w:after="0"/>
              <w:rPr>
                <w:sz w:val="9"/>
                <w:szCs w:val="9"/>
                <w:color w:val="auto"/>
              </w:rPr>
            </w:pPr>
          </w:p>
        </w:tc>
        <w:tc>
          <w:tcPr>
            <w:tcW w:w="1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rPr>
              <w:t>20,517</w:t>
            </w:r>
          </w:p>
        </w:tc>
        <w:tc>
          <w:tcPr>
            <w:tcW w:w="980" w:type="dxa"/>
            <w:vAlign w:val="bottom"/>
            <w:vMerge w:val="restart"/>
          </w:tcPr>
          <w:p>
            <w:pPr>
              <w:jc w:val="center"/>
              <w:ind w:left="12"/>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Class A Common Stock,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 per 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 per 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color w:val="0000FF"/>
              </w:rPr>
              <w:t>19,247</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2"/>
              </w:rPr>
              <w:t>foonote</w:t>
            </w:r>
            <w:r>
              <w:rPr>
                <w:rFonts w:ascii="Times New Roman" w:cs="Times New Roman" w:eastAsia="Times New Roman" w:hAnsi="Times New Roman"/>
                <w:sz w:val="22"/>
                <w:szCs w:val="22"/>
                <w:color w:val="008000"/>
                <w:w w:val="92"/>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333,144</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2"/>
              </w:rPr>
              <w:t>foonote</w:t>
            </w:r>
            <w:r>
              <w:rPr>
                <w:rFonts w:ascii="Times New Roman" w:cs="Times New Roman" w:eastAsia="Times New Roman" w:hAnsi="Times New Roman"/>
                <w:sz w:val="22"/>
                <w:szCs w:val="22"/>
                <w:color w:val="008000"/>
                <w:w w:val="92"/>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640" w:space="720"/>
            <w:col w:w="272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Capital,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spacing w:after="0" w:line="1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533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533527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Eli</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$42.4573 to $42.9153.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$42.1118 to $42.6898.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$43.6287 to $44.3384.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GP and may be deemed to be indirectly beneficially owned by Eli Casdin, the managing member of the GP.</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2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860"/>
          </w:cols>
          <w:pgMar w:left="480" w:top="110" w:right="559" w:bottom="406"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6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592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20"/>
            <w:col w:w="2100"/>
          </w:cols>
          <w:pgMar w:left="480" w:top="110" w:right="559" w:bottom="406"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10" w:right="559" w:bottom="4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534261" TargetMode="External"/><Relationship Id="rId14" Type="http://schemas.openxmlformats.org/officeDocument/2006/relationships/hyperlink" Target="http://www.sec.gov/cgi-bin/browse-edgar?action=getcompany&amp;CIK=0001818331" TargetMode="External"/><Relationship Id="rId16"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2026-05-20T18:47:39Z</dcterms:created>
  <dcterms:modified xsi:type="dcterms:W3CDTF">2026-05-20T18:47:39Z</dcterms:modified>
</cp:coreProperties>
</file>