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1, 2020.</w:t>
      </w:r>
    </w:p>
    <w:p>
      <w:pPr>
        <w:spacing w:after="0" w:line="27" w:lineRule="exact"/>
        <w:rPr>
          <w:sz w:val="24"/>
          <w:szCs w:val="24"/>
          <w:color w:val="auto"/>
        </w:rPr>
      </w:pPr>
    </w:p>
    <w:p>
      <w:pPr>
        <w:ind w:left="91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Exact name of registrant as specified in its charter</w:t>
      </w:r>
      <w:r>
        <w:rPr>
          <w:rFonts w:ascii="Arial" w:cs="Arial" w:eastAsia="Arial" w:hAnsi="Arial"/>
          <w:sz w:val="18"/>
          <w:szCs w:val="18"/>
          <w:b w:val="1"/>
          <w:bCs w:val="1"/>
          <w:color w:val="auto"/>
        </w:rPr>
        <w: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85-1966622</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840" w:type="dxa"/>
            <w:vAlign w:val="bottom"/>
            <w:gridSpan w:val="2"/>
          </w:tcPr>
          <w:p>
            <w:pPr>
              <w:ind w:left="640"/>
              <w:spacing w:after="0"/>
              <w:rPr>
                <w:sz w:val="20"/>
                <w:szCs w:val="20"/>
                <w:color w:val="auto"/>
              </w:rPr>
            </w:pPr>
            <w:r>
              <w:rPr>
                <w:rFonts w:ascii="Arial" w:cs="Arial" w:eastAsia="Arial" w:hAnsi="Arial"/>
                <w:sz w:val="18"/>
                <w:szCs w:val="18"/>
                <w:b w:val="1"/>
                <w:bCs w:val="1"/>
                <w:color w:val="auto"/>
              </w:rPr>
              <w:t>incorporation or 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Corvex Management LP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667 Madison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474-6745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Eli Casdin, Chief Executive Officer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Keith Meister, Chairman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Corvex Management 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667 Madison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474-6745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11" w:lineRule="exact"/>
        <w:rPr>
          <w:sz w:val="24"/>
          <w:szCs w:val="24"/>
          <w:color w:val="auto"/>
        </w:rPr>
      </w:pPr>
    </w:p>
    <w:tbl>
      <w:tblPr>
        <w:tblLayout w:type="fixed"/>
        <w:tblInd w:w="164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5640" w:type="dxa"/>
            <w:vAlign w:val="bottom"/>
          </w:tcPr>
          <w:p>
            <w:pPr>
              <w:ind w:left="700"/>
              <w:spacing w:after="0"/>
              <w:rPr>
                <w:sz w:val="20"/>
                <w:szCs w:val="20"/>
                <w:color w:val="auto"/>
              </w:rPr>
            </w:pPr>
            <w:r>
              <w:rPr>
                <w:rFonts w:ascii="Arial" w:cs="Arial" w:eastAsia="Arial" w:hAnsi="Arial"/>
                <w:sz w:val="18"/>
                <w:szCs w:val="18"/>
                <w:b w:val="1"/>
                <w:bCs w:val="1"/>
                <w:i w:val="1"/>
                <w:iCs w:val="1"/>
                <w:color w:val="auto"/>
              </w:rPr>
              <w:t>Copies to:</w:t>
            </w:r>
          </w:p>
        </w:tc>
      </w:tr>
      <w:tr>
        <w:trPr>
          <w:trHeight w:val="414"/>
        </w:trPr>
        <w:tc>
          <w:tcPr>
            <w:tcW w:w="292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Joel L. Rubinstein</w:t>
            </w:r>
          </w:p>
        </w:tc>
        <w:tc>
          <w:tcPr>
            <w:tcW w:w="5640" w:type="dxa"/>
            <w:vAlign w:val="bottom"/>
          </w:tcPr>
          <w:p>
            <w:pPr>
              <w:jc w:val="center"/>
              <w:ind w:left="2130"/>
              <w:spacing w:after="0"/>
              <w:rPr>
                <w:sz w:val="20"/>
                <w:szCs w:val="20"/>
                <w:color w:val="auto"/>
              </w:rPr>
            </w:pPr>
            <w:r>
              <w:rPr>
                <w:rFonts w:ascii="Arial" w:cs="Arial" w:eastAsia="Arial" w:hAnsi="Arial"/>
                <w:sz w:val="18"/>
                <w:szCs w:val="18"/>
                <w:b w:val="1"/>
                <w:bCs w:val="1"/>
                <w:color w:val="auto"/>
                <w:w w:val="91"/>
              </w:rPr>
              <w:t>Gregg A. Noel</w:t>
            </w:r>
          </w:p>
        </w:tc>
      </w:tr>
      <w:tr>
        <w:trPr>
          <w:trHeight w:val="216"/>
        </w:trPr>
        <w:tc>
          <w:tcPr>
            <w:tcW w:w="2920" w:type="dxa"/>
            <w:vAlign w:val="bottom"/>
          </w:tcPr>
          <w:p>
            <w:pPr>
              <w:jc w:val="center"/>
              <w:ind w:right="590"/>
              <w:spacing w:after="0"/>
              <w:rPr>
                <w:sz w:val="20"/>
                <w:szCs w:val="20"/>
                <w:color w:val="auto"/>
              </w:rPr>
            </w:pPr>
            <w:r>
              <w:rPr>
                <w:rFonts w:ascii="Arial" w:cs="Arial" w:eastAsia="Arial" w:hAnsi="Arial"/>
                <w:sz w:val="18"/>
                <w:szCs w:val="18"/>
                <w:b w:val="1"/>
                <w:bCs w:val="1"/>
                <w:color w:val="auto"/>
                <w:w w:val="92"/>
              </w:rPr>
              <w:t>Colin J. Diamond</w:t>
            </w:r>
          </w:p>
        </w:tc>
        <w:tc>
          <w:tcPr>
            <w:tcW w:w="5640" w:type="dxa"/>
            <w:vAlign w:val="bottom"/>
          </w:tcPr>
          <w:p>
            <w:pPr>
              <w:jc w:val="center"/>
              <w:ind w:left="2130"/>
              <w:spacing w:after="0"/>
              <w:rPr>
                <w:sz w:val="20"/>
                <w:szCs w:val="20"/>
                <w:color w:val="auto"/>
              </w:rPr>
            </w:pPr>
            <w:r>
              <w:rPr>
                <w:rFonts w:ascii="Arial" w:cs="Arial" w:eastAsia="Arial" w:hAnsi="Arial"/>
                <w:sz w:val="18"/>
                <w:szCs w:val="18"/>
                <w:b w:val="1"/>
                <w:bCs w:val="1"/>
                <w:color w:val="auto"/>
                <w:w w:val="93"/>
              </w:rPr>
              <w:t>Michael J. Mies</w:t>
            </w:r>
          </w:p>
        </w:tc>
      </w:tr>
      <w:tr>
        <w:trPr>
          <w:trHeight w:val="216"/>
        </w:trPr>
        <w:tc>
          <w:tcPr>
            <w:tcW w:w="292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Daniel E. Nussen</w:t>
            </w:r>
          </w:p>
        </w:tc>
        <w:tc>
          <w:tcPr>
            <w:tcW w:w="5640" w:type="dxa"/>
            <w:vAlign w:val="bottom"/>
          </w:tcPr>
          <w:p>
            <w:pPr>
              <w:jc w:val="center"/>
              <w:ind w:left="2130"/>
              <w:spacing w:after="0"/>
              <w:rPr>
                <w:sz w:val="20"/>
                <w:szCs w:val="20"/>
                <w:color w:val="auto"/>
              </w:rPr>
            </w:pPr>
            <w:r>
              <w:rPr>
                <w:rFonts w:ascii="Arial" w:cs="Arial" w:eastAsia="Arial" w:hAnsi="Arial"/>
                <w:sz w:val="18"/>
                <w:szCs w:val="18"/>
                <w:b w:val="1"/>
                <w:bCs w:val="1"/>
                <w:color w:val="auto"/>
                <w:w w:val="92"/>
              </w:rPr>
              <w:t>Skadden, Arps, Slate, Meagher &amp; Flom LLP</w:t>
            </w:r>
          </w:p>
        </w:tc>
      </w:tr>
      <w:tr>
        <w:trPr>
          <w:trHeight w:val="216"/>
        </w:trPr>
        <w:tc>
          <w:tcPr>
            <w:tcW w:w="2920" w:type="dxa"/>
            <w:vAlign w:val="bottom"/>
          </w:tcPr>
          <w:p>
            <w:pPr>
              <w:jc w:val="center"/>
              <w:ind w:right="590"/>
              <w:spacing w:after="0"/>
              <w:rPr>
                <w:sz w:val="20"/>
                <w:szCs w:val="20"/>
                <w:color w:val="auto"/>
              </w:rPr>
            </w:pPr>
            <w:r>
              <w:rPr>
                <w:rFonts w:ascii="Arial" w:cs="Arial" w:eastAsia="Arial" w:hAnsi="Arial"/>
                <w:sz w:val="18"/>
                <w:szCs w:val="18"/>
                <w:b w:val="1"/>
                <w:bCs w:val="1"/>
                <w:color w:val="auto"/>
                <w:w w:val="96"/>
              </w:rPr>
              <w:t>White &amp; Case LLP</w:t>
            </w:r>
          </w:p>
        </w:tc>
        <w:tc>
          <w:tcPr>
            <w:tcW w:w="5640" w:type="dxa"/>
            <w:vAlign w:val="bottom"/>
          </w:tcPr>
          <w:p>
            <w:pPr>
              <w:jc w:val="center"/>
              <w:ind w:left="2130"/>
              <w:spacing w:after="0"/>
              <w:rPr>
                <w:sz w:val="20"/>
                <w:szCs w:val="20"/>
                <w:color w:val="auto"/>
              </w:rPr>
            </w:pPr>
            <w:r>
              <w:rPr>
                <w:rFonts w:ascii="Arial" w:cs="Arial" w:eastAsia="Arial" w:hAnsi="Arial"/>
                <w:sz w:val="18"/>
                <w:szCs w:val="18"/>
                <w:b w:val="1"/>
                <w:bCs w:val="1"/>
                <w:color w:val="auto"/>
                <w:w w:val="90"/>
              </w:rPr>
              <w:t>525 University Avenue</w:t>
            </w:r>
          </w:p>
        </w:tc>
      </w:tr>
      <w:tr>
        <w:trPr>
          <w:trHeight w:val="216"/>
        </w:trPr>
        <w:tc>
          <w:tcPr>
            <w:tcW w:w="2920" w:type="dxa"/>
            <w:vAlign w:val="bottom"/>
          </w:tcPr>
          <w:p>
            <w:pPr>
              <w:jc w:val="center"/>
              <w:ind w:right="590"/>
              <w:spacing w:after="0"/>
              <w:rPr>
                <w:sz w:val="20"/>
                <w:szCs w:val="20"/>
                <w:color w:val="auto"/>
              </w:rPr>
            </w:pPr>
            <w:r>
              <w:rPr>
                <w:rFonts w:ascii="Arial" w:cs="Arial" w:eastAsia="Arial" w:hAnsi="Arial"/>
                <w:sz w:val="18"/>
                <w:szCs w:val="18"/>
                <w:b w:val="1"/>
                <w:bCs w:val="1"/>
                <w:color w:val="auto"/>
                <w:w w:val="89"/>
              </w:rPr>
              <w:t>1221 Avenue of the Americas</w:t>
            </w:r>
          </w:p>
        </w:tc>
        <w:tc>
          <w:tcPr>
            <w:tcW w:w="5640" w:type="dxa"/>
            <w:vAlign w:val="bottom"/>
          </w:tcPr>
          <w:p>
            <w:pPr>
              <w:jc w:val="center"/>
              <w:ind w:left="2130"/>
              <w:spacing w:after="0"/>
              <w:rPr>
                <w:sz w:val="20"/>
                <w:szCs w:val="20"/>
                <w:color w:val="auto"/>
              </w:rPr>
            </w:pPr>
            <w:r>
              <w:rPr>
                <w:rFonts w:ascii="Arial" w:cs="Arial" w:eastAsia="Arial" w:hAnsi="Arial"/>
                <w:sz w:val="18"/>
                <w:szCs w:val="18"/>
                <w:b w:val="1"/>
                <w:bCs w:val="1"/>
                <w:color w:val="auto"/>
                <w:w w:val="92"/>
              </w:rPr>
              <w:t>Palo Alto, California 94301</w:t>
            </w:r>
          </w:p>
        </w:tc>
      </w:tr>
      <w:tr>
        <w:trPr>
          <w:trHeight w:val="216"/>
        </w:trPr>
        <w:tc>
          <w:tcPr>
            <w:tcW w:w="292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New York, New York 10020</w:t>
            </w:r>
          </w:p>
        </w:tc>
        <w:tc>
          <w:tcPr>
            <w:tcW w:w="5640" w:type="dxa"/>
            <w:vAlign w:val="bottom"/>
          </w:tcPr>
          <w:p>
            <w:pPr>
              <w:jc w:val="center"/>
              <w:ind w:left="2130"/>
              <w:spacing w:after="0"/>
              <w:rPr>
                <w:sz w:val="20"/>
                <w:szCs w:val="20"/>
                <w:color w:val="auto"/>
              </w:rPr>
            </w:pPr>
            <w:r>
              <w:rPr>
                <w:rFonts w:ascii="Arial" w:cs="Arial" w:eastAsia="Arial" w:hAnsi="Arial"/>
                <w:sz w:val="18"/>
                <w:szCs w:val="18"/>
                <w:b w:val="1"/>
                <w:bCs w:val="1"/>
                <w:color w:val="auto"/>
                <w:w w:val="91"/>
              </w:rPr>
              <w:t>Tel: (650) 470-4500</w:t>
            </w:r>
          </w:p>
        </w:tc>
      </w:tr>
      <w:tr>
        <w:trPr>
          <w:trHeight w:val="234"/>
        </w:trPr>
        <w:tc>
          <w:tcPr>
            <w:tcW w:w="292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Tel: (212) 819-8200</w:t>
            </w:r>
          </w:p>
        </w:tc>
        <w:tc>
          <w:tcPr>
            <w:tcW w:w="5640" w:type="dxa"/>
            <w:vAlign w:val="bottom"/>
          </w:tcPr>
          <w:p>
            <w:pPr>
              <w:spacing w:after="0"/>
              <w:rPr>
                <w:sz w:val="20"/>
                <w:szCs w:val="20"/>
                <w:color w:val="auto"/>
              </w:rPr>
            </w:pPr>
          </w:p>
        </w:tc>
      </w:tr>
    </w:tbl>
    <w:p>
      <w:pPr>
        <w:spacing w:after="0" w:line="19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As soon as practicable after the effective date of this registration statement.</w:t>
      </w:r>
    </w:p>
    <w:p>
      <w:pPr>
        <w:spacing w:after="0" w:line="241"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r>
        <w:rPr>
          <w:rFonts w:ascii="Arial" w:cs="Arial" w:eastAsia="Arial" w:hAnsi="Arial"/>
          <w:sz w:val="17"/>
          <w:szCs w:val="17"/>
          <w:color w:val="auto"/>
        </w:rPr>
        <w:t xml:space="preserve"> (File No. 333-246251)</w:t>
      </w:r>
    </w:p>
    <w:p>
      <w:pPr>
        <w:spacing w:after="0" w:line="182" w:lineRule="exact"/>
        <w:rPr>
          <w:sz w:val="24"/>
          <w:szCs w:val="24"/>
          <w:color w:val="auto"/>
        </w:rPr>
      </w:pPr>
    </w:p>
    <w:p>
      <w:pPr>
        <w:ind w:right="5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5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21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18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184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60" w:type="dxa"/>
            <w:vAlign w:val="bottom"/>
          </w:tcPr>
          <w:p>
            <w:pPr>
              <w:ind w:left="184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Each Class of Security Being Registered</w:t>
      </w:r>
    </w:p>
    <w:p>
      <w:pPr>
        <w:spacing w:after="0" w:line="40" w:lineRule="exact"/>
        <w:rPr>
          <w:sz w:val="20"/>
          <w:szCs w:val="20"/>
          <w:color w:val="auto"/>
        </w:rPr>
      </w:pPr>
    </w:p>
    <w:p>
      <w:pPr>
        <w:ind w:left="180" w:hanging="179"/>
        <w:spacing w:after="0" w:line="216" w:lineRule="auto"/>
        <w:rPr>
          <w:sz w:val="20"/>
          <w:szCs w:val="20"/>
          <w:color w:val="auto"/>
        </w:rPr>
      </w:pPr>
      <w:r>
        <w:rPr>
          <w:rFonts w:ascii="Arial" w:cs="Arial" w:eastAsia="Arial" w:hAnsi="Arial"/>
          <w:sz w:val="18"/>
          <w:szCs w:val="18"/>
          <w:color w:val="auto"/>
        </w:rPr>
        <w:t>Units, each consisting of one share of Class A common stock, $0.0001 par value, and one-third of one redeemable warrant</w:t>
      </w:r>
      <w:r>
        <w:rPr>
          <w:rFonts w:ascii="Arial" w:cs="Arial" w:eastAsia="Arial" w:hAnsi="Arial"/>
          <w:sz w:val="29"/>
          <w:szCs w:val="29"/>
          <w:color w:val="auto"/>
          <w:vertAlign w:val="superscript"/>
        </w:rPr>
        <w:t>(2)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Shares of Class A common stock included as part of the units</w:t>
      </w:r>
      <w:r>
        <w:rPr>
          <w:rFonts w:ascii="Arial" w:cs="Arial" w:eastAsia="Arial" w:hAnsi="Arial"/>
          <w:sz w:val="29"/>
          <w:szCs w:val="29"/>
          <w:color w:val="auto"/>
          <w:vertAlign w:val="superscript"/>
        </w:rPr>
        <w:t>(3)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Redeemable warrants included as part of the units</w:t>
      </w:r>
      <w:r>
        <w:rPr>
          <w:rFonts w:ascii="Arial" w:cs="Arial" w:eastAsia="Arial" w:hAnsi="Arial"/>
          <w:sz w:val="29"/>
          <w:szCs w:val="29"/>
          <w:color w:val="auto"/>
          <w:vertAlign w:val="superscript"/>
        </w:rPr>
        <w:t>(3)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Proposed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Maximum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6"/>
              </w:rPr>
              <w:t>Proposed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Offering</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Maximum</w:t>
            </w:r>
          </w:p>
        </w:tc>
        <w:tc>
          <w:tcPr>
            <w:tcW w:w="10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Being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Aggregate</w:t>
            </w: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Registration</w:t>
            </w:r>
          </w:p>
        </w:tc>
        <w:tc>
          <w:tcPr>
            <w:tcW w:w="0" w:type="dxa"/>
            <w:vAlign w:val="bottom"/>
          </w:tcPr>
          <w:p>
            <w:pPr>
              <w:spacing w:after="0"/>
              <w:rPr>
                <w:sz w:val="1"/>
                <w:szCs w:val="1"/>
                <w:color w:val="auto"/>
              </w:rPr>
            </w:pPr>
          </w:p>
        </w:tc>
      </w:tr>
      <w:tr>
        <w:trPr>
          <w:trHeight w:val="277"/>
        </w:trPr>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1340" w:type="dxa"/>
            <w:vAlign w:val="bottom"/>
            <w:gridSpan w:val="4"/>
          </w:tcPr>
          <w:p>
            <w:pPr>
              <w:ind w:left="100"/>
              <w:spacing w:after="0" w:line="270" w:lineRule="exact"/>
              <w:rPr>
                <w:sz w:val="20"/>
                <w:szCs w:val="20"/>
                <w:color w:val="auto"/>
              </w:rPr>
            </w:pPr>
            <w:r>
              <w:rPr>
                <w:rFonts w:ascii="Arial" w:cs="Arial" w:eastAsia="Arial" w:hAnsi="Arial"/>
                <w:sz w:val="18"/>
                <w:szCs w:val="18"/>
                <w:b w:val="1"/>
                <w:bCs w:val="1"/>
                <w:color w:val="auto"/>
                <w:w w:val="95"/>
              </w:rPr>
              <w:t>per Security</w:t>
            </w:r>
            <w:r>
              <w:rPr>
                <w:rFonts w:ascii="Arial" w:cs="Arial" w:eastAsia="Arial" w:hAnsi="Arial"/>
                <w:sz w:val="29"/>
                <w:szCs w:val="29"/>
                <w:b w:val="1"/>
                <w:bCs w:val="1"/>
                <w:color w:val="auto"/>
                <w:w w:val="95"/>
                <w:vertAlign w:val="superscript"/>
              </w:rPr>
              <w:t>(1)</w:t>
            </w:r>
          </w:p>
        </w:tc>
        <w:tc>
          <w:tcPr>
            <w:tcW w:w="1580" w:type="dxa"/>
            <w:vAlign w:val="bottom"/>
            <w:gridSpan w:val="4"/>
          </w:tcPr>
          <w:p>
            <w:pPr>
              <w:ind w:left="100"/>
              <w:spacing w:after="0" w:line="270" w:lineRule="exact"/>
              <w:rPr>
                <w:sz w:val="20"/>
                <w:szCs w:val="20"/>
                <w:color w:val="auto"/>
              </w:rPr>
            </w:pPr>
            <w:r>
              <w:rPr>
                <w:rFonts w:ascii="Arial" w:cs="Arial" w:eastAsia="Arial" w:hAnsi="Arial"/>
                <w:sz w:val="18"/>
                <w:szCs w:val="18"/>
                <w:b w:val="1"/>
                <w:bCs w:val="1"/>
                <w:color w:val="auto"/>
              </w:rPr>
              <w:t>Offering Price</w:t>
            </w:r>
            <w:r>
              <w:rPr>
                <w:rFonts w:ascii="Arial" w:cs="Arial" w:eastAsia="Arial" w:hAnsi="Arial"/>
                <w:sz w:val="29"/>
                <w:szCs w:val="29"/>
                <w:b w:val="1"/>
                <w:bCs w:val="1"/>
                <w:color w:val="auto"/>
                <w:vertAlign w:val="superscript"/>
              </w:rPr>
              <w:t>(1)</w:t>
            </w:r>
          </w:p>
        </w:tc>
        <w:tc>
          <w:tcPr>
            <w:tcW w:w="100" w:type="dxa"/>
            <w:vAlign w:val="bottom"/>
          </w:tcPr>
          <w:p>
            <w:pPr>
              <w:spacing w:after="0"/>
              <w:rPr>
                <w:sz w:val="24"/>
                <w:szCs w:val="24"/>
                <w:color w:val="auto"/>
              </w:rPr>
            </w:pPr>
          </w:p>
        </w:tc>
        <w:tc>
          <w:tcPr>
            <w:tcW w:w="1180" w:type="dxa"/>
            <w:vAlign w:val="bottom"/>
            <w:gridSpan w:val="2"/>
          </w:tcPr>
          <w:p>
            <w:pPr>
              <w:jc w:val="center"/>
              <w:ind w:right="280"/>
              <w:spacing w:after="0" w:line="270" w:lineRule="exact"/>
              <w:rPr>
                <w:sz w:val="20"/>
                <w:szCs w:val="20"/>
                <w:color w:val="auto"/>
              </w:rPr>
            </w:pPr>
            <w:r>
              <w:rPr>
                <w:rFonts w:ascii="Arial" w:cs="Arial" w:eastAsia="Arial" w:hAnsi="Arial"/>
                <w:sz w:val="18"/>
                <w:szCs w:val="18"/>
                <w:b w:val="1"/>
                <w:bCs w:val="1"/>
                <w:color w:val="auto"/>
                <w:w w:val="84"/>
              </w:rPr>
              <w:t>Fee</w:t>
            </w:r>
            <w:r>
              <w:rPr>
                <w:rFonts w:ascii="Arial" w:cs="Arial" w:eastAsia="Arial" w:hAnsi="Arial"/>
                <w:sz w:val="29"/>
                <w:szCs w:val="29"/>
                <w:b w:val="1"/>
                <w:bCs w:val="1"/>
                <w:color w:val="auto"/>
                <w:w w:val="84"/>
                <w:vertAlign w:val="superscript"/>
              </w:rPr>
              <w:t>(5)</w:t>
            </w:r>
          </w:p>
        </w:tc>
        <w:tc>
          <w:tcPr>
            <w:tcW w:w="0" w:type="dxa"/>
            <w:vAlign w:val="bottom"/>
          </w:tcPr>
          <w:p>
            <w:pPr>
              <w:spacing w:after="0"/>
              <w:rPr>
                <w:sz w:val="1"/>
                <w:szCs w:val="1"/>
                <w:color w:val="auto"/>
              </w:rPr>
            </w:pPr>
          </w:p>
        </w:tc>
      </w:tr>
      <w:tr>
        <w:trPr>
          <w:trHeight w:val="230"/>
        </w:trPr>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4,025,000 Units</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9"/>
              </w:rPr>
              <w:t>4,025,000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40,250,000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5,224.45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1220" w:type="dxa"/>
            <w:vAlign w:val="bottom"/>
          </w:tcPr>
          <w:p>
            <w:pPr>
              <w:jc w:val="center"/>
              <w:spacing w:after="0" w:line="30" w:lineRule="exact"/>
              <w:rPr>
                <w:sz w:val="20"/>
                <w:szCs w:val="20"/>
                <w:color w:val="auto"/>
              </w:rPr>
            </w:pPr>
            <w:r>
              <w:rPr>
                <w:rFonts w:ascii="Arial" w:cs="Arial" w:eastAsia="Arial" w:hAnsi="Arial"/>
                <w:sz w:val="3"/>
                <w:szCs w:val="3"/>
                <w:color w:val="auto"/>
              </w:rPr>
              <w:t>Shares</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89"/>
              </w:rPr>
              <w:t>1,341,667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220" w:type="dxa"/>
            <w:vAlign w:val="bottom"/>
          </w:tcPr>
          <w:p>
            <w:pPr>
              <w:jc w:val="center"/>
              <w:spacing w:after="0"/>
              <w:rPr>
                <w:sz w:val="20"/>
                <w:szCs w:val="20"/>
                <w:color w:val="auto"/>
              </w:rPr>
            </w:pPr>
            <w:r>
              <w:rPr>
                <w:rFonts w:ascii="Arial" w:cs="Arial" w:eastAsia="Arial" w:hAnsi="Arial"/>
                <w:sz w:val="18"/>
                <w:szCs w:val="18"/>
                <w:color w:val="auto"/>
                <w:w w:val="87"/>
              </w:rPr>
              <w:t>Warrants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40,250,000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5,224.45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-496570</wp:posOffset>
            </wp:positionV>
            <wp:extent cx="71323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-1087755</wp:posOffset>
            </wp:positionV>
            <wp:extent cx="7132320" cy="316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460"/>
            <w:col w:w="5420"/>
          </w:cols>
          <w:pgMar w:left="320" w:top="904" w:right="339" w:bottom="1440" w:gutter="0" w:footer="0" w:header="0"/>
          <w:type w:val="continuous"/>
        </w:sectPr>
      </w:pPr>
    </w:p>
    <w:p>
      <w:pPr>
        <w:spacing w:after="0" w:line="2" w:lineRule="exact"/>
        <w:rPr>
          <w:sz w:val="20"/>
          <w:szCs w:val="20"/>
          <w:color w:val="auto"/>
        </w:rPr>
      </w:pPr>
    </w:p>
    <w:p>
      <w:pPr>
        <w:ind w:left="340" w:right="76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457(a) under the Securities Act of 1933, as amended (the “Securities Act”).</w:t>
      </w:r>
    </w:p>
    <w:p>
      <w:pPr>
        <w:spacing w:after="0" w:line="170"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525,000 units, consisting of 525,000 shares of Class A common stock and 175,000 redeemable warrants, which may be issued upon exercise of a 45-day option granted to the underwriters to cover over-allotments, if any.</w:t>
      </w:r>
    </w:p>
    <w:p>
      <w:pPr>
        <w:spacing w:after="0" w:line="170" w:lineRule="exact"/>
        <w:rPr>
          <w:rFonts w:ascii="Arial" w:cs="Arial" w:eastAsia="Arial" w:hAnsi="Arial"/>
          <w:sz w:val="18"/>
          <w:szCs w:val="18"/>
          <w:color w:val="auto"/>
        </w:rPr>
      </w:pPr>
    </w:p>
    <w:p>
      <w:pPr>
        <w:ind w:left="340" w:right="30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there are also being registered an indeterminable number of additional securities as may be issued to prevent dilution resulting from stock splits, stock dividends or similar transactions.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 under the Securities Act.</w:t>
      </w:r>
    </w:p>
    <w:p>
      <w:pPr>
        <w:spacing w:after="0" w:line="225" w:lineRule="exact"/>
        <w:rPr>
          <w:rFonts w:ascii="Arial" w:cs="Arial" w:eastAsia="Arial" w:hAnsi="Arial"/>
          <w:sz w:val="18"/>
          <w:szCs w:val="18"/>
          <w:color w:val="auto"/>
        </w:rPr>
      </w:pPr>
    </w:p>
    <w:p>
      <w:pPr>
        <w:ind w:left="340" w:hanging="332"/>
        <w:spacing w:after="0" w:line="301"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 previously registered securities having a proposed maximum aggregate offering price of $402,500,000 on its Registration Statement on Form S-1, as amended (File No. 333-246251), which was declared effective by the U.S. Securities and Exchange Commission on September 1, 2020. In accordance with Rule 462(b) under the Securities Act, an additional number of securities having a proposed maximum offering price of $40,250,000 is hereby registered, which includes securities issuable upon the exercise of the underwriters’ over-allotment option.</w:t>
      </w:r>
    </w:p>
    <w:p>
      <w:pPr>
        <w:spacing w:after="0" w:line="153"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The Registration Statement shall become effective upon filing with the Securities and Exchange Commission in accordance with Rule 462(b)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This Registration Statement on Form S-1 (this “Registration Statement”) is being filed with respect to the registration of 4,025,000 additional units, each consisting of one share of Class A common stock, $0.0001 par value per share, and one-third of one redeemable warrant, of CM Life Sciences, Inc., a Delaware corporation (the “Registrant”), pursuant to Rule 462(b) under the Securities Act of 1933, as amended, and General Instruction V to Form S-1, including 525,000 units that may be purchased by the underwriters to cover over-allotments, if any. Each whole warrant entitles the holder thereof to purchase one share of Class A common stock at a price of $11.50 per share, subject to adjustment. Only whole warrants are exercisable. No fractional warrants will be issued upon separation of the units and only whole warrants will trade. This Registration Statement relates to the Registrant’s Registration Statement on Form S-1, as amended (File No. 333-246251) (the “Prior Registration Statement”), initially filed by the Registrant on August 14, 2020 and declared effective by the U.S. Securities and Exchange Commission (the “Commission”) on September 1, 2020. The required opinion of counsel and related consent and accountant’s consent are attached hereto and filed herewith. Pursuant to Rule 462(b), the contents of the Prior Registration Statement, including the exhibits thereto, are incorporated by reference into this Registration Statement.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w:t>
      </w:r>
    </w:p>
    <w:p>
      <w:pPr>
        <w:spacing w:after="0" w:line="16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Registrant hereby certifies to the Commission that (1) it has instructed its bank to pay the filing fee set forth on the cover page of this Registration Statement by a wire transfer of such amount to the Commission’s account at U.S. Bank as soon as practicable (but no later than the close of business as of September 2, 2020), (2) it will not revoke such instructions, (3) it has sufficient funds in the relevant account to cover the amount of such filing fee and (4) it will confirm receipt of such instructions by its bank during regular business hours no later than September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All exhibits filed with or incorporated by reference in the Prior Registration Statement on Form S-1, as amended (File No. 333-246251),</w:t>
      </w:r>
      <w:r>
        <w:rPr>
          <w:rFonts w:ascii="Arial" w:cs="Arial" w:eastAsia="Arial" w:hAnsi="Arial"/>
          <w:sz w:val="18"/>
          <w:szCs w:val="18"/>
          <w:i w:val="1"/>
          <w:iCs w:val="1"/>
          <w:color w:val="auto"/>
        </w:rPr>
        <w:t xml:space="preserve"> </w:t>
      </w:r>
      <w:r>
        <w:rPr>
          <w:rFonts w:ascii="Arial" w:cs="Arial" w:eastAsia="Arial" w:hAnsi="Arial"/>
          <w:sz w:val="18"/>
          <w:szCs w:val="18"/>
          <w:color w:val="auto"/>
        </w:rPr>
        <w:t>are incorporated by reference into, and shall be deemed a part of, this Registration Statement, and the following additional exhibits are being filed herewith, as part of this Registration Statement:</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160"/>
        <w:spacing w:after="0"/>
        <w:tabs>
          <w:tab w:leader="none" w:pos="57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46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6">
        <w:r>
          <w:rPr>
            <w:rFonts w:ascii="Arial" w:cs="Arial" w:eastAsia="Arial" w:hAnsi="Arial"/>
            <w:sz w:val="16"/>
            <w:szCs w:val="16"/>
            <w:u w:val="single" w:color="auto"/>
            <w:color w:val="0000EE"/>
          </w:rPr>
          <w:t>Opinion of White &amp; Case LLP.</w:t>
        </w:r>
      </w:hyperlink>
    </w:p>
    <w:p>
      <w:pPr>
        <w:spacing w:after="0" w:line="23" w:lineRule="exact"/>
        <w:rPr>
          <w:sz w:val="20"/>
          <w:szCs w:val="20"/>
          <w:color w:val="auto"/>
        </w:rPr>
      </w:pPr>
    </w:p>
    <w:p>
      <w:pPr>
        <w:ind w:left="42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9">
        <w:r>
          <w:rPr>
            <w:rFonts w:ascii="Arial" w:cs="Arial" w:eastAsia="Arial" w:hAnsi="Arial"/>
            <w:sz w:val="16"/>
            <w:szCs w:val="16"/>
            <w:u w:val="single" w:color="auto"/>
            <w:color w:val="0000EE"/>
          </w:rPr>
          <w:t>Consent of WithumSmith+Brown, PC.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42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6">
        <w:r>
          <w:rPr>
            <w:rFonts w:ascii="Arial" w:cs="Arial" w:eastAsia="Arial" w:hAnsi="Arial"/>
            <w:sz w:val="16"/>
            <w:szCs w:val="16"/>
            <w:u w:val="single" w:color="auto"/>
            <w:color w:val="0000EE"/>
          </w:rPr>
          <w:t>Consent of White &amp; Case LLP (included on Exhibit 5.1).</w:t>
        </w:r>
      </w:hyperlink>
    </w:p>
    <w:p>
      <w:pPr>
        <w:spacing w:after="0" w:line="9" w:lineRule="exact"/>
        <w:rPr>
          <w:sz w:val="20"/>
          <w:szCs w:val="20"/>
          <w:color w:val="auto"/>
        </w:rPr>
      </w:pPr>
    </w:p>
    <w:p>
      <w:pPr>
        <w:ind w:left="1260" w:right="20" w:hanging="775"/>
        <w:spacing w:after="0" w:line="260" w:lineRule="auto"/>
        <w:tabs>
          <w:tab w:leader="none" w:pos="1260" w:val="left"/>
        </w:tabs>
        <w:numPr>
          <w:ilvl w:val="0"/>
          <w:numId w:val="3"/>
        </w:numPr>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Power of Attorney (included on signature page to the Registrant’s Prior Registration Statement (File No.333-246251) filed on August 14,</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2020).</w:t>
        </w:r>
      </w:hyperlink>
    </w:p>
    <w:p>
      <w:pPr>
        <w:spacing w:after="0" w:line="394" w:lineRule="exact"/>
        <w:rPr>
          <w:rFonts w:ascii="Arial" w:cs="Arial" w:eastAsia="Arial" w:hAnsi="Arial"/>
          <w:sz w:val="18"/>
          <w:szCs w:val="18"/>
          <w:color w:val="auto"/>
        </w:rPr>
      </w:pPr>
    </w:p>
    <w:p>
      <w:pPr>
        <w:jc w:val="center"/>
        <w:ind w:right="-99"/>
        <w:spacing w:after="0"/>
        <w:rPr>
          <w:sz w:val="20"/>
          <w:szCs w:val="20"/>
          <w:color w:val="auto"/>
        </w:rPr>
      </w:pPr>
      <w:r>
        <w:rPr>
          <w:rFonts w:ascii="Arial" w:cs="Arial" w:eastAsia="Arial" w:hAnsi="Arial"/>
          <w:sz w:val="22"/>
          <w:szCs w:val="22"/>
          <w:color w:val="auto"/>
        </w:rPr>
        <w:t>II-1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NY, on the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September, 2020.</w:t>
      </w:r>
    </w:p>
    <w:p>
      <w:pPr>
        <w:spacing w:after="0" w:line="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CM LIFE SCIENCES,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Emes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and Secretary</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66" w:lineRule="exact"/>
        <w:rPr>
          <w:sz w:val="20"/>
          <w:szCs w:val="20"/>
          <w:color w:val="auto"/>
        </w:rPr>
      </w:pPr>
    </w:p>
    <w:p>
      <w:pPr>
        <w:ind w:left="2000"/>
        <w:spacing w:after="0"/>
        <w:tabs>
          <w:tab w:leader="none" w:pos="6320" w:val="left"/>
          <w:tab w:leader="none" w:pos="98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Position</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Eli Casdin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Emes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Keith Meister</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Brian Emes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tabs>
          <w:tab w:leader="none" w:pos="4680" w:val="left"/>
        </w:tabs>
        <w:rPr>
          <w:sz w:val="20"/>
          <w:szCs w:val="20"/>
          <w:color w:val="auto"/>
        </w:rPr>
      </w:pPr>
      <w:r>
        <w:rPr>
          <w:rFonts w:ascii="Arial" w:cs="Arial" w:eastAsia="Arial" w:hAnsi="Arial"/>
          <w:sz w:val="18"/>
          <w:szCs w:val="18"/>
          <w:color w:val="auto"/>
        </w:rPr>
        <w:t>Chief Executive Officer and Director</w:t>
      </w:r>
      <w:r>
        <w:rPr>
          <w:sz w:val="20"/>
          <w:szCs w:val="20"/>
          <w:color w:val="auto"/>
        </w:rPr>
        <w:tab/>
      </w:r>
      <w:r>
        <w:rPr>
          <w:rFonts w:ascii="Arial" w:cs="Arial" w:eastAsia="Arial" w:hAnsi="Arial"/>
          <w:sz w:val="15"/>
          <w:szCs w:val="15"/>
          <w:color w:val="auto"/>
        </w:rPr>
        <w:t>September 1,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tabs>
          <w:tab w:leader="none" w:pos="4680" w:val="left"/>
        </w:tabs>
        <w:rPr>
          <w:sz w:val="20"/>
          <w:szCs w:val="20"/>
          <w:color w:val="auto"/>
        </w:rPr>
      </w:pPr>
      <w:r>
        <w:rPr>
          <w:rFonts w:ascii="Arial" w:cs="Arial" w:eastAsia="Arial" w:hAnsi="Arial"/>
          <w:sz w:val="18"/>
          <w:szCs w:val="18"/>
          <w:color w:val="auto"/>
        </w:rPr>
        <w:t>Chief Financial Officer and Secretary</w:t>
      </w:r>
      <w:r>
        <w:rPr>
          <w:sz w:val="20"/>
          <w:szCs w:val="20"/>
          <w:color w:val="auto"/>
        </w:rPr>
        <w:tab/>
      </w:r>
      <w:r>
        <w:rPr>
          <w:rFonts w:ascii="Arial" w:cs="Arial" w:eastAsia="Arial" w:hAnsi="Arial"/>
          <w:sz w:val="15"/>
          <w:szCs w:val="15"/>
          <w:color w:val="auto"/>
        </w:rPr>
        <w:t>September 1,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38" w:lineRule="exact"/>
        <w:rPr>
          <w:sz w:val="20"/>
          <w:szCs w:val="20"/>
          <w:color w:val="auto"/>
        </w:rPr>
      </w:pPr>
    </w:p>
    <w:p>
      <w:pPr>
        <w:spacing w:after="0"/>
        <w:tabs>
          <w:tab w:leader="none" w:pos="4680" w:val="left"/>
        </w:tabs>
        <w:rPr>
          <w:sz w:val="20"/>
          <w:szCs w:val="20"/>
          <w:color w:val="auto"/>
        </w:rPr>
      </w:pPr>
      <w:r>
        <w:rPr>
          <w:rFonts w:ascii="Arial" w:cs="Arial" w:eastAsia="Arial" w:hAnsi="Arial"/>
          <w:sz w:val="18"/>
          <w:szCs w:val="18"/>
          <w:color w:val="auto"/>
        </w:rPr>
        <w:t>Chairman of the Board</w:t>
      </w:r>
      <w:r>
        <w:rPr>
          <w:sz w:val="20"/>
          <w:szCs w:val="20"/>
          <w:color w:val="auto"/>
        </w:rPr>
        <w:tab/>
      </w:r>
      <w:r>
        <w:rPr>
          <w:rFonts w:ascii="Arial" w:cs="Arial" w:eastAsia="Arial" w:hAnsi="Arial"/>
          <w:sz w:val="15"/>
          <w:szCs w:val="15"/>
          <w:color w:val="auto"/>
        </w:rPr>
        <w:t>September 1, 2020</w:t>
      </w:r>
    </w:p>
    <w:p>
      <w:pPr>
        <w:spacing w:after="0" w:line="1311" w:lineRule="exact"/>
        <w:rPr>
          <w:sz w:val="20"/>
          <w:szCs w:val="20"/>
          <w:color w:val="auto"/>
        </w:rPr>
      </w:pPr>
    </w:p>
    <w:p>
      <w:pPr>
        <w:sectPr>
          <w:pgSz w:w="11900" w:h="16838" w:orient="portrait"/>
          <w:cols w:equalWidth="0" w:num="2">
            <w:col w:w="3900" w:space="720"/>
            <w:col w:w="6560"/>
          </w:cols>
          <w:pgMar w:left="320" w:top="904" w:right="399" w:bottom="1440" w:gutter="0" w:footer="0" w:header="0"/>
          <w:type w:val="continuous"/>
        </w:sect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165735</wp:posOffset>
            </wp:positionV>
            <wp:extent cx="1328420" cy="93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2842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CM Life 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Corvex Management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10065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acted as New York counsel to CM Life Sciences, Inc., a corporation organized under the laws of Delaware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by the Company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pursuant to Rule 462(b)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of a registration statement on Form S-1 (the “</w:t>
      </w:r>
      <w:r>
        <w:rPr>
          <w:rFonts w:ascii="Arial" w:cs="Arial" w:eastAsia="Arial" w:hAnsi="Arial"/>
          <w:sz w:val="16"/>
          <w:szCs w:val="16"/>
          <w:u w:val="single" w:color="auto"/>
          <w:color w:val="auto"/>
        </w:rPr>
        <w:t>462(b) Registration Statement</w:t>
      </w:r>
      <w:r>
        <w:rPr>
          <w:rFonts w:ascii="Arial" w:cs="Arial" w:eastAsia="Arial" w:hAnsi="Arial"/>
          <w:sz w:val="16"/>
          <w:szCs w:val="16"/>
          <w:color w:val="auto"/>
        </w:rPr>
        <w:t>”) relating to the registration under the Securities Act of the offer and sale by the Company of 4,025,000 units of the Company, including up to 525,000 units which may be purchased from the Company upon the exercise of the over-allotment option to purchase additional units set forth in the Underwriting Agreement (as defined below) (collectively, the “</w:t>
      </w:r>
      <w:r>
        <w:rPr>
          <w:rFonts w:ascii="Arial" w:cs="Arial" w:eastAsia="Arial" w:hAnsi="Arial"/>
          <w:sz w:val="16"/>
          <w:szCs w:val="16"/>
          <w:u w:val="single" w:color="auto"/>
          <w:color w:val="auto"/>
        </w:rPr>
        <w:t>Units</w:t>
      </w:r>
      <w:r>
        <w:rPr>
          <w:rFonts w:ascii="Arial" w:cs="Arial" w:eastAsia="Arial" w:hAnsi="Arial"/>
          <w:sz w:val="16"/>
          <w:szCs w:val="16"/>
          <w:color w:val="auto"/>
        </w:rPr>
        <w:t>”), with each Unit consisting of one share of the Company’s Class A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one-third of one redeemable warrant (each, a “</w:t>
      </w:r>
      <w:r>
        <w:rPr>
          <w:rFonts w:ascii="Arial" w:cs="Arial" w:eastAsia="Arial" w:hAnsi="Arial"/>
          <w:sz w:val="16"/>
          <w:szCs w:val="16"/>
          <w:u w:val="single" w:color="auto"/>
          <w:color w:val="auto"/>
        </w:rPr>
        <w:t>Warrant</w:t>
      </w:r>
      <w:r>
        <w:rPr>
          <w:rFonts w:ascii="Arial" w:cs="Arial" w:eastAsia="Arial" w:hAnsi="Arial"/>
          <w:sz w:val="16"/>
          <w:szCs w:val="16"/>
          <w:color w:val="auto"/>
        </w:rPr>
        <w:t>”), each whole Warrant entitling the holder to purchase one share of Common Stock. The 462(b) Registration Statement relates to the Company’s Registration Statement on Form S-1, as amended (File No. 333-246251)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initially filed by the Company on August 14, 2020 and declared effective by the Commission on September 1, 2020.</w:t>
      </w:r>
    </w:p>
    <w:p>
      <w:pPr>
        <w:spacing w:after="0" w:line="5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This opinion letter is rendered in accordance with the requirements of Item 601(b)(5) of Regulation S–K under the Securities Act, and no opinion is expressed herein as to any matter pertaining to the contents of the Registration Statement or related prospectus, any prospectus filed pursuant to Rule 424(b) with respect thereto or the 462(b) Registration Statement, other than as expressly stated herein with respect to the issue of the Units.</w:t>
      </w:r>
    </w:p>
    <w:p>
      <w:pPr>
        <w:spacing w:after="0" w:line="4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our opinions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opinions set forth in this opinion letter:</w:t>
      </w:r>
    </w:p>
    <w:p>
      <w:pPr>
        <w:spacing w:after="0" w:line="76"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Registration Statement and the 462(b) Registration Statement;</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form of underwriting agreement to be entered into between the Company and the representative on behalf of each of the several underwriters named in Schedule A thereto, filed as Exhibit 1.1 to the Registration Statement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specimen Unit certificate, filed as Exhibit 4.1 to the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specimen Common Stock certificate, filed as Exhibit 4.2 to the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specimen Warrant certificate, filed as Exhibit 4.3 to the Registration Statement;</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form of Warrant Agreement to be entered into by and between the Company and Continental Stock Transfer &amp; Trust Company, as warrant agent (the “</w:t>
      </w:r>
      <w:r>
        <w:rPr>
          <w:rFonts w:ascii="Arial" w:cs="Arial" w:eastAsia="Arial" w:hAnsi="Arial"/>
          <w:sz w:val="18"/>
          <w:szCs w:val="18"/>
          <w:u w:val="single" w:color="auto"/>
          <w:color w:val="auto"/>
        </w:rPr>
        <w:t>Warrant Agent</w:t>
      </w:r>
      <w:r>
        <w:rPr>
          <w:rFonts w:ascii="Arial" w:cs="Arial" w:eastAsia="Arial" w:hAnsi="Arial"/>
          <w:sz w:val="18"/>
          <w:szCs w:val="18"/>
          <w:color w:val="auto"/>
        </w:rPr>
        <w:t>”), pursuant to which the Warrants will be issued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 filed as Exhibit 4.4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6011545</wp:posOffset>
            </wp:positionH>
            <wp:positionV relativeFrom="page">
              <wp:posOffset>405765</wp:posOffset>
            </wp:positionV>
            <wp:extent cx="1328420" cy="93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28420" cy="93980"/>
                    </a:xfrm>
                    <a:prstGeom prst="rect">
                      <a:avLst/>
                    </a:prstGeom>
                    <a:noFill/>
                  </pic:spPr>
                </pic:pic>
              </a:graphicData>
            </a:graphic>
          </wp:anchor>
        </w:drawing>
        <w:t>a copy of the Amended and Restated Certificate of Incorporation of the Company, certified by the Secretary of State of the State of Delaware on July 13, 2020;</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Second Amended and Restated Certificate of Incorporation of the Company to be in effect immediately prior to the consummation of the offering of the Units, a form of which is filed as Exhibit 3.2 to the Registration Statement (the “</w:t>
      </w:r>
      <w:r>
        <w:rPr>
          <w:rFonts w:ascii="Arial" w:cs="Arial" w:eastAsia="Arial" w:hAnsi="Arial"/>
          <w:sz w:val="17"/>
          <w:szCs w:val="17"/>
          <w:u w:val="single" w:color="auto"/>
          <w:color w:val="auto"/>
        </w:rPr>
        <w:t>Amended Certificate of Incorporation</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copy of the Bylaws of the Company as in effect on September 1, 2020, certified by the Secretary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copy of Resolutions of the Board of Directors of the Company adopted on July 16, 2020, certified by the Secretary of the Company; and</w:t>
      </w:r>
    </w:p>
    <w:p>
      <w:pPr>
        <w:spacing w:after="0" w:line="248"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copy of a certificate, dated the date hereof, of the Delaware Secretary of State, dated August 21, 2020, certifying the existence and good standing of the Company under the laws of the State of Delaware.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opinions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 In addition, in rendering the opinions expressed below, we have assumed that the Registration Statement has been declared effective by the Commission and such effectiveness shall not have been terminated or rescinded.</w:t>
      </w:r>
    </w:p>
    <w:p>
      <w:pPr>
        <w:spacing w:after="0" w:line="7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Based upon the foregoing assumptions and the assumptions set forth below, and subject to the qualifications and limitations stated herein, having considered such questions of law as we have deemed necessary as a basis for the opinions expressed below, we are of the opinion that:</w:t>
      </w:r>
    </w:p>
    <w:p>
      <w:pPr>
        <w:spacing w:after="0" w:line="38" w:lineRule="exact"/>
        <w:rPr>
          <w:sz w:val="20"/>
          <w:szCs w:val="20"/>
          <w:color w:val="auto"/>
        </w:rPr>
      </w:pPr>
    </w:p>
    <w:p>
      <w:pPr>
        <w:jc w:val="both"/>
        <w:ind w:left="980" w:hanging="324"/>
        <w:spacing w:after="0" w:line="25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When the 462(b) Registration Statement becomes effective under the Securities Act and the Units have been issued and delivered by the Company pursuant to the Underwriting Agreement against the payment of the consideration set forth in the Underwriting Agreement, assuming the due authorization, execution and delivery of the Units by Continental Stock Transfer &amp; Trust Company, as transfer agent, the Units will constitute valid and binding obligations of the Company, enforceable against the Company in accordance with their terms, subject to (i) applicable bankruptcy, insolvency, receivership, conservatorship, liquidation, reorganization, moratorium, fraudulent transfer and other laws affecting the enforcement of creditors’ rights generally, and (ii) the application of general principles of equity (whether applied by a court in equity or at law).</w:t>
      </w:r>
    </w:p>
    <w:p>
      <w:pPr>
        <w:spacing w:after="0" w:line="194"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When the 462(b) Registration Statement becomes effective under the Securities Act, the Amended Certificate of Incorporation has been filed with the Secretary of State of the State of Delaware and the shares of Common Stock included in the Units have been delivered by the Company pursuant to the Underwriting Agreement against the payment of the consideration set forth in the Underwriting Agreement, the shares of Common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 w:name="page8"/>
    <w:bookmarkEnd w:id="7"/>
    <w:p>
      <w:pPr>
        <w:jc w:val="both"/>
        <w:ind w:left="980" w:hanging="324"/>
        <w:spacing w:after="0" w:line="25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5977255</wp:posOffset>
            </wp:positionH>
            <wp:positionV relativeFrom="page">
              <wp:posOffset>405765</wp:posOffset>
            </wp:positionV>
            <wp:extent cx="1329055" cy="9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29055" cy="93980"/>
                    </a:xfrm>
                    <a:prstGeom prst="rect">
                      <a:avLst/>
                    </a:prstGeom>
                    <a:noFill/>
                  </pic:spPr>
                </pic:pic>
              </a:graphicData>
            </a:graphic>
          </wp:anchor>
        </w:drawing>
        <w:t>When the 462(b) Registration Statement becomes effective under the Securities Act and the Warrants included in the Units have been delivered by the Company pursuant to the Underwriting Agreement against the payment of the consideration set forth in the Underwriting Agreement, assuming the due authorization, execution and delivery of the Warrants by the Warrant Agent, the Warrants will constitute valid and binding obligations of the Company, enforceable against the Company in accordance with their terms, subject to (i) applicable bankruptcy, insolvency, receivership, conservatorship, liquidation, reorganization, moratorium, fraudulent transfer and other laws affecting the enforcement of creditors’ rights generally, and (ii) the application of general principles of equity (whether applied by a court of law in equity or at law).</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opinion expressed above is limited to questions arising under the law of the State of New York and the Delaware General Corporation 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express any opinion as to the laws of any other jurisdiction.</w:t>
      </w:r>
    </w:p>
    <w:p>
      <w:pPr>
        <w:spacing w:after="0" w:line="1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opinion letter is for your benefit in connection with the Registration Statement and may be relied upon by you and by persons entitled to rely upon it pursuant to the applicable provisions of the Securities Act. This opinion letter is provided solely in connection with the distribution of the Units pursuant to the Registration Statement and is not to be relied upon for any other purpose.</w:t>
      </w:r>
    </w:p>
    <w:p>
      <w:pPr>
        <w:spacing w:after="0" w:line="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opinions expressed in this opinion letter.</w:t>
      </w:r>
    </w:p>
    <w:p>
      <w:pPr>
        <w:spacing w:after="0" w:line="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hereby consent to the filing of this opinion letter as Exhibit 5.1 to the 462(b) Registration Statement and to the reference to our firm as counsel for the Company that has passed on the validity of the Units, Common Stock and Warrants appearing under the caption “Legal Matters” in the prospectus forming part of the Registration Statement or any prospectus filed pursuant to Rule 424(b) with respect thereto. In giving this consent, we do not thereby admit that we are within the category of persons whose consent is required under Section 7 of the Securities Act or the rules and regulations of the Commission thereunder.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White &amp; Case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JR:CD:RB:DN:KW:JL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S-1 of our report dated August 21, 2020, relating to the balance sheet of CM Life Sciences, Inc. as of July 16, 2020, and the related statements of operations, changes in stockholder’s equity and cash flows for the period from July 10, 2020 (inception) through July 16, 2020, appearing in Amendment No. 1 to the Registration Statement on Form S-1, File No. 333-246251 and to the reference to our Firm under the caption “Experts” in the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decimal"/>
      <w:start w:val="24"/>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7"/>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2020-09-01T20:58:40Z</dcterms:created>
  <dcterms:modified xsi:type="dcterms:W3CDTF">2020-09-01T20:58:40Z</dcterms:modified>
</cp:coreProperties>
</file>