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Ryan Jason</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1020"/>
        <w:spacing w:after="0" w:line="395" w:lineRule="auto"/>
        <w:rPr>
          <w:sz w:val="20"/>
          <w:szCs w:val="20"/>
          <w:color w:val="auto"/>
        </w:rPr>
      </w:pPr>
      <w:r>
        <w:rPr>
          <w:rFonts w:ascii="Arial" w:cs="Arial" w:eastAsia="Arial" w:hAnsi="Arial"/>
          <w:sz w:val="16"/>
          <w:szCs w:val="16"/>
          <w:color w:val="0000FF"/>
        </w:rPr>
        <w:t>C/O GENEDX HOLDINGS CORP. 333 LUDLOW ST, NORTH TOWER</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STAMFORD</w:t>
            </w:r>
          </w:p>
        </w:tc>
        <w:tc>
          <w:tcPr>
            <w:tcW w:w="960" w:type="dxa"/>
            <w:vAlign w:val="bottom"/>
          </w:tcPr>
          <w:p>
            <w:pPr>
              <w:ind w:left="140"/>
              <w:spacing w:after="0"/>
              <w:rPr>
                <w:sz w:val="20"/>
                <w:szCs w:val="20"/>
                <w:color w:val="auto"/>
              </w:rPr>
            </w:pPr>
            <w:r>
              <w:rPr>
                <w:rFonts w:ascii="Arial" w:cs="Arial" w:eastAsia="Arial" w:hAnsi="Arial"/>
                <w:sz w:val="17"/>
                <w:szCs w:val="17"/>
                <w:color w:val="0000FF"/>
              </w:rPr>
              <w:t>CT</w:t>
            </w:r>
          </w:p>
        </w:tc>
        <w:tc>
          <w:tcPr>
            <w:tcW w:w="1600" w:type="dxa"/>
            <w:vAlign w:val="bottom"/>
          </w:tcPr>
          <w:p>
            <w:pPr>
              <w:ind w:left="400"/>
              <w:spacing w:after="0"/>
              <w:rPr>
                <w:sz w:val="20"/>
                <w:szCs w:val="20"/>
                <w:color w:val="auto"/>
              </w:rPr>
            </w:pPr>
            <w:r>
              <w:rPr>
                <w:rFonts w:ascii="Arial" w:cs="Arial" w:eastAsia="Arial" w:hAnsi="Arial"/>
                <w:sz w:val="17"/>
                <w:szCs w:val="17"/>
                <w:color w:val="0000FF"/>
              </w:rPr>
              <w:t>06902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GeneDx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ind w:left="80"/>
              <w:spacing w:after="0"/>
              <w:rPr>
                <w:sz w:val="20"/>
                <w:szCs w:val="20"/>
                <w:color w:val="auto"/>
              </w:rPr>
            </w:pPr>
            <w:r>
              <w:rPr>
                <w:rFonts w:ascii="Arial" w:cs="Arial" w:eastAsia="Arial" w:hAnsi="Arial"/>
                <w:sz w:val="17"/>
                <w:szCs w:val="17"/>
                <w:color w:val="0000FF"/>
              </w:rPr>
              <w:t>10/17/2023</w:t>
            </w:r>
          </w:p>
        </w:tc>
        <w:tc>
          <w:tcPr>
            <w:tcW w:w="1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140" w:type="dxa"/>
            <w:vAlign w:val="bottom"/>
            <w:gridSpan w:val="3"/>
            <w:vMerge w:val="continue"/>
          </w:tcPr>
          <w:p>
            <w:pPr>
              <w:spacing w:after="0"/>
              <w:rPr>
                <w:sz w:val="11"/>
                <w:szCs w:val="11"/>
                <w:color w:val="auto"/>
              </w:rPr>
            </w:pPr>
          </w:p>
        </w:tc>
        <w:tc>
          <w:tcPr>
            <w:tcW w:w="1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440"/>
              <w:spacing w:after="0"/>
              <w:rPr>
                <w:sz w:val="20"/>
                <w:szCs w:val="20"/>
                <w:color w:val="auto"/>
              </w:rPr>
            </w:pPr>
            <w:r>
              <w:rPr>
                <w:rFonts w:ascii="Arial" w:cs="Arial" w:eastAsia="Arial" w:hAnsi="Arial"/>
                <w:sz w:val="17"/>
                <w:szCs w:val="17"/>
                <w:color w:val="0000FF"/>
              </w:rPr>
              <w:t>Executive Chairman</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10/17/2023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42</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3.19</w:t>
            </w: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5,834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restricted stock units. The sale was to satisfy tax withholding obligations to be funded by a "sell to cover" transaction and does not represent a discretionary transaction by the Reporting Person.</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Devin Schaffer, Attorney-</w:t>
            </w:r>
          </w:p>
        </w:tc>
        <w:tc>
          <w:tcPr>
            <w:tcW w:w="10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10/18/2023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5017"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2023-10-18T16:08:59Z</dcterms:created>
  <dcterms:modified xsi:type="dcterms:W3CDTF">2023-10-18T16:08:59Z</dcterms:modified>
</cp:coreProperties>
</file>